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2609" w14:textId="77777777" w:rsidR="00F96232" w:rsidRPr="002A3FE4" w:rsidRDefault="00F96232" w:rsidP="00496B34">
      <w:pPr>
        <w:spacing w:after="0"/>
        <w:ind w:firstLine="0"/>
        <w:rPr>
          <w:sz w:val="32"/>
          <w:szCs w:val="32"/>
          <w:lang w:val="en-GB"/>
        </w:rPr>
      </w:pPr>
      <w:bookmarkStart w:id="0" w:name="_Hlk143613142"/>
      <w:r w:rsidRPr="002A3FE4">
        <w:rPr>
          <w:sz w:val="32"/>
          <w:szCs w:val="32"/>
          <w:lang w:val="en-GB"/>
        </w:rPr>
        <w:t>Wealth, work, and industriousness, 1670–1860:</w:t>
      </w:r>
    </w:p>
    <w:p w14:paraId="045BCADD" w14:textId="77777777" w:rsidR="00F96232" w:rsidRPr="002A3FE4" w:rsidRDefault="00F96232" w:rsidP="00496B34">
      <w:pPr>
        <w:spacing w:after="0" w:line="480" w:lineRule="auto"/>
        <w:ind w:firstLine="0"/>
        <w:rPr>
          <w:sz w:val="24"/>
          <w:szCs w:val="24"/>
          <w:lang w:val="en-GB"/>
        </w:rPr>
      </w:pPr>
      <w:r w:rsidRPr="002A3FE4">
        <w:rPr>
          <w:sz w:val="32"/>
          <w:szCs w:val="32"/>
          <w:lang w:val="en-GB"/>
        </w:rPr>
        <w:t>Evidence from rural Swedish probates</w:t>
      </w:r>
    </w:p>
    <w:p w14:paraId="1656C356" w14:textId="77777777" w:rsidR="006C2076" w:rsidRPr="002A3FE4" w:rsidRDefault="006C2076" w:rsidP="00496B34">
      <w:pPr>
        <w:pStyle w:val="Rubrik1"/>
        <w:spacing w:before="0" w:after="0" w:line="480" w:lineRule="auto"/>
        <w:ind w:firstLine="0"/>
        <w:rPr>
          <w:rFonts w:cs="Times New Roman"/>
          <w:sz w:val="32"/>
          <w:lang w:val="en-GB"/>
        </w:rPr>
      </w:pPr>
      <w:r w:rsidRPr="002A3FE4">
        <w:rPr>
          <w:rFonts w:cs="Times New Roman"/>
          <w:sz w:val="32"/>
          <w:lang w:val="en-GB"/>
        </w:rPr>
        <w:t>Online Appendix</w:t>
      </w:r>
    </w:p>
    <w:p w14:paraId="2FA3AD64" w14:textId="6E1BED67" w:rsidR="00F96232" w:rsidRPr="002A3FE4" w:rsidRDefault="006246CE" w:rsidP="00496B34">
      <w:pPr>
        <w:spacing w:after="0" w:line="480" w:lineRule="auto"/>
        <w:ind w:firstLine="0"/>
        <w:rPr>
          <w:sz w:val="28"/>
          <w:szCs w:val="28"/>
          <w:lang w:val="en-GB"/>
        </w:rPr>
      </w:pPr>
      <w:r>
        <w:rPr>
          <w:sz w:val="28"/>
          <w:szCs w:val="28"/>
          <w:lang w:val="en-GB"/>
        </w:rPr>
        <w:t>30 July 2024</w:t>
      </w:r>
    </w:p>
    <w:p w14:paraId="783765DF" w14:textId="77777777" w:rsidR="00F96232" w:rsidRPr="002A3FE4" w:rsidRDefault="00F96232" w:rsidP="00496B34">
      <w:pPr>
        <w:rPr>
          <w:lang w:val="en-GB"/>
        </w:rPr>
      </w:pPr>
    </w:p>
    <w:p w14:paraId="4E8457E1" w14:textId="7FE9DB9F" w:rsidR="00CA6E72" w:rsidRPr="002A3FE4" w:rsidRDefault="00E73EE8" w:rsidP="006246CE">
      <w:pPr>
        <w:spacing w:after="0" w:line="480" w:lineRule="auto"/>
        <w:ind w:firstLine="0"/>
        <w:jc w:val="both"/>
        <w:rPr>
          <w:sz w:val="24"/>
          <w:szCs w:val="24"/>
          <w:lang w:val="en-GB"/>
        </w:rPr>
      </w:pPr>
      <w:r w:rsidRPr="002A3FE4">
        <w:rPr>
          <w:sz w:val="24"/>
          <w:szCs w:val="24"/>
          <w:lang w:val="en-GB"/>
        </w:rPr>
        <w:t xml:space="preserve">This </w:t>
      </w:r>
      <w:r w:rsidR="00D9203E" w:rsidRPr="002A3FE4">
        <w:rPr>
          <w:sz w:val="24"/>
          <w:szCs w:val="24"/>
          <w:lang w:val="en-GB"/>
        </w:rPr>
        <w:t xml:space="preserve">Online </w:t>
      </w:r>
      <w:r w:rsidRPr="002A3FE4">
        <w:rPr>
          <w:sz w:val="24"/>
          <w:szCs w:val="24"/>
          <w:lang w:val="en-GB"/>
        </w:rPr>
        <w:t xml:space="preserve">Appendix presents additional calculations based on the </w:t>
      </w:r>
      <w:r w:rsidR="00CA6E72" w:rsidRPr="002A3FE4">
        <w:rPr>
          <w:sz w:val="24"/>
          <w:szCs w:val="24"/>
          <w:lang w:val="en-GB"/>
        </w:rPr>
        <w:t xml:space="preserve">probate inventories </w:t>
      </w:r>
      <w:r w:rsidRPr="002A3FE4">
        <w:rPr>
          <w:sz w:val="24"/>
          <w:szCs w:val="24"/>
          <w:lang w:val="en-GB"/>
        </w:rPr>
        <w:t xml:space="preserve">database used in the </w:t>
      </w:r>
      <w:r w:rsidR="00AB046D" w:rsidRPr="002A3FE4">
        <w:rPr>
          <w:sz w:val="24"/>
          <w:szCs w:val="24"/>
          <w:lang w:val="en-GB"/>
        </w:rPr>
        <w:t>paper</w:t>
      </w:r>
      <w:r w:rsidR="00CA6E72" w:rsidRPr="002A3FE4">
        <w:rPr>
          <w:sz w:val="24"/>
          <w:szCs w:val="24"/>
          <w:lang w:val="en-GB"/>
        </w:rPr>
        <w:t>, as well as on church books and cadastral registers that provide complementary information on ages and household sizes of the study’s sample</w:t>
      </w:r>
      <w:r w:rsidRPr="002A3FE4">
        <w:rPr>
          <w:sz w:val="24"/>
          <w:szCs w:val="24"/>
          <w:lang w:val="en-GB"/>
        </w:rPr>
        <w:t xml:space="preserve">. </w:t>
      </w:r>
      <w:r w:rsidR="00CA6E72" w:rsidRPr="002A3FE4">
        <w:rPr>
          <w:sz w:val="24"/>
          <w:szCs w:val="24"/>
          <w:lang w:val="en-GB"/>
        </w:rPr>
        <w:t>More specifically, this Online</w:t>
      </w:r>
      <w:r w:rsidRPr="002A3FE4">
        <w:rPr>
          <w:sz w:val="24"/>
          <w:szCs w:val="24"/>
          <w:lang w:val="en-GB"/>
        </w:rPr>
        <w:t xml:space="preserve"> Appendix</w:t>
      </w:r>
      <w:r w:rsidR="00CA6E72" w:rsidRPr="002A3FE4">
        <w:rPr>
          <w:sz w:val="24"/>
          <w:szCs w:val="24"/>
          <w:lang w:val="en-GB"/>
        </w:rPr>
        <w:t xml:space="preserve"> begins</w:t>
      </w:r>
      <w:r w:rsidR="001758ED" w:rsidRPr="002A3FE4">
        <w:rPr>
          <w:sz w:val="24"/>
          <w:szCs w:val="24"/>
          <w:lang w:val="en-GB"/>
        </w:rPr>
        <w:t xml:space="preserve"> </w:t>
      </w:r>
      <w:r w:rsidR="00CA6E72" w:rsidRPr="002A3FE4">
        <w:rPr>
          <w:sz w:val="24"/>
          <w:szCs w:val="24"/>
          <w:lang w:val="en-GB"/>
        </w:rPr>
        <w:t xml:space="preserve">by discussing stratification </w:t>
      </w:r>
      <w:r w:rsidR="001758ED" w:rsidRPr="002A3FE4">
        <w:rPr>
          <w:sz w:val="24"/>
          <w:szCs w:val="24"/>
          <w:lang w:val="en-GB"/>
        </w:rPr>
        <w:t xml:space="preserve">within the broad </w:t>
      </w:r>
      <w:r w:rsidR="00CA6E72" w:rsidRPr="002A3FE4">
        <w:rPr>
          <w:sz w:val="24"/>
          <w:szCs w:val="24"/>
          <w:lang w:val="en-GB"/>
        </w:rPr>
        <w:t>groups of farmers and labourers that are the main focus of the paper</w:t>
      </w:r>
      <w:r w:rsidR="001758ED" w:rsidRPr="002A3FE4">
        <w:rPr>
          <w:sz w:val="24"/>
          <w:szCs w:val="24"/>
          <w:lang w:val="en-GB"/>
        </w:rPr>
        <w:t>. In Table A1 we present descriptive information on the wealth differentials between the various subgroups as well as for various kinds of natural geographical areas, and the evolution over time.</w:t>
      </w:r>
      <w:r w:rsidR="00353B98" w:rsidRPr="002A3FE4">
        <w:rPr>
          <w:sz w:val="24"/>
          <w:szCs w:val="24"/>
          <w:lang w:val="en-GB"/>
        </w:rPr>
        <w:t xml:space="preserve"> </w:t>
      </w:r>
      <w:r w:rsidR="006B344A" w:rsidRPr="002A3FE4">
        <w:rPr>
          <w:sz w:val="24"/>
          <w:szCs w:val="24"/>
          <w:lang w:val="en-GB"/>
        </w:rPr>
        <w:t>Table A2 continues on the discussion on differences between different kinds of farmers, and shows that tenants of the nobility were less wealthy, and had a less advantageous growth of wealth 1780–1865, than freeholders and tenants of the crown. Table A3 discusses the development of wealth inequality among farmers, showing the Gini coefficient of wealth for our three benchmark periods. Here we relate to a large previous literature on the degree of stratification within the Swedish farmer class.</w:t>
      </w:r>
      <w:r w:rsidR="007A4488" w:rsidRPr="002A3FE4">
        <w:rPr>
          <w:sz w:val="24"/>
          <w:szCs w:val="24"/>
          <w:lang w:val="en-GB"/>
        </w:rPr>
        <w:t xml:space="preserve"> Table A4 breaks down the wealth evolution for the three subgroups of the labourers.</w:t>
      </w:r>
    </w:p>
    <w:p w14:paraId="5C8966CA" w14:textId="06936409" w:rsidR="007A4488" w:rsidRPr="002A3FE4" w:rsidRDefault="007A4488" w:rsidP="006246CE">
      <w:pPr>
        <w:spacing w:after="0" w:line="480" w:lineRule="auto"/>
        <w:ind w:firstLine="720"/>
        <w:jc w:val="both"/>
        <w:rPr>
          <w:sz w:val="24"/>
          <w:szCs w:val="24"/>
          <w:lang w:val="en-GB"/>
        </w:rPr>
      </w:pPr>
      <w:r w:rsidRPr="002A3FE4">
        <w:rPr>
          <w:sz w:val="24"/>
          <w:szCs w:val="24"/>
          <w:lang w:val="en-GB"/>
        </w:rPr>
        <w:t>The second section of the Appendix focuses on how we have estimated the age of the probated individuals and gone about to guarantee that we in our main analyses study people of working age. We explain that procedure, involving not only probate inventories but also the church books from parish archives, and discuss the presence and material living standards of retirees.</w:t>
      </w:r>
      <w:r w:rsidR="006F30B7" w:rsidRPr="002A3FE4">
        <w:rPr>
          <w:sz w:val="24"/>
          <w:szCs w:val="24"/>
          <w:lang w:val="en-GB"/>
        </w:rPr>
        <w:t xml:space="preserve"> Table </w:t>
      </w:r>
      <w:r w:rsidR="006246CE">
        <w:rPr>
          <w:sz w:val="24"/>
          <w:szCs w:val="24"/>
          <w:lang w:val="en-GB"/>
        </w:rPr>
        <w:t>A</w:t>
      </w:r>
      <w:r w:rsidR="006F30B7" w:rsidRPr="002A3FE4">
        <w:rPr>
          <w:sz w:val="24"/>
          <w:szCs w:val="24"/>
          <w:lang w:val="en-GB"/>
        </w:rPr>
        <w:t>5 describes the wealth development for retired farmers, while Tables A6 and A7 document their (diminished) productive capacity.</w:t>
      </w:r>
    </w:p>
    <w:p w14:paraId="395C2823" w14:textId="54788B8D" w:rsidR="00E73EE8" w:rsidRPr="002A3FE4" w:rsidRDefault="006F30B7" w:rsidP="006246CE">
      <w:pPr>
        <w:spacing w:after="0" w:line="480" w:lineRule="auto"/>
        <w:ind w:firstLine="720"/>
        <w:jc w:val="both"/>
        <w:rPr>
          <w:sz w:val="24"/>
          <w:szCs w:val="24"/>
          <w:lang w:val="en-GB"/>
        </w:rPr>
      </w:pPr>
      <w:r w:rsidRPr="002A3FE4">
        <w:rPr>
          <w:sz w:val="24"/>
          <w:szCs w:val="24"/>
          <w:lang w:val="en-GB"/>
        </w:rPr>
        <w:lastRenderedPageBreak/>
        <w:t>Since the probate inventories capture the productive capacity of households rather than individuals, we might consider that findings on expanding and diversified productive capacity on the household level are driven by expanding household size, with more available workers, rather than reallocation of the labour of the core people of the household – spouses and adult children (cf. Keibek and Shaw-Taylor 2013). For this reason, the third and final section of the Appendix presents</w:t>
      </w:r>
      <w:r w:rsidR="008A3DC5" w:rsidRPr="002A3FE4">
        <w:rPr>
          <w:sz w:val="24"/>
          <w:szCs w:val="24"/>
          <w:lang w:val="en-GB"/>
        </w:rPr>
        <w:t xml:space="preserve"> original calculations of household </w:t>
      </w:r>
      <w:r w:rsidR="00FF065C" w:rsidRPr="002A3FE4">
        <w:rPr>
          <w:sz w:val="24"/>
          <w:szCs w:val="24"/>
          <w:lang w:val="en-GB"/>
        </w:rPr>
        <w:t>size</w:t>
      </w:r>
      <w:r w:rsidR="008A3DC5" w:rsidRPr="002A3FE4">
        <w:rPr>
          <w:sz w:val="24"/>
          <w:szCs w:val="24"/>
          <w:lang w:val="en-GB"/>
        </w:rPr>
        <w:t xml:space="preserve"> over time</w:t>
      </w:r>
      <w:r w:rsidR="00FF065C" w:rsidRPr="002A3FE4">
        <w:rPr>
          <w:sz w:val="24"/>
          <w:szCs w:val="24"/>
          <w:lang w:val="en-GB"/>
        </w:rPr>
        <w:t xml:space="preserve"> in three parishes from our sample, building on cadastral registers</w:t>
      </w:r>
      <w:r w:rsidR="008A3DC5" w:rsidRPr="002A3FE4">
        <w:rPr>
          <w:sz w:val="24"/>
          <w:szCs w:val="24"/>
          <w:lang w:val="en-GB"/>
        </w:rPr>
        <w:t>.</w:t>
      </w:r>
      <w:r w:rsidR="00FF065C" w:rsidRPr="002A3FE4">
        <w:rPr>
          <w:sz w:val="24"/>
          <w:szCs w:val="24"/>
          <w:lang w:val="en-GB"/>
        </w:rPr>
        <w:t xml:space="preserve"> This investigation, presented in Tables A8 and A9, shows that household size was stagnant over time in our studied areas, and this conclusion is also supported with references to studies from other areas.</w:t>
      </w:r>
      <w:r w:rsidR="008A3DC5" w:rsidRPr="002A3FE4">
        <w:rPr>
          <w:sz w:val="24"/>
          <w:szCs w:val="24"/>
          <w:lang w:val="en-GB"/>
        </w:rPr>
        <w:t xml:space="preserve"> </w:t>
      </w:r>
    </w:p>
    <w:p w14:paraId="7F610D91" w14:textId="77777777" w:rsidR="00BB0860" w:rsidRPr="002A3FE4" w:rsidRDefault="00BB0860" w:rsidP="00496B34">
      <w:pPr>
        <w:spacing w:after="0" w:line="480" w:lineRule="auto"/>
        <w:ind w:firstLine="0"/>
        <w:rPr>
          <w:sz w:val="24"/>
          <w:szCs w:val="24"/>
          <w:lang w:val="en-GB"/>
        </w:rPr>
      </w:pPr>
    </w:p>
    <w:p w14:paraId="7AD574D3" w14:textId="1FB0395B" w:rsidR="00BB0860" w:rsidRPr="002A3FE4" w:rsidRDefault="00BB0860" w:rsidP="00496B34">
      <w:pPr>
        <w:pStyle w:val="Rubrik2"/>
        <w:rPr>
          <w:lang w:val="en-GB"/>
        </w:rPr>
      </w:pPr>
      <w:r w:rsidRPr="002A3FE4">
        <w:rPr>
          <w:lang w:val="en-GB"/>
        </w:rPr>
        <w:t>The social groups, wealth and its evolution in more detail</w:t>
      </w:r>
    </w:p>
    <w:p w14:paraId="7B759233" w14:textId="515FDB02" w:rsidR="009C2804" w:rsidRPr="002A3FE4" w:rsidRDefault="00BB0860" w:rsidP="006246CE">
      <w:pPr>
        <w:spacing w:after="0" w:line="480" w:lineRule="auto"/>
        <w:ind w:firstLine="0"/>
        <w:jc w:val="both"/>
        <w:rPr>
          <w:sz w:val="24"/>
          <w:szCs w:val="24"/>
          <w:lang w:val="en-GB"/>
        </w:rPr>
      </w:pPr>
      <w:r w:rsidRPr="002A3FE4">
        <w:rPr>
          <w:sz w:val="24"/>
          <w:szCs w:val="24"/>
          <w:lang w:val="en-GB"/>
        </w:rPr>
        <w:t xml:space="preserve">In the main body of the paper, Table 2 shows the geographical composition of the dataset, and Table 3 shows the sample for labourers and farmers. </w:t>
      </w:r>
      <w:r w:rsidR="009C2804" w:rsidRPr="002A3FE4">
        <w:rPr>
          <w:sz w:val="24"/>
          <w:szCs w:val="24"/>
          <w:lang w:val="en-GB"/>
        </w:rPr>
        <w:t>There we focus only on the two broad groups, labourers and farmers. In this Appendix we also present more differentiated results, for sub-groups.</w:t>
      </w:r>
    </w:p>
    <w:p w14:paraId="005370E1" w14:textId="04958B2C" w:rsidR="009C2804" w:rsidRPr="002A3FE4" w:rsidRDefault="009C2804" w:rsidP="006246CE">
      <w:pPr>
        <w:spacing w:after="0" w:line="480" w:lineRule="auto"/>
        <w:ind w:firstLine="720"/>
        <w:jc w:val="both"/>
        <w:rPr>
          <w:sz w:val="24"/>
          <w:szCs w:val="24"/>
          <w:lang w:val="en-GB"/>
        </w:rPr>
      </w:pPr>
      <w:r w:rsidRPr="002A3FE4">
        <w:rPr>
          <w:sz w:val="24"/>
          <w:szCs w:val="24"/>
          <w:lang w:val="en-GB"/>
        </w:rPr>
        <w:t>Here, in one version of the calculations we break down the peasant farmer group into three subgroups (On farmer stratification cf. Gadd 2000, pp. 72–9; Bengtsson and Svensson 2019). The biggest group, which we will use as a baseline category, consists of owner occupiers and crown tenants, who had relatively stable tenure. The second category is a more privileged category, which we create by merging two relatively well-off farmer groups. The first is that of local trustees (jurors and churchwardens), who can be expected to possess a high level of social capital and thereby stand out from the rest of the peasant community. The second is the farmers who did not pay their annual tax to the crown but instead were obliged to hire and maintain a horseman (</w:t>
      </w:r>
      <w:r w:rsidRPr="002A3FE4">
        <w:rPr>
          <w:i/>
          <w:iCs/>
          <w:sz w:val="24"/>
          <w:szCs w:val="24"/>
          <w:lang w:val="en-GB"/>
        </w:rPr>
        <w:t>rusthållare</w:t>
      </w:r>
      <w:r w:rsidRPr="002A3FE4">
        <w:rPr>
          <w:sz w:val="24"/>
          <w:szCs w:val="24"/>
          <w:lang w:val="en-GB"/>
        </w:rPr>
        <w:t xml:space="preserve">, literally armour holder). For this task, farms assessed as especially viable had to a high degree been allocated (Olsson 2005, pp. 155–8), and these farmers were </w:t>
      </w:r>
      <w:r w:rsidRPr="002A3FE4">
        <w:rPr>
          <w:sz w:val="24"/>
          <w:szCs w:val="24"/>
          <w:lang w:val="en-GB"/>
        </w:rPr>
        <w:lastRenderedPageBreak/>
        <w:t xml:space="preserve">often the same people who were appointed as local trustees. Since the local trustees are quite few, we often merge these two groups in the further analysis. The last farmer subgroup consists of the tenants of the nobility who were less privileged, as they had insecure tenancies and had to perform </w:t>
      </w:r>
      <w:r w:rsidRPr="002A3FE4">
        <w:rPr>
          <w:i/>
          <w:iCs/>
          <w:sz w:val="24"/>
          <w:szCs w:val="24"/>
          <w:lang w:val="en-GB"/>
        </w:rPr>
        <w:t>corvée</w:t>
      </w:r>
      <w:r w:rsidRPr="002A3FE4">
        <w:rPr>
          <w:sz w:val="24"/>
          <w:szCs w:val="24"/>
          <w:lang w:val="en-GB"/>
        </w:rPr>
        <w:t xml:space="preserve"> labour (Dribe et al 2012).</w:t>
      </w:r>
    </w:p>
    <w:p w14:paraId="1C1E27CE" w14:textId="70CA9140" w:rsidR="009C2804" w:rsidRPr="002A3FE4" w:rsidRDefault="009C2804" w:rsidP="006246CE">
      <w:pPr>
        <w:spacing w:after="0" w:line="480" w:lineRule="auto"/>
        <w:jc w:val="both"/>
        <w:rPr>
          <w:sz w:val="24"/>
          <w:szCs w:val="24"/>
          <w:lang w:val="en-GB"/>
        </w:rPr>
      </w:pPr>
      <w:r w:rsidRPr="002A3FE4">
        <w:rPr>
          <w:sz w:val="24"/>
          <w:szCs w:val="24"/>
          <w:lang w:val="en-GB"/>
        </w:rPr>
        <w:t>In the same way, we break down the rural labourers into three subgroups. The first group is crofters and cottagers, who had rudimentary land tenure and could produce some food. For this reason, this group is considered to be the most well-off (or least poor) among the landless and semi-landless groups (cf. Söderberg 1978; Ahlberger 1988; Bengtsson and Svensson 2022). The second subgroup is annually hired workers or live-ins, such as farmhands, maids, and later married contract workers (</w:t>
      </w:r>
      <w:r w:rsidRPr="002A3FE4">
        <w:rPr>
          <w:i/>
          <w:iCs/>
          <w:sz w:val="24"/>
          <w:szCs w:val="24"/>
          <w:lang w:val="en-GB"/>
        </w:rPr>
        <w:t>statare</w:t>
      </w:r>
      <w:r w:rsidRPr="002A3FE4">
        <w:rPr>
          <w:sz w:val="24"/>
          <w:szCs w:val="24"/>
          <w:lang w:val="en-GB"/>
        </w:rPr>
        <w:t>). The third subgroup is unspecified landless with no titles. This is a problematic group in that it can be poor proletarians who subsist on wage labour, but can also collect groups with less dependency on wage labour – the infirm and the old (cf. discussion in Söderberg 1978, pp. 126–133).</w:t>
      </w:r>
    </w:p>
    <w:p w14:paraId="380EEDD5" w14:textId="1DC75DC2" w:rsidR="00BB0860" w:rsidRPr="002A3FE4" w:rsidRDefault="00BB0860" w:rsidP="006246CE">
      <w:pPr>
        <w:spacing w:after="0" w:line="480" w:lineRule="auto"/>
        <w:ind w:firstLine="720"/>
        <w:jc w:val="both"/>
        <w:rPr>
          <w:sz w:val="24"/>
          <w:szCs w:val="24"/>
          <w:lang w:val="en-GB"/>
        </w:rPr>
      </w:pPr>
      <w:r w:rsidRPr="002A3FE4">
        <w:rPr>
          <w:sz w:val="24"/>
          <w:szCs w:val="24"/>
          <w:lang w:val="en-GB"/>
        </w:rPr>
        <w:t xml:space="preserve">Table </w:t>
      </w:r>
      <w:r w:rsidR="001758ED" w:rsidRPr="002A3FE4">
        <w:rPr>
          <w:sz w:val="24"/>
          <w:szCs w:val="24"/>
          <w:lang w:val="en-GB"/>
        </w:rPr>
        <w:t>A1</w:t>
      </w:r>
      <w:r w:rsidRPr="002A3FE4">
        <w:rPr>
          <w:sz w:val="24"/>
          <w:szCs w:val="24"/>
          <w:lang w:val="en-GB"/>
        </w:rPr>
        <w:t xml:space="preserve"> shows the composition of the dataset in detail: in terms of social class with subgroups, </w:t>
      </w:r>
      <w:r w:rsidR="00846896" w:rsidRPr="002A3FE4">
        <w:rPr>
          <w:sz w:val="24"/>
          <w:szCs w:val="24"/>
          <w:lang w:val="en-GB"/>
        </w:rPr>
        <w:t xml:space="preserve">but also </w:t>
      </w:r>
      <w:r w:rsidRPr="002A3FE4">
        <w:rPr>
          <w:sz w:val="24"/>
          <w:szCs w:val="24"/>
          <w:lang w:val="en-GB"/>
        </w:rPr>
        <w:t>period, natural</w:t>
      </w:r>
      <w:r w:rsidR="001758ED" w:rsidRPr="002A3FE4">
        <w:rPr>
          <w:sz w:val="24"/>
          <w:szCs w:val="24"/>
          <w:lang w:val="en-GB"/>
        </w:rPr>
        <w:t xml:space="preserve"> geography</w:t>
      </w:r>
      <w:r w:rsidRPr="002A3FE4">
        <w:rPr>
          <w:sz w:val="24"/>
          <w:szCs w:val="24"/>
          <w:lang w:val="en-GB"/>
        </w:rPr>
        <w:t xml:space="preserve"> conditions, and gender.</w:t>
      </w:r>
      <w:r w:rsidR="00846896" w:rsidRPr="002A3FE4">
        <w:rPr>
          <w:sz w:val="24"/>
          <w:szCs w:val="24"/>
          <w:lang w:val="en-GB"/>
        </w:rPr>
        <w:t xml:space="preserve"> Regarding the social composition, the aim of the paper is s</w:t>
      </w:r>
      <w:r w:rsidRPr="002A3FE4">
        <w:rPr>
          <w:sz w:val="24"/>
          <w:szCs w:val="24"/>
          <w:lang w:val="en-GB"/>
        </w:rPr>
        <w:t>pecifically to study living standards and productive capacity within the two groups of farmers and rural labourers,</w:t>
      </w:r>
      <w:r w:rsidR="00846896" w:rsidRPr="002A3FE4">
        <w:rPr>
          <w:sz w:val="24"/>
          <w:szCs w:val="24"/>
          <w:lang w:val="en-GB"/>
        </w:rPr>
        <w:t xml:space="preserve"> so</w:t>
      </w:r>
      <w:r w:rsidRPr="002A3FE4">
        <w:rPr>
          <w:sz w:val="24"/>
          <w:szCs w:val="24"/>
          <w:lang w:val="en-GB"/>
        </w:rPr>
        <w:t xml:space="preserve"> we</w:t>
      </w:r>
      <w:r w:rsidR="00846896" w:rsidRPr="002A3FE4">
        <w:rPr>
          <w:sz w:val="24"/>
          <w:szCs w:val="24"/>
          <w:lang w:val="en-GB"/>
        </w:rPr>
        <w:t xml:space="preserve"> are not overly</w:t>
      </w:r>
      <w:r w:rsidRPr="002A3FE4">
        <w:rPr>
          <w:sz w:val="24"/>
          <w:szCs w:val="24"/>
          <w:lang w:val="en-GB"/>
        </w:rPr>
        <w:t xml:space="preserve"> worr</w:t>
      </w:r>
      <w:r w:rsidR="00846896" w:rsidRPr="002A3FE4">
        <w:rPr>
          <w:sz w:val="24"/>
          <w:szCs w:val="24"/>
          <w:lang w:val="en-GB"/>
        </w:rPr>
        <w:t>ied</w:t>
      </w:r>
      <w:r w:rsidRPr="002A3FE4">
        <w:rPr>
          <w:sz w:val="24"/>
          <w:szCs w:val="24"/>
          <w:lang w:val="en-GB"/>
        </w:rPr>
        <w:t xml:space="preserve"> about the class representativeness of our sample</w:t>
      </w:r>
      <w:r w:rsidR="00846896" w:rsidRPr="002A3FE4">
        <w:rPr>
          <w:sz w:val="24"/>
          <w:szCs w:val="24"/>
          <w:lang w:val="en-GB"/>
        </w:rPr>
        <w:t>, as long as both groups have enough absolute numbers for us to be able to draw conclusions about their productive capacity</w:t>
      </w:r>
      <w:r w:rsidRPr="002A3FE4">
        <w:rPr>
          <w:sz w:val="24"/>
          <w:szCs w:val="24"/>
          <w:lang w:val="en-GB"/>
        </w:rPr>
        <w:t>.</w:t>
      </w:r>
      <w:r w:rsidR="00846896" w:rsidRPr="002A3FE4">
        <w:rPr>
          <w:sz w:val="24"/>
          <w:szCs w:val="24"/>
          <w:lang w:val="en-GB"/>
        </w:rPr>
        <w:t xml:space="preserve"> (The social representativeness of probate inventories is a large debate in Swedish economic history: cf. Bengtsson and Svensson 2022, pp. 65–67.)</w:t>
      </w:r>
      <w:r w:rsidRPr="002A3FE4">
        <w:rPr>
          <w:sz w:val="24"/>
          <w:szCs w:val="24"/>
          <w:lang w:val="en-GB"/>
        </w:rPr>
        <w:t xml:space="preserve"> </w:t>
      </w:r>
      <w:r w:rsidR="00846896" w:rsidRPr="002A3FE4">
        <w:rPr>
          <w:sz w:val="24"/>
          <w:szCs w:val="24"/>
          <w:lang w:val="en-GB"/>
        </w:rPr>
        <w:t>Table A1 shows that,</w:t>
      </w:r>
      <w:r w:rsidRPr="002A3FE4">
        <w:rPr>
          <w:sz w:val="24"/>
          <w:szCs w:val="24"/>
          <w:lang w:val="en-GB"/>
        </w:rPr>
        <w:t xml:space="preserve"> as expected, farmers and rural elite (especially clergymen) are overrepresented in the first period, while the sample in the last period is quite well balanced to the real rural population. </w:t>
      </w:r>
      <w:r w:rsidR="00846896" w:rsidRPr="002A3FE4">
        <w:rPr>
          <w:sz w:val="24"/>
          <w:szCs w:val="24"/>
          <w:lang w:val="en-GB"/>
        </w:rPr>
        <w:t>(The social restructuring in rural Sweden in the period is discussed in Section III in the main body of the paper.)</w:t>
      </w:r>
      <w:r w:rsidR="00220600" w:rsidRPr="002A3FE4">
        <w:rPr>
          <w:sz w:val="24"/>
          <w:szCs w:val="24"/>
          <w:lang w:val="en-GB"/>
        </w:rPr>
        <w:t xml:space="preserve"> We want to stress that if the wealth bias of the probability of being probated decreases over time, which is </w:t>
      </w:r>
      <w:r w:rsidR="00220600" w:rsidRPr="002A3FE4">
        <w:rPr>
          <w:sz w:val="24"/>
          <w:szCs w:val="24"/>
          <w:lang w:val="en-GB"/>
        </w:rPr>
        <w:lastRenderedPageBreak/>
        <w:t xml:space="preserve">likely, then we will </w:t>
      </w:r>
      <w:r w:rsidR="00220600" w:rsidRPr="002A3FE4">
        <w:rPr>
          <w:i/>
          <w:iCs/>
          <w:sz w:val="24"/>
          <w:szCs w:val="24"/>
          <w:lang w:val="en-GB"/>
        </w:rPr>
        <w:t>underestimate</w:t>
      </w:r>
      <w:r w:rsidR="00220600" w:rsidRPr="002A3FE4">
        <w:rPr>
          <w:sz w:val="24"/>
          <w:szCs w:val="24"/>
          <w:lang w:val="en-GB"/>
        </w:rPr>
        <w:t xml:space="preserve"> the growth of wealth in the probated households. We find rising wealth in both main types of households – farmers and labourers – over time, so it is very unlikely that the results would be reversed had there been no wealth bias for being probated. Instead, the results would probably become even stronger.</w:t>
      </w:r>
    </w:p>
    <w:p w14:paraId="5E378F49" w14:textId="210EE6D2" w:rsidR="00220600" w:rsidRPr="002A3FE4" w:rsidRDefault="00220600" w:rsidP="006246CE">
      <w:pPr>
        <w:jc w:val="both"/>
        <w:rPr>
          <w:sz w:val="24"/>
          <w:szCs w:val="24"/>
          <w:lang w:val="en-GB"/>
        </w:rPr>
      </w:pPr>
      <w:r w:rsidRPr="002A3FE4">
        <w:rPr>
          <w:sz w:val="24"/>
          <w:szCs w:val="24"/>
          <w:lang w:val="en-GB"/>
        </w:rPr>
        <w:br w:type="page"/>
      </w:r>
    </w:p>
    <w:p w14:paraId="199C48E9" w14:textId="77777777" w:rsidR="00220600" w:rsidRPr="002A3FE4" w:rsidRDefault="00220600" w:rsidP="00496B34">
      <w:pPr>
        <w:spacing w:after="0"/>
        <w:ind w:firstLine="0"/>
        <w:rPr>
          <w:b/>
          <w:bCs/>
          <w:sz w:val="24"/>
          <w:szCs w:val="24"/>
          <w:lang w:val="en-GB"/>
        </w:rPr>
      </w:pPr>
      <w:r w:rsidRPr="002A3FE4">
        <w:rPr>
          <w:b/>
          <w:bCs/>
          <w:sz w:val="24"/>
          <w:szCs w:val="24"/>
          <w:lang w:val="en-GB"/>
        </w:rPr>
        <w:lastRenderedPageBreak/>
        <w:t>Table A1. Distribution of the sample together with three OLS regressions with gross wealth (logarithmized) as the dependent variable</w:t>
      </w:r>
    </w:p>
    <w:tbl>
      <w:tblPr>
        <w:tblStyle w:val="Rutntstabell1ljus"/>
        <w:tblW w:w="0" w:type="auto"/>
        <w:tblLook w:val="04A0" w:firstRow="1" w:lastRow="0" w:firstColumn="1" w:lastColumn="0" w:noHBand="0" w:noVBand="1"/>
      </w:tblPr>
      <w:tblGrid>
        <w:gridCol w:w="3256"/>
        <w:gridCol w:w="992"/>
        <w:gridCol w:w="1561"/>
        <w:gridCol w:w="1561"/>
        <w:gridCol w:w="1561"/>
      </w:tblGrid>
      <w:tr w:rsidR="002A3FE4" w:rsidRPr="002A3FE4" w14:paraId="7C3CF4FF" w14:textId="77777777" w:rsidTr="00CB2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A5C347" w14:textId="77777777" w:rsidR="00220600" w:rsidRPr="002A3FE4" w:rsidRDefault="00220600" w:rsidP="00496B34">
            <w:pPr>
              <w:spacing w:after="60"/>
              <w:ind w:firstLine="0"/>
              <w:jc w:val="left"/>
              <w:rPr>
                <w:rFonts w:eastAsiaTheme="majorEastAsia"/>
                <w:lang w:val="en-GB"/>
              </w:rPr>
            </w:pPr>
          </w:p>
        </w:tc>
        <w:tc>
          <w:tcPr>
            <w:tcW w:w="992" w:type="dxa"/>
          </w:tcPr>
          <w:p w14:paraId="414129D9" w14:textId="77777777" w:rsidR="00220600" w:rsidRPr="002A3FE4" w:rsidRDefault="00220600" w:rsidP="00496B34">
            <w:pPr>
              <w:spacing w:after="60"/>
              <w:ind w:right="227" w:firstLine="0"/>
              <w:jc w:val="center"/>
              <w:cnfStyle w:val="100000000000" w:firstRow="1"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No.</w:t>
            </w:r>
          </w:p>
        </w:tc>
        <w:tc>
          <w:tcPr>
            <w:tcW w:w="1561" w:type="dxa"/>
          </w:tcPr>
          <w:p w14:paraId="7BEF465D" w14:textId="77777777" w:rsidR="00220600" w:rsidRPr="002A3FE4" w:rsidRDefault="00220600" w:rsidP="00496B34">
            <w:pPr>
              <w:spacing w:after="60"/>
              <w:ind w:firstLine="0"/>
              <w:jc w:val="center"/>
              <w:cnfStyle w:val="100000000000" w:firstRow="1"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Reg1</w:t>
            </w:r>
          </w:p>
        </w:tc>
        <w:tc>
          <w:tcPr>
            <w:tcW w:w="1561" w:type="dxa"/>
          </w:tcPr>
          <w:p w14:paraId="256B6A81" w14:textId="77777777" w:rsidR="00220600" w:rsidRPr="002A3FE4" w:rsidRDefault="00220600" w:rsidP="00496B34">
            <w:pPr>
              <w:spacing w:after="60"/>
              <w:ind w:firstLine="0"/>
              <w:jc w:val="center"/>
              <w:cnfStyle w:val="100000000000" w:firstRow="1"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Reg2</w:t>
            </w:r>
          </w:p>
        </w:tc>
        <w:tc>
          <w:tcPr>
            <w:tcW w:w="1561" w:type="dxa"/>
          </w:tcPr>
          <w:p w14:paraId="24E18F23" w14:textId="77777777" w:rsidR="00220600" w:rsidRPr="002A3FE4" w:rsidRDefault="00220600" w:rsidP="00496B34">
            <w:pPr>
              <w:spacing w:after="60"/>
              <w:ind w:firstLine="0"/>
              <w:jc w:val="center"/>
              <w:cnfStyle w:val="100000000000" w:firstRow="1"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Reg3</w:t>
            </w:r>
          </w:p>
        </w:tc>
      </w:tr>
      <w:tr w:rsidR="002A3FE4" w:rsidRPr="002A3FE4" w14:paraId="5F2D71FD"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498FDF2F"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Farmers, reference group</w:t>
            </w:r>
          </w:p>
        </w:tc>
        <w:tc>
          <w:tcPr>
            <w:tcW w:w="992" w:type="dxa"/>
          </w:tcPr>
          <w:p w14:paraId="2F71F45A"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683</w:t>
            </w:r>
          </w:p>
        </w:tc>
        <w:tc>
          <w:tcPr>
            <w:tcW w:w="1561" w:type="dxa"/>
          </w:tcPr>
          <w:p w14:paraId="41B7F836" w14:textId="77777777" w:rsidR="00220600" w:rsidRPr="002A3FE4" w:rsidRDefault="00220600" w:rsidP="00496B34">
            <w:pPr>
              <w:spacing w:after="60"/>
              <w:ind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c>
          <w:tcPr>
            <w:tcW w:w="1561" w:type="dxa"/>
          </w:tcPr>
          <w:p w14:paraId="49BA0F73" w14:textId="77777777" w:rsidR="00220600" w:rsidRPr="002A3FE4" w:rsidRDefault="00220600" w:rsidP="00496B34">
            <w:pPr>
              <w:spacing w:after="60"/>
              <w:ind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c>
          <w:tcPr>
            <w:tcW w:w="1561" w:type="dxa"/>
          </w:tcPr>
          <w:p w14:paraId="01EF94D5" w14:textId="77777777" w:rsidR="00220600" w:rsidRPr="002A3FE4" w:rsidRDefault="00220600" w:rsidP="00496B34">
            <w:pPr>
              <w:spacing w:after="60"/>
              <w:ind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r>
      <w:tr w:rsidR="002A3FE4" w:rsidRPr="002A3FE4" w14:paraId="4F352585"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6D7AE31B"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Farmers, local trustees</w:t>
            </w:r>
          </w:p>
        </w:tc>
        <w:tc>
          <w:tcPr>
            <w:tcW w:w="992" w:type="dxa"/>
          </w:tcPr>
          <w:p w14:paraId="1E677EBE"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37</w:t>
            </w:r>
          </w:p>
        </w:tc>
        <w:tc>
          <w:tcPr>
            <w:tcW w:w="1561" w:type="dxa"/>
          </w:tcPr>
          <w:p w14:paraId="0376034A"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1.207***</w:t>
            </w:r>
          </w:p>
        </w:tc>
        <w:tc>
          <w:tcPr>
            <w:tcW w:w="1561" w:type="dxa"/>
          </w:tcPr>
          <w:p w14:paraId="6168CD33"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1.195***</w:t>
            </w:r>
          </w:p>
        </w:tc>
        <w:tc>
          <w:tcPr>
            <w:tcW w:w="1561" w:type="dxa"/>
          </w:tcPr>
          <w:p w14:paraId="0C951AE3"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1.140***</w:t>
            </w:r>
          </w:p>
        </w:tc>
      </w:tr>
      <w:tr w:rsidR="002A3FE4" w:rsidRPr="002A3FE4" w14:paraId="1284A7BF"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44ED3BDA"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Farmers, allotted to cavalry</w:t>
            </w:r>
          </w:p>
        </w:tc>
        <w:tc>
          <w:tcPr>
            <w:tcW w:w="992" w:type="dxa"/>
          </w:tcPr>
          <w:p w14:paraId="5C1E008C"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148</w:t>
            </w:r>
          </w:p>
        </w:tc>
        <w:tc>
          <w:tcPr>
            <w:tcW w:w="1561" w:type="dxa"/>
          </w:tcPr>
          <w:p w14:paraId="0607D959"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0.355***</w:t>
            </w:r>
          </w:p>
        </w:tc>
        <w:tc>
          <w:tcPr>
            <w:tcW w:w="1561" w:type="dxa"/>
          </w:tcPr>
          <w:p w14:paraId="7629E0AE"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0.437***</w:t>
            </w:r>
          </w:p>
        </w:tc>
        <w:tc>
          <w:tcPr>
            <w:tcW w:w="1561" w:type="dxa"/>
          </w:tcPr>
          <w:p w14:paraId="3F9D59A3"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0.383***</w:t>
            </w:r>
          </w:p>
        </w:tc>
      </w:tr>
      <w:tr w:rsidR="002A3FE4" w:rsidRPr="002A3FE4" w14:paraId="757CBDDB"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06240296"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Farmers, tenants of the nobility</w:t>
            </w:r>
          </w:p>
        </w:tc>
        <w:tc>
          <w:tcPr>
            <w:tcW w:w="992" w:type="dxa"/>
          </w:tcPr>
          <w:p w14:paraId="2E83F0D0"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80</w:t>
            </w:r>
          </w:p>
        </w:tc>
        <w:tc>
          <w:tcPr>
            <w:tcW w:w="1561" w:type="dxa"/>
          </w:tcPr>
          <w:p w14:paraId="16BA1782"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-0.356***</w:t>
            </w:r>
          </w:p>
        </w:tc>
        <w:tc>
          <w:tcPr>
            <w:tcW w:w="1561" w:type="dxa"/>
          </w:tcPr>
          <w:p w14:paraId="7C2495B0"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-0.459***</w:t>
            </w:r>
          </w:p>
        </w:tc>
        <w:tc>
          <w:tcPr>
            <w:tcW w:w="1561" w:type="dxa"/>
          </w:tcPr>
          <w:p w14:paraId="228F7B5F"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-0.485***</w:t>
            </w:r>
          </w:p>
        </w:tc>
      </w:tr>
      <w:tr w:rsidR="002A3FE4" w:rsidRPr="002A3FE4" w14:paraId="3E440D54"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4D8C6C4D"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Retirees</w:t>
            </w:r>
          </w:p>
        </w:tc>
        <w:tc>
          <w:tcPr>
            <w:tcW w:w="992" w:type="dxa"/>
          </w:tcPr>
          <w:p w14:paraId="1F2395A0"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138</w:t>
            </w:r>
          </w:p>
        </w:tc>
        <w:tc>
          <w:tcPr>
            <w:tcW w:w="1561" w:type="dxa"/>
          </w:tcPr>
          <w:p w14:paraId="332FD1D3"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-1.490***</w:t>
            </w:r>
          </w:p>
        </w:tc>
        <w:tc>
          <w:tcPr>
            <w:tcW w:w="1561" w:type="dxa"/>
          </w:tcPr>
          <w:p w14:paraId="4C91560E"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-1.783***</w:t>
            </w:r>
          </w:p>
        </w:tc>
        <w:tc>
          <w:tcPr>
            <w:tcW w:w="1561" w:type="dxa"/>
          </w:tcPr>
          <w:p w14:paraId="7E9F3F15"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-1.760***</w:t>
            </w:r>
          </w:p>
        </w:tc>
      </w:tr>
      <w:tr w:rsidR="002A3FE4" w:rsidRPr="002A3FE4" w14:paraId="7B914138"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53C01D5E"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Labourers, crofters and cottagers</w:t>
            </w:r>
          </w:p>
        </w:tc>
        <w:tc>
          <w:tcPr>
            <w:tcW w:w="992" w:type="dxa"/>
          </w:tcPr>
          <w:p w14:paraId="0C336E6D"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138</w:t>
            </w:r>
          </w:p>
        </w:tc>
        <w:tc>
          <w:tcPr>
            <w:tcW w:w="1561" w:type="dxa"/>
          </w:tcPr>
          <w:p w14:paraId="2C2005D2"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-1.222***</w:t>
            </w:r>
          </w:p>
        </w:tc>
        <w:tc>
          <w:tcPr>
            <w:tcW w:w="1561" w:type="dxa"/>
          </w:tcPr>
          <w:p w14:paraId="638C01EF"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-1.613***</w:t>
            </w:r>
          </w:p>
        </w:tc>
        <w:tc>
          <w:tcPr>
            <w:tcW w:w="1561" w:type="dxa"/>
          </w:tcPr>
          <w:p w14:paraId="0D3313F4"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-1.597***</w:t>
            </w:r>
          </w:p>
        </w:tc>
      </w:tr>
      <w:tr w:rsidR="002A3FE4" w:rsidRPr="002A3FE4" w14:paraId="5A28E31C"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0E7FE96C"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Labourers, rural workers</w:t>
            </w:r>
          </w:p>
        </w:tc>
        <w:tc>
          <w:tcPr>
            <w:tcW w:w="992" w:type="dxa"/>
          </w:tcPr>
          <w:p w14:paraId="5C2A933F"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304</w:t>
            </w:r>
          </w:p>
        </w:tc>
        <w:tc>
          <w:tcPr>
            <w:tcW w:w="1561" w:type="dxa"/>
          </w:tcPr>
          <w:p w14:paraId="685FCEDF"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-1.372***</w:t>
            </w:r>
          </w:p>
        </w:tc>
        <w:tc>
          <w:tcPr>
            <w:tcW w:w="1561" w:type="dxa"/>
          </w:tcPr>
          <w:p w14:paraId="3E902BEF"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-1.687***</w:t>
            </w:r>
          </w:p>
        </w:tc>
        <w:tc>
          <w:tcPr>
            <w:tcW w:w="1561" w:type="dxa"/>
          </w:tcPr>
          <w:p w14:paraId="3BF25162"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-1.682***</w:t>
            </w:r>
          </w:p>
        </w:tc>
      </w:tr>
      <w:tr w:rsidR="002A3FE4" w:rsidRPr="002A3FE4" w14:paraId="4F2691A2"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6D9D8016"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 xml:space="preserve">Labourers, unspecified landless </w:t>
            </w:r>
          </w:p>
        </w:tc>
        <w:tc>
          <w:tcPr>
            <w:tcW w:w="992" w:type="dxa"/>
          </w:tcPr>
          <w:p w14:paraId="4E47C0CE"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122</w:t>
            </w:r>
          </w:p>
        </w:tc>
        <w:tc>
          <w:tcPr>
            <w:tcW w:w="1561" w:type="dxa"/>
          </w:tcPr>
          <w:p w14:paraId="31BC7F92"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-1.958***</w:t>
            </w:r>
          </w:p>
        </w:tc>
        <w:tc>
          <w:tcPr>
            <w:tcW w:w="1561" w:type="dxa"/>
          </w:tcPr>
          <w:p w14:paraId="2776CAA0"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-2.137***</w:t>
            </w:r>
          </w:p>
        </w:tc>
        <w:tc>
          <w:tcPr>
            <w:tcW w:w="1561" w:type="dxa"/>
          </w:tcPr>
          <w:p w14:paraId="134813A6"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-2.129***</w:t>
            </w:r>
          </w:p>
        </w:tc>
      </w:tr>
      <w:tr w:rsidR="002A3FE4" w:rsidRPr="002A3FE4" w14:paraId="77F874E2"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15ADD4E3"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Fishermen</w:t>
            </w:r>
          </w:p>
        </w:tc>
        <w:tc>
          <w:tcPr>
            <w:tcW w:w="992" w:type="dxa"/>
          </w:tcPr>
          <w:p w14:paraId="48CCC48F"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4</w:t>
            </w:r>
          </w:p>
        </w:tc>
        <w:tc>
          <w:tcPr>
            <w:tcW w:w="1561" w:type="dxa"/>
          </w:tcPr>
          <w:p w14:paraId="729D6F59"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-1.220**</w:t>
            </w:r>
          </w:p>
        </w:tc>
        <w:tc>
          <w:tcPr>
            <w:tcW w:w="1561" w:type="dxa"/>
          </w:tcPr>
          <w:p w14:paraId="1CC59B86"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-1.518**</w:t>
            </w:r>
          </w:p>
        </w:tc>
        <w:tc>
          <w:tcPr>
            <w:tcW w:w="1561" w:type="dxa"/>
          </w:tcPr>
          <w:p w14:paraId="63EC36A0"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-1.511***</w:t>
            </w:r>
          </w:p>
        </w:tc>
      </w:tr>
      <w:tr w:rsidR="002A3FE4" w:rsidRPr="002A3FE4" w14:paraId="0FCBF6C3"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11A8FD5D"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Artisans and skilled workers</w:t>
            </w:r>
          </w:p>
        </w:tc>
        <w:tc>
          <w:tcPr>
            <w:tcW w:w="992" w:type="dxa"/>
          </w:tcPr>
          <w:p w14:paraId="1B0C849F"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63</w:t>
            </w:r>
          </w:p>
        </w:tc>
        <w:tc>
          <w:tcPr>
            <w:tcW w:w="1561" w:type="dxa"/>
          </w:tcPr>
          <w:p w14:paraId="4A488534"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-0.476***</w:t>
            </w:r>
          </w:p>
        </w:tc>
        <w:tc>
          <w:tcPr>
            <w:tcW w:w="1561" w:type="dxa"/>
          </w:tcPr>
          <w:p w14:paraId="5B2AF3A1"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-0.695***</w:t>
            </w:r>
          </w:p>
        </w:tc>
        <w:tc>
          <w:tcPr>
            <w:tcW w:w="1561" w:type="dxa"/>
          </w:tcPr>
          <w:p w14:paraId="19D15C3B"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-0.720***</w:t>
            </w:r>
          </w:p>
        </w:tc>
      </w:tr>
      <w:tr w:rsidR="002A3FE4" w:rsidRPr="002A3FE4" w14:paraId="6C3EF4B0"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1EC65A94"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Middle class: sextons, toll staff</w:t>
            </w:r>
          </w:p>
        </w:tc>
        <w:tc>
          <w:tcPr>
            <w:tcW w:w="992" w:type="dxa"/>
          </w:tcPr>
          <w:p w14:paraId="3A8D9B09"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36</w:t>
            </w:r>
          </w:p>
        </w:tc>
        <w:tc>
          <w:tcPr>
            <w:tcW w:w="1561" w:type="dxa"/>
          </w:tcPr>
          <w:p w14:paraId="658175BE"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-0.356*</w:t>
            </w:r>
          </w:p>
        </w:tc>
        <w:tc>
          <w:tcPr>
            <w:tcW w:w="1561" w:type="dxa"/>
          </w:tcPr>
          <w:p w14:paraId="328EF32F"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-0.454*</w:t>
            </w:r>
          </w:p>
        </w:tc>
        <w:tc>
          <w:tcPr>
            <w:tcW w:w="1561" w:type="dxa"/>
          </w:tcPr>
          <w:p w14:paraId="311420E6"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-0.434**</w:t>
            </w:r>
          </w:p>
        </w:tc>
      </w:tr>
      <w:tr w:rsidR="002A3FE4" w:rsidRPr="002A3FE4" w14:paraId="7C6660A4"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463DFBAC"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Merchants and innkeepers</w:t>
            </w:r>
          </w:p>
        </w:tc>
        <w:tc>
          <w:tcPr>
            <w:tcW w:w="992" w:type="dxa"/>
          </w:tcPr>
          <w:p w14:paraId="52ECD983"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24</w:t>
            </w:r>
          </w:p>
        </w:tc>
        <w:tc>
          <w:tcPr>
            <w:tcW w:w="1561" w:type="dxa"/>
          </w:tcPr>
          <w:p w14:paraId="6361633C"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0.728***</w:t>
            </w:r>
          </w:p>
        </w:tc>
        <w:tc>
          <w:tcPr>
            <w:tcW w:w="1561" w:type="dxa"/>
          </w:tcPr>
          <w:p w14:paraId="2A28DD2C"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0.543**</w:t>
            </w:r>
          </w:p>
        </w:tc>
        <w:tc>
          <w:tcPr>
            <w:tcW w:w="1561" w:type="dxa"/>
          </w:tcPr>
          <w:p w14:paraId="7CB9BBCB"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0.612***</w:t>
            </w:r>
          </w:p>
        </w:tc>
      </w:tr>
      <w:tr w:rsidR="002A3FE4" w:rsidRPr="002A3FE4" w14:paraId="3C788FEF"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7E966431"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 xml:space="preserve">Rural elite: priests, inspectors </w:t>
            </w:r>
          </w:p>
        </w:tc>
        <w:tc>
          <w:tcPr>
            <w:tcW w:w="992" w:type="dxa"/>
          </w:tcPr>
          <w:p w14:paraId="6A8EAC4D"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70</w:t>
            </w:r>
          </w:p>
        </w:tc>
        <w:tc>
          <w:tcPr>
            <w:tcW w:w="1561" w:type="dxa"/>
          </w:tcPr>
          <w:p w14:paraId="7E74F397"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1.466***</w:t>
            </w:r>
          </w:p>
        </w:tc>
        <w:tc>
          <w:tcPr>
            <w:tcW w:w="1561" w:type="dxa"/>
          </w:tcPr>
          <w:p w14:paraId="67B1DE17"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1.709***</w:t>
            </w:r>
          </w:p>
        </w:tc>
        <w:tc>
          <w:tcPr>
            <w:tcW w:w="1561" w:type="dxa"/>
          </w:tcPr>
          <w:p w14:paraId="2DA20A79"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1.683***</w:t>
            </w:r>
          </w:p>
        </w:tc>
      </w:tr>
      <w:tr w:rsidR="002A3FE4" w:rsidRPr="002A3FE4" w14:paraId="2CD31469"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7836A4B4" w14:textId="77777777" w:rsidR="00220600" w:rsidRPr="002A3FE4" w:rsidRDefault="00220600" w:rsidP="00496B34">
            <w:pPr>
              <w:spacing w:after="60"/>
              <w:ind w:firstLine="0"/>
              <w:jc w:val="left"/>
              <w:rPr>
                <w:rFonts w:eastAsiaTheme="majorEastAsia"/>
                <w:lang w:val="en-GB"/>
              </w:rPr>
            </w:pPr>
          </w:p>
        </w:tc>
        <w:tc>
          <w:tcPr>
            <w:tcW w:w="992" w:type="dxa"/>
          </w:tcPr>
          <w:p w14:paraId="63598845"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7CCDBB12"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7B8E92FA"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27A98153"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r>
      <w:tr w:rsidR="002A3FE4" w:rsidRPr="002A3FE4" w14:paraId="09FC10E6"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38C2D005"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1670–1720</w:t>
            </w:r>
          </w:p>
        </w:tc>
        <w:tc>
          <w:tcPr>
            <w:tcW w:w="992" w:type="dxa"/>
          </w:tcPr>
          <w:p w14:paraId="24B31B6C"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475</w:t>
            </w:r>
          </w:p>
        </w:tc>
        <w:tc>
          <w:tcPr>
            <w:tcW w:w="1561" w:type="dxa"/>
          </w:tcPr>
          <w:p w14:paraId="062FBC47" w14:textId="77777777"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7056B28D" w14:textId="77777777" w:rsidR="00220600" w:rsidRPr="002A3FE4" w:rsidRDefault="00220600" w:rsidP="00496B34">
            <w:pPr>
              <w:spacing w:after="60"/>
              <w:ind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c>
          <w:tcPr>
            <w:tcW w:w="1561" w:type="dxa"/>
          </w:tcPr>
          <w:p w14:paraId="490CC55B" w14:textId="77777777" w:rsidR="00220600" w:rsidRPr="002A3FE4" w:rsidRDefault="00220600" w:rsidP="00496B34">
            <w:pPr>
              <w:spacing w:after="60"/>
              <w:ind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r>
      <w:tr w:rsidR="002A3FE4" w:rsidRPr="002A3FE4" w14:paraId="2C774A09"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2620FD0E"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1780–1785</w:t>
            </w:r>
          </w:p>
        </w:tc>
        <w:tc>
          <w:tcPr>
            <w:tcW w:w="992" w:type="dxa"/>
          </w:tcPr>
          <w:p w14:paraId="5A98D016"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634</w:t>
            </w:r>
          </w:p>
        </w:tc>
        <w:tc>
          <w:tcPr>
            <w:tcW w:w="1561" w:type="dxa"/>
          </w:tcPr>
          <w:p w14:paraId="3373B934"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7994D83A"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0.446***</w:t>
            </w:r>
          </w:p>
        </w:tc>
        <w:tc>
          <w:tcPr>
            <w:tcW w:w="1561" w:type="dxa"/>
          </w:tcPr>
          <w:p w14:paraId="5E382F31"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0.436***</w:t>
            </w:r>
          </w:p>
        </w:tc>
      </w:tr>
      <w:tr w:rsidR="002A3FE4" w:rsidRPr="002A3FE4" w14:paraId="65945795"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77600FEF"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1860–1865</w:t>
            </w:r>
          </w:p>
        </w:tc>
        <w:tc>
          <w:tcPr>
            <w:tcW w:w="992" w:type="dxa"/>
          </w:tcPr>
          <w:p w14:paraId="3B504DC5"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741</w:t>
            </w:r>
          </w:p>
        </w:tc>
        <w:tc>
          <w:tcPr>
            <w:tcW w:w="1561" w:type="dxa"/>
          </w:tcPr>
          <w:p w14:paraId="12C4417B"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0E10C708"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0.869***</w:t>
            </w:r>
          </w:p>
        </w:tc>
        <w:tc>
          <w:tcPr>
            <w:tcW w:w="1561" w:type="dxa"/>
          </w:tcPr>
          <w:p w14:paraId="34B02BFD"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0.857***</w:t>
            </w:r>
          </w:p>
        </w:tc>
      </w:tr>
      <w:tr w:rsidR="002A3FE4" w:rsidRPr="002A3FE4" w14:paraId="5238D5FB"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06F0E4B2" w14:textId="77777777" w:rsidR="00220600" w:rsidRPr="002A3FE4" w:rsidRDefault="00220600" w:rsidP="00496B34">
            <w:pPr>
              <w:spacing w:after="60"/>
              <w:ind w:firstLine="0"/>
              <w:jc w:val="left"/>
              <w:rPr>
                <w:rFonts w:eastAsiaTheme="majorEastAsia"/>
                <w:lang w:val="en-GB"/>
              </w:rPr>
            </w:pPr>
          </w:p>
        </w:tc>
        <w:tc>
          <w:tcPr>
            <w:tcW w:w="992" w:type="dxa"/>
          </w:tcPr>
          <w:p w14:paraId="628233EA"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380E7B24"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1E96D378"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1B3B6FB3"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r>
      <w:tr w:rsidR="002A3FE4" w:rsidRPr="002A3FE4" w14:paraId="174ECEA9"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6975E19C"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Men</w:t>
            </w:r>
          </w:p>
        </w:tc>
        <w:tc>
          <w:tcPr>
            <w:tcW w:w="992" w:type="dxa"/>
          </w:tcPr>
          <w:p w14:paraId="6A5D1F4C"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1,053</w:t>
            </w:r>
          </w:p>
        </w:tc>
        <w:tc>
          <w:tcPr>
            <w:tcW w:w="1561" w:type="dxa"/>
          </w:tcPr>
          <w:p w14:paraId="11868998" w14:textId="77777777"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71593DAB" w14:textId="77777777" w:rsidR="00220600" w:rsidRPr="002A3FE4" w:rsidRDefault="00220600" w:rsidP="00496B34">
            <w:pPr>
              <w:spacing w:after="60"/>
              <w:ind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c>
          <w:tcPr>
            <w:tcW w:w="1561" w:type="dxa"/>
          </w:tcPr>
          <w:p w14:paraId="079FC4D5" w14:textId="77777777" w:rsidR="00220600" w:rsidRPr="002A3FE4" w:rsidRDefault="00220600" w:rsidP="00496B34">
            <w:pPr>
              <w:spacing w:after="60"/>
              <w:ind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r>
      <w:tr w:rsidR="002A3FE4" w:rsidRPr="002A3FE4" w14:paraId="211486FC"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455AF479"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Women</w:t>
            </w:r>
          </w:p>
        </w:tc>
        <w:tc>
          <w:tcPr>
            <w:tcW w:w="992" w:type="dxa"/>
          </w:tcPr>
          <w:p w14:paraId="4D619FF2"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793</w:t>
            </w:r>
          </w:p>
        </w:tc>
        <w:tc>
          <w:tcPr>
            <w:tcW w:w="1561" w:type="dxa"/>
          </w:tcPr>
          <w:p w14:paraId="3541E686"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3C3573D4"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-0.058</w:t>
            </w:r>
          </w:p>
        </w:tc>
        <w:tc>
          <w:tcPr>
            <w:tcW w:w="1561" w:type="dxa"/>
          </w:tcPr>
          <w:p w14:paraId="69A95AFD"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-0.054</w:t>
            </w:r>
          </w:p>
        </w:tc>
      </w:tr>
      <w:tr w:rsidR="002A3FE4" w:rsidRPr="002A3FE4" w14:paraId="47E60B64"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2B8B3AAE" w14:textId="77777777" w:rsidR="00220600" w:rsidRPr="002A3FE4" w:rsidRDefault="00220600" w:rsidP="00496B34">
            <w:pPr>
              <w:spacing w:after="60"/>
              <w:ind w:firstLine="0"/>
              <w:jc w:val="left"/>
              <w:rPr>
                <w:rFonts w:eastAsiaTheme="majorEastAsia"/>
                <w:lang w:val="en-GB"/>
              </w:rPr>
            </w:pPr>
          </w:p>
        </w:tc>
        <w:tc>
          <w:tcPr>
            <w:tcW w:w="992" w:type="dxa"/>
          </w:tcPr>
          <w:p w14:paraId="1756E37B"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7B6196FC"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69EA2F51"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5826144F" w14:textId="77777777" w:rsidR="00220600" w:rsidRPr="002A3FE4" w:rsidRDefault="00220600" w:rsidP="00496B34">
            <w:pPr>
              <w:spacing w:after="60"/>
              <w:ind w:lef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r>
      <w:tr w:rsidR="002A3FE4" w:rsidRPr="002A3FE4" w14:paraId="2F62F8D5"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5F4FDC5C"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Plain land</w:t>
            </w:r>
          </w:p>
        </w:tc>
        <w:tc>
          <w:tcPr>
            <w:tcW w:w="992" w:type="dxa"/>
          </w:tcPr>
          <w:p w14:paraId="15C597E1"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653</w:t>
            </w:r>
          </w:p>
        </w:tc>
        <w:tc>
          <w:tcPr>
            <w:tcW w:w="1561" w:type="dxa"/>
          </w:tcPr>
          <w:p w14:paraId="58606023" w14:textId="77777777"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045510E9" w14:textId="77777777"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4E76673A" w14:textId="77777777" w:rsidR="00220600" w:rsidRPr="002A3FE4" w:rsidRDefault="00220600" w:rsidP="00496B34">
            <w:pPr>
              <w:spacing w:after="60"/>
              <w:ind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(ref)</w:t>
            </w:r>
          </w:p>
        </w:tc>
      </w:tr>
      <w:tr w:rsidR="002A3FE4" w:rsidRPr="002A3FE4" w14:paraId="20F19E76"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02F0D847"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Intermediate</w:t>
            </w:r>
          </w:p>
        </w:tc>
        <w:tc>
          <w:tcPr>
            <w:tcW w:w="992" w:type="dxa"/>
          </w:tcPr>
          <w:p w14:paraId="6CA5C78C"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785</w:t>
            </w:r>
          </w:p>
        </w:tc>
        <w:tc>
          <w:tcPr>
            <w:tcW w:w="1561" w:type="dxa"/>
          </w:tcPr>
          <w:p w14:paraId="2EE54910"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2D30B751"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40F5635C"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-0.295***</w:t>
            </w:r>
          </w:p>
        </w:tc>
      </w:tr>
      <w:tr w:rsidR="002A3FE4" w:rsidRPr="002A3FE4" w14:paraId="2966E1A5" w14:textId="77777777" w:rsidTr="00CB244F">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tcPr>
          <w:p w14:paraId="7058C6C4"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Wood land</w:t>
            </w:r>
          </w:p>
        </w:tc>
        <w:tc>
          <w:tcPr>
            <w:tcW w:w="992" w:type="dxa"/>
            <w:tcBorders>
              <w:bottom w:val="single" w:sz="4" w:space="0" w:color="auto"/>
            </w:tcBorders>
          </w:tcPr>
          <w:p w14:paraId="18CE4C5C"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409</w:t>
            </w:r>
          </w:p>
        </w:tc>
        <w:tc>
          <w:tcPr>
            <w:tcW w:w="1561" w:type="dxa"/>
            <w:tcBorders>
              <w:bottom w:val="single" w:sz="4" w:space="0" w:color="auto"/>
            </w:tcBorders>
          </w:tcPr>
          <w:p w14:paraId="3D542257"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Borders>
              <w:bottom w:val="single" w:sz="4" w:space="0" w:color="auto"/>
            </w:tcBorders>
          </w:tcPr>
          <w:p w14:paraId="5FB630EE"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Borders>
              <w:bottom w:val="single" w:sz="4" w:space="0" w:color="auto"/>
            </w:tcBorders>
          </w:tcPr>
          <w:p w14:paraId="6B8005AE"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-0.409***</w:t>
            </w:r>
          </w:p>
        </w:tc>
      </w:tr>
      <w:tr w:rsidR="002A3FE4" w:rsidRPr="002A3FE4" w14:paraId="40ECD71A" w14:textId="77777777" w:rsidTr="00CB244F">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tcBorders>
          </w:tcPr>
          <w:p w14:paraId="6AEB2D1D"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Constant</w:t>
            </w:r>
          </w:p>
        </w:tc>
        <w:tc>
          <w:tcPr>
            <w:tcW w:w="992" w:type="dxa"/>
            <w:tcBorders>
              <w:top w:val="single" w:sz="4" w:space="0" w:color="auto"/>
            </w:tcBorders>
          </w:tcPr>
          <w:p w14:paraId="5B2E97E3"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Borders>
              <w:top w:val="single" w:sz="4" w:space="0" w:color="auto"/>
            </w:tcBorders>
          </w:tcPr>
          <w:p w14:paraId="2585BE1A"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5.501***</w:t>
            </w:r>
          </w:p>
        </w:tc>
        <w:tc>
          <w:tcPr>
            <w:tcW w:w="1561" w:type="dxa"/>
            <w:tcBorders>
              <w:top w:val="single" w:sz="4" w:space="0" w:color="auto"/>
            </w:tcBorders>
          </w:tcPr>
          <w:p w14:paraId="16DAAEBC"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5.140***</w:t>
            </w:r>
          </w:p>
        </w:tc>
        <w:tc>
          <w:tcPr>
            <w:tcW w:w="1561" w:type="dxa"/>
            <w:tcBorders>
              <w:top w:val="single" w:sz="4" w:space="0" w:color="auto"/>
            </w:tcBorders>
          </w:tcPr>
          <w:p w14:paraId="5E6E1A1E" w14:textId="77777777" w:rsidR="00220600" w:rsidRPr="002A3FE4" w:rsidRDefault="00220600" w:rsidP="00496B34">
            <w:pPr>
              <w:spacing w:after="60"/>
              <w:ind w:left="227" w:firstLine="0"/>
              <w:jc w:val="left"/>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 xml:space="preserve"> 5.366***</w:t>
            </w:r>
          </w:p>
        </w:tc>
      </w:tr>
      <w:tr w:rsidR="002A3FE4" w:rsidRPr="002A3FE4" w14:paraId="2C3D3E31"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5904D0FE"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Number of observations</w:t>
            </w:r>
          </w:p>
        </w:tc>
        <w:tc>
          <w:tcPr>
            <w:tcW w:w="992" w:type="dxa"/>
          </w:tcPr>
          <w:p w14:paraId="28D2843B"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2F278AC0" w14:textId="122AE952"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1,846</w:t>
            </w:r>
          </w:p>
        </w:tc>
        <w:tc>
          <w:tcPr>
            <w:tcW w:w="1561" w:type="dxa"/>
          </w:tcPr>
          <w:p w14:paraId="1B02ADE3" w14:textId="13459B39"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1,846</w:t>
            </w:r>
          </w:p>
        </w:tc>
        <w:tc>
          <w:tcPr>
            <w:tcW w:w="1561" w:type="dxa"/>
          </w:tcPr>
          <w:p w14:paraId="50D5918A" w14:textId="7060A887"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1,846</w:t>
            </w:r>
          </w:p>
        </w:tc>
      </w:tr>
      <w:tr w:rsidR="002A3FE4" w:rsidRPr="002A3FE4" w14:paraId="4D32974D" w14:textId="77777777" w:rsidTr="00CB244F">
        <w:tc>
          <w:tcPr>
            <w:cnfStyle w:val="001000000000" w:firstRow="0" w:lastRow="0" w:firstColumn="1" w:lastColumn="0" w:oddVBand="0" w:evenVBand="0" w:oddHBand="0" w:evenHBand="0" w:firstRowFirstColumn="0" w:firstRowLastColumn="0" w:lastRowFirstColumn="0" w:lastRowLastColumn="0"/>
            <w:tcW w:w="3256" w:type="dxa"/>
          </w:tcPr>
          <w:p w14:paraId="44879639" w14:textId="77777777" w:rsidR="00220600" w:rsidRPr="002A3FE4" w:rsidRDefault="00220600" w:rsidP="00496B34">
            <w:pPr>
              <w:spacing w:after="60"/>
              <w:ind w:firstLine="0"/>
              <w:jc w:val="left"/>
              <w:rPr>
                <w:rFonts w:eastAsiaTheme="majorEastAsia"/>
                <w:lang w:val="en-GB"/>
              </w:rPr>
            </w:pPr>
            <w:r w:rsidRPr="002A3FE4">
              <w:rPr>
                <w:rFonts w:eastAsiaTheme="majorEastAsia"/>
                <w:lang w:val="en-GB"/>
              </w:rPr>
              <w:t>Adjusted R-squared</w:t>
            </w:r>
          </w:p>
        </w:tc>
        <w:tc>
          <w:tcPr>
            <w:tcW w:w="992" w:type="dxa"/>
          </w:tcPr>
          <w:p w14:paraId="209AD9EE" w14:textId="77777777" w:rsidR="00220600" w:rsidRPr="002A3FE4" w:rsidRDefault="00220600" w:rsidP="00496B34">
            <w:pPr>
              <w:spacing w:after="60"/>
              <w:ind w:right="227" w:firstLine="0"/>
              <w:jc w:val="right"/>
              <w:cnfStyle w:val="000000000000" w:firstRow="0" w:lastRow="0" w:firstColumn="0" w:lastColumn="0" w:oddVBand="0" w:evenVBand="0" w:oddHBand="0" w:evenHBand="0" w:firstRowFirstColumn="0" w:firstRowLastColumn="0" w:lastRowFirstColumn="0" w:lastRowLastColumn="0"/>
              <w:rPr>
                <w:rFonts w:eastAsiaTheme="majorEastAsia"/>
                <w:lang w:val="en-GB"/>
              </w:rPr>
            </w:pPr>
          </w:p>
        </w:tc>
        <w:tc>
          <w:tcPr>
            <w:tcW w:w="1561" w:type="dxa"/>
          </w:tcPr>
          <w:p w14:paraId="6FA75567" w14:textId="472E468B"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0.388</w:t>
            </w:r>
          </w:p>
        </w:tc>
        <w:tc>
          <w:tcPr>
            <w:tcW w:w="1561" w:type="dxa"/>
          </w:tcPr>
          <w:p w14:paraId="01843760" w14:textId="555513F1"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0.433</w:t>
            </w:r>
          </w:p>
        </w:tc>
        <w:tc>
          <w:tcPr>
            <w:tcW w:w="1561" w:type="dxa"/>
          </w:tcPr>
          <w:p w14:paraId="484D012B" w14:textId="3BEAEF66" w:rsidR="00220600" w:rsidRPr="002A3FE4" w:rsidRDefault="00220600" w:rsidP="00496B34">
            <w:pPr>
              <w:spacing w:after="60"/>
              <w:ind w:left="227" w:firstLine="0"/>
              <w:jc w:val="center"/>
              <w:cnfStyle w:val="000000000000" w:firstRow="0" w:lastRow="0" w:firstColumn="0" w:lastColumn="0" w:oddVBand="0" w:evenVBand="0" w:oddHBand="0" w:evenHBand="0" w:firstRowFirstColumn="0" w:firstRowLastColumn="0" w:lastRowFirstColumn="0" w:lastRowLastColumn="0"/>
              <w:rPr>
                <w:rFonts w:eastAsiaTheme="majorEastAsia"/>
                <w:lang w:val="en-GB"/>
              </w:rPr>
            </w:pPr>
            <w:r w:rsidRPr="002A3FE4">
              <w:rPr>
                <w:rFonts w:eastAsiaTheme="majorEastAsia"/>
                <w:lang w:val="en-GB"/>
              </w:rPr>
              <w:t>0.446</w:t>
            </w:r>
          </w:p>
        </w:tc>
      </w:tr>
    </w:tbl>
    <w:p w14:paraId="28E3519F" w14:textId="1F60601F" w:rsidR="00220600" w:rsidRPr="002A3FE4" w:rsidRDefault="00220600" w:rsidP="00496B34">
      <w:pPr>
        <w:pStyle w:val="Tabellbeskrivning"/>
      </w:pPr>
      <w:r w:rsidRPr="002A3FE4">
        <w:t xml:space="preserve">Sources: Database, built on probate inventories from 12 judicial district archives, as described in Table </w:t>
      </w:r>
      <w:r w:rsidR="00FB3D1C">
        <w:t>1</w:t>
      </w:r>
      <w:r w:rsidRPr="002A3FE4">
        <w:t xml:space="preserve"> in the main body of the paper. The reference group consists of freeholders and crown tenants.</w:t>
      </w:r>
    </w:p>
    <w:p w14:paraId="33BF02C6" w14:textId="77777777" w:rsidR="00220600" w:rsidRPr="002A3FE4" w:rsidRDefault="00220600" w:rsidP="00496B34">
      <w:pPr>
        <w:pStyle w:val="Tabellbeskrivning"/>
      </w:pPr>
      <w:r w:rsidRPr="002A3FE4">
        <w:t>Note: Significance: * P ≤ 0.05; ** P ≤ 0.01; *** P ≤ 0.001.</w:t>
      </w:r>
    </w:p>
    <w:p w14:paraId="53B9CA8C" w14:textId="77777777" w:rsidR="00220600" w:rsidRPr="002A3FE4" w:rsidRDefault="00220600" w:rsidP="00496B34">
      <w:pPr>
        <w:spacing w:after="0" w:line="480" w:lineRule="auto"/>
        <w:ind w:firstLine="0"/>
        <w:rPr>
          <w:sz w:val="24"/>
          <w:szCs w:val="24"/>
          <w:lang w:val="en-GB"/>
        </w:rPr>
      </w:pPr>
    </w:p>
    <w:p w14:paraId="2FC6C6FE" w14:textId="3D940208" w:rsidR="00BB0860" w:rsidRPr="002A3FE4" w:rsidRDefault="00220600" w:rsidP="006246CE">
      <w:pPr>
        <w:spacing w:after="0" w:line="480" w:lineRule="auto"/>
        <w:ind w:firstLine="0"/>
        <w:jc w:val="both"/>
        <w:rPr>
          <w:sz w:val="24"/>
          <w:szCs w:val="24"/>
          <w:lang w:val="en-GB"/>
        </w:rPr>
      </w:pPr>
      <w:r w:rsidRPr="002A3FE4">
        <w:rPr>
          <w:sz w:val="24"/>
          <w:szCs w:val="24"/>
          <w:lang w:val="en-GB"/>
        </w:rPr>
        <w:t>In Table A1, t</w:t>
      </w:r>
      <w:r w:rsidR="00BB0860" w:rsidRPr="002A3FE4">
        <w:rPr>
          <w:sz w:val="24"/>
          <w:szCs w:val="24"/>
          <w:lang w:val="en-GB"/>
        </w:rPr>
        <w:t xml:space="preserve">o check for possible effects of imbalances between the social classes, over time, in natural conditions and gender, we start by running three simple regressions with the logarithm of gross wealth as the dependent variable. The first regression focuses on the difference in wealth between the different social groups; the second regression also controls for time and for sex; and the third regression also adds the type of geography in the district. Regarding the differences between and within social groups, they are in line what we expected </w:t>
      </w:r>
      <w:r w:rsidR="00BB0860" w:rsidRPr="002A3FE4">
        <w:rPr>
          <w:sz w:val="24"/>
          <w:szCs w:val="24"/>
          <w:lang w:val="en-GB"/>
        </w:rPr>
        <w:lastRenderedPageBreak/>
        <w:t>from the discussion in the previous section. Farmers allotted to the cavalry and local trustees were richer than the reference group (freeholders and crown tenants), while tenants of the nobility were poorer. The rural elite was the only groups with considerably greater wealth than the peasant farmers; on average, the elite was 1.5–1.7 times richer. Merchants and innkeepers were somewhat richer than the reference group, but rural artisans and middle class were poorer than the farmers. As expected, the rural labourers, were the least fortunate group</w:t>
      </w:r>
      <w:r w:rsidRPr="002A3FE4">
        <w:rPr>
          <w:sz w:val="24"/>
          <w:szCs w:val="24"/>
          <w:lang w:val="en-GB"/>
        </w:rPr>
        <w:t xml:space="preserve">. Within the group of the labourers, as expected </w:t>
      </w:r>
      <w:r w:rsidR="00BB0860" w:rsidRPr="002A3FE4">
        <w:rPr>
          <w:sz w:val="24"/>
          <w:szCs w:val="24"/>
          <w:lang w:val="en-GB"/>
        </w:rPr>
        <w:t>crofters and cottagers</w:t>
      </w:r>
      <w:r w:rsidRPr="002A3FE4">
        <w:rPr>
          <w:sz w:val="24"/>
          <w:szCs w:val="24"/>
          <w:lang w:val="en-GB"/>
        </w:rPr>
        <w:t xml:space="preserve"> were the least poor, while</w:t>
      </w:r>
      <w:r w:rsidR="00BB0860" w:rsidRPr="002A3FE4">
        <w:rPr>
          <w:sz w:val="24"/>
          <w:szCs w:val="24"/>
          <w:lang w:val="en-GB"/>
        </w:rPr>
        <w:t xml:space="preserve"> worker</w:t>
      </w:r>
      <w:r w:rsidRPr="002A3FE4">
        <w:rPr>
          <w:sz w:val="24"/>
          <w:szCs w:val="24"/>
          <w:lang w:val="en-GB"/>
        </w:rPr>
        <w:t>s</w:t>
      </w:r>
      <w:r w:rsidR="00BB0860" w:rsidRPr="002A3FE4">
        <w:rPr>
          <w:sz w:val="24"/>
          <w:szCs w:val="24"/>
          <w:lang w:val="en-GB"/>
        </w:rPr>
        <w:t xml:space="preserve"> </w:t>
      </w:r>
      <w:r w:rsidRPr="002A3FE4">
        <w:rPr>
          <w:sz w:val="24"/>
          <w:szCs w:val="24"/>
          <w:lang w:val="en-GB"/>
        </w:rPr>
        <w:t xml:space="preserve">and </w:t>
      </w:r>
      <w:r w:rsidR="00BB0860" w:rsidRPr="002A3FE4">
        <w:rPr>
          <w:sz w:val="24"/>
          <w:szCs w:val="24"/>
          <w:lang w:val="en-GB"/>
        </w:rPr>
        <w:t>unspecified landless without a title</w:t>
      </w:r>
      <w:r w:rsidRPr="002A3FE4">
        <w:rPr>
          <w:sz w:val="24"/>
          <w:szCs w:val="24"/>
          <w:lang w:val="en-GB"/>
        </w:rPr>
        <w:t xml:space="preserve"> were the poorest</w:t>
      </w:r>
      <w:r w:rsidR="00BB0860" w:rsidRPr="002A3FE4">
        <w:rPr>
          <w:sz w:val="24"/>
          <w:szCs w:val="24"/>
          <w:lang w:val="en-GB"/>
        </w:rPr>
        <w:t xml:space="preserve">. For gender, the results are also as expected, as there is no significant difference between probated women and men; this reflects the fact that the inventory is for the household, not the individual. </w:t>
      </w:r>
      <w:r w:rsidRPr="002A3FE4">
        <w:rPr>
          <w:sz w:val="24"/>
          <w:szCs w:val="24"/>
          <w:lang w:val="en-GB"/>
        </w:rPr>
        <w:t>This strengthens our confidence that we are right to treat the probate inventory as a source for the household, and not gender-specific depending on whether a woman or a man has died.</w:t>
      </w:r>
    </w:p>
    <w:p w14:paraId="77CCC41B" w14:textId="79DA959B" w:rsidR="00BB0860" w:rsidRPr="002A3FE4" w:rsidRDefault="00BB0860" w:rsidP="006246CE">
      <w:pPr>
        <w:spacing w:after="0" w:line="480" w:lineRule="auto"/>
        <w:ind w:firstLine="720"/>
        <w:jc w:val="both"/>
        <w:rPr>
          <w:sz w:val="24"/>
          <w:szCs w:val="24"/>
          <w:lang w:val="en-GB"/>
        </w:rPr>
      </w:pPr>
      <w:r w:rsidRPr="002A3FE4">
        <w:rPr>
          <w:sz w:val="24"/>
          <w:szCs w:val="24"/>
          <w:lang w:val="en-GB"/>
        </w:rPr>
        <w:t>Regressions 2 and 3 show that average wealth rose from the first period with about 45 per cent up to the 1780s, and with 85 per cent up to the 1860s. This is in stark contrast to the stagnation of GDP per capita (Edvinsson 2013; Schön and Krantz 2015)</w:t>
      </w:r>
      <w:r w:rsidR="00353B98" w:rsidRPr="002A3FE4">
        <w:rPr>
          <w:sz w:val="24"/>
          <w:szCs w:val="24"/>
          <w:lang w:val="en-GB"/>
        </w:rPr>
        <w:t>, and we discuss this discrepancy in the main body of the paper.</w:t>
      </w:r>
      <w:r w:rsidRPr="002A3FE4">
        <w:rPr>
          <w:sz w:val="24"/>
          <w:szCs w:val="24"/>
          <w:lang w:val="en-GB"/>
        </w:rPr>
        <w:t xml:space="preserve"> In </w:t>
      </w:r>
      <w:r w:rsidR="00353B98" w:rsidRPr="002A3FE4">
        <w:rPr>
          <w:sz w:val="24"/>
          <w:szCs w:val="24"/>
          <w:lang w:val="en-GB"/>
        </w:rPr>
        <w:t>regression</w:t>
      </w:r>
      <w:r w:rsidRPr="002A3FE4">
        <w:rPr>
          <w:sz w:val="24"/>
          <w:szCs w:val="24"/>
          <w:lang w:val="en-GB"/>
        </w:rPr>
        <w:t xml:space="preserve"> 3, we furthermore see the variety between different economic geographies: </w:t>
      </w:r>
      <w:r w:rsidR="00353B98" w:rsidRPr="002A3FE4">
        <w:rPr>
          <w:sz w:val="24"/>
          <w:szCs w:val="24"/>
          <w:lang w:val="en-GB"/>
        </w:rPr>
        <w:t xml:space="preserve">all other things equal, </w:t>
      </w:r>
      <w:r w:rsidRPr="002A3FE4">
        <w:rPr>
          <w:sz w:val="24"/>
          <w:szCs w:val="24"/>
          <w:lang w:val="en-GB"/>
        </w:rPr>
        <w:t>the inhabitants on intermediate ‘scrub’ lands are on average about 30 per cent poorer than the plains dwellers, and the wood landers are about 40 per cent poorer. This accords with expectations, and results of Bengtsson and Svensson (2019, p. 136–137) for Swedish farmers more generally</w:t>
      </w:r>
      <w:r w:rsidR="007E668B" w:rsidRPr="002A3FE4">
        <w:rPr>
          <w:sz w:val="24"/>
          <w:szCs w:val="24"/>
          <w:lang w:val="en-GB"/>
        </w:rPr>
        <w:t>, and with Söderberg’s (1978, pp. 23–28) research on poverty frequency (defined as the share of the households who were tax-exempt).</w:t>
      </w:r>
    </w:p>
    <w:p w14:paraId="058C24BE" w14:textId="77777777" w:rsidR="00BB0860" w:rsidRPr="002A3FE4" w:rsidRDefault="00BB0860" w:rsidP="006246CE">
      <w:pPr>
        <w:spacing w:after="0" w:line="480" w:lineRule="auto"/>
        <w:ind w:firstLine="720"/>
        <w:jc w:val="both"/>
        <w:rPr>
          <w:rStyle w:val="rynqvb"/>
          <w:sz w:val="24"/>
          <w:szCs w:val="24"/>
          <w:lang w:val="en-GB"/>
        </w:rPr>
      </w:pPr>
      <w:r w:rsidRPr="002A3FE4">
        <w:rPr>
          <w:rStyle w:val="rynqvb"/>
          <w:sz w:val="24"/>
          <w:szCs w:val="24"/>
          <w:lang w:val="en-GB"/>
        </w:rPr>
        <w:t xml:space="preserve">For the evolution of workers’ and farmers’ respective wealth, the two time periods show a crucial difference. Both the farmers’ and the workers’ gross wealth increased by roughly 50 per cent between 1700 and the 1780s. But from the 1780s to the 1860s, the farmers tripled their </w:t>
      </w:r>
      <w:r w:rsidRPr="002A3FE4">
        <w:rPr>
          <w:rStyle w:val="rynqvb"/>
          <w:sz w:val="24"/>
          <w:szCs w:val="24"/>
          <w:lang w:val="en-GB"/>
        </w:rPr>
        <w:lastRenderedPageBreak/>
        <w:t>wealth, in a time of agrarian revolution (Olsson and Svensson 2010) while the workers basically stood still. This correlates with the well-known finding that the nineteenth century was a time of increasing wealth inequality in Sweden (Bengtsson et al. 2018).</w:t>
      </w:r>
      <w:r w:rsidRPr="002A3FE4">
        <w:rPr>
          <w:rStyle w:val="hwtze"/>
          <w:sz w:val="24"/>
          <w:szCs w:val="24"/>
          <w:lang w:val="en-GB"/>
        </w:rPr>
        <w:t xml:space="preserve"> </w:t>
      </w:r>
    </w:p>
    <w:p w14:paraId="4E5B20B5" w14:textId="2B91CA14" w:rsidR="00222372" w:rsidRPr="002A3FE4" w:rsidRDefault="00E73EE8" w:rsidP="006246CE">
      <w:pPr>
        <w:spacing w:after="0" w:line="480" w:lineRule="auto"/>
        <w:ind w:firstLine="720"/>
        <w:jc w:val="both"/>
        <w:rPr>
          <w:sz w:val="24"/>
          <w:szCs w:val="24"/>
          <w:lang w:val="en-GB"/>
        </w:rPr>
      </w:pPr>
      <w:r w:rsidRPr="002A3FE4">
        <w:rPr>
          <w:sz w:val="24"/>
          <w:szCs w:val="24"/>
          <w:lang w:val="en-GB"/>
        </w:rPr>
        <w:t>Table A2 provide a more detailed calculation of wealth development over time</w:t>
      </w:r>
      <w:r w:rsidR="00353B98" w:rsidRPr="002A3FE4">
        <w:rPr>
          <w:sz w:val="24"/>
          <w:szCs w:val="24"/>
          <w:lang w:val="en-GB"/>
        </w:rPr>
        <w:t xml:space="preserve"> for the various subgroups of farmers</w:t>
      </w:r>
      <w:r w:rsidRPr="002A3FE4">
        <w:rPr>
          <w:sz w:val="24"/>
          <w:szCs w:val="24"/>
          <w:lang w:val="en-GB"/>
        </w:rPr>
        <w:t>, compared to the presentation in Table 3 in the main body of the paper.</w:t>
      </w:r>
      <w:r w:rsidR="00222372" w:rsidRPr="002A3FE4">
        <w:rPr>
          <w:sz w:val="24"/>
          <w:szCs w:val="24"/>
          <w:lang w:val="en-GB"/>
        </w:rPr>
        <w:t xml:space="preserve"> </w:t>
      </w:r>
    </w:p>
    <w:p w14:paraId="6F406107" w14:textId="1302332A" w:rsidR="00F96232" w:rsidRPr="002A3FE4" w:rsidRDefault="00F96232" w:rsidP="00496B34">
      <w:pPr>
        <w:ind w:firstLine="0"/>
        <w:rPr>
          <w:rFonts w:eastAsiaTheme="majorEastAsia"/>
          <w:b/>
          <w:bCs/>
          <w:i/>
          <w:iCs/>
          <w:sz w:val="24"/>
          <w:szCs w:val="24"/>
          <w:lang w:val="en-GB"/>
        </w:rPr>
      </w:pPr>
    </w:p>
    <w:p w14:paraId="46C1BCDD" w14:textId="151442FF" w:rsidR="00E73EE8" w:rsidRPr="002A3FE4" w:rsidRDefault="00E73EE8" w:rsidP="00496B34">
      <w:pPr>
        <w:ind w:firstLine="0"/>
        <w:rPr>
          <w:rFonts w:eastAsiaTheme="majorEastAsia"/>
          <w:b/>
          <w:bCs/>
          <w:sz w:val="24"/>
          <w:szCs w:val="24"/>
          <w:lang w:val="en-GB"/>
        </w:rPr>
      </w:pPr>
      <w:r w:rsidRPr="002A3FE4">
        <w:rPr>
          <w:rFonts w:eastAsiaTheme="majorEastAsia"/>
          <w:b/>
          <w:bCs/>
          <w:sz w:val="24"/>
          <w:szCs w:val="24"/>
          <w:lang w:val="en-GB"/>
        </w:rPr>
        <w:t>Table A</w:t>
      </w:r>
      <w:r w:rsidR="00353B98" w:rsidRPr="002A3FE4">
        <w:rPr>
          <w:rFonts w:eastAsiaTheme="majorEastAsia"/>
          <w:b/>
          <w:bCs/>
          <w:sz w:val="24"/>
          <w:szCs w:val="24"/>
          <w:lang w:val="en-GB"/>
        </w:rPr>
        <w:t>2</w:t>
      </w:r>
      <w:r w:rsidRPr="002A3FE4">
        <w:rPr>
          <w:rFonts w:eastAsiaTheme="majorEastAsia"/>
          <w:b/>
          <w:bCs/>
          <w:sz w:val="24"/>
          <w:szCs w:val="24"/>
          <w:lang w:val="en-GB"/>
        </w:rPr>
        <w:t>. Wealth development for farmer subcategories</w:t>
      </w:r>
    </w:p>
    <w:tbl>
      <w:tblPr>
        <w:tblStyle w:val="Rutntstabell1ljus"/>
        <w:tblW w:w="10060" w:type="dxa"/>
        <w:tblLayout w:type="fixed"/>
        <w:tblLook w:val="04A0" w:firstRow="1" w:lastRow="0" w:firstColumn="1" w:lastColumn="0" w:noHBand="0" w:noVBand="1"/>
      </w:tblPr>
      <w:tblGrid>
        <w:gridCol w:w="1371"/>
        <w:gridCol w:w="833"/>
        <w:gridCol w:w="833"/>
        <w:gridCol w:w="833"/>
        <w:gridCol w:w="833"/>
        <w:gridCol w:w="833"/>
        <w:gridCol w:w="834"/>
        <w:gridCol w:w="962"/>
        <w:gridCol w:w="1021"/>
        <w:gridCol w:w="873"/>
        <w:gridCol w:w="834"/>
      </w:tblGrid>
      <w:tr w:rsidR="002A3FE4" w:rsidRPr="002A3FE4" w14:paraId="6B4F3A19" w14:textId="77777777" w:rsidTr="005C470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71" w:type="dxa"/>
            <w:noWrap/>
            <w:hideMark/>
          </w:tcPr>
          <w:p w14:paraId="11773AE9" w14:textId="77777777" w:rsidR="00E73EE8" w:rsidRPr="002A3FE4" w:rsidRDefault="00E73EE8" w:rsidP="00496B34">
            <w:pPr>
              <w:ind w:firstLine="0"/>
              <w:jc w:val="center"/>
              <w:rPr>
                <w:rFonts w:eastAsia="Times New Roman"/>
                <w:lang w:val="en-GB" w:eastAsia="sv-SE"/>
              </w:rPr>
            </w:pPr>
          </w:p>
        </w:tc>
        <w:tc>
          <w:tcPr>
            <w:tcW w:w="833" w:type="dxa"/>
            <w:noWrap/>
            <w:hideMark/>
          </w:tcPr>
          <w:p w14:paraId="261BC135"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Period</w:t>
            </w:r>
          </w:p>
        </w:tc>
        <w:tc>
          <w:tcPr>
            <w:tcW w:w="833" w:type="dxa"/>
            <w:noWrap/>
            <w:hideMark/>
          </w:tcPr>
          <w:p w14:paraId="11CFC973"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No.</w:t>
            </w:r>
          </w:p>
        </w:tc>
        <w:tc>
          <w:tcPr>
            <w:tcW w:w="833" w:type="dxa"/>
          </w:tcPr>
          <w:p w14:paraId="6B700748"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Age at death</w:t>
            </w:r>
          </w:p>
        </w:tc>
        <w:tc>
          <w:tcPr>
            <w:tcW w:w="833" w:type="dxa"/>
            <w:noWrap/>
            <w:hideMark/>
          </w:tcPr>
          <w:p w14:paraId="43D45270"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Gross value</w:t>
            </w:r>
          </w:p>
        </w:tc>
        <w:tc>
          <w:tcPr>
            <w:tcW w:w="833" w:type="dxa"/>
            <w:noWrap/>
            <w:hideMark/>
          </w:tcPr>
          <w:p w14:paraId="436B6123"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Net value</w:t>
            </w:r>
          </w:p>
        </w:tc>
        <w:tc>
          <w:tcPr>
            <w:tcW w:w="834" w:type="dxa"/>
            <w:noWrap/>
            <w:hideMark/>
          </w:tcPr>
          <w:p w14:paraId="097A5C60"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Real estate value</w:t>
            </w:r>
          </w:p>
        </w:tc>
        <w:tc>
          <w:tcPr>
            <w:tcW w:w="962" w:type="dxa"/>
            <w:noWrap/>
            <w:hideMark/>
          </w:tcPr>
          <w:p w14:paraId="36368E7D"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Production assets, share of gross</w:t>
            </w:r>
          </w:p>
        </w:tc>
        <w:tc>
          <w:tcPr>
            <w:tcW w:w="1021" w:type="dxa"/>
            <w:noWrap/>
            <w:hideMark/>
          </w:tcPr>
          <w:p w14:paraId="6605336A"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Consumable assets, share of gross</w:t>
            </w:r>
          </w:p>
        </w:tc>
        <w:tc>
          <w:tcPr>
            <w:tcW w:w="873" w:type="dxa"/>
            <w:noWrap/>
            <w:hideMark/>
          </w:tcPr>
          <w:p w14:paraId="709259D3"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Claims, share of gross</w:t>
            </w:r>
          </w:p>
        </w:tc>
        <w:tc>
          <w:tcPr>
            <w:tcW w:w="834" w:type="dxa"/>
            <w:noWrap/>
            <w:hideMark/>
          </w:tcPr>
          <w:p w14:paraId="398CD835"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Debts, share of gross</w:t>
            </w:r>
          </w:p>
        </w:tc>
      </w:tr>
      <w:tr w:rsidR="002A3FE4" w:rsidRPr="002A3FE4" w14:paraId="69E073E6"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val="restart"/>
            <w:noWrap/>
            <w:hideMark/>
          </w:tcPr>
          <w:p w14:paraId="5974D0E9" w14:textId="77777777" w:rsidR="00E73EE8" w:rsidRPr="002A3FE4" w:rsidRDefault="00E73EE8" w:rsidP="00AB046D">
            <w:pPr>
              <w:ind w:firstLine="0"/>
              <w:jc w:val="left"/>
              <w:rPr>
                <w:rFonts w:eastAsia="Times New Roman"/>
                <w:lang w:val="en-GB" w:eastAsia="sv-SE"/>
              </w:rPr>
            </w:pPr>
            <w:r w:rsidRPr="002A3FE4">
              <w:rPr>
                <w:rFonts w:eastAsia="Times New Roman"/>
                <w:lang w:val="en-GB" w:eastAsia="sv-SE"/>
              </w:rPr>
              <w:t xml:space="preserve">Farmer </w:t>
            </w:r>
          </w:p>
          <w:p w14:paraId="717F4FFC" w14:textId="77777777" w:rsidR="00E73EE8" w:rsidRPr="002A3FE4" w:rsidRDefault="00E73EE8" w:rsidP="00AB046D">
            <w:pPr>
              <w:ind w:firstLine="0"/>
              <w:jc w:val="left"/>
              <w:rPr>
                <w:rFonts w:eastAsia="Times New Roman"/>
                <w:lang w:val="en-GB" w:eastAsia="sv-SE"/>
              </w:rPr>
            </w:pPr>
            <w:r w:rsidRPr="002A3FE4">
              <w:rPr>
                <w:rFonts w:eastAsia="Times New Roman"/>
                <w:lang w:val="en-GB" w:eastAsia="sv-SE"/>
              </w:rPr>
              <w:t xml:space="preserve">reference </w:t>
            </w:r>
          </w:p>
          <w:p w14:paraId="3C2C727B" w14:textId="77777777" w:rsidR="00E73EE8" w:rsidRPr="002A3FE4" w:rsidRDefault="00E73EE8" w:rsidP="00AB046D">
            <w:pPr>
              <w:ind w:firstLine="0"/>
              <w:jc w:val="left"/>
              <w:rPr>
                <w:rFonts w:eastAsia="Times New Roman"/>
                <w:lang w:val="en-GB" w:eastAsia="sv-SE"/>
              </w:rPr>
            </w:pPr>
            <w:r w:rsidRPr="002A3FE4">
              <w:rPr>
                <w:rFonts w:eastAsia="Times New Roman"/>
                <w:lang w:val="en-GB" w:eastAsia="sv-SE"/>
              </w:rPr>
              <w:t>group</w:t>
            </w:r>
          </w:p>
        </w:tc>
        <w:tc>
          <w:tcPr>
            <w:tcW w:w="833" w:type="dxa"/>
            <w:noWrap/>
            <w:hideMark/>
          </w:tcPr>
          <w:p w14:paraId="10309CF2"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833" w:type="dxa"/>
            <w:noWrap/>
            <w:hideMark/>
          </w:tcPr>
          <w:p w14:paraId="3401B599"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292</w:t>
            </w:r>
          </w:p>
        </w:tc>
        <w:tc>
          <w:tcPr>
            <w:tcW w:w="833" w:type="dxa"/>
          </w:tcPr>
          <w:p w14:paraId="40A08593"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50</w:t>
            </w:r>
          </w:p>
        </w:tc>
        <w:tc>
          <w:tcPr>
            <w:tcW w:w="833" w:type="dxa"/>
            <w:noWrap/>
            <w:hideMark/>
          </w:tcPr>
          <w:p w14:paraId="69312DD2"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196</w:t>
            </w:r>
          </w:p>
        </w:tc>
        <w:tc>
          <w:tcPr>
            <w:tcW w:w="833" w:type="dxa"/>
            <w:noWrap/>
            <w:hideMark/>
          </w:tcPr>
          <w:p w14:paraId="1EB7ADD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115</w:t>
            </w:r>
          </w:p>
        </w:tc>
        <w:tc>
          <w:tcPr>
            <w:tcW w:w="834" w:type="dxa"/>
            <w:noWrap/>
            <w:hideMark/>
          </w:tcPr>
          <w:p w14:paraId="07945E02"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15</w:t>
            </w:r>
          </w:p>
        </w:tc>
        <w:tc>
          <w:tcPr>
            <w:tcW w:w="962" w:type="dxa"/>
            <w:noWrap/>
            <w:hideMark/>
          </w:tcPr>
          <w:p w14:paraId="61E72AD9"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80%</w:t>
            </w:r>
          </w:p>
        </w:tc>
        <w:tc>
          <w:tcPr>
            <w:tcW w:w="1021" w:type="dxa"/>
            <w:noWrap/>
            <w:hideMark/>
          </w:tcPr>
          <w:p w14:paraId="7C63A28A"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w:t>
            </w:r>
          </w:p>
        </w:tc>
        <w:tc>
          <w:tcPr>
            <w:tcW w:w="873" w:type="dxa"/>
            <w:noWrap/>
            <w:hideMark/>
          </w:tcPr>
          <w:p w14:paraId="155F94ED"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w:t>
            </w:r>
          </w:p>
        </w:tc>
        <w:tc>
          <w:tcPr>
            <w:tcW w:w="834" w:type="dxa"/>
            <w:noWrap/>
            <w:hideMark/>
          </w:tcPr>
          <w:p w14:paraId="0EE1074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54%</w:t>
            </w:r>
          </w:p>
        </w:tc>
      </w:tr>
      <w:tr w:rsidR="002A3FE4" w:rsidRPr="002A3FE4" w14:paraId="2A798463"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noWrap/>
            <w:hideMark/>
          </w:tcPr>
          <w:p w14:paraId="62CB213C" w14:textId="77777777" w:rsidR="00E73EE8" w:rsidRPr="002A3FE4" w:rsidRDefault="00E73EE8" w:rsidP="00AB046D">
            <w:pPr>
              <w:ind w:firstLine="0"/>
              <w:jc w:val="right"/>
              <w:rPr>
                <w:rFonts w:eastAsia="Times New Roman"/>
                <w:lang w:val="en-GB" w:eastAsia="sv-SE"/>
              </w:rPr>
            </w:pPr>
          </w:p>
        </w:tc>
        <w:tc>
          <w:tcPr>
            <w:tcW w:w="833" w:type="dxa"/>
            <w:noWrap/>
            <w:hideMark/>
          </w:tcPr>
          <w:p w14:paraId="25C6DD1B"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833" w:type="dxa"/>
            <w:noWrap/>
            <w:hideMark/>
          </w:tcPr>
          <w:p w14:paraId="591D1446"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204</w:t>
            </w:r>
          </w:p>
        </w:tc>
        <w:tc>
          <w:tcPr>
            <w:tcW w:w="833" w:type="dxa"/>
          </w:tcPr>
          <w:p w14:paraId="4B9F9580"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51</w:t>
            </w:r>
          </w:p>
        </w:tc>
        <w:tc>
          <w:tcPr>
            <w:tcW w:w="833" w:type="dxa"/>
            <w:noWrap/>
            <w:hideMark/>
          </w:tcPr>
          <w:p w14:paraId="443721B2"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290</w:t>
            </w:r>
          </w:p>
        </w:tc>
        <w:tc>
          <w:tcPr>
            <w:tcW w:w="833" w:type="dxa"/>
            <w:noWrap/>
            <w:hideMark/>
          </w:tcPr>
          <w:p w14:paraId="12148D79"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197</w:t>
            </w:r>
          </w:p>
        </w:tc>
        <w:tc>
          <w:tcPr>
            <w:tcW w:w="834" w:type="dxa"/>
            <w:noWrap/>
            <w:hideMark/>
          </w:tcPr>
          <w:p w14:paraId="39840C56"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33</w:t>
            </w:r>
          </w:p>
        </w:tc>
        <w:tc>
          <w:tcPr>
            <w:tcW w:w="962" w:type="dxa"/>
            <w:noWrap/>
            <w:hideMark/>
          </w:tcPr>
          <w:p w14:paraId="19DA0D9F"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65%</w:t>
            </w:r>
          </w:p>
        </w:tc>
        <w:tc>
          <w:tcPr>
            <w:tcW w:w="1021" w:type="dxa"/>
            <w:noWrap/>
            <w:hideMark/>
          </w:tcPr>
          <w:p w14:paraId="5D494016"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31%</w:t>
            </w:r>
          </w:p>
        </w:tc>
        <w:tc>
          <w:tcPr>
            <w:tcW w:w="873" w:type="dxa"/>
            <w:noWrap/>
            <w:hideMark/>
          </w:tcPr>
          <w:p w14:paraId="5E2C761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w:t>
            </w:r>
          </w:p>
        </w:tc>
        <w:tc>
          <w:tcPr>
            <w:tcW w:w="834" w:type="dxa"/>
            <w:noWrap/>
            <w:hideMark/>
          </w:tcPr>
          <w:p w14:paraId="6ABB31FC"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40%</w:t>
            </w:r>
          </w:p>
        </w:tc>
      </w:tr>
      <w:tr w:rsidR="002A3FE4" w:rsidRPr="002A3FE4" w14:paraId="293765AC"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noWrap/>
            <w:hideMark/>
          </w:tcPr>
          <w:p w14:paraId="12D89CC4" w14:textId="77777777" w:rsidR="00E73EE8" w:rsidRPr="002A3FE4" w:rsidRDefault="00E73EE8" w:rsidP="00AB046D">
            <w:pPr>
              <w:ind w:firstLine="0"/>
              <w:jc w:val="right"/>
              <w:rPr>
                <w:rFonts w:eastAsia="Times New Roman"/>
                <w:lang w:val="en-GB" w:eastAsia="sv-SE"/>
              </w:rPr>
            </w:pPr>
          </w:p>
        </w:tc>
        <w:tc>
          <w:tcPr>
            <w:tcW w:w="833" w:type="dxa"/>
            <w:noWrap/>
            <w:hideMark/>
          </w:tcPr>
          <w:p w14:paraId="1B02B3AB"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833" w:type="dxa"/>
            <w:noWrap/>
            <w:hideMark/>
          </w:tcPr>
          <w:p w14:paraId="51B35DE5"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202</w:t>
            </w:r>
          </w:p>
        </w:tc>
        <w:tc>
          <w:tcPr>
            <w:tcW w:w="833" w:type="dxa"/>
          </w:tcPr>
          <w:p w14:paraId="6925EB90"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52</w:t>
            </w:r>
          </w:p>
        </w:tc>
        <w:tc>
          <w:tcPr>
            <w:tcW w:w="833" w:type="dxa"/>
            <w:noWrap/>
            <w:hideMark/>
          </w:tcPr>
          <w:p w14:paraId="6ECAD730"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1,253</w:t>
            </w:r>
          </w:p>
        </w:tc>
        <w:tc>
          <w:tcPr>
            <w:tcW w:w="833" w:type="dxa"/>
            <w:noWrap/>
            <w:hideMark/>
          </w:tcPr>
          <w:p w14:paraId="76AE5182"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659</w:t>
            </w:r>
          </w:p>
        </w:tc>
        <w:tc>
          <w:tcPr>
            <w:tcW w:w="834" w:type="dxa"/>
            <w:noWrap/>
            <w:hideMark/>
          </w:tcPr>
          <w:p w14:paraId="1879D8D9"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619</w:t>
            </w:r>
          </w:p>
        </w:tc>
        <w:tc>
          <w:tcPr>
            <w:tcW w:w="962" w:type="dxa"/>
            <w:noWrap/>
            <w:hideMark/>
          </w:tcPr>
          <w:p w14:paraId="1580B09C"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58%</w:t>
            </w:r>
          </w:p>
        </w:tc>
        <w:tc>
          <w:tcPr>
            <w:tcW w:w="1021" w:type="dxa"/>
            <w:noWrap/>
            <w:hideMark/>
          </w:tcPr>
          <w:p w14:paraId="050417DC"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39%</w:t>
            </w:r>
          </w:p>
        </w:tc>
        <w:tc>
          <w:tcPr>
            <w:tcW w:w="873" w:type="dxa"/>
            <w:noWrap/>
            <w:hideMark/>
          </w:tcPr>
          <w:p w14:paraId="0913F57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36%</w:t>
            </w:r>
          </w:p>
        </w:tc>
        <w:tc>
          <w:tcPr>
            <w:tcW w:w="834" w:type="dxa"/>
            <w:noWrap/>
            <w:hideMark/>
          </w:tcPr>
          <w:p w14:paraId="5DBCA5F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51%</w:t>
            </w:r>
          </w:p>
        </w:tc>
      </w:tr>
      <w:tr w:rsidR="002A3FE4" w:rsidRPr="002A3FE4" w14:paraId="671F658A"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val="restart"/>
            <w:noWrap/>
            <w:hideMark/>
          </w:tcPr>
          <w:p w14:paraId="4D443DC4" w14:textId="77777777" w:rsidR="00E73EE8" w:rsidRPr="002A3FE4" w:rsidRDefault="00E73EE8" w:rsidP="00AB046D">
            <w:pPr>
              <w:ind w:firstLine="0"/>
              <w:jc w:val="left"/>
              <w:rPr>
                <w:rFonts w:eastAsia="Times New Roman"/>
                <w:lang w:val="en-GB" w:eastAsia="sv-SE"/>
              </w:rPr>
            </w:pPr>
            <w:r w:rsidRPr="002A3FE4">
              <w:rPr>
                <w:rFonts w:eastAsia="Times New Roman"/>
                <w:lang w:val="en-GB" w:eastAsia="sv-SE"/>
              </w:rPr>
              <w:t xml:space="preserve">Local trustees or </w:t>
            </w:r>
            <w:r w:rsidRPr="002A3FE4">
              <w:rPr>
                <w:rFonts w:eastAsia="Times New Roman"/>
                <w:i/>
                <w:iCs/>
                <w:lang w:val="en-GB" w:eastAsia="sv-SE"/>
              </w:rPr>
              <w:t>rusthållare</w:t>
            </w:r>
          </w:p>
        </w:tc>
        <w:tc>
          <w:tcPr>
            <w:tcW w:w="833" w:type="dxa"/>
            <w:noWrap/>
            <w:hideMark/>
          </w:tcPr>
          <w:p w14:paraId="4E02709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833" w:type="dxa"/>
            <w:noWrap/>
            <w:hideMark/>
          </w:tcPr>
          <w:p w14:paraId="4EA5B89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70</w:t>
            </w:r>
          </w:p>
        </w:tc>
        <w:tc>
          <w:tcPr>
            <w:tcW w:w="833" w:type="dxa"/>
          </w:tcPr>
          <w:p w14:paraId="46A6E54D"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57</w:t>
            </w:r>
          </w:p>
        </w:tc>
        <w:tc>
          <w:tcPr>
            <w:tcW w:w="833" w:type="dxa"/>
            <w:noWrap/>
            <w:hideMark/>
          </w:tcPr>
          <w:p w14:paraId="0BB7852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400</w:t>
            </w:r>
          </w:p>
        </w:tc>
        <w:tc>
          <w:tcPr>
            <w:tcW w:w="833" w:type="dxa"/>
            <w:noWrap/>
            <w:hideMark/>
          </w:tcPr>
          <w:p w14:paraId="1A7BFC4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231</w:t>
            </w:r>
          </w:p>
        </w:tc>
        <w:tc>
          <w:tcPr>
            <w:tcW w:w="834" w:type="dxa"/>
            <w:noWrap/>
            <w:hideMark/>
          </w:tcPr>
          <w:p w14:paraId="2189810A"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48</w:t>
            </w:r>
          </w:p>
        </w:tc>
        <w:tc>
          <w:tcPr>
            <w:tcW w:w="962" w:type="dxa"/>
            <w:noWrap/>
            <w:hideMark/>
          </w:tcPr>
          <w:p w14:paraId="33282949"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81%</w:t>
            </w:r>
          </w:p>
        </w:tc>
        <w:tc>
          <w:tcPr>
            <w:tcW w:w="1021" w:type="dxa"/>
            <w:noWrap/>
            <w:hideMark/>
          </w:tcPr>
          <w:p w14:paraId="26C4A86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w:t>
            </w:r>
          </w:p>
        </w:tc>
        <w:tc>
          <w:tcPr>
            <w:tcW w:w="873" w:type="dxa"/>
            <w:noWrap/>
            <w:hideMark/>
          </w:tcPr>
          <w:p w14:paraId="617CDA1F"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w:t>
            </w:r>
          </w:p>
        </w:tc>
        <w:tc>
          <w:tcPr>
            <w:tcW w:w="834" w:type="dxa"/>
            <w:noWrap/>
            <w:hideMark/>
          </w:tcPr>
          <w:p w14:paraId="0DC8B04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72%</w:t>
            </w:r>
          </w:p>
        </w:tc>
      </w:tr>
      <w:tr w:rsidR="002A3FE4" w:rsidRPr="002A3FE4" w14:paraId="382F09DD"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noWrap/>
            <w:hideMark/>
          </w:tcPr>
          <w:p w14:paraId="3A873F7E" w14:textId="77777777" w:rsidR="00E73EE8" w:rsidRPr="002A3FE4" w:rsidRDefault="00E73EE8" w:rsidP="00AB046D">
            <w:pPr>
              <w:ind w:firstLine="0"/>
              <w:jc w:val="right"/>
              <w:rPr>
                <w:rFonts w:eastAsia="Times New Roman"/>
                <w:lang w:val="en-GB" w:eastAsia="sv-SE"/>
              </w:rPr>
            </w:pPr>
          </w:p>
        </w:tc>
        <w:tc>
          <w:tcPr>
            <w:tcW w:w="833" w:type="dxa"/>
            <w:noWrap/>
            <w:hideMark/>
          </w:tcPr>
          <w:p w14:paraId="719B8EE0"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833" w:type="dxa"/>
            <w:noWrap/>
            <w:hideMark/>
          </w:tcPr>
          <w:p w14:paraId="77C519DD"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98</w:t>
            </w:r>
          </w:p>
        </w:tc>
        <w:tc>
          <w:tcPr>
            <w:tcW w:w="833" w:type="dxa"/>
          </w:tcPr>
          <w:p w14:paraId="5F7E221A"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50</w:t>
            </w:r>
          </w:p>
        </w:tc>
        <w:tc>
          <w:tcPr>
            <w:tcW w:w="833" w:type="dxa"/>
            <w:noWrap/>
            <w:hideMark/>
          </w:tcPr>
          <w:p w14:paraId="04EF322A"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602</w:t>
            </w:r>
          </w:p>
        </w:tc>
        <w:tc>
          <w:tcPr>
            <w:tcW w:w="833" w:type="dxa"/>
            <w:noWrap/>
            <w:hideMark/>
          </w:tcPr>
          <w:p w14:paraId="67642C41"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432</w:t>
            </w:r>
          </w:p>
        </w:tc>
        <w:tc>
          <w:tcPr>
            <w:tcW w:w="834" w:type="dxa"/>
            <w:noWrap/>
            <w:hideMark/>
          </w:tcPr>
          <w:p w14:paraId="09029FE5"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160</w:t>
            </w:r>
          </w:p>
        </w:tc>
        <w:tc>
          <w:tcPr>
            <w:tcW w:w="962" w:type="dxa"/>
            <w:noWrap/>
            <w:hideMark/>
          </w:tcPr>
          <w:p w14:paraId="44BCC55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63%</w:t>
            </w:r>
          </w:p>
        </w:tc>
        <w:tc>
          <w:tcPr>
            <w:tcW w:w="1021" w:type="dxa"/>
            <w:noWrap/>
            <w:hideMark/>
          </w:tcPr>
          <w:p w14:paraId="18EBA0CE"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33%</w:t>
            </w:r>
          </w:p>
        </w:tc>
        <w:tc>
          <w:tcPr>
            <w:tcW w:w="873" w:type="dxa"/>
            <w:noWrap/>
            <w:hideMark/>
          </w:tcPr>
          <w:p w14:paraId="2284BE8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w:t>
            </w:r>
          </w:p>
        </w:tc>
        <w:tc>
          <w:tcPr>
            <w:tcW w:w="834" w:type="dxa"/>
            <w:noWrap/>
            <w:hideMark/>
          </w:tcPr>
          <w:p w14:paraId="598E03A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33%</w:t>
            </w:r>
          </w:p>
        </w:tc>
      </w:tr>
      <w:tr w:rsidR="002A3FE4" w:rsidRPr="002A3FE4" w14:paraId="778CA4F4"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noWrap/>
            <w:hideMark/>
          </w:tcPr>
          <w:p w14:paraId="7F9A4836" w14:textId="77777777" w:rsidR="00E73EE8" w:rsidRPr="002A3FE4" w:rsidRDefault="00E73EE8" w:rsidP="00AB046D">
            <w:pPr>
              <w:ind w:firstLine="0"/>
              <w:jc w:val="right"/>
              <w:rPr>
                <w:rFonts w:eastAsia="Times New Roman"/>
                <w:lang w:val="en-GB" w:eastAsia="sv-SE"/>
              </w:rPr>
            </w:pPr>
          </w:p>
        </w:tc>
        <w:tc>
          <w:tcPr>
            <w:tcW w:w="833" w:type="dxa"/>
            <w:noWrap/>
            <w:hideMark/>
          </w:tcPr>
          <w:p w14:paraId="5CD1332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833" w:type="dxa"/>
            <w:noWrap/>
            <w:hideMark/>
          </w:tcPr>
          <w:p w14:paraId="60A462F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w:t>
            </w:r>
          </w:p>
        </w:tc>
        <w:tc>
          <w:tcPr>
            <w:tcW w:w="833" w:type="dxa"/>
          </w:tcPr>
          <w:p w14:paraId="1D758AFA"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54</w:t>
            </w:r>
          </w:p>
        </w:tc>
        <w:tc>
          <w:tcPr>
            <w:tcW w:w="833" w:type="dxa"/>
            <w:noWrap/>
            <w:hideMark/>
          </w:tcPr>
          <w:p w14:paraId="41616C3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4,425</w:t>
            </w:r>
          </w:p>
        </w:tc>
        <w:tc>
          <w:tcPr>
            <w:tcW w:w="833" w:type="dxa"/>
            <w:noWrap/>
            <w:hideMark/>
          </w:tcPr>
          <w:p w14:paraId="51815A30"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2,823</w:t>
            </w:r>
          </w:p>
        </w:tc>
        <w:tc>
          <w:tcPr>
            <w:tcW w:w="834" w:type="dxa"/>
            <w:noWrap/>
            <w:hideMark/>
          </w:tcPr>
          <w:p w14:paraId="6A6DC5F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1,572</w:t>
            </w:r>
          </w:p>
        </w:tc>
        <w:tc>
          <w:tcPr>
            <w:tcW w:w="962" w:type="dxa"/>
            <w:noWrap/>
            <w:hideMark/>
          </w:tcPr>
          <w:p w14:paraId="10508F7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65%</w:t>
            </w:r>
          </w:p>
        </w:tc>
        <w:tc>
          <w:tcPr>
            <w:tcW w:w="1021" w:type="dxa"/>
            <w:noWrap/>
            <w:hideMark/>
          </w:tcPr>
          <w:p w14:paraId="7D9C8FEF"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29%</w:t>
            </w:r>
          </w:p>
        </w:tc>
        <w:tc>
          <w:tcPr>
            <w:tcW w:w="873" w:type="dxa"/>
            <w:noWrap/>
            <w:hideMark/>
          </w:tcPr>
          <w:p w14:paraId="7A4ABD81"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42%</w:t>
            </w:r>
          </w:p>
        </w:tc>
        <w:tc>
          <w:tcPr>
            <w:tcW w:w="834" w:type="dxa"/>
            <w:noWrap/>
            <w:hideMark/>
          </w:tcPr>
          <w:p w14:paraId="2054FD7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41%</w:t>
            </w:r>
          </w:p>
        </w:tc>
      </w:tr>
      <w:tr w:rsidR="002A3FE4" w:rsidRPr="002A3FE4" w14:paraId="0D7697BC"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val="restart"/>
            <w:noWrap/>
            <w:hideMark/>
          </w:tcPr>
          <w:p w14:paraId="69A125F7" w14:textId="77777777" w:rsidR="00E73EE8" w:rsidRPr="002A3FE4" w:rsidRDefault="00E73EE8" w:rsidP="00AB046D">
            <w:pPr>
              <w:ind w:firstLine="0"/>
              <w:jc w:val="left"/>
              <w:rPr>
                <w:rFonts w:eastAsia="Times New Roman"/>
                <w:b w:val="0"/>
                <w:bCs w:val="0"/>
                <w:lang w:val="en-GB" w:eastAsia="sv-SE"/>
              </w:rPr>
            </w:pPr>
            <w:r w:rsidRPr="002A3FE4">
              <w:rPr>
                <w:rFonts w:eastAsia="Times New Roman"/>
                <w:lang w:val="en-GB" w:eastAsia="sv-SE"/>
              </w:rPr>
              <w:t xml:space="preserve">Tenants of </w:t>
            </w:r>
          </w:p>
          <w:p w14:paraId="663A6259" w14:textId="77777777" w:rsidR="00E73EE8" w:rsidRPr="002A3FE4" w:rsidRDefault="00E73EE8" w:rsidP="00AB046D">
            <w:pPr>
              <w:ind w:firstLine="0"/>
              <w:jc w:val="left"/>
              <w:rPr>
                <w:rFonts w:eastAsia="Times New Roman"/>
                <w:lang w:val="en-GB" w:eastAsia="sv-SE"/>
              </w:rPr>
            </w:pPr>
            <w:r w:rsidRPr="002A3FE4">
              <w:rPr>
                <w:rFonts w:eastAsia="Times New Roman"/>
                <w:lang w:val="en-GB" w:eastAsia="sv-SE"/>
              </w:rPr>
              <w:t>the nobility</w:t>
            </w:r>
          </w:p>
        </w:tc>
        <w:tc>
          <w:tcPr>
            <w:tcW w:w="833" w:type="dxa"/>
            <w:noWrap/>
            <w:hideMark/>
          </w:tcPr>
          <w:p w14:paraId="68DBE691"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833" w:type="dxa"/>
            <w:noWrap/>
            <w:hideMark/>
          </w:tcPr>
          <w:p w14:paraId="57293AA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w:t>
            </w:r>
          </w:p>
        </w:tc>
        <w:tc>
          <w:tcPr>
            <w:tcW w:w="833" w:type="dxa"/>
          </w:tcPr>
          <w:p w14:paraId="63BB89FB"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33" w:type="dxa"/>
            <w:noWrap/>
            <w:hideMark/>
          </w:tcPr>
          <w:p w14:paraId="2CA94B4F"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147</w:t>
            </w:r>
          </w:p>
        </w:tc>
        <w:tc>
          <w:tcPr>
            <w:tcW w:w="833" w:type="dxa"/>
            <w:noWrap/>
            <w:hideMark/>
          </w:tcPr>
          <w:p w14:paraId="75BAE97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81</w:t>
            </w:r>
          </w:p>
        </w:tc>
        <w:tc>
          <w:tcPr>
            <w:tcW w:w="834" w:type="dxa"/>
            <w:noWrap/>
            <w:hideMark/>
          </w:tcPr>
          <w:p w14:paraId="1E9B7D4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w:t>
            </w:r>
          </w:p>
        </w:tc>
        <w:tc>
          <w:tcPr>
            <w:tcW w:w="962" w:type="dxa"/>
            <w:noWrap/>
            <w:hideMark/>
          </w:tcPr>
          <w:p w14:paraId="4E22012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89%</w:t>
            </w:r>
          </w:p>
        </w:tc>
        <w:tc>
          <w:tcPr>
            <w:tcW w:w="1021" w:type="dxa"/>
            <w:noWrap/>
            <w:hideMark/>
          </w:tcPr>
          <w:p w14:paraId="099338BF"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11%</w:t>
            </w:r>
          </w:p>
        </w:tc>
        <w:tc>
          <w:tcPr>
            <w:tcW w:w="873" w:type="dxa"/>
            <w:noWrap/>
            <w:hideMark/>
          </w:tcPr>
          <w:p w14:paraId="6FF4A95C"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w:t>
            </w:r>
          </w:p>
        </w:tc>
        <w:tc>
          <w:tcPr>
            <w:tcW w:w="834" w:type="dxa"/>
            <w:noWrap/>
            <w:hideMark/>
          </w:tcPr>
          <w:p w14:paraId="1812348C"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60%</w:t>
            </w:r>
          </w:p>
        </w:tc>
      </w:tr>
      <w:tr w:rsidR="002A3FE4" w:rsidRPr="002A3FE4" w14:paraId="65DFD8F2"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noWrap/>
            <w:hideMark/>
          </w:tcPr>
          <w:p w14:paraId="19A7B59B" w14:textId="77777777" w:rsidR="00E73EE8" w:rsidRPr="002A3FE4" w:rsidRDefault="00E73EE8" w:rsidP="00AB046D">
            <w:pPr>
              <w:ind w:firstLine="0"/>
              <w:jc w:val="right"/>
              <w:rPr>
                <w:rFonts w:eastAsia="Times New Roman"/>
                <w:lang w:val="en-GB" w:eastAsia="sv-SE"/>
              </w:rPr>
            </w:pPr>
          </w:p>
        </w:tc>
        <w:tc>
          <w:tcPr>
            <w:tcW w:w="833" w:type="dxa"/>
            <w:noWrap/>
            <w:hideMark/>
          </w:tcPr>
          <w:p w14:paraId="51EEB886"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833" w:type="dxa"/>
            <w:noWrap/>
            <w:hideMark/>
          </w:tcPr>
          <w:p w14:paraId="4E29D5E1"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60</w:t>
            </w:r>
          </w:p>
        </w:tc>
        <w:tc>
          <w:tcPr>
            <w:tcW w:w="833" w:type="dxa"/>
          </w:tcPr>
          <w:p w14:paraId="35FEF37A"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48</w:t>
            </w:r>
          </w:p>
        </w:tc>
        <w:tc>
          <w:tcPr>
            <w:tcW w:w="833" w:type="dxa"/>
            <w:noWrap/>
            <w:hideMark/>
          </w:tcPr>
          <w:p w14:paraId="10CF67E4"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211</w:t>
            </w:r>
          </w:p>
        </w:tc>
        <w:tc>
          <w:tcPr>
            <w:tcW w:w="833" w:type="dxa"/>
            <w:noWrap/>
            <w:hideMark/>
          </w:tcPr>
          <w:p w14:paraId="7FD13DC3"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125</w:t>
            </w:r>
          </w:p>
        </w:tc>
        <w:tc>
          <w:tcPr>
            <w:tcW w:w="834" w:type="dxa"/>
            <w:noWrap/>
            <w:hideMark/>
          </w:tcPr>
          <w:p w14:paraId="193B5AED"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w:t>
            </w:r>
          </w:p>
        </w:tc>
        <w:tc>
          <w:tcPr>
            <w:tcW w:w="962" w:type="dxa"/>
            <w:noWrap/>
            <w:hideMark/>
          </w:tcPr>
          <w:p w14:paraId="151BFDF5"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72%</w:t>
            </w:r>
          </w:p>
        </w:tc>
        <w:tc>
          <w:tcPr>
            <w:tcW w:w="1021" w:type="dxa"/>
            <w:noWrap/>
            <w:hideMark/>
          </w:tcPr>
          <w:p w14:paraId="6DEA5AE5"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26%</w:t>
            </w:r>
          </w:p>
        </w:tc>
        <w:tc>
          <w:tcPr>
            <w:tcW w:w="873" w:type="dxa"/>
            <w:noWrap/>
            <w:hideMark/>
          </w:tcPr>
          <w:p w14:paraId="52ADFA8D"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w:t>
            </w:r>
          </w:p>
        </w:tc>
        <w:tc>
          <w:tcPr>
            <w:tcW w:w="834" w:type="dxa"/>
            <w:noWrap/>
            <w:hideMark/>
          </w:tcPr>
          <w:p w14:paraId="7771DAB2"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51%</w:t>
            </w:r>
          </w:p>
        </w:tc>
      </w:tr>
      <w:tr w:rsidR="002A3FE4" w:rsidRPr="002A3FE4" w14:paraId="22948257" w14:textId="77777777" w:rsidTr="005C4704">
        <w:trPr>
          <w:trHeight w:val="302"/>
        </w:trPr>
        <w:tc>
          <w:tcPr>
            <w:cnfStyle w:val="001000000000" w:firstRow="0" w:lastRow="0" w:firstColumn="1" w:lastColumn="0" w:oddVBand="0" w:evenVBand="0" w:oddHBand="0" w:evenHBand="0" w:firstRowFirstColumn="0" w:firstRowLastColumn="0" w:lastRowFirstColumn="0" w:lastRowLastColumn="0"/>
            <w:tcW w:w="1371" w:type="dxa"/>
            <w:vMerge/>
            <w:noWrap/>
            <w:hideMark/>
          </w:tcPr>
          <w:p w14:paraId="5792A689" w14:textId="77777777" w:rsidR="00E73EE8" w:rsidRPr="002A3FE4" w:rsidRDefault="00E73EE8" w:rsidP="00AB046D">
            <w:pPr>
              <w:ind w:firstLine="0"/>
              <w:jc w:val="right"/>
              <w:rPr>
                <w:rFonts w:eastAsia="Times New Roman"/>
                <w:lang w:val="en-GB" w:eastAsia="sv-SE"/>
              </w:rPr>
            </w:pPr>
          </w:p>
        </w:tc>
        <w:tc>
          <w:tcPr>
            <w:tcW w:w="833" w:type="dxa"/>
            <w:noWrap/>
            <w:hideMark/>
          </w:tcPr>
          <w:p w14:paraId="300BC1D1"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833" w:type="dxa"/>
            <w:noWrap/>
            <w:hideMark/>
          </w:tcPr>
          <w:p w14:paraId="4E1745EB"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14</w:t>
            </w:r>
          </w:p>
        </w:tc>
        <w:tc>
          <w:tcPr>
            <w:tcW w:w="833" w:type="dxa"/>
          </w:tcPr>
          <w:p w14:paraId="6DE21DC9"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46</w:t>
            </w:r>
          </w:p>
        </w:tc>
        <w:tc>
          <w:tcPr>
            <w:tcW w:w="833" w:type="dxa"/>
            <w:noWrap/>
            <w:hideMark/>
          </w:tcPr>
          <w:p w14:paraId="169DAAEC"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264</w:t>
            </w:r>
          </w:p>
        </w:tc>
        <w:tc>
          <w:tcPr>
            <w:tcW w:w="833" w:type="dxa"/>
            <w:noWrap/>
            <w:hideMark/>
          </w:tcPr>
          <w:p w14:paraId="39B2DFCC"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162</w:t>
            </w:r>
          </w:p>
        </w:tc>
        <w:tc>
          <w:tcPr>
            <w:tcW w:w="834" w:type="dxa"/>
            <w:noWrap/>
            <w:hideMark/>
          </w:tcPr>
          <w:p w14:paraId="1E407A91"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w:t>
            </w:r>
          </w:p>
        </w:tc>
        <w:tc>
          <w:tcPr>
            <w:tcW w:w="962" w:type="dxa"/>
            <w:noWrap/>
            <w:hideMark/>
          </w:tcPr>
          <w:p w14:paraId="2AAABDE8"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69%</w:t>
            </w:r>
          </w:p>
        </w:tc>
        <w:tc>
          <w:tcPr>
            <w:tcW w:w="1021" w:type="dxa"/>
            <w:noWrap/>
            <w:hideMark/>
          </w:tcPr>
          <w:p w14:paraId="73442DB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28%</w:t>
            </w:r>
          </w:p>
        </w:tc>
        <w:tc>
          <w:tcPr>
            <w:tcW w:w="873" w:type="dxa"/>
            <w:noWrap/>
            <w:hideMark/>
          </w:tcPr>
          <w:p w14:paraId="199ACDC7"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21%</w:t>
            </w:r>
          </w:p>
        </w:tc>
        <w:tc>
          <w:tcPr>
            <w:tcW w:w="834" w:type="dxa"/>
            <w:noWrap/>
            <w:hideMark/>
          </w:tcPr>
          <w:p w14:paraId="62D50E5A" w14:textId="77777777" w:rsidR="00E73EE8" w:rsidRPr="002A3FE4" w:rsidRDefault="00E73EE8" w:rsidP="00AB046D">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59%</w:t>
            </w:r>
          </w:p>
        </w:tc>
      </w:tr>
    </w:tbl>
    <w:p w14:paraId="36590FCF" w14:textId="519F7098" w:rsidR="00E73EE8" w:rsidRPr="002A3FE4" w:rsidRDefault="00E73EE8" w:rsidP="00496B34">
      <w:pPr>
        <w:pStyle w:val="Tabellbeskrivning"/>
        <w:rPr>
          <w:i/>
        </w:rPr>
      </w:pPr>
      <w:r w:rsidRPr="002A3FE4">
        <w:t xml:space="preserve">Sources: </w:t>
      </w:r>
      <w:r w:rsidR="003175C2" w:rsidRPr="002A3FE4">
        <w:t xml:space="preserve">Database, built on probate inventories from 12 judicial district archives, as described in Table </w:t>
      </w:r>
      <w:r w:rsidR="00FB3D1C">
        <w:t>1</w:t>
      </w:r>
      <w:r w:rsidR="003175C2" w:rsidRPr="002A3FE4">
        <w:t xml:space="preserve"> in the main body of the paper. </w:t>
      </w:r>
      <w:r w:rsidRPr="002A3FE4">
        <w:t>All values in 1800 prices. Consumer price index from Edvinsson and Söderberg (2010).</w:t>
      </w:r>
      <w:r w:rsidR="003175C2" w:rsidRPr="002A3FE4">
        <w:t xml:space="preserve"> Ages estimated using probate inventories (age when stated; age of children), complemented with deathbooks from 161 parish archives.</w:t>
      </w:r>
    </w:p>
    <w:p w14:paraId="6554EBFC" w14:textId="77777777" w:rsidR="00AB046D" w:rsidRPr="002A3FE4" w:rsidRDefault="00AB046D" w:rsidP="00496B34">
      <w:pPr>
        <w:pStyle w:val="Tabellbeskrivning"/>
      </w:pPr>
    </w:p>
    <w:p w14:paraId="01D0192D" w14:textId="77777777" w:rsidR="00931B9A" w:rsidRPr="002A3FE4" w:rsidRDefault="00E73EE8" w:rsidP="006246CE">
      <w:pPr>
        <w:spacing w:after="0" w:line="480" w:lineRule="auto"/>
        <w:ind w:firstLine="0"/>
        <w:jc w:val="both"/>
        <w:rPr>
          <w:rStyle w:val="rynqvb"/>
          <w:sz w:val="24"/>
          <w:szCs w:val="24"/>
          <w:lang w:val="en-GB"/>
        </w:rPr>
      </w:pPr>
      <w:r w:rsidRPr="002A3FE4">
        <w:rPr>
          <w:rStyle w:val="rynqvb"/>
          <w:sz w:val="24"/>
          <w:szCs w:val="24"/>
          <w:lang w:val="en-GB"/>
        </w:rPr>
        <w:t>Farmers’ wealth grew quite rapidly over time, but there was a great deal of inequality among farmers.</w:t>
      </w:r>
      <w:r w:rsidRPr="002A3FE4">
        <w:rPr>
          <w:rStyle w:val="hwtze"/>
          <w:sz w:val="24"/>
          <w:szCs w:val="24"/>
          <w:lang w:val="en-GB"/>
        </w:rPr>
        <w:t xml:space="preserve"> </w:t>
      </w:r>
      <w:r w:rsidR="00931B9A" w:rsidRPr="002A3FE4">
        <w:rPr>
          <w:rStyle w:val="hwtze"/>
          <w:sz w:val="24"/>
          <w:szCs w:val="24"/>
          <w:lang w:val="en-GB"/>
        </w:rPr>
        <w:t>Like Table A1, Table A2 also shows that tenants of the nobility were poorer than other farmers. I</w:t>
      </w:r>
      <w:r w:rsidRPr="002A3FE4">
        <w:rPr>
          <w:rStyle w:val="hwtze"/>
          <w:sz w:val="24"/>
          <w:szCs w:val="24"/>
          <w:lang w:val="en-GB"/>
        </w:rPr>
        <w:t>n our first period of analysis (1670–1720), the wealth of the tenants of the nobility (</w:t>
      </w:r>
      <w:r w:rsidRPr="002A3FE4">
        <w:rPr>
          <w:rStyle w:val="hwtze"/>
          <w:i/>
          <w:iCs/>
          <w:sz w:val="24"/>
          <w:szCs w:val="24"/>
          <w:lang w:val="en-GB"/>
        </w:rPr>
        <w:t>frälsebönder</w:t>
      </w:r>
      <w:r w:rsidRPr="002A3FE4">
        <w:rPr>
          <w:rStyle w:val="hwtze"/>
          <w:sz w:val="24"/>
          <w:szCs w:val="24"/>
          <w:lang w:val="en-GB"/>
        </w:rPr>
        <w:t>) was a third lower than the wealth of the freeholders and crown tenants (</w:t>
      </w:r>
      <w:r w:rsidRPr="002A3FE4">
        <w:rPr>
          <w:rStyle w:val="rynqvb"/>
          <w:i/>
          <w:iCs/>
          <w:sz w:val="24"/>
          <w:szCs w:val="24"/>
          <w:lang w:val="en-GB"/>
        </w:rPr>
        <w:t>skattebönder</w:t>
      </w:r>
      <w:r w:rsidRPr="002A3FE4">
        <w:rPr>
          <w:rStyle w:val="rynqvb"/>
          <w:sz w:val="24"/>
          <w:szCs w:val="24"/>
          <w:lang w:val="en-GB"/>
        </w:rPr>
        <w:t xml:space="preserve"> and </w:t>
      </w:r>
      <w:r w:rsidRPr="002A3FE4">
        <w:rPr>
          <w:rStyle w:val="rynqvb"/>
          <w:i/>
          <w:iCs/>
          <w:sz w:val="24"/>
          <w:szCs w:val="24"/>
          <w:lang w:val="en-GB"/>
        </w:rPr>
        <w:t>kronobönder</w:t>
      </w:r>
      <w:r w:rsidRPr="002A3FE4">
        <w:rPr>
          <w:rStyle w:val="rynqvb"/>
          <w:sz w:val="24"/>
          <w:szCs w:val="24"/>
          <w:lang w:val="en-GB"/>
        </w:rPr>
        <w:t xml:space="preserve">). </w:t>
      </w:r>
    </w:p>
    <w:p w14:paraId="44FC4FFF" w14:textId="7D039EAC" w:rsidR="00E73EE8" w:rsidRPr="002A3FE4" w:rsidRDefault="00E73EE8" w:rsidP="006246CE">
      <w:pPr>
        <w:spacing w:after="0" w:line="480" w:lineRule="auto"/>
        <w:ind w:firstLine="720"/>
        <w:jc w:val="both"/>
        <w:rPr>
          <w:rStyle w:val="rynqvb"/>
          <w:sz w:val="24"/>
          <w:szCs w:val="24"/>
          <w:lang w:val="en-GB"/>
        </w:rPr>
      </w:pPr>
      <w:r w:rsidRPr="002A3FE4">
        <w:rPr>
          <w:rStyle w:val="rynqvb"/>
          <w:sz w:val="24"/>
          <w:szCs w:val="24"/>
          <w:lang w:val="en-GB"/>
        </w:rPr>
        <w:t xml:space="preserve">This finding contrasts with earlier research, which has often seen both groups as equivalent up to the mid-eighteenth century (Olsson 2005) and attributed the divergence to the </w:t>
      </w:r>
      <w:r w:rsidRPr="002A3FE4">
        <w:rPr>
          <w:rStyle w:val="rynqvb"/>
          <w:sz w:val="24"/>
          <w:szCs w:val="24"/>
          <w:lang w:val="en-GB"/>
        </w:rPr>
        <w:lastRenderedPageBreak/>
        <w:t>favourable development of taxes (paid by freeholders) compared to the land rents paid by tenants of the nobility in the eighteenth and early nineteenth centuries.</w:t>
      </w:r>
      <w:r w:rsidRPr="002A3FE4">
        <w:rPr>
          <w:rStyle w:val="hwtze"/>
          <w:sz w:val="24"/>
          <w:szCs w:val="24"/>
          <w:lang w:val="en-GB"/>
        </w:rPr>
        <w:t xml:space="preserve"> The l</w:t>
      </w:r>
      <w:r w:rsidRPr="002A3FE4">
        <w:rPr>
          <w:rStyle w:val="rynqvb"/>
          <w:sz w:val="24"/>
          <w:szCs w:val="24"/>
          <w:lang w:val="en-GB"/>
        </w:rPr>
        <w:t>and rent, in the form of tax, fell for owner-occupiers and crown tenants successively, from 30–</w:t>
      </w:r>
      <w:r w:rsidR="0095092F" w:rsidRPr="002A3FE4">
        <w:rPr>
          <w:rStyle w:val="rynqvb"/>
          <w:sz w:val="24"/>
          <w:szCs w:val="24"/>
          <w:lang w:val="en-GB"/>
        </w:rPr>
        <w:t>3</w:t>
      </w:r>
      <w:r w:rsidRPr="002A3FE4">
        <w:rPr>
          <w:rStyle w:val="rynqvb"/>
          <w:sz w:val="24"/>
          <w:szCs w:val="24"/>
          <w:lang w:val="en-GB"/>
        </w:rPr>
        <w:t>5 per cent of the household's gross return at the end of the seventeenth century to less than 10 per cent 200 years later.</w:t>
      </w:r>
      <w:r w:rsidRPr="002A3FE4">
        <w:rPr>
          <w:rStyle w:val="hwtze"/>
          <w:sz w:val="24"/>
          <w:szCs w:val="24"/>
          <w:lang w:val="en-GB"/>
        </w:rPr>
        <w:t xml:space="preserve"> This is in sharp contrast to </w:t>
      </w:r>
      <w:r w:rsidRPr="002A3FE4">
        <w:rPr>
          <w:rStyle w:val="rynqvb"/>
          <w:sz w:val="24"/>
          <w:szCs w:val="24"/>
          <w:lang w:val="en-GB"/>
        </w:rPr>
        <w:t xml:space="preserve">the tenants of the nobility whose landowners were able to increase the </w:t>
      </w:r>
      <w:r w:rsidRPr="002A3FE4">
        <w:rPr>
          <w:rStyle w:val="rynqvb"/>
          <w:i/>
          <w:iCs/>
          <w:sz w:val="24"/>
          <w:szCs w:val="24"/>
          <w:lang w:val="en-GB"/>
        </w:rPr>
        <w:t>corvée</w:t>
      </w:r>
      <w:r w:rsidRPr="002A3FE4">
        <w:rPr>
          <w:rStyle w:val="rynqvb"/>
          <w:sz w:val="24"/>
          <w:szCs w:val="24"/>
          <w:lang w:val="en-GB"/>
        </w:rPr>
        <w:t xml:space="preserve"> labour and other rent forms; consequently, their land rent remained at the level of 30–40 per cent of the household's gross production (Olsson 2005). The increase in wealth up to 1780 (Table </w:t>
      </w:r>
      <w:r w:rsidR="00931B9A" w:rsidRPr="002A3FE4">
        <w:rPr>
          <w:rStyle w:val="rynqvb"/>
          <w:sz w:val="24"/>
          <w:szCs w:val="24"/>
          <w:lang w:val="en-GB"/>
        </w:rPr>
        <w:t>A</w:t>
      </w:r>
      <w:r w:rsidRPr="002A3FE4">
        <w:rPr>
          <w:rStyle w:val="rynqvb"/>
          <w:sz w:val="24"/>
          <w:szCs w:val="24"/>
          <w:lang w:val="en-GB"/>
        </w:rPr>
        <w:t>2) was quite similar for the various peasant groups, but a renewed strong differentiation took place thereafter until 1860. In the 1860s, the owner-occupiers and crown tenants were almost four times richer than those of the tenants of the nobility.</w:t>
      </w:r>
      <w:r w:rsidRPr="002A3FE4">
        <w:rPr>
          <w:rStyle w:val="hwtze"/>
          <w:sz w:val="24"/>
          <w:szCs w:val="24"/>
          <w:lang w:val="en-GB"/>
        </w:rPr>
        <w:t xml:space="preserve"> Their advantage was the direct result of more favourable taxation and of the fact that productivity developed more favourably for freeholders compared to tenants of the nobility during the agrarian revolution — the latter driven by the former, by the incentives given by taxation and land rents</w:t>
      </w:r>
      <w:r w:rsidRPr="002A3FE4">
        <w:rPr>
          <w:rStyle w:val="rynqvb"/>
          <w:sz w:val="24"/>
          <w:szCs w:val="24"/>
          <w:lang w:val="en-GB"/>
        </w:rPr>
        <w:t xml:space="preserve"> (Olsson and Svensson 2010, p. 293). </w:t>
      </w:r>
    </w:p>
    <w:p w14:paraId="1E95B4CB" w14:textId="77777777" w:rsidR="00E73EE8" w:rsidRPr="002A3FE4" w:rsidRDefault="00E73EE8" w:rsidP="006246CE">
      <w:pPr>
        <w:spacing w:after="0" w:line="480" w:lineRule="auto"/>
        <w:jc w:val="both"/>
        <w:rPr>
          <w:rStyle w:val="rynqvb"/>
          <w:sz w:val="24"/>
          <w:szCs w:val="24"/>
          <w:lang w:val="en-GB"/>
        </w:rPr>
      </w:pPr>
      <w:r w:rsidRPr="002A3FE4">
        <w:rPr>
          <w:rStyle w:val="rynqvb"/>
          <w:sz w:val="24"/>
          <w:szCs w:val="24"/>
          <w:lang w:val="en-GB"/>
        </w:rPr>
        <w:t xml:space="preserve">An interesting difference within the peasant farmer group is that the livestock of the tenants of the nobility actually outnumbered the livestock of the peasant farmer reference group in the 1780s and 1860s. This is not shown in the tables, but the reference farmers had on average 2.8, 3.7, and 2.3 horses at the three benchmark years, and tenants of the nobility 3.0, 4.5, and 2.9. The same figures for cattle (including oxen) were 10.1, 7.9, and 4.8 as compared to 6.8, 7.8, and 6.1. This is most likely an effect of the </w:t>
      </w:r>
      <w:r w:rsidRPr="002A3FE4">
        <w:rPr>
          <w:rStyle w:val="rynqvb"/>
          <w:i/>
          <w:iCs/>
          <w:sz w:val="24"/>
          <w:szCs w:val="24"/>
          <w:lang w:val="en-GB"/>
        </w:rPr>
        <w:t>corvée</w:t>
      </w:r>
      <w:r w:rsidRPr="002A3FE4">
        <w:rPr>
          <w:rStyle w:val="rynqvb"/>
          <w:sz w:val="24"/>
          <w:szCs w:val="24"/>
          <w:lang w:val="en-GB"/>
        </w:rPr>
        <w:t xml:space="preserve"> system. The tenants of the nobility would plough and tend not only the fields of their own farm, but also the demesne of the manor, which required more draught animals. It was exactly during this time, from the late eighteenth century to the mid-nineteenth century, that the number of </w:t>
      </w:r>
      <w:r w:rsidRPr="002A3FE4">
        <w:rPr>
          <w:rStyle w:val="rynqvb"/>
          <w:i/>
          <w:iCs/>
          <w:sz w:val="24"/>
          <w:szCs w:val="24"/>
          <w:lang w:val="en-GB"/>
        </w:rPr>
        <w:t>corvée</w:t>
      </w:r>
      <w:r w:rsidRPr="002A3FE4">
        <w:rPr>
          <w:rStyle w:val="rynqvb"/>
          <w:sz w:val="24"/>
          <w:szCs w:val="24"/>
          <w:lang w:val="en-GB"/>
        </w:rPr>
        <w:t xml:space="preserve"> days per tenant increased sharply, from around 100 to more than 300 days per year. To meet these demands, they were also forced to hire extra farmhands (Olsson 2006).</w:t>
      </w:r>
    </w:p>
    <w:p w14:paraId="70458A56" w14:textId="4CEC2DD6" w:rsidR="00E73EE8" w:rsidRPr="002A3FE4" w:rsidRDefault="00E73EE8" w:rsidP="006246CE">
      <w:pPr>
        <w:spacing w:after="0" w:line="480" w:lineRule="auto"/>
        <w:jc w:val="both"/>
        <w:rPr>
          <w:rStyle w:val="rynqvb"/>
          <w:sz w:val="24"/>
          <w:szCs w:val="24"/>
          <w:lang w:val="en-GB"/>
        </w:rPr>
      </w:pPr>
      <w:r w:rsidRPr="002A3FE4">
        <w:rPr>
          <w:rStyle w:val="rynqvb"/>
          <w:sz w:val="24"/>
          <w:szCs w:val="24"/>
          <w:lang w:val="en-GB"/>
        </w:rPr>
        <w:lastRenderedPageBreak/>
        <w:t>The uneven development among the farmers was partly due to real estate values, which in 1860 constituted about half of the freeholder and crown tenant group’s gross values and just over a third of the trustees’ (Table A</w:t>
      </w:r>
      <w:r w:rsidR="006B344A" w:rsidRPr="002A3FE4">
        <w:rPr>
          <w:rStyle w:val="rynqvb"/>
          <w:sz w:val="24"/>
          <w:szCs w:val="24"/>
          <w:lang w:val="en-GB"/>
        </w:rPr>
        <w:t>2</w:t>
      </w:r>
      <w:r w:rsidRPr="002A3FE4">
        <w:rPr>
          <w:rStyle w:val="rynqvb"/>
          <w:sz w:val="24"/>
          <w:szCs w:val="24"/>
          <w:lang w:val="en-GB"/>
        </w:rPr>
        <w:t>).</w:t>
      </w:r>
      <w:r w:rsidRPr="002A3FE4">
        <w:rPr>
          <w:rStyle w:val="hwtze"/>
          <w:sz w:val="24"/>
          <w:szCs w:val="24"/>
          <w:lang w:val="en-GB"/>
        </w:rPr>
        <w:t xml:space="preserve"> </w:t>
      </w:r>
      <w:r w:rsidRPr="002A3FE4">
        <w:rPr>
          <w:rStyle w:val="rynqvb"/>
          <w:sz w:val="24"/>
          <w:szCs w:val="24"/>
          <w:lang w:val="en-GB"/>
        </w:rPr>
        <w:t>But the differentiation was equally strong when it comes to movables. For the differentiation among the peasant farmers, earlier research has pointed at explanations like security in tenure, natural conditions and productive capacity, and the ability to adapt production to the growing markets for agricultural produce (Bengtsson and Svensson 2019).</w:t>
      </w:r>
    </w:p>
    <w:p w14:paraId="36D90718" w14:textId="77777777" w:rsidR="00E73EE8" w:rsidRPr="002A3FE4" w:rsidRDefault="00E73EE8" w:rsidP="006246CE">
      <w:pPr>
        <w:spacing w:after="0" w:line="480" w:lineRule="auto"/>
        <w:jc w:val="both"/>
        <w:rPr>
          <w:rFonts w:eastAsia="Times New Roman"/>
          <w:sz w:val="24"/>
          <w:szCs w:val="24"/>
          <w:lang w:val="en-GB"/>
        </w:rPr>
      </w:pPr>
      <w:r w:rsidRPr="002A3FE4">
        <w:rPr>
          <w:rStyle w:val="rynqvb"/>
          <w:sz w:val="24"/>
          <w:szCs w:val="24"/>
          <w:lang w:val="en-GB"/>
        </w:rPr>
        <w:t xml:space="preserve">As differences grew between different kinds of farmers, inequality within the farmer group grew. Table A3 shows that the Gini coefficient among the farmers in our sample increased from 0.45 in the 1670–1720 period and 0.48 in the 1780s to 0.60 in the 1860s. </w:t>
      </w:r>
      <w:r w:rsidRPr="002A3FE4">
        <w:rPr>
          <w:rFonts w:eastAsia="Times New Roman"/>
          <w:sz w:val="24"/>
          <w:szCs w:val="24"/>
          <w:lang w:val="en-GB"/>
        </w:rPr>
        <w:t>The initial low level of inequality found among farmers fits with some previous research, such as Linde’s (2000) argument based on tax data that stratification among farmers in Närke county in the 1710s was limited. Lindström (2008), on the other hand, studying a parish in central Sweden, found a high level of inequality already in the 1620s, with a relatively stable level until the 1820s. Using taxes on animals, Lindström found, for example, that a single farmer in 1631 could own 8 horses, 12 oxen, 19 cows, 30 sheep, and 17 pigs. This was more animals than the wealthiest farmer in the parish had in 1812, and Lindström (2008, p. 92) argued that inequality within the farmer class in this parish had no growing tendency over this period.</w:t>
      </w:r>
      <w:r w:rsidRPr="002A3FE4">
        <w:rPr>
          <w:rStyle w:val="Fotnotsreferens"/>
          <w:rFonts w:eastAsia="Times New Roman"/>
          <w:sz w:val="24"/>
          <w:szCs w:val="24"/>
          <w:lang w:val="en-GB"/>
        </w:rPr>
        <w:footnoteReference w:id="1"/>
      </w:r>
      <w:r w:rsidRPr="002A3FE4">
        <w:rPr>
          <w:rFonts w:eastAsia="Times New Roman"/>
          <w:sz w:val="24"/>
          <w:szCs w:val="24"/>
          <w:lang w:val="en-GB"/>
        </w:rPr>
        <w:t xml:space="preserve"> For Sweden as a whole, Bengtsson et al. (2018) found a Gini coefficient of net wealth of 0.57 of farmers in 1750, 0.71 in 1800, 0.77 in 1850, and 0.80 in 1900. Since these figures are on the national level, they are not directly comparable to ours, but the trend of growing inequality at least from the 1780s to the 1860s is similar in our sample. </w:t>
      </w:r>
    </w:p>
    <w:p w14:paraId="3ED794A6" w14:textId="77777777" w:rsidR="00126323" w:rsidRPr="002A3FE4" w:rsidRDefault="00126323" w:rsidP="00496B34">
      <w:pPr>
        <w:spacing w:after="0"/>
        <w:rPr>
          <w:rFonts w:eastAsia="Times New Roman"/>
          <w:sz w:val="24"/>
          <w:szCs w:val="24"/>
          <w:lang w:val="en-GB"/>
        </w:rPr>
      </w:pPr>
    </w:p>
    <w:p w14:paraId="635CF6D8" w14:textId="77777777" w:rsidR="00E73EE8" w:rsidRPr="002A3FE4" w:rsidRDefault="00E73EE8" w:rsidP="00496B34">
      <w:pPr>
        <w:ind w:firstLine="0"/>
        <w:rPr>
          <w:rFonts w:eastAsiaTheme="majorEastAsia"/>
          <w:b/>
          <w:bCs/>
          <w:sz w:val="24"/>
          <w:szCs w:val="24"/>
          <w:lang w:val="en-GB"/>
        </w:rPr>
      </w:pPr>
      <w:r w:rsidRPr="002A3FE4">
        <w:rPr>
          <w:rFonts w:eastAsiaTheme="majorEastAsia"/>
          <w:b/>
          <w:bCs/>
          <w:sz w:val="24"/>
          <w:szCs w:val="24"/>
          <w:lang w:val="en-GB"/>
        </w:rPr>
        <w:lastRenderedPageBreak/>
        <w:t>Table A3. Inequality among peasant farmers</w:t>
      </w:r>
    </w:p>
    <w:tbl>
      <w:tblPr>
        <w:tblStyle w:val="Rutntstabell1ljus"/>
        <w:tblW w:w="4248" w:type="dxa"/>
        <w:tblLayout w:type="fixed"/>
        <w:tblLook w:val="04A0" w:firstRow="1" w:lastRow="0" w:firstColumn="1" w:lastColumn="0" w:noHBand="0" w:noVBand="1"/>
      </w:tblPr>
      <w:tblGrid>
        <w:gridCol w:w="1129"/>
        <w:gridCol w:w="1560"/>
        <w:gridCol w:w="1559"/>
      </w:tblGrid>
      <w:tr w:rsidR="002A3FE4" w:rsidRPr="002A3FE4" w14:paraId="63DA0225" w14:textId="77777777" w:rsidTr="005C4704">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76B52F" w14:textId="77777777" w:rsidR="00E73EE8" w:rsidRPr="002A3FE4" w:rsidRDefault="00E73EE8" w:rsidP="00AB046D">
            <w:pPr>
              <w:ind w:firstLine="0"/>
              <w:jc w:val="center"/>
              <w:rPr>
                <w:rFonts w:eastAsia="Times New Roman"/>
                <w:lang w:val="en-GB" w:eastAsia="sv-SE"/>
              </w:rPr>
            </w:pPr>
            <w:r w:rsidRPr="002A3FE4">
              <w:rPr>
                <w:rFonts w:eastAsia="Times New Roman"/>
                <w:lang w:val="en-GB" w:eastAsia="sv-SE"/>
              </w:rPr>
              <w:t>Period</w:t>
            </w:r>
          </w:p>
        </w:tc>
        <w:tc>
          <w:tcPr>
            <w:tcW w:w="1560" w:type="dxa"/>
            <w:noWrap/>
            <w:hideMark/>
          </w:tcPr>
          <w:p w14:paraId="65117116" w14:textId="77777777" w:rsidR="00E73EE8" w:rsidRPr="002A3FE4" w:rsidRDefault="00E73EE8" w:rsidP="00AB046D">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Top 10% share of wealth</w:t>
            </w:r>
          </w:p>
        </w:tc>
        <w:tc>
          <w:tcPr>
            <w:tcW w:w="1559" w:type="dxa"/>
          </w:tcPr>
          <w:p w14:paraId="692C4EDA" w14:textId="77777777" w:rsidR="00E73EE8" w:rsidRPr="002A3FE4" w:rsidRDefault="00E73EE8" w:rsidP="00AB046D">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Gini coefficient</w:t>
            </w:r>
          </w:p>
        </w:tc>
      </w:tr>
      <w:tr w:rsidR="002A3FE4" w:rsidRPr="002A3FE4" w14:paraId="0DE7E6AA" w14:textId="77777777" w:rsidTr="005C4704">
        <w:trPr>
          <w:trHeight w:val="28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91366F" w14:textId="77777777" w:rsidR="00E73EE8" w:rsidRPr="002A3FE4" w:rsidRDefault="00E73EE8" w:rsidP="006D16D0">
            <w:pPr>
              <w:ind w:firstLine="0"/>
              <w:jc w:val="left"/>
              <w:rPr>
                <w:rFonts w:eastAsia="Times New Roman"/>
                <w:lang w:val="en-GB" w:eastAsia="sv-SE"/>
              </w:rPr>
            </w:pPr>
            <w:r w:rsidRPr="002A3FE4">
              <w:rPr>
                <w:rFonts w:eastAsia="Times New Roman"/>
                <w:lang w:val="en-GB" w:eastAsia="sv-SE"/>
              </w:rPr>
              <w:t>1670–1720</w:t>
            </w:r>
          </w:p>
        </w:tc>
        <w:tc>
          <w:tcPr>
            <w:tcW w:w="1560" w:type="dxa"/>
            <w:noWrap/>
            <w:hideMark/>
          </w:tcPr>
          <w:p w14:paraId="06E216DF" w14:textId="77777777" w:rsidR="00E73EE8" w:rsidRPr="002A3FE4" w:rsidRDefault="00E73EE8" w:rsidP="00AB046D">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35%</w:t>
            </w:r>
          </w:p>
        </w:tc>
        <w:tc>
          <w:tcPr>
            <w:tcW w:w="1559" w:type="dxa"/>
          </w:tcPr>
          <w:p w14:paraId="2A94149F" w14:textId="77777777" w:rsidR="00E73EE8" w:rsidRPr="002A3FE4" w:rsidRDefault="00E73EE8" w:rsidP="00AB046D">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0.45</w:t>
            </w:r>
          </w:p>
        </w:tc>
      </w:tr>
      <w:tr w:rsidR="002A3FE4" w:rsidRPr="002A3FE4" w14:paraId="756AAF8C" w14:textId="77777777" w:rsidTr="005C4704">
        <w:trPr>
          <w:trHeight w:val="28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488C580" w14:textId="77777777" w:rsidR="00E73EE8" w:rsidRPr="002A3FE4" w:rsidRDefault="00E73EE8" w:rsidP="006D16D0">
            <w:pPr>
              <w:ind w:firstLine="0"/>
              <w:jc w:val="left"/>
              <w:rPr>
                <w:rFonts w:eastAsia="Times New Roman"/>
                <w:lang w:val="en-GB" w:eastAsia="sv-SE"/>
              </w:rPr>
            </w:pPr>
            <w:r w:rsidRPr="002A3FE4">
              <w:rPr>
                <w:rFonts w:eastAsia="Times New Roman"/>
                <w:lang w:val="en-GB" w:eastAsia="sv-SE"/>
              </w:rPr>
              <w:t>1780s</w:t>
            </w:r>
          </w:p>
        </w:tc>
        <w:tc>
          <w:tcPr>
            <w:tcW w:w="1560" w:type="dxa"/>
            <w:noWrap/>
            <w:hideMark/>
          </w:tcPr>
          <w:p w14:paraId="5E0D8CC0" w14:textId="77777777" w:rsidR="00E73EE8" w:rsidRPr="002A3FE4" w:rsidRDefault="00E73EE8" w:rsidP="00AB046D">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37%</w:t>
            </w:r>
          </w:p>
        </w:tc>
        <w:tc>
          <w:tcPr>
            <w:tcW w:w="1559" w:type="dxa"/>
          </w:tcPr>
          <w:p w14:paraId="48DD8601" w14:textId="77777777" w:rsidR="00E73EE8" w:rsidRPr="002A3FE4" w:rsidRDefault="00E73EE8" w:rsidP="00AB046D">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0.48</w:t>
            </w:r>
          </w:p>
        </w:tc>
      </w:tr>
      <w:tr w:rsidR="002A3FE4" w:rsidRPr="002A3FE4" w14:paraId="205297CC" w14:textId="77777777" w:rsidTr="005C4704">
        <w:trPr>
          <w:trHeight w:val="28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DD903D" w14:textId="77777777" w:rsidR="00E73EE8" w:rsidRPr="002A3FE4" w:rsidRDefault="00E73EE8" w:rsidP="006D16D0">
            <w:pPr>
              <w:ind w:firstLine="0"/>
              <w:jc w:val="left"/>
              <w:rPr>
                <w:rFonts w:eastAsia="Times New Roman"/>
                <w:lang w:val="en-GB" w:eastAsia="sv-SE"/>
              </w:rPr>
            </w:pPr>
            <w:r w:rsidRPr="002A3FE4">
              <w:rPr>
                <w:rFonts w:eastAsia="Times New Roman"/>
                <w:lang w:val="en-GB" w:eastAsia="sv-SE"/>
              </w:rPr>
              <w:t>1860s</w:t>
            </w:r>
          </w:p>
        </w:tc>
        <w:tc>
          <w:tcPr>
            <w:tcW w:w="1560" w:type="dxa"/>
            <w:noWrap/>
            <w:hideMark/>
          </w:tcPr>
          <w:p w14:paraId="06F329BD" w14:textId="77777777" w:rsidR="00E73EE8" w:rsidRPr="002A3FE4" w:rsidRDefault="00E73EE8" w:rsidP="00AB046D">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48%</w:t>
            </w:r>
          </w:p>
        </w:tc>
        <w:tc>
          <w:tcPr>
            <w:tcW w:w="1559" w:type="dxa"/>
          </w:tcPr>
          <w:p w14:paraId="3994E644" w14:textId="77777777" w:rsidR="00E73EE8" w:rsidRPr="002A3FE4" w:rsidRDefault="00E73EE8" w:rsidP="00AB046D">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0.60</w:t>
            </w:r>
          </w:p>
        </w:tc>
      </w:tr>
    </w:tbl>
    <w:p w14:paraId="1B961F77" w14:textId="14021BB6" w:rsidR="00E73EE8" w:rsidRPr="002A3FE4" w:rsidRDefault="00E73EE8" w:rsidP="00496B34">
      <w:pPr>
        <w:pStyle w:val="Tabellbeskrivning"/>
      </w:pPr>
      <w:r w:rsidRPr="002A3FE4">
        <w:t xml:space="preserve">Sources: </w:t>
      </w:r>
      <w:r w:rsidR="003175C2" w:rsidRPr="002A3FE4">
        <w:t xml:space="preserve">Database, built on probate inventories from 12 judicial district archives, as described in Table </w:t>
      </w:r>
      <w:r w:rsidR="00FB3D1C">
        <w:t>1</w:t>
      </w:r>
      <w:r w:rsidR="003175C2" w:rsidRPr="002A3FE4">
        <w:t xml:space="preserve"> in the main body of the paper.</w:t>
      </w:r>
    </w:p>
    <w:p w14:paraId="6941CE1A" w14:textId="77777777" w:rsidR="00E73EE8" w:rsidRPr="002A3FE4" w:rsidRDefault="00E73EE8" w:rsidP="00496B34">
      <w:pPr>
        <w:pStyle w:val="Tabellbeskrivning"/>
      </w:pPr>
    </w:p>
    <w:p w14:paraId="1BBDDCCB" w14:textId="1F841B18" w:rsidR="00335306" w:rsidRPr="002A3FE4" w:rsidRDefault="00335306" w:rsidP="001505DC">
      <w:pPr>
        <w:spacing w:after="0" w:line="480" w:lineRule="auto"/>
        <w:ind w:firstLine="0"/>
        <w:jc w:val="both"/>
        <w:rPr>
          <w:rStyle w:val="rynqvb"/>
          <w:sz w:val="24"/>
          <w:szCs w:val="24"/>
          <w:lang w:val="en-GB"/>
        </w:rPr>
      </w:pPr>
      <w:r w:rsidRPr="002A3FE4">
        <w:rPr>
          <w:rStyle w:val="rynqvb"/>
          <w:sz w:val="24"/>
          <w:szCs w:val="24"/>
          <w:lang w:val="en-GB"/>
        </w:rPr>
        <w:t>Table A4 breaks down the wealth development of Table 3 in the main body of the paper, for various working-class groups</w:t>
      </w:r>
      <w:r w:rsidRPr="002A3FE4">
        <w:rPr>
          <w:rStyle w:val="rynqvb"/>
          <w:i/>
          <w:iCs/>
          <w:sz w:val="24"/>
          <w:szCs w:val="24"/>
          <w:lang w:val="en-GB"/>
        </w:rPr>
        <w:t>.</w:t>
      </w:r>
      <w:r w:rsidRPr="002A3FE4">
        <w:rPr>
          <w:rStyle w:val="rynqvb"/>
          <w:sz w:val="24"/>
          <w:szCs w:val="24"/>
          <w:lang w:val="en-GB"/>
        </w:rPr>
        <w:t xml:space="preserve"> For the unspecified landless and semi-landless, we lack titles.</w:t>
      </w:r>
      <w:r w:rsidRPr="002A3FE4">
        <w:rPr>
          <w:rStyle w:val="hwtze"/>
          <w:sz w:val="24"/>
          <w:szCs w:val="24"/>
          <w:lang w:val="en-GB"/>
        </w:rPr>
        <w:t xml:space="preserve"> </w:t>
      </w:r>
      <w:r w:rsidRPr="002A3FE4">
        <w:rPr>
          <w:rStyle w:val="rynqvb"/>
          <w:sz w:val="24"/>
          <w:szCs w:val="24"/>
          <w:lang w:val="en-GB"/>
        </w:rPr>
        <w:t>They are the poorest of all the groups in our sample, and in 1780 and 1860 they are also the oldest, apart from retired farmers.</w:t>
      </w:r>
      <w:r w:rsidRPr="002A3FE4">
        <w:rPr>
          <w:rStyle w:val="hwtze"/>
          <w:sz w:val="24"/>
          <w:szCs w:val="24"/>
          <w:lang w:val="en-GB"/>
        </w:rPr>
        <w:t xml:space="preserve"> </w:t>
      </w:r>
      <w:r w:rsidRPr="002A3FE4">
        <w:rPr>
          <w:rStyle w:val="rynqvb"/>
          <w:sz w:val="24"/>
          <w:szCs w:val="24"/>
          <w:lang w:val="en-GB"/>
        </w:rPr>
        <w:t>The unspecified landless thus increasingly consisted of elderly poor people without any organized pension benefits or with very low ones;</w:t>
      </w:r>
      <w:r w:rsidRPr="002A3FE4">
        <w:rPr>
          <w:rStyle w:val="hwtze"/>
          <w:sz w:val="24"/>
          <w:szCs w:val="24"/>
          <w:lang w:val="en-GB"/>
        </w:rPr>
        <w:t xml:space="preserve"> </w:t>
      </w:r>
      <w:r w:rsidRPr="002A3FE4">
        <w:rPr>
          <w:rStyle w:val="rynqvb"/>
          <w:sz w:val="24"/>
          <w:szCs w:val="24"/>
          <w:lang w:val="en-GB"/>
        </w:rPr>
        <w:t>in most cases, they were former crofters and labourers. (Cf. Söderberg’s discussion of the difference between “proletarian” and “marginal” groups in the Swedish countryside of the nineteenth century: Söderberg 1978, pp. 126–133.)</w:t>
      </w:r>
    </w:p>
    <w:p w14:paraId="76125F61" w14:textId="77777777" w:rsidR="007331B4" w:rsidRPr="002A3FE4" w:rsidRDefault="007331B4" w:rsidP="001505DC">
      <w:pPr>
        <w:jc w:val="both"/>
        <w:rPr>
          <w:rFonts w:eastAsiaTheme="majorEastAsia"/>
          <w:b/>
          <w:bCs/>
          <w:sz w:val="24"/>
          <w:szCs w:val="24"/>
          <w:lang w:val="en-GB"/>
        </w:rPr>
      </w:pPr>
      <w:r w:rsidRPr="002A3FE4">
        <w:rPr>
          <w:rFonts w:eastAsiaTheme="majorEastAsia"/>
          <w:b/>
          <w:bCs/>
          <w:sz w:val="24"/>
          <w:szCs w:val="24"/>
          <w:lang w:val="en-GB"/>
        </w:rPr>
        <w:br w:type="page"/>
      </w:r>
    </w:p>
    <w:p w14:paraId="1C8CAC4A" w14:textId="24666091" w:rsidR="00E73EE8" w:rsidRPr="002A3FE4" w:rsidRDefault="00E73EE8" w:rsidP="00496B34">
      <w:pPr>
        <w:ind w:firstLine="0"/>
        <w:rPr>
          <w:rFonts w:eastAsiaTheme="majorEastAsia"/>
          <w:b/>
          <w:bCs/>
          <w:sz w:val="24"/>
          <w:szCs w:val="24"/>
          <w:lang w:val="en-GB"/>
        </w:rPr>
      </w:pPr>
      <w:r w:rsidRPr="002A3FE4">
        <w:rPr>
          <w:rFonts w:eastAsiaTheme="majorEastAsia"/>
          <w:b/>
          <w:bCs/>
          <w:sz w:val="24"/>
          <w:szCs w:val="24"/>
          <w:lang w:val="en-GB"/>
        </w:rPr>
        <w:lastRenderedPageBreak/>
        <w:t xml:space="preserve">Table A4. Wealth development for </w:t>
      </w:r>
      <w:r w:rsidR="006246CE">
        <w:rPr>
          <w:rFonts w:eastAsiaTheme="majorEastAsia"/>
          <w:b/>
          <w:bCs/>
          <w:sz w:val="24"/>
          <w:szCs w:val="24"/>
          <w:lang w:val="en-GB"/>
        </w:rPr>
        <w:t>labourer</w:t>
      </w:r>
      <w:r w:rsidRPr="002A3FE4">
        <w:rPr>
          <w:rFonts w:eastAsiaTheme="majorEastAsia"/>
          <w:b/>
          <w:bCs/>
          <w:sz w:val="24"/>
          <w:szCs w:val="24"/>
          <w:lang w:val="en-GB"/>
        </w:rPr>
        <w:t xml:space="preserve"> subcategories</w:t>
      </w:r>
    </w:p>
    <w:tbl>
      <w:tblPr>
        <w:tblStyle w:val="Rutntstabell1ljus"/>
        <w:tblW w:w="10263" w:type="dxa"/>
        <w:tblLayout w:type="fixed"/>
        <w:tblLook w:val="04A0" w:firstRow="1" w:lastRow="0" w:firstColumn="1" w:lastColumn="0" w:noHBand="0" w:noVBand="1"/>
      </w:tblPr>
      <w:tblGrid>
        <w:gridCol w:w="1555"/>
        <w:gridCol w:w="843"/>
        <w:gridCol w:w="716"/>
        <w:gridCol w:w="850"/>
        <w:gridCol w:w="851"/>
        <w:gridCol w:w="850"/>
        <w:gridCol w:w="851"/>
        <w:gridCol w:w="1027"/>
        <w:gridCol w:w="1021"/>
        <w:gridCol w:w="873"/>
        <w:gridCol w:w="826"/>
      </w:tblGrid>
      <w:tr w:rsidR="002A3FE4" w:rsidRPr="002A3FE4" w14:paraId="4523306A" w14:textId="77777777" w:rsidTr="005C470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BBA5B7D" w14:textId="77777777" w:rsidR="00E73EE8" w:rsidRPr="002A3FE4" w:rsidRDefault="00E73EE8" w:rsidP="00496B34">
            <w:pPr>
              <w:ind w:firstLine="0"/>
              <w:jc w:val="center"/>
              <w:rPr>
                <w:rFonts w:eastAsia="Times New Roman"/>
                <w:lang w:val="en-GB" w:eastAsia="sv-SE"/>
              </w:rPr>
            </w:pPr>
          </w:p>
        </w:tc>
        <w:tc>
          <w:tcPr>
            <w:tcW w:w="843" w:type="dxa"/>
            <w:noWrap/>
            <w:hideMark/>
          </w:tcPr>
          <w:p w14:paraId="1754A4A0"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Period</w:t>
            </w:r>
          </w:p>
        </w:tc>
        <w:tc>
          <w:tcPr>
            <w:tcW w:w="716" w:type="dxa"/>
            <w:noWrap/>
            <w:hideMark/>
          </w:tcPr>
          <w:p w14:paraId="253C5C47"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No.</w:t>
            </w:r>
          </w:p>
        </w:tc>
        <w:tc>
          <w:tcPr>
            <w:tcW w:w="850" w:type="dxa"/>
            <w:noWrap/>
            <w:hideMark/>
          </w:tcPr>
          <w:p w14:paraId="17ACD494"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Age at death</w:t>
            </w:r>
          </w:p>
        </w:tc>
        <w:tc>
          <w:tcPr>
            <w:tcW w:w="851" w:type="dxa"/>
            <w:noWrap/>
            <w:hideMark/>
          </w:tcPr>
          <w:p w14:paraId="5C6401DD"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Gross value</w:t>
            </w:r>
          </w:p>
        </w:tc>
        <w:tc>
          <w:tcPr>
            <w:tcW w:w="850" w:type="dxa"/>
            <w:noWrap/>
            <w:hideMark/>
          </w:tcPr>
          <w:p w14:paraId="03A85BCC"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Net value</w:t>
            </w:r>
          </w:p>
        </w:tc>
        <w:tc>
          <w:tcPr>
            <w:tcW w:w="851" w:type="dxa"/>
            <w:noWrap/>
            <w:hideMark/>
          </w:tcPr>
          <w:p w14:paraId="6CD652C9"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Real estate value</w:t>
            </w:r>
          </w:p>
        </w:tc>
        <w:tc>
          <w:tcPr>
            <w:tcW w:w="1027" w:type="dxa"/>
            <w:noWrap/>
            <w:hideMark/>
          </w:tcPr>
          <w:p w14:paraId="7532D344"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Production assets, share of gross</w:t>
            </w:r>
          </w:p>
        </w:tc>
        <w:tc>
          <w:tcPr>
            <w:tcW w:w="1021" w:type="dxa"/>
            <w:noWrap/>
            <w:hideMark/>
          </w:tcPr>
          <w:p w14:paraId="39DFC76C"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Consumable assets, share of gross</w:t>
            </w:r>
          </w:p>
        </w:tc>
        <w:tc>
          <w:tcPr>
            <w:tcW w:w="873" w:type="dxa"/>
            <w:noWrap/>
            <w:hideMark/>
          </w:tcPr>
          <w:p w14:paraId="58F24D7A"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Claims, share of gross</w:t>
            </w:r>
          </w:p>
        </w:tc>
        <w:tc>
          <w:tcPr>
            <w:tcW w:w="826" w:type="dxa"/>
            <w:noWrap/>
            <w:hideMark/>
          </w:tcPr>
          <w:p w14:paraId="629339F4" w14:textId="77777777" w:rsidR="00E73EE8" w:rsidRPr="002A3FE4" w:rsidRDefault="00E73EE8"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Debts, share of gross</w:t>
            </w:r>
          </w:p>
        </w:tc>
      </w:tr>
      <w:tr w:rsidR="002A3FE4" w:rsidRPr="002A3FE4" w14:paraId="51A1A3B5"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72052620" w14:textId="77777777" w:rsidR="00E73EE8" w:rsidRPr="002A3FE4" w:rsidRDefault="00E73EE8" w:rsidP="006D16D0">
            <w:pPr>
              <w:ind w:firstLine="0"/>
              <w:jc w:val="left"/>
              <w:rPr>
                <w:rFonts w:eastAsia="Times New Roman"/>
                <w:lang w:val="en-GB" w:eastAsia="sv-SE"/>
              </w:rPr>
            </w:pPr>
            <w:r w:rsidRPr="002A3FE4">
              <w:rPr>
                <w:rFonts w:eastAsia="Times New Roman"/>
                <w:lang w:val="en-GB" w:eastAsia="sv-SE"/>
              </w:rPr>
              <w:t>Crofters and cottagers</w:t>
            </w:r>
          </w:p>
        </w:tc>
        <w:tc>
          <w:tcPr>
            <w:tcW w:w="843" w:type="dxa"/>
            <w:noWrap/>
            <w:hideMark/>
          </w:tcPr>
          <w:p w14:paraId="4A948EB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716" w:type="dxa"/>
            <w:noWrap/>
            <w:hideMark/>
          </w:tcPr>
          <w:p w14:paraId="4034BEE7"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w:t>
            </w:r>
          </w:p>
        </w:tc>
        <w:tc>
          <w:tcPr>
            <w:tcW w:w="850" w:type="dxa"/>
            <w:noWrap/>
            <w:hideMark/>
          </w:tcPr>
          <w:p w14:paraId="428C8061"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51" w:type="dxa"/>
            <w:noWrap/>
            <w:hideMark/>
          </w:tcPr>
          <w:p w14:paraId="2325E8A0"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135</w:t>
            </w:r>
          </w:p>
        </w:tc>
        <w:tc>
          <w:tcPr>
            <w:tcW w:w="850" w:type="dxa"/>
            <w:noWrap/>
            <w:hideMark/>
          </w:tcPr>
          <w:p w14:paraId="0059FE5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119</w:t>
            </w:r>
          </w:p>
        </w:tc>
        <w:tc>
          <w:tcPr>
            <w:tcW w:w="851" w:type="dxa"/>
            <w:noWrap/>
            <w:hideMark/>
          </w:tcPr>
          <w:p w14:paraId="1780377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19</w:t>
            </w:r>
          </w:p>
        </w:tc>
        <w:tc>
          <w:tcPr>
            <w:tcW w:w="1027" w:type="dxa"/>
            <w:noWrap/>
            <w:hideMark/>
          </w:tcPr>
          <w:p w14:paraId="2CDD7A00"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78%</w:t>
            </w:r>
          </w:p>
        </w:tc>
        <w:tc>
          <w:tcPr>
            <w:tcW w:w="1021" w:type="dxa"/>
            <w:noWrap/>
            <w:hideMark/>
          </w:tcPr>
          <w:p w14:paraId="479E0DB3"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22%</w:t>
            </w:r>
          </w:p>
        </w:tc>
        <w:tc>
          <w:tcPr>
            <w:tcW w:w="873" w:type="dxa"/>
            <w:noWrap/>
            <w:hideMark/>
          </w:tcPr>
          <w:p w14:paraId="158064D2"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w:t>
            </w:r>
          </w:p>
        </w:tc>
        <w:tc>
          <w:tcPr>
            <w:tcW w:w="826" w:type="dxa"/>
            <w:noWrap/>
            <w:hideMark/>
          </w:tcPr>
          <w:p w14:paraId="79A88921"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21%</w:t>
            </w:r>
          </w:p>
        </w:tc>
      </w:tr>
      <w:tr w:rsidR="002A3FE4" w:rsidRPr="002A3FE4" w14:paraId="163FB13B"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4112462C" w14:textId="77777777" w:rsidR="00E73EE8" w:rsidRPr="002A3FE4" w:rsidRDefault="00E73EE8" w:rsidP="006D16D0">
            <w:pPr>
              <w:ind w:firstLine="0"/>
              <w:jc w:val="right"/>
              <w:rPr>
                <w:rFonts w:eastAsia="Times New Roman"/>
                <w:lang w:val="en-GB" w:eastAsia="sv-SE"/>
              </w:rPr>
            </w:pPr>
          </w:p>
        </w:tc>
        <w:tc>
          <w:tcPr>
            <w:tcW w:w="843" w:type="dxa"/>
            <w:noWrap/>
            <w:hideMark/>
          </w:tcPr>
          <w:p w14:paraId="751AE3A4"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716" w:type="dxa"/>
            <w:noWrap/>
            <w:hideMark/>
          </w:tcPr>
          <w:p w14:paraId="239C0CB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108</w:t>
            </w:r>
          </w:p>
        </w:tc>
        <w:tc>
          <w:tcPr>
            <w:tcW w:w="850" w:type="dxa"/>
            <w:noWrap/>
            <w:hideMark/>
          </w:tcPr>
          <w:p w14:paraId="34A1290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52</w:t>
            </w:r>
          </w:p>
        </w:tc>
        <w:tc>
          <w:tcPr>
            <w:tcW w:w="851" w:type="dxa"/>
            <w:noWrap/>
            <w:hideMark/>
          </w:tcPr>
          <w:p w14:paraId="25B04CE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102</w:t>
            </w:r>
          </w:p>
        </w:tc>
        <w:tc>
          <w:tcPr>
            <w:tcW w:w="850" w:type="dxa"/>
            <w:noWrap/>
            <w:hideMark/>
          </w:tcPr>
          <w:p w14:paraId="778440AA"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76</w:t>
            </w:r>
          </w:p>
        </w:tc>
        <w:tc>
          <w:tcPr>
            <w:tcW w:w="851" w:type="dxa"/>
            <w:noWrap/>
            <w:hideMark/>
          </w:tcPr>
          <w:p w14:paraId="27B1C3C7"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21</w:t>
            </w:r>
          </w:p>
        </w:tc>
        <w:tc>
          <w:tcPr>
            <w:tcW w:w="1027" w:type="dxa"/>
            <w:noWrap/>
            <w:hideMark/>
          </w:tcPr>
          <w:p w14:paraId="69B0733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43%</w:t>
            </w:r>
          </w:p>
        </w:tc>
        <w:tc>
          <w:tcPr>
            <w:tcW w:w="1021" w:type="dxa"/>
            <w:noWrap/>
            <w:hideMark/>
          </w:tcPr>
          <w:p w14:paraId="31421C71"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54%</w:t>
            </w:r>
          </w:p>
        </w:tc>
        <w:tc>
          <w:tcPr>
            <w:tcW w:w="873" w:type="dxa"/>
            <w:noWrap/>
            <w:hideMark/>
          </w:tcPr>
          <w:p w14:paraId="5049EBB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w:t>
            </w:r>
          </w:p>
        </w:tc>
        <w:tc>
          <w:tcPr>
            <w:tcW w:w="826" w:type="dxa"/>
            <w:noWrap/>
            <w:hideMark/>
          </w:tcPr>
          <w:p w14:paraId="3EE5F047"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32%</w:t>
            </w:r>
          </w:p>
        </w:tc>
      </w:tr>
      <w:tr w:rsidR="002A3FE4" w:rsidRPr="002A3FE4" w14:paraId="7B8AE279"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247EEB51" w14:textId="77777777" w:rsidR="00E73EE8" w:rsidRPr="002A3FE4" w:rsidRDefault="00E73EE8" w:rsidP="006D16D0">
            <w:pPr>
              <w:ind w:firstLine="0"/>
              <w:jc w:val="right"/>
              <w:rPr>
                <w:rFonts w:eastAsia="Times New Roman"/>
                <w:lang w:val="en-GB" w:eastAsia="sv-SE"/>
              </w:rPr>
            </w:pPr>
          </w:p>
        </w:tc>
        <w:tc>
          <w:tcPr>
            <w:tcW w:w="843" w:type="dxa"/>
            <w:noWrap/>
            <w:hideMark/>
          </w:tcPr>
          <w:p w14:paraId="341655D2"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716" w:type="dxa"/>
            <w:noWrap/>
            <w:hideMark/>
          </w:tcPr>
          <w:p w14:paraId="57E7397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194</w:t>
            </w:r>
          </w:p>
        </w:tc>
        <w:tc>
          <w:tcPr>
            <w:tcW w:w="850" w:type="dxa"/>
            <w:noWrap/>
            <w:hideMark/>
          </w:tcPr>
          <w:p w14:paraId="5C959FAA"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55</w:t>
            </w:r>
          </w:p>
        </w:tc>
        <w:tc>
          <w:tcPr>
            <w:tcW w:w="851" w:type="dxa"/>
            <w:noWrap/>
            <w:hideMark/>
          </w:tcPr>
          <w:p w14:paraId="731B377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92</w:t>
            </w:r>
          </w:p>
        </w:tc>
        <w:tc>
          <w:tcPr>
            <w:tcW w:w="850" w:type="dxa"/>
            <w:noWrap/>
            <w:hideMark/>
          </w:tcPr>
          <w:p w14:paraId="762CA47A"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52</w:t>
            </w:r>
          </w:p>
        </w:tc>
        <w:tc>
          <w:tcPr>
            <w:tcW w:w="851" w:type="dxa"/>
            <w:noWrap/>
            <w:hideMark/>
          </w:tcPr>
          <w:p w14:paraId="29AED615"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34</w:t>
            </w:r>
          </w:p>
        </w:tc>
        <w:tc>
          <w:tcPr>
            <w:tcW w:w="1027" w:type="dxa"/>
            <w:noWrap/>
            <w:hideMark/>
          </w:tcPr>
          <w:p w14:paraId="33579D8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30%</w:t>
            </w:r>
          </w:p>
        </w:tc>
        <w:tc>
          <w:tcPr>
            <w:tcW w:w="1021" w:type="dxa"/>
            <w:noWrap/>
            <w:hideMark/>
          </w:tcPr>
          <w:p w14:paraId="4343ED5C"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67%</w:t>
            </w:r>
          </w:p>
        </w:tc>
        <w:tc>
          <w:tcPr>
            <w:tcW w:w="873" w:type="dxa"/>
            <w:noWrap/>
            <w:hideMark/>
          </w:tcPr>
          <w:p w14:paraId="1FF5B2AC"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30%</w:t>
            </w:r>
          </w:p>
        </w:tc>
        <w:tc>
          <w:tcPr>
            <w:tcW w:w="826" w:type="dxa"/>
            <w:noWrap/>
            <w:hideMark/>
          </w:tcPr>
          <w:p w14:paraId="2FD43891"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66%</w:t>
            </w:r>
          </w:p>
        </w:tc>
      </w:tr>
      <w:tr w:rsidR="002A3FE4" w:rsidRPr="002A3FE4" w14:paraId="2891ABB2"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1A1F26F5" w14:textId="77777777" w:rsidR="00E73EE8" w:rsidRPr="002A3FE4" w:rsidRDefault="00E73EE8" w:rsidP="006D16D0">
            <w:pPr>
              <w:ind w:firstLine="0"/>
              <w:jc w:val="left"/>
              <w:rPr>
                <w:rFonts w:eastAsia="Times New Roman"/>
                <w:lang w:val="en-GB" w:eastAsia="sv-SE"/>
              </w:rPr>
            </w:pPr>
            <w:r w:rsidRPr="002A3FE4">
              <w:rPr>
                <w:rFonts w:eastAsia="Times New Roman"/>
                <w:lang w:val="en-GB" w:eastAsia="sv-SE"/>
              </w:rPr>
              <w:t>Workers</w:t>
            </w:r>
          </w:p>
        </w:tc>
        <w:tc>
          <w:tcPr>
            <w:tcW w:w="843" w:type="dxa"/>
            <w:noWrap/>
            <w:hideMark/>
          </w:tcPr>
          <w:p w14:paraId="3826472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716" w:type="dxa"/>
            <w:noWrap/>
            <w:hideMark/>
          </w:tcPr>
          <w:p w14:paraId="2F84FF02"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w:t>
            </w:r>
          </w:p>
        </w:tc>
        <w:tc>
          <w:tcPr>
            <w:tcW w:w="850" w:type="dxa"/>
            <w:noWrap/>
            <w:hideMark/>
          </w:tcPr>
          <w:p w14:paraId="1C37C705"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51" w:type="dxa"/>
            <w:noWrap/>
            <w:hideMark/>
          </w:tcPr>
          <w:p w14:paraId="22DAD5B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84</w:t>
            </w:r>
          </w:p>
        </w:tc>
        <w:tc>
          <w:tcPr>
            <w:tcW w:w="850" w:type="dxa"/>
            <w:noWrap/>
            <w:hideMark/>
          </w:tcPr>
          <w:p w14:paraId="4046CC70"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14</w:t>
            </w:r>
          </w:p>
        </w:tc>
        <w:tc>
          <w:tcPr>
            <w:tcW w:w="851" w:type="dxa"/>
            <w:noWrap/>
            <w:hideMark/>
          </w:tcPr>
          <w:p w14:paraId="771DCC89"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w:t>
            </w:r>
          </w:p>
        </w:tc>
        <w:tc>
          <w:tcPr>
            <w:tcW w:w="1027" w:type="dxa"/>
            <w:noWrap/>
            <w:hideMark/>
          </w:tcPr>
          <w:p w14:paraId="4D3C9A88"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37%</w:t>
            </w:r>
          </w:p>
        </w:tc>
        <w:tc>
          <w:tcPr>
            <w:tcW w:w="1021" w:type="dxa"/>
            <w:noWrap/>
            <w:hideMark/>
          </w:tcPr>
          <w:p w14:paraId="29012980"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63%</w:t>
            </w:r>
          </w:p>
        </w:tc>
        <w:tc>
          <w:tcPr>
            <w:tcW w:w="873" w:type="dxa"/>
            <w:noWrap/>
            <w:hideMark/>
          </w:tcPr>
          <w:p w14:paraId="2CA1E207"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w:t>
            </w:r>
          </w:p>
        </w:tc>
        <w:tc>
          <w:tcPr>
            <w:tcW w:w="826" w:type="dxa"/>
            <w:noWrap/>
            <w:hideMark/>
          </w:tcPr>
          <w:p w14:paraId="5968E7CE"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51%</w:t>
            </w:r>
          </w:p>
        </w:tc>
      </w:tr>
      <w:tr w:rsidR="002A3FE4" w:rsidRPr="002A3FE4" w14:paraId="3A8155CC"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777487AE" w14:textId="77777777" w:rsidR="00E73EE8" w:rsidRPr="002A3FE4" w:rsidRDefault="00E73EE8" w:rsidP="006D16D0">
            <w:pPr>
              <w:ind w:firstLine="0"/>
              <w:jc w:val="right"/>
              <w:rPr>
                <w:rFonts w:eastAsia="Times New Roman"/>
                <w:lang w:val="en-GB" w:eastAsia="sv-SE"/>
              </w:rPr>
            </w:pPr>
          </w:p>
        </w:tc>
        <w:tc>
          <w:tcPr>
            <w:tcW w:w="843" w:type="dxa"/>
            <w:noWrap/>
            <w:hideMark/>
          </w:tcPr>
          <w:p w14:paraId="4C860B02"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716" w:type="dxa"/>
            <w:noWrap/>
            <w:hideMark/>
          </w:tcPr>
          <w:p w14:paraId="4D611BA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60</w:t>
            </w:r>
          </w:p>
        </w:tc>
        <w:tc>
          <w:tcPr>
            <w:tcW w:w="850" w:type="dxa"/>
            <w:noWrap/>
            <w:hideMark/>
          </w:tcPr>
          <w:p w14:paraId="216F8E6C"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52</w:t>
            </w:r>
          </w:p>
        </w:tc>
        <w:tc>
          <w:tcPr>
            <w:tcW w:w="851" w:type="dxa"/>
            <w:noWrap/>
            <w:hideMark/>
          </w:tcPr>
          <w:p w14:paraId="4FB77F27"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118</w:t>
            </w:r>
          </w:p>
        </w:tc>
        <w:tc>
          <w:tcPr>
            <w:tcW w:w="850" w:type="dxa"/>
            <w:noWrap/>
            <w:hideMark/>
          </w:tcPr>
          <w:p w14:paraId="4D95E4A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101</w:t>
            </w:r>
          </w:p>
        </w:tc>
        <w:tc>
          <w:tcPr>
            <w:tcW w:w="851" w:type="dxa"/>
            <w:noWrap/>
            <w:hideMark/>
          </w:tcPr>
          <w:p w14:paraId="0A72445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w:t>
            </w:r>
          </w:p>
        </w:tc>
        <w:tc>
          <w:tcPr>
            <w:tcW w:w="1027" w:type="dxa"/>
            <w:noWrap/>
            <w:hideMark/>
          </w:tcPr>
          <w:p w14:paraId="5CB5B897"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29%</w:t>
            </w:r>
          </w:p>
        </w:tc>
        <w:tc>
          <w:tcPr>
            <w:tcW w:w="1021" w:type="dxa"/>
            <w:noWrap/>
            <w:hideMark/>
          </w:tcPr>
          <w:p w14:paraId="42776F04"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60%</w:t>
            </w:r>
          </w:p>
        </w:tc>
        <w:tc>
          <w:tcPr>
            <w:tcW w:w="873" w:type="dxa"/>
            <w:noWrap/>
            <w:hideMark/>
          </w:tcPr>
          <w:p w14:paraId="7AEAD773"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15%</w:t>
            </w:r>
          </w:p>
        </w:tc>
        <w:tc>
          <w:tcPr>
            <w:tcW w:w="826" w:type="dxa"/>
            <w:noWrap/>
            <w:hideMark/>
          </w:tcPr>
          <w:p w14:paraId="1E583F4E"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32%</w:t>
            </w:r>
          </w:p>
        </w:tc>
      </w:tr>
      <w:tr w:rsidR="002A3FE4" w:rsidRPr="002A3FE4" w14:paraId="74528C2B"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0EC5515F" w14:textId="77777777" w:rsidR="00E73EE8" w:rsidRPr="002A3FE4" w:rsidRDefault="00E73EE8" w:rsidP="006D16D0">
            <w:pPr>
              <w:ind w:firstLine="0"/>
              <w:jc w:val="right"/>
              <w:rPr>
                <w:rFonts w:eastAsia="Times New Roman"/>
                <w:lang w:val="en-GB" w:eastAsia="sv-SE"/>
              </w:rPr>
            </w:pPr>
          </w:p>
        </w:tc>
        <w:tc>
          <w:tcPr>
            <w:tcW w:w="843" w:type="dxa"/>
            <w:noWrap/>
            <w:hideMark/>
          </w:tcPr>
          <w:p w14:paraId="42CF7052"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716" w:type="dxa"/>
            <w:noWrap/>
            <w:hideMark/>
          </w:tcPr>
          <w:p w14:paraId="2B14C638"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82</w:t>
            </w:r>
          </w:p>
        </w:tc>
        <w:tc>
          <w:tcPr>
            <w:tcW w:w="850" w:type="dxa"/>
            <w:noWrap/>
            <w:hideMark/>
          </w:tcPr>
          <w:p w14:paraId="5705104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41</w:t>
            </w:r>
          </w:p>
        </w:tc>
        <w:tc>
          <w:tcPr>
            <w:tcW w:w="851" w:type="dxa"/>
            <w:noWrap/>
            <w:hideMark/>
          </w:tcPr>
          <w:p w14:paraId="784F88DA"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144</w:t>
            </w:r>
          </w:p>
        </w:tc>
        <w:tc>
          <w:tcPr>
            <w:tcW w:w="850" w:type="dxa"/>
            <w:noWrap/>
            <w:hideMark/>
          </w:tcPr>
          <w:p w14:paraId="1E421174"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101</w:t>
            </w:r>
          </w:p>
        </w:tc>
        <w:tc>
          <w:tcPr>
            <w:tcW w:w="851" w:type="dxa"/>
            <w:noWrap/>
            <w:hideMark/>
          </w:tcPr>
          <w:p w14:paraId="67A44529"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36</w:t>
            </w:r>
          </w:p>
        </w:tc>
        <w:tc>
          <w:tcPr>
            <w:tcW w:w="1027" w:type="dxa"/>
            <w:noWrap/>
            <w:hideMark/>
          </w:tcPr>
          <w:p w14:paraId="23FE34A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w:t>
            </w:r>
          </w:p>
        </w:tc>
        <w:tc>
          <w:tcPr>
            <w:tcW w:w="1021" w:type="dxa"/>
            <w:noWrap/>
            <w:hideMark/>
          </w:tcPr>
          <w:p w14:paraId="6A379135"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82%</w:t>
            </w:r>
          </w:p>
        </w:tc>
        <w:tc>
          <w:tcPr>
            <w:tcW w:w="873" w:type="dxa"/>
            <w:noWrap/>
            <w:hideMark/>
          </w:tcPr>
          <w:p w14:paraId="70CA9F94"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52%</w:t>
            </w:r>
          </w:p>
        </w:tc>
        <w:tc>
          <w:tcPr>
            <w:tcW w:w="826" w:type="dxa"/>
            <w:noWrap/>
            <w:hideMark/>
          </w:tcPr>
          <w:p w14:paraId="2858DE3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55%</w:t>
            </w:r>
          </w:p>
        </w:tc>
      </w:tr>
      <w:tr w:rsidR="002A3FE4" w:rsidRPr="002A3FE4" w14:paraId="4BDF9BB5"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1DD84ECD" w14:textId="77777777" w:rsidR="00E73EE8" w:rsidRPr="002A3FE4" w:rsidRDefault="00E73EE8" w:rsidP="006D16D0">
            <w:pPr>
              <w:ind w:firstLine="0"/>
              <w:jc w:val="left"/>
              <w:rPr>
                <w:rFonts w:eastAsia="Times New Roman"/>
                <w:lang w:val="en-GB" w:eastAsia="sv-SE"/>
              </w:rPr>
            </w:pPr>
            <w:r w:rsidRPr="002A3FE4">
              <w:rPr>
                <w:rFonts w:eastAsia="Times New Roman"/>
                <w:lang w:val="en-GB" w:eastAsia="sv-SE"/>
              </w:rPr>
              <w:t>Unspecified landless or semi landless</w:t>
            </w:r>
          </w:p>
        </w:tc>
        <w:tc>
          <w:tcPr>
            <w:tcW w:w="843" w:type="dxa"/>
            <w:noWrap/>
            <w:hideMark/>
          </w:tcPr>
          <w:p w14:paraId="0E53C7A5"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716" w:type="dxa"/>
            <w:noWrap/>
            <w:hideMark/>
          </w:tcPr>
          <w:p w14:paraId="3F1ECF1F"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29</w:t>
            </w:r>
          </w:p>
        </w:tc>
        <w:tc>
          <w:tcPr>
            <w:tcW w:w="850" w:type="dxa"/>
            <w:noWrap/>
            <w:hideMark/>
          </w:tcPr>
          <w:p w14:paraId="1BFCAB5C"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45</w:t>
            </w:r>
          </w:p>
        </w:tc>
        <w:tc>
          <w:tcPr>
            <w:tcW w:w="851" w:type="dxa"/>
            <w:noWrap/>
            <w:hideMark/>
          </w:tcPr>
          <w:p w14:paraId="4746ACC2"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47</w:t>
            </w:r>
          </w:p>
        </w:tc>
        <w:tc>
          <w:tcPr>
            <w:tcW w:w="850" w:type="dxa"/>
            <w:noWrap/>
            <w:hideMark/>
          </w:tcPr>
          <w:p w14:paraId="7D5E5B20"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w:t>
            </w:r>
          </w:p>
        </w:tc>
        <w:tc>
          <w:tcPr>
            <w:tcW w:w="851" w:type="dxa"/>
            <w:noWrap/>
            <w:hideMark/>
          </w:tcPr>
          <w:p w14:paraId="27DAD3DC"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w:t>
            </w:r>
          </w:p>
        </w:tc>
        <w:tc>
          <w:tcPr>
            <w:tcW w:w="1027" w:type="dxa"/>
            <w:noWrap/>
            <w:hideMark/>
          </w:tcPr>
          <w:p w14:paraId="10FE74DE"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60%</w:t>
            </w:r>
          </w:p>
        </w:tc>
        <w:tc>
          <w:tcPr>
            <w:tcW w:w="1021" w:type="dxa"/>
            <w:noWrap/>
            <w:hideMark/>
          </w:tcPr>
          <w:p w14:paraId="0CD6293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34%</w:t>
            </w:r>
          </w:p>
        </w:tc>
        <w:tc>
          <w:tcPr>
            <w:tcW w:w="873" w:type="dxa"/>
            <w:noWrap/>
            <w:hideMark/>
          </w:tcPr>
          <w:p w14:paraId="0EF8D2A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w:t>
            </w:r>
          </w:p>
        </w:tc>
        <w:tc>
          <w:tcPr>
            <w:tcW w:w="826" w:type="dxa"/>
            <w:noWrap/>
            <w:hideMark/>
          </w:tcPr>
          <w:p w14:paraId="7AB6A4D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113%</w:t>
            </w:r>
          </w:p>
        </w:tc>
      </w:tr>
      <w:tr w:rsidR="002A3FE4" w:rsidRPr="002A3FE4" w14:paraId="43DCDD06"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5C655E78" w14:textId="77777777" w:rsidR="00E73EE8" w:rsidRPr="002A3FE4" w:rsidRDefault="00E73EE8" w:rsidP="006D16D0">
            <w:pPr>
              <w:ind w:firstLine="0"/>
              <w:jc w:val="right"/>
              <w:rPr>
                <w:rFonts w:eastAsia="Times New Roman"/>
                <w:lang w:val="en-GB" w:eastAsia="sv-SE"/>
              </w:rPr>
            </w:pPr>
          </w:p>
        </w:tc>
        <w:tc>
          <w:tcPr>
            <w:tcW w:w="843" w:type="dxa"/>
            <w:noWrap/>
            <w:hideMark/>
          </w:tcPr>
          <w:p w14:paraId="37E61B21"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716" w:type="dxa"/>
            <w:noWrap/>
            <w:hideMark/>
          </w:tcPr>
          <w:p w14:paraId="11AB8C4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29</w:t>
            </w:r>
          </w:p>
        </w:tc>
        <w:tc>
          <w:tcPr>
            <w:tcW w:w="850" w:type="dxa"/>
            <w:noWrap/>
            <w:hideMark/>
          </w:tcPr>
          <w:p w14:paraId="7D31E1C6"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63</w:t>
            </w:r>
          </w:p>
        </w:tc>
        <w:tc>
          <w:tcPr>
            <w:tcW w:w="851" w:type="dxa"/>
            <w:noWrap/>
            <w:hideMark/>
          </w:tcPr>
          <w:p w14:paraId="7DAF6289"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43</w:t>
            </w:r>
          </w:p>
        </w:tc>
        <w:tc>
          <w:tcPr>
            <w:tcW w:w="850" w:type="dxa"/>
            <w:noWrap/>
            <w:hideMark/>
          </w:tcPr>
          <w:p w14:paraId="4C641A7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25</w:t>
            </w:r>
          </w:p>
        </w:tc>
        <w:tc>
          <w:tcPr>
            <w:tcW w:w="851" w:type="dxa"/>
            <w:noWrap/>
            <w:hideMark/>
          </w:tcPr>
          <w:p w14:paraId="3758AC23"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w:t>
            </w:r>
          </w:p>
        </w:tc>
        <w:tc>
          <w:tcPr>
            <w:tcW w:w="1027" w:type="dxa"/>
            <w:noWrap/>
            <w:hideMark/>
          </w:tcPr>
          <w:p w14:paraId="5FD0912E"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32%</w:t>
            </w:r>
          </w:p>
        </w:tc>
        <w:tc>
          <w:tcPr>
            <w:tcW w:w="1021" w:type="dxa"/>
            <w:noWrap/>
            <w:hideMark/>
          </w:tcPr>
          <w:p w14:paraId="5F5E8313"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59%</w:t>
            </w:r>
          </w:p>
        </w:tc>
        <w:tc>
          <w:tcPr>
            <w:tcW w:w="873" w:type="dxa"/>
            <w:noWrap/>
            <w:hideMark/>
          </w:tcPr>
          <w:p w14:paraId="47D76949"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w:t>
            </w:r>
          </w:p>
        </w:tc>
        <w:tc>
          <w:tcPr>
            <w:tcW w:w="826" w:type="dxa"/>
            <w:noWrap/>
            <w:hideMark/>
          </w:tcPr>
          <w:p w14:paraId="2DEEF940"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83%</w:t>
            </w:r>
          </w:p>
        </w:tc>
      </w:tr>
      <w:tr w:rsidR="002A3FE4" w:rsidRPr="002A3FE4" w14:paraId="1F58665A" w14:textId="77777777" w:rsidTr="005C4704">
        <w:trPr>
          <w:trHeight w:val="290"/>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0B1801AE" w14:textId="77777777" w:rsidR="00E73EE8" w:rsidRPr="002A3FE4" w:rsidRDefault="00E73EE8" w:rsidP="006D16D0">
            <w:pPr>
              <w:ind w:firstLine="0"/>
              <w:jc w:val="right"/>
              <w:rPr>
                <w:rFonts w:eastAsia="Times New Roman"/>
                <w:lang w:val="en-GB" w:eastAsia="sv-SE"/>
              </w:rPr>
            </w:pPr>
          </w:p>
        </w:tc>
        <w:tc>
          <w:tcPr>
            <w:tcW w:w="843" w:type="dxa"/>
            <w:noWrap/>
            <w:hideMark/>
          </w:tcPr>
          <w:p w14:paraId="3305232A"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716" w:type="dxa"/>
            <w:noWrap/>
            <w:hideMark/>
          </w:tcPr>
          <w:p w14:paraId="6722C983"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68</w:t>
            </w:r>
          </w:p>
        </w:tc>
        <w:tc>
          <w:tcPr>
            <w:tcW w:w="850" w:type="dxa"/>
            <w:noWrap/>
            <w:hideMark/>
          </w:tcPr>
          <w:p w14:paraId="3C999CD4"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66</w:t>
            </w:r>
          </w:p>
        </w:tc>
        <w:tc>
          <w:tcPr>
            <w:tcW w:w="851" w:type="dxa"/>
            <w:noWrap/>
            <w:hideMark/>
          </w:tcPr>
          <w:p w14:paraId="6C223C9E"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49</w:t>
            </w:r>
          </w:p>
        </w:tc>
        <w:tc>
          <w:tcPr>
            <w:tcW w:w="850" w:type="dxa"/>
            <w:noWrap/>
            <w:hideMark/>
          </w:tcPr>
          <w:p w14:paraId="787C5DC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25</w:t>
            </w:r>
          </w:p>
        </w:tc>
        <w:tc>
          <w:tcPr>
            <w:tcW w:w="851" w:type="dxa"/>
            <w:noWrap/>
            <w:hideMark/>
          </w:tcPr>
          <w:p w14:paraId="56276A99"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w:t>
            </w:r>
          </w:p>
        </w:tc>
        <w:tc>
          <w:tcPr>
            <w:tcW w:w="1027" w:type="dxa"/>
            <w:noWrap/>
            <w:hideMark/>
          </w:tcPr>
          <w:p w14:paraId="4131436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22%</w:t>
            </w:r>
          </w:p>
        </w:tc>
        <w:tc>
          <w:tcPr>
            <w:tcW w:w="1021" w:type="dxa"/>
            <w:noWrap/>
            <w:hideMark/>
          </w:tcPr>
          <w:p w14:paraId="19F49041"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74%</w:t>
            </w:r>
          </w:p>
        </w:tc>
        <w:tc>
          <w:tcPr>
            <w:tcW w:w="873" w:type="dxa"/>
            <w:noWrap/>
            <w:hideMark/>
          </w:tcPr>
          <w:p w14:paraId="564ED76B"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62%</w:t>
            </w:r>
          </w:p>
        </w:tc>
        <w:tc>
          <w:tcPr>
            <w:tcW w:w="826" w:type="dxa"/>
            <w:noWrap/>
            <w:hideMark/>
          </w:tcPr>
          <w:p w14:paraId="29AAFA7D" w14:textId="77777777" w:rsidR="00E73EE8" w:rsidRPr="002A3FE4" w:rsidRDefault="00E73EE8" w:rsidP="006D16D0">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79%</w:t>
            </w:r>
          </w:p>
        </w:tc>
      </w:tr>
    </w:tbl>
    <w:p w14:paraId="1D5B557A" w14:textId="6D78F7AC" w:rsidR="00E73EE8" w:rsidRPr="002A3FE4" w:rsidRDefault="00E73EE8" w:rsidP="00496B34">
      <w:pPr>
        <w:pStyle w:val="Tabellbeskrivning"/>
      </w:pPr>
      <w:r w:rsidRPr="002A3FE4">
        <w:t xml:space="preserve">Sources: </w:t>
      </w:r>
      <w:r w:rsidR="003175C2" w:rsidRPr="002A3FE4">
        <w:t xml:space="preserve">Database, built on probate inventories from 12 judicial district archives, as described in Table </w:t>
      </w:r>
      <w:r w:rsidR="00FB3D1C">
        <w:t>1</w:t>
      </w:r>
      <w:r w:rsidR="003175C2" w:rsidRPr="002A3FE4">
        <w:t xml:space="preserve"> in the main body of the paper. </w:t>
      </w:r>
      <w:r w:rsidRPr="002A3FE4">
        <w:t>All values in 1800 prices. Consumer price index from Edvinsson and Söderberg (2010). Before 1720, the unspecified landless is the biggest group in the working-class sample, which must be attributed to lack of titles in the sources. Their (low) mean age is built on only seven individuals.</w:t>
      </w:r>
    </w:p>
    <w:p w14:paraId="53EAE76F" w14:textId="77777777" w:rsidR="00E73EE8" w:rsidRPr="002A3FE4" w:rsidRDefault="00E73EE8" w:rsidP="00496B34">
      <w:pPr>
        <w:spacing w:after="120"/>
        <w:ind w:left="851" w:hanging="851"/>
        <w:rPr>
          <w:sz w:val="24"/>
          <w:szCs w:val="24"/>
          <w:lang w:val="en-GB"/>
        </w:rPr>
      </w:pPr>
    </w:p>
    <w:p w14:paraId="44F09C6B" w14:textId="4324A993" w:rsidR="0013115C" w:rsidRPr="002A3FE4" w:rsidRDefault="0013115C" w:rsidP="00496B34">
      <w:pPr>
        <w:pStyle w:val="Rubrik2"/>
        <w:rPr>
          <w:rStyle w:val="rynqvb"/>
          <w:lang w:val="en-GB"/>
        </w:rPr>
      </w:pPr>
      <w:r w:rsidRPr="002A3FE4">
        <w:rPr>
          <w:rStyle w:val="rynqvb"/>
          <w:lang w:val="en-GB"/>
        </w:rPr>
        <w:t>The role of retirees</w:t>
      </w:r>
    </w:p>
    <w:p w14:paraId="4D894583" w14:textId="2C287E86" w:rsidR="00312B55" w:rsidRPr="002A3FE4" w:rsidRDefault="00BD0BBF" w:rsidP="001505DC">
      <w:pPr>
        <w:spacing w:after="0" w:line="480" w:lineRule="auto"/>
        <w:ind w:firstLine="0"/>
        <w:jc w:val="both"/>
        <w:rPr>
          <w:rStyle w:val="rynqvb"/>
          <w:sz w:val="24"/>
          <w:szCs w:val="24"/>
          <w:lang w:val="en-GB"/>
        </w:rPr>
      </w:pPr>
      <w:r w:rsidRPr="002A3FE4">
        <w:rPr>
          <w:rStyle w:val="rynqvb"/>
          <w:sz w:val="24"/>
          <w:szCs w:val="24"/>
          <w:lang w:val="en-GB"/>
        </w:rPr>
        <w:t xml:space="preserve">A classic methodological critique of studies based on probate inventories is that they disproportionally capture old people who are not economically active anymore (Gadd 1983, p. 54). This would be a big problem for our research, as we are interested in productive capacity and strategies of economically active households, and so we have spent much energy and time on finding the ages of the probated people in the </w:t>
      </w:r>
      <w:r w:rsidR="006F30B7" w:rsidRPr="002A3FE4">
        <w:rPr>
          <w:rStyle w:val="rynqvb"/>
          <w:sz w:val="24"/>
          <w:szCs w:val="24"/>
          <w:lang w:val="en-GB"/>
        </w:rPr>
        <w:t>church books</w:t>
      </w:r>
      <w:r w:rsidRPr="002A3FE4">
        <w:rPr>
          <w:rStyle w:val="rynqvb"/>
          <w:sz w:val="24"/>
          <w:szCs w:val="24"/>
          <w:lang w:val="en-GB"/>
        </w:rPr>
        <w:t xml:space="preserve">. </w:t>
      </w:r>
      <w:r w:rsidR="00312B55" w:rsidRPr="002A3FE4">
        <w:rPr>
          <w:rStyle w:val="rynqvb"/>
          <w:sz w:val="24"/>
          <w:szCs w:val="24"/>
          <w:lang w:val="en-GB"/>
        </w:rPr>
        <w:t xml:space="preserve">Altogether, 161 parishes’ </w:t>
      </w:r>
      <w:r w:rsidR="006F30B7" w:rsidRPr="002A3FE4">
        <w:rPr>
          <w:rStyle w:val="rynqvb"/>
          <w:sz w:val="24"/>
          <w:szCs w:val="24"/>
          <w:lang w:val="en-GB"/>
        </w:rPr>
        <w:t>church books</w:t>
      </w:r>
      <w:r w:rsidR="00312B55" w:rsidRPr="002A3FE4">
        <w:rPr>
          <w:rStyle w:val="rynqvb"/>
          <w:sz w:val="24"/>
          <w:szCs w:val="24"/>
          <w:lang w:val="en-GB"/>
        </w:rPr>
        <w:t xml:space="preserve"> were used; the full list is in the reference list of this Appendix.</w:t>
      </w:r>
    </w:p>
    <w:p w14:paraId="7DD920C7" w14:textId="698184A1" w:rsidR="00DC17EB" w:rsidRPr="002A3FE4" w:rsidRDefault="00DC17EB" w:rsidP="001505DC">
      <w:pPr>
        <w:spacing w:after="0" w:line="480" w:lineRule="auto"/>
        <w:ind w:firstLine="720"/>
        <w:jc w:val="both"/>
        <w:rPr>
          <w:sz w:val="24"/>
          <w:szCs w:val="24"/>
          <w:lang w:val="en-GB"/>
        </w:rPr>
      </w:pPr>
      <w:r w:rsidRPr="002A3FE4">
        <w:rPr>
          <w:sz w:val="24"/>
          <w:szCs w:val="24"/>
          <w:lang w:val="en-GB"/>
        </w:rPr>
        <w:t xml:space="preserve">Combining information from the probates with information from the church books, we found the certain age for 16 per cent of the probated for the first period, 76 per cent for the second period, and 93 per cent for the third period. Given the importance of the probate inventory for the distribution of inheritance, the inventory almost always states if the deceased had children, and we have used this information to code if any children were adult or minor. This information can be used to roughly classify the age of the deceased when the exact age is missing in the sources. To ascertain that the households we analyse in the main analyses are of </w:t>
      </w:r>
      <w:r w:rsidRPr="002A3FE4">
        <w:rPr>
          <w:sz w:val="24"/>
          <w:szCs w:val="24"/>
          <w:lang w:val="en-GB"/>
        </w:rPr>
        <w:lastRenderedPageBreak/>
        <w:t>working age, we combine stated age, children’s ages, and, in the lack of that information, the lack of expected goods. For example, a deceased man with the stated occupation farmer but without farming tools is most likely a retiree.</w:t>
      </w:r>
    </w:p>
    <w:p w14:paraId="28560EE0" w14:textId="77777777" w:rsidR="00CA6E72" w:rsidRPr="002A3FE4" w:rsidRDefault="00CA6E72" w:rsidP="001505DC">
      <w:pPr>
        <w:spacing w:after="0" w:line="480" w:lineRule="auto"/>
        <w:ind w:firstLine="0"/>
        <w:jc w:val="both"/>
        <w:rPr>
          <w:rStyle w:val="rynqvb"/>
          <w:sz w:val="24"/>
          <w:szCs w:val="24"/>
          <w:lang w:val="en-GB"/>
        </w:rPr>
      </w:pPr>
    </w:p>
    <w:p w14:paraId="2230E506" w14:textId="6C1F6547" w:rsidR="00CA6E72" w:rsidRPr="002A3FE4" w:rsidRDefault="00CA6E72" w:rsidP="00496B34">
      <w:pPr>
        <w:ind w:firstLine="0"/>
        <w:rPr>
          <w:rFonts w:eastAsiaTheme="majorEastAsia"/>
          <w:b/>
          <w:bCs/>
          <w:sz w:val="24"/>
          <w:szCs w:val="24"/>
          <w:lang w:val="en-GB"/>
        </w:rPr>
      </w:pPr>
      <w:r w:rsidRPr="002A3FE4">
        <w:rPr>
          <w:rFonts w:eastAsiaTheme="majorEastAsia"/>
          <w:b/>
          <w:bCs/>
          <w:sz w:val="24"/>
          <w:szCs w:val="24"/>
          <w:lang w:val="en-GB"/>
        </w:rPr>
        <w:t>Table A</w:t>
      </w:r>
      <w:r w:rsidR="006F30B7" w:rsidRPr="002A3FE4">
        <w:rPr>
          <w:rFonts w:eastAsiaTheme="majorEastAsia"/>
          <w:b/>
          <w:bCs/>
          <w:sz w:val="24"/>
          <w:szCs w:val="24"/>
          <w:lang w:val="en-GB"/>
        </w:rPr>
        <w:t>5</w:t>
      </w:r>
      <w:r w:rsidRPr="002A3FE4">
        <w:rPr>
          <w:rFonts w:eastAsiaTheme="majorEastAsia"/>
          <w:b/>
          <w:bCs/>
          <w:sz w:val="24"/>
          <w:szCs w:val="24"/>
          <w:lang w:val="en-GB"/>
        </w:rPr>
        <w:t>. Wealth development for retired farmers</w:t>
      </w:r>
    </w:p>
    <w:tbl>
      <w:tblPr>
        <w:tblStyle w:val="Rutntstabell1ljus"/>
        <w:tblW w:w="10204" w:type="dxa"/>
        <w:tblLayout w:type="fixed"/>
        <w:tblLook w:val="04A0" w:firstRow="1" w:lastRow="0" w:firstColumn="1" w:lastColumn="0" w:noHBand="0" w:noVBand="1"/>
      </w:tblPr>
      <w:tblGrid>
        <w:gridCol w:w="1387"/>
        <w:gridCol w:w="842"/>
        <w:gridCol w:w="842"/>
        <w:gridCol w:w="842"/>
        <w:gridCol w:w="842"/>
        <w:gridCol w:w="842"/>
        <w:gridCol w:w="842"/>
        <w:gridCol w:w="974"/>
        <w:gridCol w:w="1113"/>
        <w:gridCol w:w="873"/>
        <w:gridCol w:w="805"/>
      </w:tblGrid>
      <w:tr w:rsidR="002A3FE4" w:rsidRPr="002A3FE4" w14:paraId="5C65A79E" w14:textId="77777777" w:rsidTr="00CB244F">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87" w:type="dxa"/>
            <w:noWrap/>
            <w:hideMark/>
          </w:tcPr>
          <w:p w14:paraId="48CED60B" w14:textId="77777777" w:rsidR="00CA6E72" w:rsidRPr="002A3FE4" w:rsidRDefault="00CA6E72" w:rsidP="00496B34">
            <w:pPr>
              <w:ind w:firstLine="0"/>
              <w:jc w:val="center"/>
              <w:rPr>
                <w:rFonts w:eastAsia="Times New Roman"/>
                <w:lang w:val="en-GB" w:eastAsia="sv-SE"/>
              </w:rPr>
            </w:pPr>
          </w:p>
        </w:tc>
        <w:tc>
          <w:tcPr>
            <w:tcW w:w="842" w:type="dxa"/>
            <w:noWrap/>
            <w:hideMark/>
          </w:tcPr>
          <w:p w14:paraId="41F64D0C"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Period</w:t>
            </w:r>
          </w:p>
        </w:tc>
        <w:tc>
          <w:tcPr>
            <w:tcW w:w="842" w:type="dxa"/>
            <w:noWrap/>
            <w:hideMark/>
          </w:tcPr>
          <w:p w14:paraId="20F6922A"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No.</w:t>
            </w:r>
          </w:p>
        </w:tc>
        <w:tc>
          <w:tcPr>
            <w:tcW w:w="842" w:type="dxa"/>
          </w:tcPr>
          <w:p w14:paraId="2E520FB4"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Age at death</w:t>
            </w:r>
          </w:p>
        </w:tc>
        <w:tc>
          <w:tcPr>
            <w:tcW w:w="842" w:type="dxa"/>
            <w:noWrap/>
            <w:hideMark/>
          </w:tcPr>
          <w:p w14:paraId="1D3139F2"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Gross value</w:t>
            </w:r>
          </w:p>
        </w:tc>
        <w:tc>
          <w:tcPr>
            <w:tcW w:w="842" w:type="dxa"/>
            <w:noWrap/>
            <w:hideMark/>
          </w:tcPr>
          <w:p w14:paraId="0488AC52"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Net value</w:t>
            </w:r>
          </w:p>
        </w:tc>
        <w:tc>
          <w:tcPr>
            <w:tcW w:w="842" w:type="dxa"/>
            <w:noWrap/>
            <w:hideMark/>
          </w:tcPr>
          <w:p w14:paraId="0A476A22"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Real estate value</w:t>
            </w:r>
          </w:p>
        </w:tc>
        <w:tc>
          <w:tcPr>
            <w:tcW w:w="974" w:type="dxa"/>
            <w:noWrap/>
            <w:hideMark/>
          </w:tcPr>
          <w:p w14:paraId="70BF517F"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Production assets, share of gross</w:t>
            </w:r>
          </w:p>
        </w:tc>
        <w:tc>
          <w:tcPr>
            <w:tcW w:w="1113" w:type="dxa"/>
            <w:noWrap/>
            <w:hideMark/>
          </w:tcPr>
          <w:p w14:paraId="76A66959"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Consumable assets, share of gross</w:t>
            </w:r>
          </w:p>
        </w:tc>
        <w:tc>
          <w:tcPr>
            <w:tcW w:w="873" w:type="dxa"/>
            <w:noWrap/>
            <w:hideMark/>
          </w:tcPr>
          <w:p w14:paraId="6924710B"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Claims, share of gross</w:t>
            </w:r>
          </w:p>
        </w:tc>
        <w:tc>
          <w:tcPr>
            <w:tcW w:w="805" w:type="dxa"/>
            <w:noWrap/>
            <w:hideMark/>
          </w:tcPr>
          <w:p w14:paraId="36119A9F" w14:textId="77777777" w:rsidR="00CA6E72" w:rsidRPr="002A3FE4" w:rsidRDefault="00CA6E7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Debts, share of gross</w:t>
            </w:r>
          </w:p>
        </w:tc>
      </w:tr>
      <w:tr w:rsidR="002A3FE4" w:rsidRPr="002A3FE4" w14:paraId="54F98369" w14:textId="77777777" w:rsidTr="00CB244F">
        <w:trPr>
          <w:trHeight w:val="289"/>
        </w:trPr>
        <w:tc>
          <w:tcPr>
            <w:cnfStyle w:val="001000000000" w:firstRow="0" w:lastRow="0" w:firstColumn="1" w:lastColumn="0" w:oddVBand="0" w:evenVBand="0" w:oddHBand="0" w:evenHBand="0" w:firstRowFirstColumn="0" w:firstRowLastColumn="0" w:lastRowFirstColumn="0" w:lastRowLastColumn="0"/>
            <w:tcW w:w="1387" w:type="dxa"/>
            <w:vMerge w:val="restart"/>
            <w:noWrap/>
          </w:tcPr>
          <w:p w14:paraId="42DC3AC8" w14:textId="77777777" w:rsidR="00CA6E72" w:rsidRPr="002A3FE4" w:rsidRDefault="00CA6E72" w:rsidP="00CB244F">
            <w:pPr>
              <w:ind w:firstLine="0"/>
              <w:jc w:val="left"/>
              <w:rPr>
                <w:rFonts w:eastAsia="Times New Roman"/>
                <w:lang w:val="en-GB" w:eastAsia="sv-SE"/>
              </w:rPr>
            </w:pPr>
            <w:r w:rsidRPr="002A3FE4">
              <w:rPr>
                <w:rFonts w:eastAsia="Times New Roman"/>
                <w:lang w:val="en-GB" w:eastAsia="sv-SE"/>
              </w:rPr>
              <w:t>Retirees (</w:t>
            </w:r>
            <w:r w:rsidRPr="002A3FE4">
              <w:rPr>
                <w:rFonts w:eastAsia="Times New Roman"/>
                <w:i/>
                <w:iCs/>
                <w:lang w:val="en-GB" w:eastAsia="sv-SE"/>
              </w:rPr>
              <w:t>undantag</w:t>
            </w:r>
            <w:r w:rsidRPr="002A3FE4">
              <w:rPr>
                <w:rFonts w:eastAsia="Times New Roman"/>
                <w:lang w:val="en-GB" w:eastAsia="sv-SE"/>
              </w:rPr>
              <w:t>)</w:t>
            </w:r>
          </w:p>
        </w:tc>
        <w:tc>
          <w:tcPr>
            <w:tcW w:w="842" w:type="dxa"/>
            <w:noWrap/>
          </w:tcPr>
          <w:p w14:paraId="15C7D117"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842" w:type="dxa"/>
            <w:noWrap/>
          </w:tcPr>
          <w:p w14:paraId="2DAD2F4E"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42" w:type="dxa"/>
          </w:tcPr>
          <w:p w14:paraId="67FC95E8"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42" w:type="dxa"/>
            <w:noWrap/>
          </w:tcPr>
          <w:p w14:paraId="600FC590"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42" w:type="dxa"/>
            <w:noWrap/>
          </w:tcPr>
          <w:p w14:paraId="581B0ECF"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42" w:type="dxa"/>
            <w:noWrap/>
          </w:tcPr>
          <w:p w14:paraId="211411D0"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974" w:type="dxa"/>
            <w:noWrap/>
          </w:tcPr>
          <w:p w14:paraId="19FC20A5"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1113" w:type="dxa"/>
            <w:noWrap/>
          </w:tcPr>
          <w:p w14:paraId="787D29BD"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73" w:type="dxa"/>
            <w:noWrap/>
          </w:tcPr>
          <w:p w14:paraId="74B722A8"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805" w:type="dxa"/>
            <w:noWrap/>
          </w:tcPr>
          <w:p w14:paraId="30B96F8F"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r>
      <w:tr w:rsidR="002A3FE4" w:rsidRPr="002A3FE4" w14:paraId="5ECF25A3" w14:textId="77777777" w:rsidTr="00CB244F">
        <w:trPr>
          <w:trHeight w:val="289"/>
        </w:trPr>
        <w:tc>
          <w:tcPr>
            <w:cnfStyle w:val="001000000000" w:firstRow="0" w:lastRow="0" w:firstColumn="1" w:lastColumn="0" w:oddVBand="0" w:evenVBand="0" w:oddHBand="0" w:evenHBand="0" w:firstRowFirstColumn="0" w:firstRowLastColumn="0" w:lastRowFirstColumn="0" w:lastRowLastColumn="0"/>
            <w:tcW w:w="1387" w:type="dxa"/>
            <w:vMerge/>
            <w:noWrap/>
          </w:tcPr>
          <w:p w14:paraId="03333169" w14:textId="77777777" w:rsidR="00CA6E72" w:rsidRPr="002A3FE4" w:rsidRDefault="00CA6E72" w:rsidP="00CB244F">
            <w:pPr>
              <w:ind w:firstLine="0"/>
              <w:jc w:val="left"/>
              <w:rPr>
                <w:rFonts w:eastAsia="Times New Roman"/>
                <w:lang w:val="en-GB" w:eastAsia="sv-SE"/>
              </w:rPr>
            </w:pPr>
          </w:p>
        </w:tc>
        <w:tc>
          <w:tcPr>
            <w:tcW w:w="842" w:type="dxa"/>
            <w:noWrap/>
          </w:tcPr>
          <w:p w14:paraId="5DFB2996"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842" w:type="dxa"/>
            <w:noWrap/>
          </w:tcPr>
          <w:p w14:paraId="0777524A"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30</w:t>
            </w:r>
          </w:p>
        </w:tc>
        <w:tc>
          <w:tcPr>
            <w:tcW w:w="842" w:type="dxa"/>
          </w:tcPr>
          <w:p w14:paraId="079C8F7E"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65</w:t>
            </w:r>
          </w:p>
        </w:tc>
        <w:tc>
          <w:tcPr>
            <w:tcW w:w="842" w:type="dxa"/>
            <w:noWrap/>
          </w:tcPr>
          <w:p w14:paraId="1C398781"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63</w:t>
            </w:r>
          </w:p>
        </w:tc>
        <w:tc>
          <w:tcPr>
            <w:tcW w:w="842" w:type="dxa"/>
            <w:noWrap/>
          </w:tcPr>
          <w:p w14:paraId="66101237"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39</w:t>
            </w:r>
          </w:p>
        </w:tc>
        <w:tc>
          <w:tcPr>
            <w:tcW w:w="842" w:type="dxa"/>
            <w:noWrap/>
          </w:tcPr>
          <w:p w14:paraId="1197A438"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w:t>
            </w:r>
          </w:p>
        </w:tc>
        <w:tc>
          <w:tcPr>
            <w:tcW w:w="974" w:type="dxa"/>
            <w:noWrap/>
          </w:tcPr>
          <w:p w14:paraId="0183C2D4"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39%</w:t>
            </w:r>
          </w:p>
        </w:tc>
        <w:tc>
          <w:tcPr>
            <w:tcW w:w="1113" w:type="dxa"/>
            <w:noWrap/>
          </w:tcPr>
          <w:p w14:paraId="36D5E142"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54%</w:t>
            </w:r>
          </w:p>
        </w:tc>
        <w:tc>
          <w:tcPr>
            <w:tcW w:w="873" w:type="dxa"/>
            <w:noWrap/>
          </w:tcPr>
          <w:p w14:paraId="462F7B31"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w:t>
            </w:r>
          </w:p>
        </w:tc>
        <w:tc>
          <w:tcPr>
            <w:tcW w:w="805" w:type="dxa"/>
            <w:noWrap/>
          </w:tcPr>
          <w:p w14:paraId="2695E06B"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39%</w:t>
            </w:r>
          </w:p>
        </w:tc>
      </w:tr>
      <w:tr w:rsidR="002A3FE4" w:rsidRPr="002A3FE4" w14:paraId="5DE5D8D1" w14:textId="77777777" w:rsidTr="00CB244F">
        <w:trPr>
          <w:trHeight w:val="289"/>
        </w:trPr>
        <w:tc>
          <w:tcPr>
            <w:cnfStyle w:val="001000000000" w:firstRow="0" w:lastRow="0" w:firstColumn="1" w:lastColumn="0" w:oddVBand="0" w:evenVBand="0" w:oddHBand="0" w:evenHBand="0" w:firstRowFirstColumn="0" w:firstRowLastColumn="0" w:lastRowFirstColumn="0" w:lastRowLastColumn="0"/>
            <w:tcW w:w="1387" w:type="dxa"/>
            <w:vMerge/>
            <w:noWrap/>
          </w:tcPr>
          <w:p w14:paraId="4BE3C3F8" w14:textId="77777777" w:rsidR="00CA6E72" w:rsidRPr="002A3FE4" w:rsidRDefault="00CA6E72" w:rsidP="00CB244F">
            <w:pPr>
              <w:ind w:firstLine="0"/>
              <w:jc w:val="left"/>
              <w:rPr>
                <w:rFonts w:eastAsia="Times New Roman"/>
                <w:lang w:val="en-GB" w:eastAsia="sv-SE"/>
              </w:rPr>
            </w:pPr>
          </w:p>
        </w:tc>
        <w:tc>
          <w:tcPr>
            <w:tcW w:w="842" w:type="dxa"/>
            <w:noWrap/>
          </w:tcPr>
          <w:p w14:paraId="7BE1CE31"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842" w:type="dxa"/>
            <w:noWrap/>
          </w:tcPr>
          <w:p w14:paraId="20B02A7C"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108</w:t>
            </w:r>
          </w:p>
        </w:tc>
        <w:tc>
          <w:tcPr>
            <w:tcW w:w="842" w:type="dxa"/>
          </w:tcPr>
          <w:p w14:paraId="215A941E"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72</w:t>
            </w:r>
          </w:p>
        </w:tc>
        <w:tc>
          <w:tcPr>
            <w:tcW w:w="842" w:type="dxa"/>
            <w:noWrap/>
          </w:tcPr>
          <w:p w14:paraId="2AF0F7CD"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187</w:t>
            </w:r>
          </w:p>
        </w:tc>
        <w:tc>
          <w:tcPr>
            <w:tcW w:w="842" w:type="dxa"/>
            <w:noWrap/>
          </w:tcPr>
          <w:p w14:paraId="795F3016"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158</w:t>
            </w:r>
          </w:p>
        </w:tc>
        <w:tc>
          <w:tcPr>
            <w:tcW w:w="842" w:type="dxa"/>
            <w:noWrap/>
          </w:tcPr>
          <w:p w14:paraId="53C4BA2C"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8</w:t>
            </w:r>
          </w:p>
        </w:tc>
        <w:tc>
          <w:tcPr>
            <w:tcW w:w="974" w:type="dxa"/>
            <w:noWrap/>
          </w:tcPr>
          <w:p w14:paraId="3D26FF54"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23%</w:t>
            </w:r>
          </w:p>
        </w:tc>
        <w:tc>
          <w:tcPr>
            <w:tcW w:w="1113" w:type="dxa"/>
            <w:noWrap/>
          </w:tcPr>
          <w:p w14:paraId="1C1E0F16"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71%</w:t>
            </w:r>
          </w:p>
        </w:tc>
        <w:tc>
          <w:tcPr>
            <w:tcW w:w="873" w:type="dxa"/>
            <w:noWrap/>
          </w:tcPr>
          <w:p w14:paraId="4835831A"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58%</w:t>
            </w:r>
          </w:p>
        </w:tc>
        <w:tc>
          <w:tcPr>
            <w:tcW w:w="805" w:type="dxa"/>
            <w:noWrap/>
          </w:tcPr>
          <w:p w14:paraId="47F35A8E" w14:textId="77777777" w:rsidR="00CA6E72" w:rsidRPr="002A3FE4" w:rsidRDefault="00CA6E72" w:rsidP="00CB244F">
            <w:pPr>
              <w:ind w:firstLine="0"/>
              <w:jc w:val="right"/>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48%</w:t>
            </w:r>
          </w:p>
        </w:tc>
      </w:tr>
    </w:tbl>
    <w:p w14:paraId="55BBC4F5" w14:textId="45A846AB" w:rsidR="00CA6E72" w:rsidRPr="002A3FE4" w:rsidRDefault="00CA6E72" w:rsidP="00496B34">
      <w:pPr>
        <w:pStyle w:val="Tabellbeskrivning"/>
        <w:rPr>
          <w:i/>
        </w:rPr>
      </w:pPr>
      <w:r w:rsidRPr="002A3FE4">
        <w:t xml:space="preserve">Sources: Database, built on probate inventories from 12 judicial district archives, as described in Table </w:t>
      </w:r>
      <w:r w:rsidR="00FB3D1C">
        <w:t>1</w:t>
      </w:r>
      <w:r w:rsidRPr="002A3FE4">
        <w:t xml:space="preserve"> in the main body of the paper. All values in 1800 prices. Consumer price index from Edvinsson and Söderberg (2010).  Ages estimated using probate inventories (age when stated; age of children), complemented with deathbooks from 161 parish archives.</w:t>
      </w:r>
    </w:p>
    <w:p w14:paraId="1F7FCE96" w14:textId="77777777" w:rsidR="00CA6E72" w:rsidRPr="002A3FE4" w:rsidRDefault="00CA6E72" w:rsidP="00496B34">
      <w:pPr>
        <w:spacing w:after="0"/>
        <w:rPr>
          <w:rFonts w:eastAsiaTheme="majorEastAsia"/>
          <w:b/>
          <w:bCs/>
          <w:sz w:val="24"/>
          <w:szCs w:val="24"/>
          <w:lang w:val="en-GB"/>
        </w:rPr>
      </w:pPr>
    </w:p>
    <w:p w14:paraId="0A560CAC" w14:textId="628E883E" w:rsidR="00CA6E72" w:rsidRPr="002A3FE4" w:rsidRDefault="00CA6E72" w:rsidP="001505DC">
      <w:pPr>
        <w:spacing w:after="0" w:line="480" w:lineRule="auto"/>
        <w:ind w:firstLine="0"/>
        <w:jc w:val="both"/>
        <w:rPr>
          <w:rStyle w:val="rynqvb"/>
          <w:sz w:val="24"/>
          <w:szCs w:val="24"/>
          <w:lang w:val="en-GB"/>
        </w:rPr>
      </w:pPr>
      <w:r w:rsidRPr="002A3FE4">
        <w:rPr>
          <w:rFonts w:eastAsiaTheme="majorEastAsia"/>
          <w:sz w:val="24"/>
          <w:szCs w:val="24"/>
          <w:lang w:val="en-GB"/>
        </w:rPr>
        <w:t>Table A</w:t>
      </w:r>
      <w:r w:rsidR="006F30B7" w:rsidRPr="002A3FE4">
        <w:rPr>
          <w:rFonts w:eastAsiaTheme="majorEastAsia"/>
          <w:sz w:val="24"/>
          <w:szCs w:val="24"/>
          <w:lang w:val="en-GB"/>
        </w:rPr>
        <w:t>5</w:t>
      </w:r>
      <w:r w:rsidRPr="002A3FE4">
        <w:rPr>
          <w:rFonts w:eastAsiaTheme="majorEastAsia"/>
          <w:sz w:val="24"/>
          <w:szCs w:val="24"/>
          <w:lang w:val="en-GB"/>
        </w:rPr>
        <w:t xml:space="preserve"> shows that in the nineteenth century, the retirees show a similar wealth development to the farmers, an increase of two to three times depending on whether we count gross or net, but from a lower level. It testifies that most of them were former farmers who left the farm in exchange for guaranteed sustenance until their death, usually but not always to a son or daughter. Persons listed as retirees are completely missing in the material from the seventeenth and early eighteenth centuries. This can have two explanations. Firstly, the retirees’ estates were not particularly interesting for probate in the early period, as they usually already got rid of any debts as well as the most essential parts of their possessions, precisely in exchange for old age subsistence and care. When probate later became mandatory, they appear in the sources. Second, this group de facto increased during the eighteenth and especially the nineteenth century, with rising prosperity among the farmers combined with pressure from their increasingly surviving children who needed to take over the farm to marry. It became, so to speak, both possible and necessary to retire. Contemporary nineteenth century writings also </w:t>
      </w:r>
      <w:r w:rsidRPr="002A3FE4">
        <w:rPr>
          <w:rFonts w:eastAsiaTheme="majorEastAsia"/>
          <w:sz w:val="24"/>
          <w:szCs w:val="24"/>
          <w:lang w:val="en-GB"/>
        </w:rPr>
        <w:lastRenderedPageBreak/>
        <w:t>reported with some horror the retiree system to promote that the old ‘often longed much too early for the comfort of the quiet pension croft’ (Lundh and Olsson 2002, p. 388).</w:t>
      </w:r>
    </w:p>
    <w:p w14:paraId="775CA791" w14:textId="2F6ABA30" w:rsidR="00F96232" w:rsidRPr="002A3FE4" w:rsidRDefault="007331B4" w:rsidP="001505DC">
      <w:pPr>
        <w:spacing w:after="0" w:line="480" w:lineRule="auto"/>
        <w:ind w:firstLine="720"/>
        <w:jc w:val="both"/>
        <w:rPr>
          <w:sz w:val="24"/>
          <w:szCs w:val="28"/>
          <w:lang w:val="en-GB"/>
        </w:rPr>
      </w:pPr>
      <w:r w:rsidRPr="002A3FE4">
        <w:rPr>
          <w:rStyle w:val="rynqvb"/>
          <w:sz w:val="24"/>
          <w:szCs w:val="24"/>
          <w:lang w:val="en-GB"/>
        </w:rPr>
        <w:t>Table</w:t>
      </w:r>
      <w:r w:rsidR="006F30B7" w:rsidRPr="002A3FE4">
        <w:rPr>
          <w:rStyle w:val="rynqvb"/>
          <w:sz w:val="24"/>
          <w:szCs w:val="24"/>
          <w:lang w:val="en-GB"/>
        </w:rPr>
        <w:t>s</w:t>
      </w:r>
      <w:r w:rsidRPr="002A3FE4">
        <w:rPr>
          <w:rStyle w:val="rynqvb"/>
          <w:sz w:val="24"/>
          <w:szCs w:val="24"/>
          <w:lang w:val="en-GB"/>
        </w:rPr>
        <w:t xml:space="preserve"> A</w:t>
      </w:r>
      <w:r w:rsidR="006F30B7" w:rsidRPr="002A3FE4">
        <w:rPr>
          <w:rStyle w:val="rynqvb"/>
          <w:sz w:val="24"/>
          <w:szCs w:val="24"/>
          <w:lang w:val="en-GB"/>
        </w:rPr>
        <w:t>6</w:t>
      </w:r>
      <w:r w:rsidRPr="002A3FE4">
        <w:rPr>
          <w:rStyle w:val="rynqvb"/>
          <w:sz w:val="24"/>
          <w:szCs w:val="24"/>
          <w:lang w:val="en-GB"/>
        </w:rPr>
        <w:t xml:space="preserve"> and A</w:t>
      </w:r>
      <w:r w:rsidR="006F30B7" w:rsidRPr="002A3FE4">
        <w:rPr>
          <w:rStyle w:val="rynqvb"/>
          <w:sz w:val="24"/>
          <w:szCs w:val="24"/>
          <w:lang w:val="en-GB"/>
        </w:rPr>
        <w:t>7</w:t>
      </w:r>
      <w:r w:rsidRPr="002A3FE4">
        <w:rPr>
          <w:rStyle w:val="rynqvb"/>
          <w:sz w:val="24"/>
          <w:szCs w:val="24"/>
          <w:lang w:val="en-GB"/>
        </w:rPr>
        <w:t xml:space="preserve"> summarize the holdings of retired farmer households. </w:t>
      </w:r>
      <w:r w:rsidR="006F30B7" w:rsidRPr="002A3FE4">
        <w:rPr>
          <w:rStyle w:val="rynqvb"/>
          <w:sz w:val="24"/>
          <w:szCs w:val="24"/>
          <w:lang w:val="en-GB"/>
        </w:rPr>
        <w:t>(</w:t>
      </w:r>
      <w:r w:rsidRPr="002A3FE4">
        <w:rPr>
          <w:rStyle w:val="rynqvb"/>
          <w:sz w:val="24"/>
          <w:szCs w:val="24"/>
          <w:lang w:val="en-GB"/>
        </w:rPr>
        <w:t xml:space="preserve">These tables correspond to Tables </w:t>
      </w:r>
      <w:r w:rsidR="006F30B7" w:rsidRPr="002A3FE4">
        <w:rPr>
          <w:rStyle w:val="rynqvb"/>
          <w:sz w:val="24"/>
          <w:szCs w:val="24"/>
          <w:lang w:val="en-GB"/>
        </w:rPr>
        <w:t>4</w:t>
      </w:r>
      <w:r w:rsidRPr="002A3FE4">
        <w:rPr>
          <w:rStyle w:val="rynqvb"/>
          <w:sz w:val="24"/>
          <w:szCs w:val="24"/>
          <w:lang w:val="en-GB"/>
        </w:rPr>
        <w:t xml:space="preserve"> and </w:t>
      </w:r>
      <w:r w:rsidR="006F30B7" w:rsidRPr="002A3FE4">
        <w:rPr>
          <w:rStyle w:val="rynqvb"/>
          <w:sz w:val="24"/>
          <w:szCs w:val="24"/>
          <w:lang w:val="en-GB"/>
        </w:rPr>
        <w:t xml:space="preserve">5 </w:t>
      </w:r>
      <w:r w:rsidRPr="002A3FE4">
        <w:rPr>
          <w:rStyle w:val="rynqvb"/>
          <w:sz w:val="24"/>
          <w:szCs w:val="24"/>
          <w:lang w:val="en-GB"/>
        </w:rPr>
        <w:t>in the main body of the paper.</w:t>
      </w:r>
      <w:r w:rsidR="006F30B7" w:rsidRPr="002A3FE4">
        <w:rPr>
          <w:rStyle w:val="rynqvb"/>
          <w:sz w:val="24"/>
          <w:szCs w:val="24"/>
          <w:lang w:val="en-GB"/>
        </w:rPr>
        <w:t>)</w:t>
      </w:r>
      <w:r w:rsidRPr="002A3FE4">
        <w:rPr>
          <w:rStyle w:val="rynqvb"/>
          <w:sz w:val="24"/>
          <w:szCs w:val="24"/>
          <w:lang w:val="en-GB"/>
        </w:rPr>
        <w:t xml:space="preserve"> In preindustrial Sweden, it was common practice for farmers to “retire” around the age of 60 and hand over the farm to children. These retired households will still be titled farmers in the probate inventories, but will not own the goods necessary to keep a farm running. For example, i</w:t>
      </w:r>
      <w:r w:rsidR="00F96232" w:rsidRPr="002A3FE4">
        <w:rPr>
          <w:sz w:val="24"/>
          <w:szCs w:val="28"/>
          <w:lang w:val="en-GB"/>
        </w:rPr>
        <w:t>t is likely that certain tools were passed over to the next generation in advance, either before death or during the weeks or months between dies mortis and the day when the inventories were set. Since these items were highly needed, but had relatively low values, compared, for example, to livestock, this could be held secret or pass without remarks from the assessors.</w:t>
      </w:r>
      <w:r w:rsidRPr="002A3FE4">
        <w:rPr>
          <w:sz w:val="24"/>
          <w:szCs w:val="28"/>
          <w:lang w:val="en-GB"/>
        </w:rPr>
        <w:t xml:space="preserve"> Thus, as Table A</w:t>
      </w:r>
      <w:r w:rsidR="006F30B7" w:rsidRPr="002A3FE4">
        <w:rPr>
          <w:sz w:val="24"/>
          <w:szCs w:val="28"/>
          <w:lang w:val="en-GB"/>
        </w:rPr>
        <w:t>6</w:t>
      </w:r>
      <w:r w:rsidRPr="002A3FE4">
        <w:rPr>
          <w:sz w:val="24"/>
          <w:szCs w:val="28"/>
          <w:lang w:val="en-GB"/>
        </w:rPr>
        <w:t xml:space="preserve"> shows, only 50 percent of retired farmer households in the 1780s held a plough and a harrow, and in the 1860s, the proportion was only 30 percent.</w:t>
      </w:r>
    </w:p>
    <w:p w14:paraId="49D123F1" w14:textId="77777777" w:rsidR="00F96232" w:rsidRPr="002A3FE4" w:rsidRDefault="00F96232" w:rsidP="001505DC">
      <w:pPr>
        <w:spacing w:after="0" w:line="480" w:lineRule="auto"/>
        <w:ind w:firstLine="0"/>
        <w:jc w:val="both"/>
        <w:rPr>
          <w:rStyle w:val="rynqvb"/>
          <w:sz w:val="32"/>
          <w:szCs w:val="32"/>
          <w:lang w:val="en-GB"/>
        </w:rPr>
      </w:pPr>
    </w:p>
    <w:p w14:paraId="01814186" w14:textId="77777777" w:rsidR="00E73EE8" w:rsidRPr="002A3FE4" w:rsidRDefault="00E73EE8" w:rsidP="001505DC">
      <w:pPr>
        <w:spacing w:after="120"/>
        <w:ind w:left="851" w:hanging="851"/>
        <w:jc w:val="both"/>
        <w:rPr>
          <w:sz w:val="22"/>
          <w:szCs w:val="22"/>
          <w:lang w:val="en-GB"/>
        </w:rPr>
      </w:pPr>
    </w:p>
    <w:p w14:paraId="3E027A4D" w14:textId="77777777" w:rsidR="007331B4" w:rsidRPr="002A3FE4" w:rsidRDefault="007331B4" w:rsidP="001505DC">
      <w:pPr>
        <w:jc w:val="both"/>
        <w:rPr>
          <w:rFonts w:eastAsiaTheme="majorEastAsia"/>
          <w:b/>
          <w:bCs/>
          <w:sz w:val="24"/>
          <w:szCs w:val="24"/>
          <w:lang w:val="en-GB"/>
        </w:rPr>
      </w:pPr>
      <w:r w:rsidRPr="002A3FE4">
        <w:rPr>
          <w:rFonts w:eastAsiaTheme="majorEastAsia"/>
          <w:b/>
          <w:bCs/>
          <w:sz w:val="24"/>
          <w:szCs w:val="24"/>
          <w:lang w:val="en-GB"/>
        </w:rPr>
        <w:br w:type="page"/>
      </w:r>
    </w:p>
    <w:p w14:paraId="5C4874F9" w14:textId="3793EF92" w:rsidR="00F96232" w:rsidRPr="002A3FE4" w:rsidRDefault="00F96232" w:rsidP="00496B34">
      <w:pPr>
        <w:spacing w:after="0" w:line="480" w:lineRule="auto"/>
        <w:ind w:firstLine="0"/>
        <w:rPr>
          <w:rFonts w:eastAsiaTheme="majorEastAsia"/>
          <w:b/>
          <w:bCs/>
          <w:sz w:val="24"/>
          <w:szCs w:val="24"/>
          <w:lang w:val="en-GB"/>
        </w:rPr>
      </w:pPr>
      <w:r w:rsidRPr="002A3FE4">
        <w:rPr>
          <w:rFonts w:eastAsiaTheme="majorEastAsia"/>
          <w:b/>
          <w:bCs/>
          <w:sz w:val="24"/>
          <w:szCs w:val="24"/>
          <w:lang w:val="en-GB"/>
        </w:rPr>
        <w:lastRenderedPageBreak/>
        <w:t>Table</w:t>
      </w:r>
      <w:r w:rsidRPr="002A3FE4">
        <w:rPr>
          <w:rFonts w:eastAsia="Times New Roman"/>
          <w:b/>
          <w:bCs/>
          <w:sz w:val="24"/>
          <w:szCs w:val="24"/>
          <w:lang w:val="en-GB" w:eastAsia="sv-SE"/>
        </w:rPr>
        <w:t xml:space="preserve"> A</w:t>
      </w:r>
      <w:r w:rsidR="006F30B7" w:rsidRPr="002A3FE4">
        <w:rPr>
          <w:rFonts w:eastAsia="Times New Roman"/>
          <w:b/>
          <w:bCs/>
          <w:sz w:val="24"/>
          <w:szCs w:val="24"/>
          <w:lang w:val="en-GB" w:eastAsia="sv-SE"/>
        </w:rPr>
        <w:t>6</w:t>
      </w:r>
      <w:r w:rsidRPr="002A3FE4">
        <w:rPr>
          <w:rFonts w:eastAsia="Times New Roman"/>
          <w:b/>
          <w:bCs/>
          <w:sz w:val="24"/>
          <w:szCs w:val="24"/>
          <w:lang w:val="en-GB" w:eastAsia="sv-SE"/>
        </w:rPr>
        <w:t>. Percentage of households with items showing engagement in productive activities, retirees</w:t>
      </w:r>
    </w:p>
    <w:tbl>
      <w:tblPr>
        <w:tblStyle w:val="Rutntstabell1ljus"/>
        <w:tblW w:w="8965" w:type="dxa"/>
        <w:tblInd w:w="-5" w:type="dxa"/>
        <w:tblLook w:val="04A0" w:firstRow="1" w:lastRow="0" w:firstColumn="1" w:lastColumn="0" w:noHBand="0" w:noVBand="1"/>
      </w:tblPr>
      <w:tblGrid>
        <w:gridCol w:w="1472"/>
        <w:gridCol w:w="813"/>
        <w:gridCol w:w="710"/>
        <w:gridCol w:w="961"/>
        <w:gridCol w:w="854"/>
        <w:gridCol w:w="944"/>
        <w:gridCol w:w="1190"/>
        <w:gridCol w:w="1005"/>
        <w:gridCol w:w="1016"/>
      </w:tblGrid>
      <w:tr w:rsidR="002A3FE4" w:rsidRPr="002A3FE4" w14:paraId="2BA70E1A" w14:textId="77777777" w:rsidTr="003175C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14:paraId="62BC6C7E" w14:textId="77777777" w:rsidR="003175C2" w:rsidRPr="002A3FE4" w:rsidRDefault="003175C2" w:rsidP="00496B34">
            <w:pPr>
              <w:ind w:firstLine="0"/>
              <w:jc w:val="center"/>
              <w:rPr>
                <w:rFonts w:eastAsia="Times New Roman"/>
                <w:lang w:val="en-GB" w:eastAsia="sv-SE"/>
              </w:rPr>
            </w:pPr>
          </w:p>
        </w:tc>
        <w:tc>
          <w:tcPr>
            <w:tcW w:w="813" w:type="dxa"/>
            <w:noWrap/>
            <w:hideMark/>
          </w:tcPr>
          <w:p w14:paraId="719AF729"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Period</w:t>
            </w:r>
          </w:p>
        </w:tc>
        <w:tc>
          <w:tcPr>
            <w:tcW w:w="710" w:type="dxa"/>
            <w:noWrap/>
            <w:hideMark/>
          </w:tcPr>
          <w:p w14:paraId="6108D47B"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No.</w:t>
            </w:r>
          </w:p>
        </w:tc>
        <w:tc>
          <w:tcPr>
            <w:tcW w:w="961" w:type="dxa"/>
            <w:noWrap/>
            <w:hideMark/>
          </w:tcPr>
          <w:p w14:paraId="2ACC64CD"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Farming</w:t>
            </w:r>
          </w:p>
        </w:tc>
        <w:tc>
          <w:tcPr>
            <w:tcW w:w="854" w:type="dxa"/>
            <w:noWrap/>
            <w:hideMark/>
          </w:tcPr>
          <w:p w14:paraId="7E43D872"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Fishing</w:t>
            </w:r>
          </w:p>
        </w:tc>
        <w:tc>
          <w:tcPr>
            <w:tcW w:w="944" w:type="dxa"/>
            <w:noWrap/>
            <w:hideMark/>
          </w:tcPr>
          <w:p w14:paraId="0BD394AA"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Hunting</w:t>
            </w:r>
          </w:p>
        </w:tc>
        <w:tc>
          <w:tcPr>
            <w:tcW w:w="1190" w:type="dxa"/>
            <w:noWrap/>
            <w:hideMark/>
          </w:tcPr>
          <w:p w14:paraId="4EFAEBFD"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GB" w:eastAsia="sv-SE"/>
              </w:rPr>
            </w:pPr>
            <w:r w:rsidRPr="002A3FE4">
              <w:rPr>
                <w:rFonts w:eastAsia="Times New Roman"/>
                <w:lang w:val="en-GB" w:eastAsia="sv-SE"/>
              </w:rPr>
              <w:t>Brewing,</w:t>
            </w:r>
          </w:p>
          <w:p w14:paraId="0B3C2586"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distillation</w:t>
            </w:r>
          </w:p>
        </w:tc>
        <w:tc>
          <w:tcPr>
            <w:tcW w:w="1005" w:type="dxa"/>
            <w:noWrap/>
            <w:hideMark/>
          </w:tcPr>
          <w:p w14:paraId="1D784CA4"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Spinning</w:t>
            </w:r>
          </w:p>
        </w:tc>
        <w:tc>
          <w:tcPr>
            <w:tcW w:w="1016" w:type="dxa"/>
            <w:noWrap/>
            <w:hideMark/>
          </w:tcPr>
          <w:p w14:paraId="2B20E394" w14:textId="77777777" w:rsidR="003175C2" w:rsidRPr="002A3FE4" w:rsidRDefault="003175C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Weaving</w:t>
            </w:r>
          </w:p>
        </w:tc>
      </w:tr>
      <w:tr w:rsidR="002A3FE4" w:rsidRPr="002A3FE4" w14:paraId="11B22FBB" w14:textId="77777777" w:rsidTr="003175C2">
        <w:trPr>
          <w:trHeight w:val="290"/>
        </w:trPr>
        <w:tc>
          <w:tcPr>
            <w:cnfStyle w:val="001000000000" w:firstRow="0" w:lastRow="0" w:firstColumn="1" w:lastColumn="0" w:oddVBand="0" w:evenVBand="0" w:oddHBand="0" w:evenHBand="0" w:firstRowFirstColumn="0" w:firstRowLastColumn="0" w:lastRowFirstColumn="0" w:lastRowLastColumn="0"/>
            <w:tcW w:w="1472" w:type="dxa"/>
            <w:vMerge w:val="restart"/>
            <w:noWrap/>
          </w:tcPr>
          <w:p w14:paraId="759D2167" w14:textId="77777777" w:rsidR="003175C2" w:rsidRPr="002A3FE4" w:rsidRDefault="003175C2" w:rsidP="00B63502">
            <w:pPr>
              <w:ind w:firstLine="0"/>
              <w:rPr>
                <w:rFonts w:eastAsia="Times New Roman"/>
                <w:lang w:val="en-GB" w:eastAsia="sv-SE"/>
              </w:rPr>
            </w:pPr>
            <w:r w:rsidRPr="002A3FE4">
              <w:rPr>
                <w:rFonts w:eastAsia="Times New Roman"/>
                <w:lang w:val="en-GB" w:eastAsia="sv-SE"/>
              </w:rPr>
              <w:t>Retirees (</w:t>
            </w:r>
            <w:r w:rsidRPr="002A3FE4">
              <w:rPr>
                <w:rFonts w:eastAsia="Times New Roman"/>
                <w:i/>
                <w:iCs/>
                <w:lang w:val="en-GB" w:eastAsia="sv-SE"/>
              </w:rPr>
              <w:t>undantag</w:t>
            </w:r>
            <w:r w:rsidRPr="002A3FE4">
              <w:rPr>
                <w:rFonts w:eastAsia="Times New Roman"/>
                <w:lang w:val="en-GB" w:eastAsia="sv-SE"/>
              </w:rPr>
              <w:t>)</w:t>
            </w:r>
          </w:p>
        </w:tc>
        <w:tc>
          <w:tcPr>
            <w:tcW w:w="813" w:type="dxa"/>
            <w:noWrap/>
          </w:tcPr>
          <w:p w14:paraId="28176BA6" w14:textId="77777777" w:rsidR="003175C2" w:rsidRPr="002A3FE4" w:rsidRDefault="003175C2" w:rsidP="00B63502">
            <w:pPr>
              <w:ind w:firstLine="0"/>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710" w:type="dxa"/>
            <w:noWrap/>
          </w:tcPr>
          <w:p w14:paraId="25898344"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w:t>
            </w:r>
          </w:p>
        </w:tc>
        <w:tc>
          <w:tcPr>
            <w:tcW w:w="961" w:type="dxa"/>
            <w:noWrap/>
          </w:tcPr>
          <w:p w14:paraId="277D97E1"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w:t>
            </w:r>
          </w:p>
        </w:tc>
        <w:tc>
          <w:tcPr>
            <w:tcW w:w="854" w:type="dxa"/>
            <w:noWrap/>
          </w:tcPr>
          <w:p w14:paraId="183853DB"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w:t>
            </w:r>
          </w:p>
        </w:tc>
        <w:tc>
          <w:tcPr>
            <w:tcW w:w="944" w:type="dxa"/>
            <w:noWrap/>
          </w:tcPr>
          <w:p w14:paraId="43F5A61D"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w:t>
            </w:r>
          </w:p>
        </w:tc>
        <w:tc>
          <w:tcPr>
            <w:tcW w:w="1190" w:type="dxa"/>
            <w:noWrap/>
          </w:tcPr>
          <w:p w14:paraId="41F29129"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w:t>
            </w:r>
          </w:p>
        </w:tc>
        <w:tc>
          <w:tcPr>
            <w:tcW w:w="1005" w:type="dxa"/>
            <w:noWrap/>
          </w:tcPr>
          <w:p w14:paraId="11B79795"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w:t>
            </w:r>
          </w:p>
        </w:tc>
        <w:tc>
          <w:tcPr>
            <w:tcW w:w="1016" w:type="dxa"/>
            <w:noWrap/>
          </w:tcPr>
          <w:p w14:paraId="4B3EDFC2"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w:t>
            </w:r>
          </w:p>
        </w:tc>
      </w:tr>
      <w:tr w:rsidR="002A3FE4" w:rsidRPr="002A3FE4" w14:paraId="4BD7C2BA" w14:textId="77777777" w:rsidTr="003175C2">
        <w:trPr>
          <w:trHeight w:val="290"/>
        </w:trPr>
        <w:tc>
          <w:tcPr>
            <w:cnfStyle w:val="001000000000" w:firstRow="0" w:lastRow="0" w:firstColumn="1" w:lastColumn="0" w:oddVBand="0" w:evenVBand="0" w:oddHBand="0" w:evenHBand="0" w:firstRowFirstColumn="0" w:firstRowLastColumn="0" w:lastRowFirstColumn="0" w:lastRowLastColumn="0"/>
            <w:tcW w:w="1472" w:type="dxa"/>
            <w:vMerge/>
            <w:noWrap/>
          </w:tcPr>
          <w:p w14:paraId="7BDDD8EB" w14:textId="77777777" w:rsidR="003175C2" w:rsidRPr="002A3FE4" w:rsidRDefault="003175C2" w:rsidP="00B63502">
            <w:pPr>
              <w:ind w:firstLine="0"/>
              <w:rPr>
                <w:rFonts w:eastAsia="Times New Roman"/>
                <w:lang w:val="en-GB" w:eastAsia="sv-SE"/>
              </w:rPr>
            </w:pPr>
          </w:p>
        </w:tc>
        <w:tc>
          <w:tcPr>
            <w:tcW w:w="813" w:type="dxa"/>
            <w:noWrap/>
          </w:tcPr>
          <w:p w14:paraId="08D7B439" w14:textId="77777777" w:rsidR="003175C2" w:rsidRPr="002A3FE4" w:rsidRDefault="003175C2" w:rsidP="00B63502">
            <w:pPr>
              <w:ind w:firstLine="0"/>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710" w:type="dxa"/>
            <w:noWrap/>
          </w:tcPr>
          <w:p w14:paraId="5629A421"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30</w:t>
            </w:r>
          </w:p>
        </w:tc>
        <w:tc>
          <w:tcPr>
            <w:tcW w:w="961" w:type="dxa"/>
            <w:noWrap/>
          </w:tcPr>
          <w:p w14:paraId="168A7363"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50%</w:t>
            </w:r>
          </w:p>
        </w:tc>
        <w:tc>
          <w:tcPr>
            <w:tcW w:w="854" w:type="dxa"/>
            <w:noWrap/>
          </w:tcPr>
          <w:p w14:paraId="587957EF"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0%</w:t>
            </w:r>
          </w:p>
        </w:tc>
        <w:tc>
          <w:tcPr>
            <w:tcW w:w="944" w:type="dxa"/>
            <w:noWrap/>
          </w:tcPr>
          <w:p w14:paraId="422F43CA"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0%</w:t>
            </w:r>
          </w:p>
        </w:tc>
        <w:tc>
          <w:tcPr>
            <w:tcW w:w="1190" w:type="dxa"/>
            <w:noWrap/>
          </w:tcPr>
          <w:p w14:paraId="2A487FAA"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3%</w:t>
            </w:r>
          </w:p>
        </w:tc>
        <w:tc>
          <w:tcPr>
            <w:tcW w:w="1005" w:type="dxa"/>
            <w:noWrap/>
          </w:tcPr>
          <w:p w14:paraId="3A566A16"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50%</w:t>
            </w:r>
          </w:p>
        </w:tc>
        <w:tc>
          <w:tcPr>
            <w:tcW w:w="1016" w:type="dxa"/>
            <w:noWrap/>
          </w:tcPr>
          <w:p w14:paraId="203092DB"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40%</w:t>
            </w:r>
          </w:p>
        </w:tc>
      </w:tr>
      <w:tr w:rsidR="002A3FE4" w:rsidRPr="002A3FE4" w14:paraId="46E9A6BD" w14:textId="77777777" w:rsidTr="003175C2">
        <w:trPr>
          <w:trHeight w:val="290"/>
        </w:trPr>
        <w:tc>
          <w:tcPr>
            <w:cnfStyle w:val="001000000000" w:firstRow="0" w:lastRow="0" w:firstColumn="1" w:lastColumn="0" w:oddVBand="0" w:evenVBand="0" w:oddHBand="0" w:evenHBand="0" w:firstRowFirstColumn="0" w:firstRowLastColumn="0" w:lastRowFirstColumn="0" w:lastRowLastColumn="0"/>
            <w:tcW w:w="1472" w:type="dxa"/>
            <w:vMerge/>
            <w:noWrap/>
          </w:tcPr>
          <w:p w14:paraId="2F5631FD" w14:textId="77777777" w:rsidR="003175C2" w:rsidRPr="002A3FE4" w:rsidRDefault="003175C2" w:rsidP="00B63502">
            <w:pPr>
              <w:ind w:firstLine="0"/>
              <w:rPr>
                <w:rFonts w:eastAsia="Times New Roman"/>
                <w:lang w:val="en-GB" w:eastAsia="sv-SE"/>
              </w:rPr>
            </w:pPr>
          </w:p>
        </w:tc>
        <w:tc>
          <w:tcPr>
            <w:tcW w:w="813" w:type="dxa"/>
            <w:noWrap/>
          </w:tcPr>
          <w:p w14:paraId="18C88E47" w14:textId="77777777" w:rsidR="003175C2" w:rsidRPr="002A3FE4" w:rsidRDefault="003175C2" w:rsidP="00B63502">
            <w:pPr>
              <w:ind w:firstLine="0"/>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710" w:type="dxa"/>
            <w:noWrap/>
          </w:tcPr>
          <w:p w14:paraId="61070BB0"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108</w:t>
            </w:r>
          </w:p>
        </w:tc>
        <w:tc>
          <w:tcPr>
            <w:tcW w:w="961" w:type="dxa"/>
            <w:noWrap/>
          </w:tcPr>
          <w:p w14:paraId="66584D3B"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30%</w:t>
            </w:r>
          </w:p>
        </w:tc>
        <w:tc>
          <w:tcPr>
            <w:tcW w:w="854" w:type="dxa"/>
            <w:noWrap/>
          </w:tcPr>
          <w:p w14:paraId="6497B8A8"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2%</w:t>
            </w:r>
          </w:p>
        </w:tc>
        <w:tc>
          <w:tcPr>
            <w:tcW w:w="944" w:type="dxa"/>
            <w:noWrap/>
          </w:tcPr>
          <w:p w14:paraId="2B93F846"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6%</w:t>
            </w:r>
          </w:p>
        </w:tc>
        <w:tc>
          <w:tcPr>
            <w:tcW w:w="1190" w:type="dxa"/>
            <w:noWrap/>
          </w:tcPr>
          <w:p w14:paraId="66A856D7"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2%</w:t>
            </w:r>
          </w:p>
        </w:tc>
        <w:tc>
          <w:tcPr>
            <w:tcW w:w="1005" w:type="dxa"/>
            <w:noWrap/>
          </w:tcPr>
          <w:p w14:paraId="631865E6"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44%</w:t>
            </w:r>
          </w:p>
        </w:tc>
        <w:tc>
          <w:tcPr>
            <w:tcW w:w="1016" w:type="dxa"/>
            <w:noWrap/>
          </w:tcPr>
          <w:p w14:paraId="3A0A02B2" w14:textId="77777777" w:rsidR="003175C2" w:rsidRPr="002A3FE4" w:rsidRDefault="003175C2" w:rsidP="00496B34">
            <w:pPr>
              <w:ind w:right="170" w:firstLine="0"/>
              <w:jc w:val="right"/>
              <w:cnfStyle w:val="000000000000" w:firstRow="0" w:lastRow="0" w:firstColumn="0" w:lastColumn="0" w:oddVBand="0" w:evenVBand="0" w:oddHBand="0" w:evenHBand="0" w:firstRowFirstColumn="0" w:firstRowLastColumn="0" w:lastRowFirstColumn="0" w:lastRowLastColumn="0"/>
              <w:rPr>
                <w:lang w:val="en-GB"/>
              </w:rPr>
            </w:pPr>
            <w:r w:rsidRPr="002A3FE4">
              <w:rPr>
                <w:rFonts w:eastAsia="Times New Roman"/>
                <w:lang w:val="en-GB" w:eastAsia="sv-SE"/>
              </w:rPr>
              <w:t>46%</w:t>
            </w:r>
          </w:p>
        </w:tc>
      </w:tr>
    </w:tbl>
    <w:p w14:paraId="0CAE7063" w14:textId="521D1A80" w:rsidR="00F96232" w:rsidRPr="002A3FE4" w:rsidRDefault="00F96232" w:rsidP="00496B34">
      <w:pPr>
        <w:pStyle w:val="Tabellbeskrivning"/>
      </w:pPr>
      <w:r w:rsidRPr="002A3FE4">
        <w:t xml:space="preserve">Sources: </w:t>
      </w:r>
      <w:r w:rsidR="003175C2" w:rsidRPr="002A3FE4">
        <w:t xml:space="preserve">Database, built on probate inventories from 12 judicial district archives, as described in Table </w:t>
      </w:r>
      <w:r w:rsidR="00FB3D1C">
        <w:t>1</w:t>
      </w:r>
      <w:r w:rsidR="003175C2" w:rsidRPr="002A3FE4">
        <w:t xml:space="preserve"> in the main body of the paper. </w:t>
      </w:r>
      <w:r w:rsidRPr="002A3FE4">
        <w:t xml:space="preserve">Measured as ownership of tools for each activity. For ‘farming’ that is a plough and a harrow. </w:t>
      </w:r>
      <w:r w:rsidR="003175C2" w:rsidRPr="002A3FE4">
        <w:t>Ages estimated using probate inventories (age when stated; age of children), complemented with deathbooks from 161 parish archives.</w:t>
      </w:r>
    </w:p>
    <w:p w14:paraId="1B1A43A2" w14:textId="77777777" w:rsidR="00F96232" w:rsidRPr="002A3FE4" w:rsidRDefault="00F96232" w:rsidP="00F96232">
      <w:pPr>
        <w:jc w:val="both"/>
        <w:rPr>
          <w:rFonts w:eastAsiaTheme="majorEastAsia"/>
          <w:b/>
          <w:bCs/>
          <w:sz w:val="22"/>
          <w:szCs w:val="22"/>
          <w:lang w:val="en-GB"/>
        </w:rPr>
      </w:pPr>
    </w:p>
    <w:p w14:paraId="59A16422" w14:textId="7F5B8C2E" w:rsidR="00F96232" w:rsidRPr="002A3FE4" w:rsidRDefault="00F96232" w:rsidP="00F96232">
      <w:pPr>
        <w:spacing w:after="0"/>
        <w:ind w:firstLine="0"/>
        <w:jc w:val="both"/>
        <w:rPr>
          <w:rFonts w:eastAsiaTheme="majorEastAsia"/>
          <w:b/>
          <w:bCs/>
          <w:sz w:val="24"/>
          <w:szCs w:val="24"/>
          <w:lang w:val="en-GB"/>
        </w:rPr>
      </w:pPr>
      <w:r w:rsidRPr="002A3FE4">
        <w:rPr>
          <w:rFonts w:eastAsiaTheme="majorEastAsia"/>
          <w:b/>
          <w:bCs/>
          <w:sz w:val="24"/>
          <w:szCs w:val="24"/>
          <w:lang w:val="en-GB"/>
        </w:rPr>
        <w:t xml:space="preserve">Table </w:t>
      </w:r>
      <w:r w:rsidR="00CD34AC" w:rsidRPr="002A3FE4">
        <w:rPr>
          <w:rFonts w:eastAsiaTheme="majorEastAsia"/>
          <w:b/>
          <w:bCs/>
          <w:sz w:val="24"/>
          <w:szCs w:val="24"/>
          <w:lang w:val="en-GB"/>
        </w:rPr>
        <w:t>A</w:t>
      </w:r>
      <w:r w:rsidR="006F30B7" w:rsidRPr="002A3FE4">
        <w:rPr>
          <w:rFonts w:eastAsiaTheme="majorEastAsia"/>
          <w:b/>
          <w:bCs/>
          <w:sz w:val="24"/>
          <w:szCs w:val="24"/>
          <w:lang w:val="en-GB"/>
        </w:rPr>
        <w:t>7</w:t>
      </w:r>
      <w:r w:rsidRPr="002A3FE4">
        <w:rPr>
          <w:rFonts w:eastAsiaTheme="majorEastAsia"/>
          <w:b/>
          <w:bCs/>
          <w:sz w:val="24"/>
          <w:szCs w:val="24"/>
          <w:lang w:val="en-GB"/>
        </w:rPr>
        <w:t>. Means of production held by retirees</w:t>
      </w:r>
    </w:p>
    <w:tbl>
      <w:tblPr>
        <w:tblStyle w:val="Rutntstabell1ljus"/>
        <w:tblW w:w="8485" w:type="dxa"/>
        <w:tblLayout w:type="fixed"/>
        <w:tblLook w:val="04A0" w:firstRow="1" w:lastRow="0" w:firstColumn="1" w:lastColumn="0" w:noHBand="0" w:noVBand="1"/>
      </w:tblPr>
      <w:tblGrid>
        <w:gridCol w:w="1242"/>
        <w:gridCol w:w="880"/>
        <w:gridCol w:w="1060"/>
        <w:gridCol w:w="1060"/>
        <w:gridCol w:w="1060"/>
        <w:gridCol w:w="1061"/>
        <w:gridCol w:w="1061"/>
        <w:gridCol w:w="1061"/>
      </w:tblGrid>
      <w:tr w:rsidR="002A3FE4" w:rsidRPr="002A3FE4" w14:paraId="69650B20" w14:textId="77777777" w:rsidTr="00B635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2" w:type="dxa"/>
          </w:tcPr>
          <w:p w14:paraId="1F8B54BB" w14:textId="77777777" w:rsidR="00F96232" w:rsidRPr="002A3FE4" w:rsidRDefault="00F96232" w:rsidP="00496B34">
            <w:pPr>
              <w:ind w:firstLine="0"/>
              <w:jc w:val="center"/>
              <w:rPr>
                <w:rFonts w:eastAsia="Times New Roman"/>
                <w:lang w:val="en-GB" w:eastAsia="sv-SE"/>
              </w:rPr>
            </w:pPr>
          </w:p>
        </w:tc>
        <w:tc>
          <w:tcPr>
            <w:tcW w:w="880" w:type="dxa"/>
          </w:tcPr>
          <w:p w14:paraId="3F3E3E62"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Period</w:t>
            </w:r>
          </w:p>
        </w:tc>
        <w:tc>
          <w:tcPr>
            <w:tcW w:w="1060" w:type="dxa"/>
            <w:noWrap/>
            <w:hideMark/>
          </w:tcPr>
          <w:p w14:paraId="51EC1522"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Farming tools, values</w:t>
            </w:r>
          </w:p>
        </w:tc>
        <w:tc>
          <w:tcPr>
            <w:tcW w:w="1060" w:type="dxa"/>
          </w:tcPr>
          <w:p w14:paraId="68F3A9E4"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Wagons, values</w:t>
            </w:r>
          </w:p>
        </w:tc>
        <w:tc>
          <w:tcPr>
            <w:tcW w:w="1060" w:type="dxa"/>
            <w:noWrap/>
            <w:hideMark/>
          </w:tcPr>
          <w:p w14:paraId="66C98949"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Spinning wheels, values</w:t>
            </w:r>
          </w:p>
        </w:tc>
        <w:tc>
          <w:tcPr>
            <w:tcW w:w="1061" w:type="dxa"/>
            <w:noWrap/>
            <w:hideMark/>
          </w:tcPr>
          <w:p w14:paraId="5CA4A037"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Looms, values</w:t>
            </w:r>
          </w:p>
        </w:tc>
        <w:tc>
          <w:tcPr>
            <w:tcW w:w="1061" w:type="dxa"/>
          </w:tcPr>
          <w:p w14:paraId="32A350FF"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GB" w:eastAsia="sv-SE"/>
              </w:rPr>
            </w:pPr>
            <w:r w:rsidRPr="002A3FE4">
              <w:rPr>
                <w:rFonts w:eastAsia="Times New Roman"/>
                <w:lang w:val="en-GB" w:eastAsia="sv-SE"/>
              </w:rPr>
              <w:t>Horses,</w:t>
            </w:r>
          </w:p>
          <w:p w14:paraId="3E671982"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mean #</w:t>
            </w:r>
          </w:p>
        </w:tc>
        <w:tc>
          <w:tcPr>
            <w:tcW w:w="1061" w:type="dxa"/>
          </w:tcPr>
          <w:p w14:paraId="144A6606"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GB" w:eastAsia="sv-SE"/>
              </w:rPr>
            </w:pPr>
            <w:r w:rsidRPr="002A3FE4">
              <w:rPr>
                <w:rFonts w:eastAsia="Times New Roman"/>
                <w:lang w:val="en-GB" w:eastAsia="sv-SE"/>
              </w:rPr>
              <w:t>Cattle,</w:t>
            </w:r>
          </w:p>
          <w:p w14:paraId="0538A6D6" w14:textId="77777777" w:rsidR="00F96232" w:rsidRPr="002A3FE4" w:rsidRDefault="00F96232" w:rsidP="00496B34">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mean #</w:t>
            </w:r>
          </w:p>
        </w:tc>
      </w:tr>
      <w:tr w:rsidR="002A3FE4" w:rsidRPr="002A3FE4" w14:paraId="3FF0168F" w14:textId="77777777" w:rsidTr="00B63502">
        <w:trPr>
          <w:trHeight w:val="290"/>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79100904" w14:textId="77777777" w:rsidR="00F96232" w:rsidRPr="002A3FE4" w:rsidRDefault="00F96232" w:rsidP="00B63502">
            <w:pPr>
              <w:ind w:firstLine="0"/>
              <w:rPr>
                <w:rFonts w:eastAsia="Times New Roman"/>
                <w:lang w:val="en-GB" w:eastAsia="sv-SE"/>
              </w:rPr>
            </w:pPr>
            <w:r w:rsidRPr="002A3FE4">
              <w:rPr>
                <w:rFonts w:eastAsia="Times New Roman"/>
                <w:lang w:val="en-GB" w:eastAsia="sv-SE"/>
              </w:rPr>
              <w:t>Retirees (</w:t>
            </w:r>
            <w:r w:rsidRPr="002A3FE4">
              <w:rPr>
                <w:rFonts w:eastAsia="Times New Roman"/>
                <w:i/>
                <w:iCs/>
                <w:lang w:val="en-GB" w:eastAsia="sv-SE"/>
              </w:rPr>
              <w:t>undantag</w:t>
            </w:r>
            <w:r w:rsidRPr="002A3FE4">
              <w:rPr>
                <w:rFonts w:eastAsia="Times New Roman"/>
                <w:lang w:val="en-GB" w:eastAsia="sv-SE"/>
              </w:rPr>
              <w:t>)</w:t>
            </w:r>
          </w:p>
        </w:tc>
        <w:tc>
          <w:tcPr>
            <w:tcW w:w="880" w:type="dxa"/>
          </w:tcPr>
          <w:p w14:paraId="7736E8EB" w14:textId="77777777" w:rsidR="00F96232" w:rsidRPr="002A3FE4" w:rsidRDefault="00F96232" w:rsidP="00B63502">
            <w:pPr>
              <w:ind w:firstLine="0"/>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1700</w:t>
            </w:r>
          </w:p>
        </w:tc>
        <w:tc>
          <w:tcPr>
            <w:tcW w:w="1060" w:type="dxa"/>
            <w:noWrap/>
            <w:hideMark/>
          </w:tcPr>
          <w:p w14:paraId="109272FD"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1060" w:type="dxa"/>
            <w:vAlign w:val="bottom"/>
          </w:tcPr>
          <w:p w14:paraId="5D5211E0"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lang w:val="en-GB"/>
              </w:rPr>
              <w:t>–</w:t>
            </w:r>
          </w:p>
        </w:tc>
        <w:tc>
          <w:tcPr>
            <w:tcW w:w="1060" w:type="dxa"/>
            <w:noWrap/>
            <w:hideMark/>
          </w:tcPr>
          <w:p w14:paraId="3084A088"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1061" w:type="dxa"/>
            <w:noWrap/>
            <w:hideMark/>
          </w:tcPr>
          <w:p w14:paraId="6B0F594B"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1061" w:type="dxa"/>
            <w:vAlign w:val="bottom"/>
          </w:tcPr>
          <w:p w14:paraId="46E194EC"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c>
          <w:tcPr>
            <w:tcW w:w="1061" w:type="dxa"/>
            <w:vAlign w:val="bottom"/>
          </w:tcPr>
          <w:p w14:paraId="571AF32E"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w:t>
            </w:r>
          </w:p>
        </w:tc>
      </w:tr>
      <w:tr w:rsidR="002A3FE4" w:rsidRPr="002A3FE4" w14:paraId="5050F5C1" w14:textId="77777777" w:rsidTr="00B63502">
        <w:trPr>
          <w:trHeight w:val="290"/>
        </w:trPr>
        <w:tc>
          <w:tcPr>
            <w:cnfStyle w:val="001000000000" w:firstRow="0" w:lastRow="0" w:firstColumn="1" w:lastColumn="0" w:oddVBand="0" w:evenVBand="0" w:oddHBand="0" w:evenHBand="0" w:firstRowFirstColumn="0" w:firstRowLastColumn="0" w:lastRowFirstColumn="0" w:lastRowLastColumn="0"/>
            <w:tcW w:w="1242" w:type="dxa"/>
            <w:vMerge/>
          </w:tcPr>
          <w:p w14:paraId="789E4689" w14:textId="77777777" w:rsidR="00F96232" w:rsidRPr="002A3FE4" w:rsidRDefault="00F96232" w:rsidP="00B63502">
            <w:pPr>
              <w:ind w:firstLine="0"/>
              <w:rPr>
                <w:rFonts w:eastAsia="Times New Roman"/>
                <w:lang w:val="en-GB" w:eastAsia="sv-SE"/>
              </w:rPr>
            </w:pPr>
          </w:p>
        </w:tc>
        <w:tc>
          <w:tcPr>
            <w:tcW w:w="880" w:type="dxa"/>
          </w:tcPr>
          <w:p w14:paraId="6B04E6C2" w14:textId="77777777" w:rsidR="00F96232" w:rsidRPr="002A3FE4" w:rsidRDefault="00F96232" w:rsidP="00B63502">
            <w:pPr>
              <w:ind w:firstLine="0"/>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1780</w:t>
            </w:r>
          </w:p>
        </w:tc>
        <w:tc>
          <w:tcPr>
            <w:tcW w:w="1060" w:type="dxa"/>
            <w:noWrap/>
            <w:hideMark/>
          </w:tcPr>
          <w:p w14:paraId="36159D62"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0.3</w:t>
            </w:r>
          </w:p>
        </w:tc>
        <w:tc>
          <w:tcPr>
            <w:tcW w:w="1060" w:type="dxa"/>
            <w:vAlign w:val="bottom"/>
          </w:tcPr>
          <w:p w14:paraId="76438AA5"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lang w:val="en-GB"/>
              </w:rPr>
              <w:t>3</w:t>
            </w:r>
            <w:r w:rsidRPr="002A3FE4">
              <w:rPr>
                <w:rFonts w:eastAsia="Times New Roman"/>
                <w:lang w:val="en-GB" w:eastAsia="sv-SE"/>
              </w:rPr>
              <w:t>.</w:t>
            </w:r>
            <w:r w:rsidRPr="002A3FE4">
              <w:rPr>
                <w:lang w:val="en-GB"/>
              </w:rPr>
              <w:t>1</w:t>
            </w:r>
          </w:p>
        </w:tc>
        <w:tc>
          <w:tcPr>
            <w:tcW w:w="1060" w:type="dxa"/>
            <w:noWrap/>
            <w:hideMark/>
          </w:tcPr>
          <w:p w14:paraId="182AD82D"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0.2</w:t>
            </w:r>
          </w:p>
        </w:tc>
        <w:tc>
          <w:tcPr>
            <w:tcW w:w="1061" w:type="dxa"/>
            <w:noWrap/>
            <w:hideMark/>
          </w:tcPr>
          <w:p w14:paraId="3EB3F01E"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0.4</w:t>
            </w:r>
          </w:p>
        </w:tc>
        <w:tc>
          <w:tcPr>
            <w:tcW w:w="1061" w:type="dxa"/>
            <w:vAlign w:val="bottom"/>
          </w:tcPr>
          <w:p w14:paraId="180F8A77"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lang w:val="en-GB"/>
              </w:rPr>
              <w:t>0.2</w:t>
            </w:r>
          </w:p>
        </w:tc>
        <w:tc>
          <w:tcPr>
            <w:tcW w:w="1061" w:type="dxa"/>
            <w:vAlign w:val="bottom"/>
          </w:tcPr>
          <w:p w14:paraId="273FA95C"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2A3FE4">
              <w:rPr>
                <w:lang w:val="en-GB"/>
              </w:rPr>
              <w:t>1.9</w:t>
            </w:r>
          </w:p>
        </w:tc>
      </w:tr>
      <w:tr w:rsidR="002A3FE4" w:rsidRPr="002A3FE4" w14:paraId="63CDC322" w14:textId="77777777" w:rsidTr="00B63502">
        <w:trPr>
          <w:trHeight w:val="290"/>
        </w:trPr>
        <w:tc>
          <w:tcPr>
            <w:cnfStyle w:val="001000000000" w:firstRow="0" w:lastRow="0" w:firstColumn="1" w:lastColumn="0" w:oddVBand="0" w:evenVBand="0" w:oddHBand="0" w:evenHBand="0" w:firstRowFirstColumn="0" w:firstRowLastColumn="0" w:lastRowFirstColumn="0" w:lastRowLastColumn="0"/>
            <w:tcW w:w="1242" w:type="dxa"/>
            <w:vMerge/>
          </w:tcPr>
          <w:p w14:paraId="4CF0C3F4" w14:textId="77777777" w:rsidR="00F96232" w:rsidRPr="002A3FE4" w:rsidRDefault="00F96232" w:rsidP="00B63502">
            <w:pPr>
              <w:ind w:firstLine="0"/>
              <w:rPr>
                <w:rFonts w:eastAsia="Times New Roman"/>
                <w:lang w:val="en-GB" w:eastAsia="sv-SE"/>
              </w:rPr>
            </w:pPr>
          </w:p>
        </w:tc>
        <w:tc>
          <w:tcPr>
            <w:tcW w:w="880" w:type="dxa"/>
          </w:tcPr>
          <w:p w14:paraId="4B9A557C" w14:textId="77777777" w:rsidR="00F96232" w:rsidRPr="002A3FE4" w:rsidRDefault="00F96232" w:rsidP="00B63502">
            <w:pPr>
              <w:ind w:firstLine="0"/>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1860</w:t>
            </w:r>
          </w:p>
        </w:tc>
        <w:tc>
          <w:tcPr>
            <w:tcW w:w="1060" w:type="dxa"/>
            <w:noWrap/>
            <w:hideMark/>
          </w:tcPr>
          <w:p w14:paraId="7ACE5AD2"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0.3</w:t>
            </w:r>
          </w:p>
        </w:tc>
        <w:tc>
          <w:tcPr>
            <w:tcW w:w="1060" w:type="dxa"/>
            <w:vAlign w:val="bottom"/>
          </w:tcPr>
          <w:p w14:paraId="597F3641"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lang w:val="en-GB"/>
              </w:rPr>
              <w:t>2</w:t>
            </w:r>
            <w:r w:rsidRPr="002A3FE4">
              <w:rPr>
                <w:rFonts w:eastAsia="Times New Roman"/>
                <w:lang w:val="en-GB" w:eastAsia="sv-SE"/>
              </w:rPr>
              <w:t>.</w:t>
            </w:r>
            <w:r w:rsidRPr="002A3FE4">
              <w:rPr>
                <w:lang w:val="en-GB"/>
              </w:rPr>
              <w:t>4</w:t>
            </w:r>
          </w:p>
        </w:tc>
        <w:tc>
          <w:tcPr>
            <w:tcW w:w="1060" w:type="dxa"/>
            <w:noWrap/>
            <w:hideMark/>
          </w:tcPr>
          <w:p w14:paraId="00514125"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0.2</w:t>
            </w:r>
          </w:p>
        </w:tc>
        <w:tc>
          <w:tcPr>
            <w:tcW w:w="1061" w:type="dxa"/>
            <w:noWrap/>
            <w:hideMark/>
          </w:tcPr>
          <w:p w14:paraId="483CE0A3"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rFonts w:eastAsia="Times New Roman"/>
                <w:lang w:val="en-GB" w:eastAsia="sv-SE"/>
              </w:rPr>
              <w:t>1.0</w:t>
            </w:r>
          </w:p>
        </w:tc>
        <w:tc>
          <w:tcPr>
            <w:tcW w:w="1061" w:type="dxa"/>
            <w:vAlign w:val="bottom"/>
          </w:tcPr>
          <w:p w14:paraId="6282AFE5"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val="en-GB" w:eastAsia="sv-SE"/>
              </w:rPr>
            </w:pPr>
            <w:r w:rsidRPr="002A3FE4">
              <w:rPr>
                <w:lang w:val="en-GB"/>
              </w:rPr>
              <w:t>0.1</w:t>
            </w:r>
          </w:p>
        </w:tc>
        <w:tc>
          <w:tcPr>
            <w:tcW w:w="1061" w:type="dxa"/>
            <w:vAlign w:val="bottom"/>
          </w:tcPr>
          <w:p w14:paraId="4AA2D4E2" w14:textId="77777777" w:rsidR="00F96232" w:rsidRPr="002A3FE4" w:rsidRDefault="00F96232" w:rsidP="00B63502">
            <w:pPr>
              <w:ind w:firstLine="0"/>
              <w:jc w:val="center"/>
              <w:cnfStyle w:val="000000000000" w:firstRow="0" w:lastRow="0" w:firstColumn="0" w:lastColumn="0" w:oddVBand="0" w:evenVBand="0" w:oddHBand="0" w:evenHBand="0" w:firstRowFirstColumn="0" w:firstRowLastColumn="0" w:lastRowFirstColumn="0" w:lastRowLastColumn="0"/>
              <w:rPr>
                <w:lang w:val="en-GB"/>
              </w:rPr>
            </w:pPr>
            <w:r w:rsidRPr="002A3FE4">
              <w:rPr>
                <w:lang w:val="en-GB"/>
              </w:rPr>
              <w:t>0.7</w:t>
            </w:r>
          </w:p>
        </w:tc>
      </w:tr>
    </w:tbl>
    <w:p w14:paraId="67C3D1CE" w14:textId="11B05083" w:rsidR="00F96232" w:rsidRPr="002A3FE4" w:rsidRDefault="00F96232" w:rsidP="00496B34">
      <w:pPr>
        <w:pStyle w:val="Tabellbeskrivning"/>
      </w:pPr>
      <w:r w:rsidRPr="002A3FE4">
        <w:t xml:space="preserve">Sources: </w:t>
      </w:r>
      <w:r w:rsidR="003175C2" w:rsidRPr="002A3FE4">
        <w:t xml:space="preserve">Database, built on probate inventories from 12 judicial district archives, as described in Table </w:t>
      </w:r>
      <w:r w:rsidR="00FB3D1C">
        <w:t>1</w:t>
      </w:r>
      <w:r w:rsidR="003175C2" w:rsidRPr="002A3FE4">
        <w:t xml:space="preserve"> in the main body of the paper. </w:t>
      </w:r>
      <w:r w:rsidRPr="002A3FE4">
        <w:t>All values in riksdaler specie, 1800 prices. Consumer price index from Edvinsson and Söderberg (2010).</w:t>
      </w:r>
      <w:r w:rsidR="003175C2" w:rsidRPr="002A3FE4">
        <w:t xml:space="preserve"> Ages estimated using probate inventories (age when stated; age of children), complemented with deathbooks from 161 parish archives.</w:t>
      </w:r>
    </w:p>
    <w:p w14:paraId="5E54BF99" w14:textId="77777777" w:rsidR="00F96232" w:rsidRPr="002A3FE4" w:rsidRDefault="00F96232" w:rsidP="00496B34">
      <w:pPr>
        <w:ind w:firstLine="0"/>
        <w:rPr>
          <w:lang w:val="en-GB"/>
        </w:rPr>
      </w:pPr>
    </w:p>
    <w:p w14:paraId="27B21143" w14:textId="500104B0" w:rsidR="00F96232" w:rsidRPr="002A3FE4" w:rsidRDefault="00CD34AC" w:rsidP="00D917CC">
      <w:pPr>
        <w:pStyle w:val="Rubrik2"/>
        <w:spacing w:before="0" w:after="0" w:line="480" w:lineRule="auto"/>
        <w:jc w:val="both"/>
        <w:rPr>
          <w:lang w:val="en-GB"/>
        </w:rPr>
      </w:pPr>
      <w:r w:rsidRPr="002A3FE4">
        <w:rPr>
          <w:lang w:val="en-GB"/>
        </w:rPr>
        <w:t>Household size</w:t>
      </w:r>
    </w:p>
    <w:p w14:paraId="41DF986B" w14:textId="45CCBBFC" w:rsidR="00CD34AC" w:rsidRPr="002A3FE4" w:rsidRDefault="00CD34AC" w:rsidP="00D917CC">
      <w:pPr>
        <w:spacing w:after="0" w:line="480" w:lineRule="auto"/>
        <w:ind w:firstLine="0"/>
        <w:jc w:val="both"/>
        <w:rPr>
          <w:sz w:val="24"/>
          <w:szCs w:val="24"/>
          <w:lang w:val="en-GB"/>
        </w:rPr>
      </w:pPr>
      <w:r w:rsidRPr="002A3FE4">
        <w:rPr>
          <w:sz w:val="24"/>
          <w:szCs w:val="24"/>
          <w:lang w:val="en-GB"/>
        </w:rPr>
        <w:t xml:space="preserve">As discussed in the main body of the paper, the probate inventories are sources that tell us about the resources of the household rather than the individual. Therefore it is crucial to know something about the household composition to make inferences about who was working with the tools held by the household (cf. discussion in Keibek and Shaw-Taylor 2013). As we state in the main body of the paper, there is no reason to believe that average household size grew in Swedish rural households in the period of investigation, about 1670–1865. Beyond Lundh’s (1995) survey, local studies by Söderberg (1978) for two parishes in southern Sweden – one forested, one plains parish – and Lindström (2008) for one parish in central Sweden support this conclusion. </w:t>
      </w:r>
      <w:r w:rsidR="00FE4B6A" w:rsidRPr="002A3FE4">
        <w:rPr>
          <w:sz w:val="24"/>
          <w:szCs w:val="24"/>
          <w:lang w:val="en-GB"/>
        </w:rPr>
        <w:t>Lindström (2008, pp. 51–53) found for his central Swedish parish stagnating or falling household size c. 1640–1820.</w:t>
      </w:r>
    </w:p>
    <w:p w14:paraId="46CE03C0" w14:textId="44C0206B" w:rsidR="00CD34AC" w:rsidRPr="002A3FE4" w:rsidRDefault="00CD34AC" w:rsidP="00D917CC">
      <w:pPr>
        <w:spacing w:after="0" w:line="480" w:lineRule="auto"/>
        <w:ind w:firstLine="720"/>
        <w:jc w:val="both"/>
        <w:rPr>
          <w:sz w:val="24"/>
          <w:szCs w:val="24"/>
          <w:lang w:val="en-GB"/>
        </w:rPr>
      </w:pPr>
      <w:r w:rsidRPr="002A3FE4">
        <w:rPr>
          <w:sz w:val="24"/>
          <w:szCs w:val="24"/>
          <w:lang w:val="en-GB"/>
        </w:rPr>
        <w:lastRenderedPageBreak/>
        <w:t xml:space="preserve">To ascertain that the overall conclusion holds in our studied areas, we have investigated household composition in </w:t>
      </w:r>
      <w:r w:rsidR="00496B34" w:rsidRPr="002A3FE4">
        <w:rPr>
          <w:sz w:val="24"/>
          <w:szCs w:val="24"/>
          <w:lang w:val="en-GB"/>
        </w:rPr>
        <w:t>four</w:t>
      </w:r>
      <w:r w:rsidRPr="002A3FE4">
        <w:rPr>
          <w:sz w:val="24"/>
          <w:szCs w:val="24"/>
          <w:lang w:val="en-GB"/>
        </w:rPr>
        <w:t xml:space="preserve"> parishes </w:t>
      </w:r>
      <w:r w:rsidR="004D13DA" w:rsidRPr="002A3FE4">
        <w:rPr>
          <w:sz w:val="24"/>
          <w:szCs w:val="24"/>
          <w:lang w:val="en-GB"/>
        </w:rPr>
        <w:t>in the investigated area</w:t>
      </w:r>
      <w:r w:rsidRPr="002A3FE4">
        <w:rPr>
          <w:sz w:val="24"/>
          <w:szCs w:val="24"/>
          <w:lang w:val="en-GB"/>
        </w:rPr>
        <w:t xml:space="preserve">, </w:t>
      </w:r>
      <w:r w:rsidR="00496B34" w:rsidRPr="002A3FE4">
        <w:rPr>
          <w:sz w:val="24"/>
          <w:szCs w:val="24"/>
          <w:lang w:val="en-GB"/>
        </w:rPr>
        <w:t xml:space="preserve">two </w:t>
      </w:r>
      <w:r w:rsidRPr="002A3FE4">
        <w:rPr>
          <w:sz w:val="24"/>
          <w:szCs w:val="24"/>
          <w:lang w:val="en-GB"/>
        </w:rPr>
        <w:t xml:space="preserve">from the plains type, one from the shrub land type, and one from the forest type. </w:t>
      </w:r>
      <w:r w:rsidR="00496B34" w:rsidRPr="002A3FE4">
        <w:rPr>
          <w:sz w:val="24"/>
          <w:szCs w:val="24"/>
          <w:lang w:val="en-GB"/>
        </w:rPr>
        <w:t xml:space="preserve">We picked two from the plains because the parishes normally are much smaller than in the two other types. </w:t>
      </w:r>
      <w:r w:rsidRPr="002A3FE4">
        <w:rPr>
          <w:sz w:val="24"/>
          <w:szCs w:val="24"/>
          <w:lang w:val="en-GB"/>
        </w:rPr>
        <w:t>Table A</w:t>
      </w:r>
      <w:r w:rsidR="00FF065C" w:rsidRPr="002A3FE4">
        <w:rPr>
          <w:sz w:val="24"/>
          <w:szCs w:val="24"/>
          <w:lang w:val="en-GB"/>
        </w:rPr>
        <w:t>8</w:t>
      </w:r>
      <w:r w:rsidRPr="002A3FE4">
        <w:rPr>
          <w:sz w:val="24"/>
          <w:szCs w:val="24"/>
          <w:lang w:val="en-GB"/>
        </w:rPr>
        <w:t xml:space="preserve"> shows the crucial data.</w:t>
      </w:r>
      <w:r w:rsidR="00E72009" w:rsidRPr="002A3FE4">
        <w:rPr>
          <w:sz w:val="24"/>
          <w:szCs w:val="24"/>
          <w:lang w:val="en-GB"/>
        </w:rPr>
        <w:t xml:space="preserve"> The 1670–1720 registers are less detailed in that they do not enumerate children</w:t>
      </w:r>
      <w:r w:rsidR="00496B34" w:rsidRPr="002A3FE4">
        <w:rPr>
          <w:sz w:val="24"/>
          <w:szCs w:val="24"/>
          <w:lang w:val="en-GB"/>
        </w:rPr>
        <w:t xml:space="preserve"> under the age of 15</w:t>
      </w:r>
      <w:r w:rsidR="00E72009" w:rsidRPr="002A3FE4">
        <w:rPr>
          <w:sz w:val="24"/>
          <w:szCs w:val="24"/>
          <w:lang w:val="en-GB"/>
        </w:rPr>
        <w:t>.</w:t>
      </w:r>
      <w:r w:rsidR="00DB4E77" w:rsidRPr="002A3FE4">
        <w:rPr>
          <w:sz w:val="24"/>
          <w:szCs w:val="24"/>
          <w:lang w:val="en-GB"/>
        </w:rPr>
        <w:t xml:space="preserve"> In this first period, as in the other two, there is a clear pattern in that there are more adults in the households of the wealthier plain</w:t>
      </w:r>
      <w:r w:rsidR="00882D8F" w:rsidRPr="002A3FE4">
        <w:rPr>
          <w:sz w:val="24"/>
          <w:szCs w:val="24"/>
          <w:lang w:val="en-GB"/>
        </w:rPr>
        <w:t xml:space="preserve"> land</w:t>
      </w:r>
      <w:r w:rsidR="00DB4E77" w:rsidRPr="002A3FE4">
        <w:rPr>
          <w:sz w:val="24"/>
          <w:szCs w:val="24"/>
          <w:lang w:val="en-GB"/>
        </w:rPr>
        <w:t xml:space="preserve"> parish</w:t>
      </w:r>
      <w:r w:rsidR="00A832F1" w:rsidRPr="002A3FE4">
        <w:rPr>
          <w:sz w:val="24"/>
          <w:szCs w:val="24"/>
          <w:lang w:val="en-GB"/>
        </w:rPr>
        <w:t>es</w:t>
      </w:r>
      <w:r w:rsidR="00DB4E77" w:rsidRPr="002A3FE4">
        <w:rPr>
          <w:sz w:val="24"/>
          <w:szCs w:val="24"/>
          <w:lang w:val="en-GB"/>
        </w:rPr>
        <w:t xml:space="preserve"> Knästorp and Tottarp than in the poorer </w:t>
      </w:r>
      <w:r w:rsidR="00A832F1" w:rsidRPr="002A3FE4">
        <w:rPr>
          <w:sz w:val="24"/>
          <w:szCs w:val="24"/>
          <w:lang w:val="en-GB"/>
        </w:rPr>
        <w:t xml:space="preserve">scrub and forest </w:t>
      </w:r>
      <w:r w:rsidR="00DB4E77" w:rsidRPr="002A3FE4">
        <w:rPr>
          <w:sz w:val="24"/>
          <w:szCs w:val="24"/>
          <w:lang w:val="en-GB"/>
        </w:rPr>
        <w:t xml:space="preserve">parishes Getinge and Glimåkra. This contrasts to the pattern found by Söderberg (1978, p. 108) for 1862 that wealthier households – farmers </w:t>
      </w:r>
      <w:r w:rsidR="00B4192A" w:rsidRPr="002A3FE4">
        <w:rPr>
          <w:sz w:val="24"/>
          <w:szCs w:val="24"/>
          <w:lang w:val="en-GB"/>
        </w:rPr>
        <w:t>– had</w:t>
      </w:r>
      <w:r w:rsidR="00DB4E77" w:rsidRPr="002A3FE4">
        <w:rPr>
          <w:sz w:val="24"/>
          <w:szCs w:val="24"/>
          <w:lang w:val="en-GB"/>
        </w:rPr>
        <w:t xml:space="preserve"> larger households than the labouring classes had, but that there was no difference between the wealthier plain</w:t>
      </w:r>
      <w:r w:rsidR="00882D8F" w:rsidRPr="002A3FE4">
        <w:rPr>
          <w:sz w:val="24"/>
          <w:szCs w:val="24"/>
          <w:lang w:val="en-GB"/>
        </w:rPr>
        <w:t xml:space="preserve"> land</w:t>
      </w:r>
      <w:r w:rsidR="00DB4E77" w:rsidRPr="002A3FE4">
        <w:rPr>
          <w:sz w:val="24"/>
          <w:szCs w:val="24"/>
          <w:lang w:val="en-GB"/>
        </w:rPr>
        <w:t xml:space="preserve"> parish investigated by Söderberg, Fleninge, and the poorer forested parish Loshult. Among our </w:t>
      </w:r>
      <w:r w:rsidR="00A832F1" w:rsidRPr="002A3FE4">
        <w:rPr>
          <w:sz w:val="24"/>
          <w:szCs w:val="24"/>
          <w:lang w:val="en-GB"/>
        </w:rPr>
        <w:t>four</w:t>
      </w:r>
      <w:r w:rsidR="00DB4E77" w:rsidRPr="002A3FE4">
        <w:rPr>
          <w:sz w:val="24"/>
          <w:szCs w:val="24"/>
          <w:lang w:val="en-GB"/>
        </w:rPr>
        <w:t xml:space="preserve"> parishes in Table A</w:t>
      </w:r>
      <w:r w:rsidR="00FF065C" w:rsidRPr="002A3FE4">
        <w:rPr>
          <w:sz w:val="24"/>
          <w:szCs w:val="24"/>
          <w:lang w:val="en-GB"/>
        </w:rPr>
        <w:t>8</w:t>
      </w:r>
      <w:r w:rsidR="00DB4E77" w:rsidRPr="002A3FE4">
        <w:rPr>
          <w:sz w:val="24"/>
          <w:szCs w:val="24"/>
          <w:lang w:val="en-GB"/>
        </w:rPr>
        <w:t>, the difference is quite stable over time.</w:t>
      </w:r>
    </w:p>
    <w:p w14:paraId="13E1EFE2" w14:textId="77777777" w:rsidR="00CD34AC" w:rsidRPr="002A3FE4" w:rsidRDefault="00CD34AC" w:rsidP="00496B34">
      <w:pPr>
        <w:spacing w:after="0" w:line="480" w:lineRule="auto"/>
        <w:ind w:firstLine="0"/>
        <w:rPr>
          <w:sz w:val="24"/>
          <w:szCs w:val="24"/>
          <w:lang w:val="en-GB"/>
        </w:rPr>
      </w:pPr>
    </w:p>
    <w:p w14:paraId="32E993D1" w14:textId="715FED81" w:rsidR="00E72009" w:rsidRPr="002A3FE4" w:rsidRDefault="00E72009" w:rsidP="00496B34">
      <w:pPr>
        <w:spacing w:after="0" w:line="480" w:lineRule="auto"/>
        <w:ind w:firstLine="0"/>
        <w:rPr>
          <w:b/>
          <w:bCs/>
          <w:sz w:val="24"/>
          <w:szCs w:val="24"/>
          <w:lang w:val="en-GB"/>
        </w:rPr>
      </w:pPr>
      <w:r w:rsidRPr="002A3FE4">
        <w:rPr>
          <w:b/>
          <w:bCs/>
          <w:sz w:val="24"/>
          <w:szCs w:val="24"/>
          <w:lang w:val="en-GB"/>
        </w:rPr>
        <w:t>Table A</w:t>
      </w:r>
      <w:r w:rsidR="00FF065C" w:rsidRPr="002A3FE4">
        <w:rPr>
          <w:b/>
          <w:bCs/>
          <w:sz w:val="24"/>
          <w:szCs w:val="24"/>
          <w:lang w:val="en-GB"/>
        </w:rPr>
        <w:t>8</w:t>
      </w:r>
      <w:r w:rsidRPr="002A3FE4">
        <w:rPr>
          <w:b/>
          <w:bCs/>
          <w:sz w:val="24"/>
          <w:szCs w:val="24"/>
          <w:lang w:val="en-GB"/>
        </w:rPr>
        <w:t xml:space="preserve">. Household </w:t>
      </w:r>
      <w:r w:rsidR="00496B34" w:rsidRPr="002A3FE4">
        <w:rPr>
          <w:b/>
          <w:bCs/>
          <w:sz w:val="24"/>
          <w:szCs w:val="24"/>
          <w:lang w:val="en-GB"/>
        </w:rPr>
        <w:t xml:space="preserve">sizes </w:t>
      </w:r>
      <w:r w:rsidRPr="002A3FE4">
        <w:rPr>
          <w:b/>
          <w:bCs/>
          <w:sz w:val="24"/>
          <w:szCs w:val="24"/>
          <w:lang w:val="en-GB"/>
        </w:rPr>
        <w:t xml:space="preserve">in </w:t>
      </w:r>
      <w:r w:rsidR="00882D8F" w:rsidRPr="002A3FE4">
        <w:rPr>
          <w:b/>
          <w:bCs/>
          <w:sz w:val="24"/>
          <w:szCs w:val="24"/>
          <w:lang w:val="en-GB"/>
        </w:rPr>
        <w:t>four</w:t>
      </w:r>
      <w:r w:rsidRPr="002A3FE4">
        <w:rPr>
          <w:b/>
          <w:bCs/>
          <w:sz w:val="24"/>
          <w:szCs w:val="24"/>
          <w:lang w:val="en-GB"/>
        </w:rPr>
        <w:t xml:space="preserve"> parishes</w:t>
      </w:r>
      <w:r w:rsidR="00882D8F" w:rsidRPr="002A3FE4">
        <w:rPr>
          <w:b/>
          <w:bCs/>
          <w:sz w:val="24"/>
          <w:szCs w:val="24"/>
          <w:lang w:val="en-GB"/>
        </w:rPr>
        <w:t xml:space="preserve"> in the sample.</w:t>
      </w:r>
    </w:p>
    <w:tbl>
      <w:tblPr>
        <w:tblStyle w:val="Tabellrutnt"/>
        <w:tblW w:w="10111" w:type="dxa"/>
        <w:tblInd w:w="-289" w:type="dxa"/>
        <w:tblLook w:val="04A0" w:firstRow="1" w:lastRow="0" w:firstColumn="1" w:lastColumn="0" w:noHBand="0" w:noVBand="1"/>
      </w:tblPr>
      <w:tblGrid>
        <w:gridCol w:w="1702"/>
        <w:gridCol w:w="850"/>
        <w:gridCol w:w="705"/>
        <w:gridCol w:w="800"/>
        <w:gridCol w:w="966"/>
        <w:gridCol w:w="857"/>
        <w:gridCol w:w="708"/>
        <w:gridCol w:w="851"/>
        <w:gridCol w:w="992"/>
        <w:gridCol w:w="851"/>
        <w:gridCol w:w="896"/>
      </w:tblGrid>
      <w:tr w:rsidR="002A3FE4" w:rsidRPr="002A3FE4" w14:paraId="76211970" w14:textId="77777777" w:rsidTr="00E72009">
        <w:trPr>
          <w:trHeight w:val="290"/>
        </w:trPr>
        <w:tc>
          <w:tcPr>
            <w:tcW w:w="1702" w:type="dxa"/>
            <w:noWrap/>
            <w:hideMark/>
          </w:tcPr>
          <w:p w14:paraId="0CCD471F" w14:textId="77777777" w:rsidR="00E72009" w:rsidRPr="002A3FE4" w:rsidRDefault="00E72009" w:rsidP="00496B34">
            <w:pPr>
              <w:ind w:firstLine="0"/>
              <w:rPr>
                <w:rFonts w:ascii="Times New Roman" w:hAnsi="Times New Roman"/>
                <w:lang w:val="en-GB"/>
              </w:rPr>
            </w:pPr>
          </w:p>
        </w:tc>
        <w:tc>
          <w:tcPr>
            <w:tcW w:w="1555" w:type="dxa"/>
            <w:gridSpan w:val="2"/>
            <w:noWrap/>
            <w:hideMark/>
          </w:tcPr>
          <w:p w14:paraId="168B41EE" w14:textId="33ED02FA" w:rsidR="00E72009" w:rsidRPr="002A3FE4" w:rsidRDefault="00E72009" w:rsidP="007D34E9">
            <w:pPr>
              <w:ind w:firstLine="0"/>
              <w:jc w:val="center"/>
              <w:rPr>
                <w:rFonts w:ascii="Times New Roman" w:hAnsi="Times New Roman"/>
              </w:rPr>
            </w:pPr>
            <w:r w:rsidRPr="002A3FE4">
              <w:rPr>
                <w:rFonts w:ascii="Times New Roman" w:hAnsi="Times New Roman"/>
              </w:rPr>
              <w:t>1700</w:t>
            </w:r>
          </w:p>
        </w:tc>
        <w:tc>
          <w:tcPr>
            <w:tcW w:w="3264" w:type="dxa"/>
            <w:gridSpan w:val="4"/>
            <w:noWrap/>
            <w:hideMark/>
          </w:tcPr>
          <w:p w14:paraId="776B629E" w14:textId="61B3AAFE" w:rsidR="00E72009" w:rsidRPr="002A3FE4" w:rsidRDefault="00E72009" w:rsidP="007D34E9">
            <w:pPr>
              <w:ind w:firstLine="0"/>
              <w:jc w:val="center"/>
              <w:rPr>
                <w:rFonts w:ascii="Times New Roman" w:hAnsi="Times New Roman"/>
              </w:rPr>
            </w:pPr>
            <w:r w:rsidRPr="002A3FE4">
              <w:rPr>
                <w:rFonts w:ascii="Times New Roman" w:hAnsi="Times New Roman"/>
              </w:rPr>
              <w:t>1780</w:t>
            </w:r>
          </w:p>
        </w:tc>
        <w:tc>
          <w:tcPr>
            <w:tcW w:w="3590" w:type="dxa"/>
            <w:gridSpan w:val="4"/>
            <w:noWrap/>
            <w:hideMark/>
          </w:tcPr>
          <w:p w14:paraId="79A2D061" w14:textId="66EADF02" w:rsidR="00E72009" w:rsidRPr="002A3FE4" w:rsidRDefault="00E72009" w:rsidP="007D34E9">
            <w:pPr>
              <w:ind w:firstLine="0"/>
              <w:jc w:val="center"/>
              <w:rPr>
                <w:rFonts w:ascii="Times New Roman" w:hAnsi="Times New Roman"/>
              </w:rPr>
            </w:pPr>
            <w:r w:rsidRPr="002A3FE4">
              <w:rPr>
                <w:rFonts w:ascii="Times New Roman" w:hAnsi="Times New Roman"/>
              </w:rPr>
              <w:t>1860</w:t>
            </w:r>
          </w:p>
        </w:tc>
      </w:tr>
      <w:tr w:rsidR="002A3FE4" w:rsidRPr="002A3FE4" w14:paraId="50AF6885" w14:textId="77777777" w:rsidTr="00E72009">
        <w:trPr>
          <w:trHeight w:val="290"/>
        </w:trPr>
        <w:tc>
          <w:tcPr>
            <w:tcW w:w="1702" w:type="dxa"/>
            <w:noWrap/>
            <w:hideMark/>
          </w:tcPr>
          <w:p w14:paraId="6ED9D5CC" w14:textId="77777777" w:rsidR="00E72009" w:rsidRPr="002A3FE4" w:rsidRDefault="00E72009" w:rsidP="00496B34">
            <w:pPr>
              <w:ind w:firstLine="0"/>
              <w:jc w:val="center"/>
              <w:rPr>
                <w:rFonts w:ascii="Times New Roman" w:hAnsi="Times New Roman"/>
              </w:rPr>
            </w:pPr>
          </w:p>
        </w:tc>
        <w:tc>
          <w:tcPr>
            <w:tcW w:w="850" w:type="dxa"/>
            <w:noWrap/>
            <w:hideMark/>
          </w:tcPr>
          <w:p w14:paraId="35EBD38B" w14:textId="5BDD82CD" w:rsidR="00E72009" w:rsidRPr="002A3FE4" w:rsidRDefault="00E72009" w:rsidP="007D34E9">
            <w:pPr>
              <w:ind w:firstLine="0"/>
              <w:jc w:val="center"/>
              <w:rPr>
                <w:rFonts w:ascii="Times New Roman" w:hAnsi="Times New Roman"/>
              </w:rPr>
            </w:pPr>
            <w:r w:rsidRPr="002A3FE4">
              <w:rPr>
                <w:rFonts w:ascii="Times New Roman" w:hAnsi="Times New Roman"/>
              </w:rPr>
              <w:t>Adults, mean</w:t>
            </w:r>
          </w:p>
        </w:tc>
        <w:tc>
          <w:tcPr>
            <w:tcW w:w="705" w:type="dxa"/>
            <w:noWrap/>
            <w:hideMark/>
          </w:tcPr>
          <w:p w14:paraId="331F4CA5" w14:textId="0969AA41" w:rsidR="00E72009" w:rsidRPr="002A3FE4" w:rsidRDefault="00E72009" w:rsidP="007D34E9">
            <w:pPr>
              <w:ind w:firstLine="0"/>
              <w:jc w:val="center"/>
              <w:rPr>
                <w:rFonts w:ascii="Times New Roman" w:hAnsi="Times New Roman"/>
              </w:rPr>
            </w:pPr>
            <w:r w:rsidRPr="002A3FE4">
              <w:rPr>
                <w:rFonts w:ascii="Times New Roman" w:hAnsi="Times New Roman"/>
              </w:rPr>
              <w:t>N</w:t>
            </w:r>
          </w:p>
        </w:tc>
        <w:tc>
          <w:tcPr>
            <w:tcW w:w="783" w:type="dxa"/>
            <w:noWrap/>
            <w:hideMark/>
          </w:tcPr>
          <w:p w14:paraId="52CC24EA" w14:textId="47B2E66D" w:rsidR="00E72009" w:rsidRPr="002A3FE4" w:rsidRDefault="00E72009" w:rsidP="007D34E9">
            <w:pPr>
              <w:ind w:firstLine="0"/>
              <w:jc w:val="center"/>
              <w:rPr>
                <w:rFonts w:ascii="Times New Roman" w:hAnsi="Times New Roman"/>
              </w:rPr>
            </w:pPr>
            <w:r w:rsidRPr="002A3FE4">
              <w:rPr>
                <w:rFonts w:ascii="Times New Roman" w:hAnsi="Times New Roman"/>
              </w:rPr>
              <w:t>Adults</w:t>
            </w:r>
            <w:r w:rsidR="00DB4E77" w:rsidRPr="002A3FE4">
              <w:rPr>
                <w:rFonts w:ascii="Times New Roman" w:hAnsi="Times New Roman"/>
              </w:rPr>
              <w:t>,</w:t>
            </w:r>
            <w:r w:rsidRPr="002A3FE4">
              <w:rPr>
                <w:rFonts w:ascii="Times New Roman" w:hAnsi="Times New Roman"/>
              </w:rPr>
              <w:t xml:space="preserve"> mean</w:t>
            </w:r>
          </w:p>
        </w:tc>
        <w:tc>
          <w:tcPr>
            <w:tcW w:w="916" w:type="dxa"/>
            <w:noWrap/>
            <w:hideMark/>
          </w:tcPr>
          <w:p w14:paraId="7CB11014" w14:textId="06248B3E" w:rsidR="00E72009" w:rsidRPr="002A3FE4" w:rsidRDefault="00E72009" w:rsidP="007D34E9">
            <w:pPr>
              <w:ind w:firstLine="0"/>
              <w:jc w:val="center"/>
              <w:rPr>
                <w:rFonts w:ascii="Times New Roman" w:hAnsi="Times New Roman"/>
              </w:rPr>
            </w:pPr>
            <w:r w:rsidRPr="002A3FE4">
              <w:rPr>
                <w:rFonts w:ascii="Times New Roman" w:hAnsi="Times New Roman"/>
              </w:rPr>
              <w:t>Children</w:t>
            </w:r>
            <w:r w:rsidR="00DB4E77" w:rsidRPr="002A3FE4">
              <w:rPr>
                <w:rFonts w:ascii="Times New Roman" w:hAnsi="Times New Roman"/>
              </w:rPr>
              <w:t>,</w:t>
            </w:r>
            <w:r w:rsidRPr="002A3FE4">
              <w:rPr>
                <w:rFonts w:ascii="Times New Roman" w:hAnsi="Times New Roman"/>
              </w:rPr>
              <w:t xml:space="preserve"> mean</w:t>
            </w:r>
          </w:p>
        </w:tc>
        <w:tc>
          <w:tcPr>
            <w:tcW w:w="857" w:type="dxa"/>
            <w:noWrap/>
            <w:hideMark/>
          </w:tcPr>
          <w:p w14:paraId="2FC2BEC3" w14:textId="31C82F30" w:rsidR="00E72009" w:rsidRPr="002A3FE4" w:rsidRDefault="00E72009" w:rsidP="007D34E9">
            <w:pPr>
              <w:ind w:firstLine="0"/>
              <w:jc w:val="center"/>
              <w:rPr>
                <w:rFonts w:ascii="Times New Roman" w:hAnsi="Times New Roman"/>
              </w:rPr>
            </w:pPr>
            <w:r w:rsidRPr="002A3FE4">
              <w:rPr>
                <w:rFonts w:ascii="Times New Roman" w:hAnsi="Times New Roman"/>
              </w:rPr>
              <w:t>Total</w:t>
            </w:r>
            <w:r w:rsidR="00DB4E77" w:rsidRPr="002A3FE4">
              <w:rPr>
                <w:rFonts w:ascii="Times New Roman" w:hAnsi="Times New Roman"/>
              </w:rPr>
              <w:t>, m</w:t>
            </w:r>
            <w:r w:rsidRPr="002A3FE4">
              <w:rPr>
                <w:rFonts w:ascii="Times New Roman" w:hAnsi="Times New Roman"/>
              </w:rPr>
              <w:t>ean</w:t>
            </w:r>
          </w:p>
        </w:tc>
        <w:tc>
          <w:tcPr>
            <w:tcW w:w="708" w:type="dxa"/>
            <w:noWrap/>
            <w:hideMark/>
          </w:tcPr>
          <w:p w14:paraId="5D1CFD1B" w14:textId="35B52335" w:rsidR="00E72009" w:rsidRPr="002A3FE4" w:rsidRDefault="00E72009" w:rsidP="007D34E9">
            <w:pPr>
              <w:ind w:firstLine="0"/>
              <w:jc w:val="center"/>
              <w:rPr>
                <w:rFonts w:ascii="Times New Roman" w:hAnsi="Times New Roman"/>
              </w:rPr>
            </w:pPr>
            <w:r w:rsidRPr="002A3FE4">
              <w:rPr>
                <w:rFonts w:ascii="Times New Roman" w:hAnsi="Times New Roman"/>
              </w:rPr>
              <w:t>N</w:t>
            </w:r>
          </w:p>
        </w:tc>
        <w:tc>
          <w:tcPr>
            <w:tcW w:w="851" w:type="dxa"/>
            <w:noWrap/>
            <w:hideMark/>
          </w:tcPr>
          <w:p w14:paraId="3C26CC7A" w14:textId="41348258" w:rsidR="00E72009" w:rsidRPr="002A3FE4" w:rsidRDefault="00E72009" w:rsidP="007D34E9">
            <w:pPr>
              <w:ind w:firstLine="0"/>
              <w:jc w:val="center"/>
              <w:rPr>
                <w:rFonts w:ascii="Times New Roman" w:hAnsi="Times New Roman"/>
              </w:rPr>
            </w:pPr>
            <w:r w:rsidRPr="002A3FE4">
              <w:rPr>
                <w:rFonts w:ascii="Times New Roman" w:hAnsi="Times New Roman"/>
              </w:rPr>
              <w:t>Adults</w:t>
            </w:r>
            <w:r w:rsidR="00DB4E77" w:rsidRPr="002A3FE4">
              <w:rPr>
                <w:rFonts w:ascii="Times New Roman" w:hAnsi="Times New Roman"/>
              </w:rPr>
              <w:t>,</w:t>
            </w:r>
            <w:r w:rsidRPr="002A3FE4">
              <w:rPr>
                <w:rFonts w:ascii="Times New Roman" w:hAnsi="Times New Roman"/>
              </w:rPr>
              <w:t xml:space="preserve"> mean</w:t>
            </w:r>
          </w:p>
        </w:tc>
        <w:tc>
          <w:tcPr>
            <w:tcW w:w="992" w:type="dxa"/>
            <w:noWrap/>
            <w:hideMark/>
          </w:tcPr>
          <w:p w14:paraId="377F2BBA" w14:textId="4DF1B006" w:rsidR="00E72009" w:rsidRPr="002A3FE4" w:rsidRDefault="00E72009" w:rsidP="007D34E9">
            <w:pPr>
              <w:ind w:firstLine="0"/>
              <w:jc w:val="center"/>
              <w:rPr>
                <w:rFonts w:ascii="Times New Roman" w:hAnsi="Times New Roman"/>
              </w:rPr>
            </w:pPr>
            <w:r w:rsidRPr="002A3FE4">
              <w:rPr>
                <w:rFonts w:ascii="Times New Roman" w:hAnsi="Times New Roman"/>
              </w:rPr>
              <w:t>Children</w:t>
            </w:r>
            <w:r w:rsidR="00DB4E77" w:rsidRPr="002A3FE4">
              <w:rPr>
                <w:rFonts w:ascii="Times New Roman" w:hAnsi="Times New Roman"/>
              </w:rPr>
              <w:t>,</w:t>
            </w:r>
            <w:r w:rsidRPr="002A3FE4">
              <w:rPr>
                <w:rFonts w:ascii="Times New Roman" w:hAnsi="Times New Roman"/>
              </w:rPr>
              <w:t xml:space="preserve"> mean</w:t>
            </w:r>
          </w:p>
        </w:tc>
        <w:tc>
          <w:tcPr>
            <w:tcW w:w="851" w:type="dxa"/>
            <w:noWrap/>
            <w:hideMark/>
          </w:tcPr>
          <w:p w14:paraId="24BD5C62" w14:textId="158779E4" w:rsidR="00E72009" w:rsidRPr="002A3FE4" w:rsidRDefault="00E72009" w:rsidP="007D34E9">
            <w:pPr>
              <w:ind w:firstLine="0"/>
              <w:jc w:val="center"/>
              <w:rPr>
                <w:rFonts w:ascii="Times New Roman" w:hAnsi="Times New Roman"/>
              </w:rPr>
            </w:pPr>
            <w:r w:rsidRPr="002A3FE4">
              <w:rPr>
                <w:rFonts w:ascii="Times New Roman" w:hAnsi="Times New Roman"/>
              </w:rPr>
              <w:t>Total</w:t>
            </w:r>
            <w:r w:rsidR="00DB4E77" w:rsidRPr="002A3FE4">
              <w:rPr>
                <w:rFonts w:ascii="Times New Roman" w:hAnsi="Times New Roman"/>
              </w:rPr>
              <w:t>,</w:t>
            </w:r>
            <w:r w:rsidRPr="002A3FE4">
              <w:rPr>
                <w:rFonts w:ascii="Times New Roman" w:hAnsi="Times New Roman"/>
              </w:rPr>
              <w:t xml:space="preserve"> mean</w:t>
            </w:r>
          </w:p>
        </w:tc>
        <w:tc>
          <w:tcPr>
            <w:tcW w:w="896" w:type="dxa"/>
            <w:noWrap/>
            <w:hideMark/>
          </w:tcPr>
          <w:p w14:paraId="0F8DDEF7" w14:textId="01146673" w:rsidR="00E72009" w:rsidRPr="002A3FE4" w:rsidRDefault="00E72009" w:rsidP="007D34E9">
            <w:pPr>
              <w:ind w:firstLine="0"/>
              <w:jc w:val="center"/>
              <w:rPr>
                <w:rFonts w:ascii="Times New Roman" w:hAnsi="Times New Roman"/>
              </w:rPr>
            </w:pPr>
            <w:r w:rsidRPr="002A3FE4">
              <w:rPr>
                <w:rFonts w:ascii="Times New Roman" w:hAnsi="Times New Roman"/>
              </w:rPr>
              <w:t>N</w:t>
            </w:r>
          </w:p>
        </w:tc>
      </w:tr>
      <w:tr w:rsidR="002A3FE4" w:rsidRPr="002A3FE4" w14:paraId="446A3270" w14:textId="77777777" w:rsidTr="00E72009">
        <w:trPr>
          <w:trHeight w:val="290"/>
        </w:trPr>
        <w:tc>
          <w:tcPr>
            <w:tcW w:w="1702" w:type="dxa"/>
            <w:noWrap/>
            <w:hideMark/>
          </w:tcPr>
          <w:p w14:paraId="74499865" w14:textId="26985AFB" w:rsidR="00E72009" w:rsidRPr="002A3FE4" w:rsidRDefault="00A832F1" w:rsidP="00496B34">
            <w:pPr>
              <w:ind w:firstLine="0"/>
              <w:rPr>
                <w:rFonts w:ascii="Times New Roman" w:hAnsi="Times New Roman"/>
              </w:rPr>
            </w:pPr>
            <w:r w:rsidRPr="002A3FE4">
              <w:rPr>
                <w:rFonts w:ascii="Times New Roman" w:hAnsi="Times New Roman"/>
              </w:rPr>
              <w:t xml:space="preserve">Plains: </w:t>
            </w:r>
            <w:r w:rsidR="00E72009" w:rsidRPr="002A3FE4">
              <w:rPr>
                <w:rFonts w:ascii="Times New Roman" w:hAnsi="Times New Roman"/>
              </w:rPr>
              <w:t>Knästorp</w:t>
            </w:r>
            <w:r w:rsidR="00DB4E77" w:rsidRPr="002A3FE4">
              <w:rPr>
                <w:rFonts w:ascii="Times New Roman" w:hAnsi="Times New Roman"/>
              </w:rPr>
              <w:t xml:space="preserve"> and</w:t>
            </w:r>
            <w:r w:rsidR="00E72009" w:rsidRPr="002A3FE4">
              <w:rPr>
                <w:rFonts w:ascii="Times New Roman" w:hAnsi="Times New Roman"/>
              </w:rPr>
              <w:t xml:space="preserve"> Tottarp </w:t>
            </w:r>
          </w:p>
        </w:tc>
        <w:tc>
          <w:tcPr>
            <w:tcW w:w="850" w:type="dxa"/>
            <w:noWrap/>
            <w:hideMark/>
          </w:tcPr>
          <w:p w14:paraId="466851FA" w14:textId="07CF54FF" w:rsidR="00E72009" w:rsidRPr="002A3FE4" w:rsidRDefault="00E72009" w:rsidP="007D34E9">
            <w:pPr>
              <w:ind w:firstLine="0"/>
              <w:jc w:val="center"/>
              <w:rPr>
                <w:rFonts w:ascii="Times New Roman" w:hAnsi="Times New Roman"/>
              </w:rPr>
            </w:pPr>
            <w:r w:rsidRPr="002A3FE4">
              <w:rPr>
                <w:rFonts w:ascii="Times New Roman" w:hAnsi="Times New Roman"/>
              </w:rPr>
              <w:t>3</w:t>
            </w:r>
            <w:r w:rsidR="0014077D" w:rsidRPr="002A3FE4">
              <w:rPr>
                <w:rFonts w:ascii="Times New Roman" w:hAnsi="Times New Roman"/>
              </w:rPr>
              <w:t>.</w:t>
            </w:r>
            <w:r w:rsidRPr="002A3FE4">
              <w:rPr>
                <w:rFonts w:ascii="Times New Roman" w:hAnsi="Times New Roman"/>
              </w:rPr>
              <w:t>19</w:t>
            </w:r>
          </w:p>
        </w:tc>
        <w:tc>
          <w:tcPr>
            <w:tcW w:w="705" w:type="dxa"/>
            <w:noWrap/>
            <w:hideMark/>
          </w:tcPr>
          <w:p w14:paraId="2B1DC441" w14:textId="77777777" w:rsidR="00E72009" w:rsidRPr="002A3FE4" w:rsidRDefault="00E72009" w:rsidP="007D34E9">
            <w:pPr>
              <w:ind w:firstLine="0"/>
              <w:jc w:val="center"/>
              <w:rPr>
                <w:rFonts w:ascii="Times New Roman" w:hAnsi="Times New Roman"/>
              </w:rPr>
            </w:pPr>
            <w:r w:rsidRPr="002A3FE4">
              <w:rPr>
                <w:rFonts w:ascii="Times New Roman" w:hAnsi="Times New Roman"/>
              </w:rPr>
              <w:t>42</w:t>
            </w:r>
          </w:p>
        </w:tc>
        <w:tc>
          <w:tcPr>
            <w:tcW w:w="783" w:type="dxa"/>
            <w:noWrap/>
            <w:hideMark/>
          </w:tcPr>
          <w:p w14:paraId="2FFEC2B0" w14:textId="53CCD492" w:rsidR="00E72009" w:rsidRPr="002A3FE4" w:rsidRDefault="00E72009" w:rsidP="007D34E9">
            <w:pPr>
              <w:ind w:firstLine="0"/>
              <w:jc w:val="center"/>
              <w:rPr>
                <w:rFonts w:ascii="Times New Roman" w:hAnsi="Times New Roman"/>
              </w:rPr>
            </w:pPr>
            <w:r w:rsidRPr="002A3FE4">
              <w:rPr>
                <w:rFonts w:ascii="Times New Roman" w:hAnsi="Times New Roman"/>
              </w:rPr>
              <w:t>3</w:t>
            </w:r>
            <w:r w:rsidR="0014077D" w:rsidRPr="002A3FE4">
              <w:rPr>
                <w:rFonts w:ascii="Times New Roman" w:hAnsi="Times New Roman"/>
              </w:rPr>
              <w:t>.</w:t>
            </w:r>
            <w:r w:rsidRPr="002A3FE4">
              <w:rPr>
                <w:rFonts w:ascii="Times New Roman" w:hAnsi="Times New Roman"/>
              </w:rPr>
              <w:t>15</w:t>
            </w:r>
          </w:p>
        </w:tc>
        <w:tc>
          <w:tcPr>
            <w:tcW w:w="916" w:type="dxa"/>
            <w:noWrap/>
            <w:hideMark/>
          </w:tcPr>
          <w:p w14:paraId="5B7FA1F1" w14:textId="2633AAA2" w:rsidR="00E72009" w:rsidRPr="002A3FE4" w:rsidRDefault="00E72009" w:rsidP="007D34E9">
            <w:pPr>
              <w:ind w:firstLine="0"/>
              <w:jc w:val="center"/>
              <w:rPr>
                <w:rFonts w:ascii="Times New Roman" w:hAnsi="Times New Roman"/>
              </w:rPr>
            </w:pPr>
            <w:r w:rsidRPr="002A3FE4">
              <w:rPr>
                <w:rFonts w:ascii="Times New Roman" w:hAnsi="Times New Roman"/>
              </w:rPr>
              <w:t>1</w:t>
            </w:r>
            <w:r w:rsidR="0014077D" w:rsidRPr="002A3FE4">
              <w:rPr>
                <w:rFonts w:ascii="Times New Roman" w:hAnsi="Times New Roman"/>
              </w:rPr>
              <w:t>.</w:t>
            </w:r>
            <w:r w:rsidRPr="002A3FE4">
              <w:rPr>
                <w:rFonts w:ascii="Times New Roman" w:hAnsi="Times New Roman"/>
              </w:rPr>
              <w:t>78</w:t>
            </w:r>
          </w:p>
        </w:tc>
        <w:tc>
          <w:tcPr>
            <w:tcW w:w="857" w:type="dxa"/>
            <w:noWrap/>
            <w:hideMark/>
          </w:tcPr>
          <w:p w14:paraId="4A7489BE" w14:textId="71DB6477" w:rsidR="00E72009" w:rsidRPr="002A3FE4" w:rsidRDefault="00E72009" w:rsidP="007D34E9">
            <w:pPr>
              <w:ind w:firstLine="0"/>
              <w:jc w:val="center"/>
              <w:rPr>
                <w:rFonts w:ascii="Times New Roman" w:hAnsi="Times New Roman"/>
              </w:rPr>
            </w:pPr>
            <w:r w:rsidRPr="002A3FE4">
              <w:rPr>
                <w:rFonts w:ascii="Times New Roman" w:hAnsi="Times New Roman"/>
              </w:rPr>
              <w:t>4</w:t>
            </w:r>
            <w:r w:rsidR="0014077D" w:rsidRPr="002A3FE4">
              <w:rPr>
                <w:rFonts w:ascii="Times New Roman" w:hAnsi="Times New Roman"/>
              </w:rPr>
              <w:t>.</w:t>
            </w:r>
            <w:r w:rsidRPr="002A3FE4">
              <w:rPr>
                <w:rFonts w:ascii="Times New Roman" w:hAnsi="Times New Roman"/>
              </w:rPr>
              <w:t>93</w:t>
            </w:r>
          </w:p>
        </w:tc>
        <w:tc>
          <w:tcPr>
            <w:tcW w:w="708" w:type="dxa"/>
            <w:noWrap/>
            <w:hideMark/>
          </w:tcPr>
          <w:p w14:paraId="73D52D24" w14:textId="77777777" w:rsidR="00E72009" w:rsidRPr="002A3FE4" w:rsidRDefault="00E72009" w:rsidP="007D34E9">
            <w:pPr>
              <w:ind w:firstLine="0"/>
              <w:jc w:val="center"/>
              <w:rPr>
                <w:rFonts w:ascii="Times New Roman" w:hAnsi="Times New Roman"/>
              </w:rPr>
            </w:pPr>
            <w:r w:rsidRPr="002A3FE4">
              <w:rPr>
                <w:rFonts w:ascii="Times New Roman" w:hAnsi="Times New Roman"/>
              </w:rPr>
              <w:t>87</w:t>
            </w:r>
          </w:p>
        </w:tc>
        <w:tc>
          <w:tcPr>
            <w:tcW w:w="851" w:type="dxa"/>
            <w:noWrap/>
            <w:hideMark/>
          </w:tcPr>
          <w:p w14:paraId="5431A63A" w14:textId="5B0E1FFF"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99</w:t>
            </w:r>
          </w:p>
        </w:tc>
        <w:tc>
          <w:tcPr>
            <w:tcW w:w="992" w:type="dxa"/>
            <w:noWrap/>
            <w:hideMark/>
          </w:tcPr>
          <w:p w14:paraId="0FC2EB7F" w14:textId="21522F76"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03</w:t>
            </w:r>
          </w:p>
        </w:tc>
        <w:tc>
          <w:tcPr>
            <w:tcW w:w="851" w:type="dxa"/>
            <w:noWrap/>
            <w:hideMark/>
          </w:tcPr>
          <w:p w14:paraId="43D1143E" w14:textId="41BBBE4E" w:rsidR="00E72009" w:rsidRPr="002A3FE4" w:rsidRDefault="00E72009" w:rsidP="007D34E9">
            <w:pPr>
              <w:ind w:firstLine="0"/>
              <w:jc w:val="center"/>
              <w:rPr>
                <w:rFonts w:ascii="Times New Roman" w:hAnsi="Times New Roman"/>
              </w:rPr>
            </w:pPr>
            <w:r w:rsidRPr="002A3FE4">
              <w:rPr>
                <w:rFonts w:ascii="Times New Roman" w:hAnsi="Times New Roman"/>
              </w:rPr>
              <w:t>5</w:t>
            </w:r>
            <w:r w:rsidR="0014077D" w:rsidRPr="002A3FE4">
              <w:rPr>
                <w:rFonts w:ascii="Times New Roman" w:hAnsi="Times New Roman"/>
              </w:rPr>
              <w:t>.</w:t>
            </w:r>
            <w:r w:rsidRPr="002A3FE4">
              <w:rPr>
                <w:rFonts w:ascii="Times New Roman" w:hAnsi="Times New Roman"/>
              </w:rPr>
              <w:t>02</w:t>
            </w:r>
          </w:p>
        </w:tc>
        <w:tc>
          <w:tcPr>
            <w:tcW w:w="896" w:type="dxa"/>
            <w:noWrap/>
            <w:hideMark/>
          </w:tcPr>
          <w:p w14:paraId="470275B3" w14:textId="77777777" w:rsidR="00E72009" w:rsidRPr="002A3FE4" w:rsidRDefault="00E72009" w:rsidP="007D34E9">
            <w:pPr>
              <w:ind w:firstLine="0"/>
              <w:jc w:val="center"/>
              <w:rPr>
                <w:rFonts w:ascii="Times New Roman" w:hAnsi="Times New Roman"/>
              </w:rPr>
            </w:pPr>
            <w:r w:rsidRPr="002A3FE4">
              <w:rPr>
                <w:rFonts w:ascii="Times New Roman" w:hAnsi="Times New Roman"/>
              </w:rPr>
              <w:t>164</w:t>
            </w:r>
          </w:p>
        </w:tc>
      </w:tr>
      <w:tr w:rsidR="002A3FE4" w:rsidRPr="002A3FE4" w14:paraId="7FFEE419" w14:textId="77777777" w:rsidTr="00E72009">
        <w:trPr>
          <w:trHeight w:val="290"/>
        </w:trPr>
        <w:tc>
          <w:tcPr>
            <w:tcW w:w="1702" w:type="dxa"/>
            <w:noWrap/>
            <w:hideMark/>
          </w:tcPr>
          <w:p w14:paraId="76AC4A54" w14:textId="5C9F567E" w:rsidR="00A832F1" w:rsidRPr="002A3FE4" w:rsidRDefault="00A832F1" w:rsidP="00496B34">
            <w:pPr>
              <w:ind w:firstLine="0"/>
              <w:rPr>
                <w:rFonts w:ascii="Times New Roman" w:hAnsi="Times New Roman"/>
              </w:rPr>
            </w:pPr>
            <w:r w:rsidRPr="002A3FE4">
              <w:rPr>
                <w:rFonts w:ascii="Times New Roman" w:hAnsi="Times New Roman"/>
              </w:rPr>
              <w:t>Scrub lands:</w:t>
            </w:r>
          </w:p>
          <w:p w14:paraId="391DC76F" w14:textId="71DE428F" w:rsidR="00E72009" w:rsidRPr="002A3FE4" w:rsidRDefault="00E72009" w:rsidP="00496B34">
            <w:pPr>
              <w:ind w:firstLine="0"/>
              <w:rPr>
                <w:rFonts w:ascii="Times New Roman" w:hAnsi="Times New Roman"/>
              </w:rPr>
            </w:pPr>
            <w:r w:rsidRPr="002A3FE4">
              <w:rPr>
                <w:rFonts w:ascii="Times New Roman" w:hAnsi="Times New Roman"/>
              </w:rPr>
              <w:t xml:space="preserve">Getinge </w:t>
            </w:r>
          </w:p>
        </w:tc>
        <w:tc>
          <w:tcPr>
            <w:tcW w:w="850" w:type="dxa"/>
            <w:noWrap/>
            <w:hideMark/>
          </w:tcPr>
          <w:p w14:paraId="4678B182" w14:textId="6CDF2043"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46</w:t>
            </w:r>
          </w:p>
        </w:tc>
        <w:tc>
          <w:tcPr>
            <w:tcW w:w="705" w:type="dxa"/>
            <w:noWrap/>
            <w:hideMark/>
          </w:tcPr>
          <w:p w14:paraId="1F3EAD4F" w14:textId="77777777" w:rsidR="00E72009" w:rsidRPr="002A3FE4" w:rsidRDefault="00E72009" w:rsidP="007D34E9">
            <w:pPr>
              <w:ind w:firstLine="0"/>
              <w:jc w:val="center"/>
              <w:rPr>
                <w:rFonts w:ascii="Times New Roman" w:hAnsi="Times New Roman"/>
              </w:rPr>
            </w:pPr>
            <w:r w:rsidRPr="002A3FE4">
              <w:rPr>
                <w:rFonts w:ascii="Times New Roman" w:hAnsi="Times New Roman"/>
              </w:rPr>
              <w:t>54</w:t>
            </w:r>
          </w:p>
        </w:tc>
        <w:tc>
          <w:tcPr>
            <w:tcW w:w="783" w:type="dxa"/>
            <w:noWrap/>
            <w:hideMark/>
          </w:tcPr>
          <w:p w14:paraId="428B6473" w14:textId="52144900"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29</w:t>
            </w:r>
          </w:p>
        </w:tc>
        <w:tc>
          <w:tcPr>
            <w:tcW w:w="916" w:type="dxa"/>
            <w:noWrap/>
            <w:hideMark/>
          </w:tcPr>
          <w:p w14:paraId="789964D1" w14:textId="24C28A3D" w:rsidR="00E72009" w:rsidRPr="002A3FE4" w:rsidRDefault="00E72009" w:rsidP="007D34E9">
            <w:pPr>
              <w:ind w:firstLine="0"/>
              <w:jc w:val="center"/>
              <w:rPr>
                <w:rFonts w:ascii="Times New Roman" w:hAnsi="Times New Roman"/>
              </w:rPr>
            </w:pPr>
            <w:r w:rsidRPr="002A3FE4">
              <w:rPr>
                <w:rFonts w:ascii="Times New Roman" w:hAnsi="Times New Roman"/>
              </w:rPr>
              <w:t>1</w:t>
            </w:r>
            <w:r w:rsidR="0014077D" w:rsidRPr="002A3FE4">
              <w:rPr>
                <w:rFonts w:ascii="Times New Roman" w:hAnsi="Times New Roman"/>
              </w:rPr>
              <w:t>.</w:t>
            </w:r>
            <w:r w:rsidRPr="002A3FE4">
              <w:rPr>
                <w:rFonts w:ascii="Times New Roman" w:hAnsi="Times New Roman"/>
              </w:rPr>
              <w:t>26</w:t>
            </w:r>
          </w:p>
        </w:tc>
        <w:tc>
          <w:tcPr>
            <w:tcW w:w="857" w:type="dxa"/>
            <w:noWrap/>
            <w:hideMark/>
          </w:tcPr>
          <w:p w14:paraId="2FBDAC59" w14:textId="7F472435" w:rsidR="00E72009" w:rsidRPr="002A3FE4" w:rsidRDefault="00E72009" w:rsidP="007D34E9">
            <w:pPr>
              <w:ind w:firstLine="0"/>
              <w:jc w:val="center"/>
              <w:rPr>
                <w:rFonts w:ascii="Times New Roman" w:hAnsi="Times New Roman"/>
              </w:rPr>
            </w:pPr>
            <w:r w:rsidRPr="002A3FE4">
              <w:rPr>
                <w:rFonts w:ascii="Times New Roman" w:hAnsi="Times New Roman"/>
              </w:rPr>
              <w:t>3</w:t>
            </w:r>
            <w:r w:rsidR="0014077D" w:rsidRPr="002A3FE4">
              <w:rPr>
                <w:rFonts w:ascii="Times New Roman" w:hAnsi="Times New Roman"/>
              </w:rPr>
              <w:t>.</w:t>
            </w:r>
            <w:r w:rsidRPr="002A3FE4">
              <w:rPr>
                <w:rFonts w:ascii="Times New Roman" w:hAnsi="Times New Roman"/>
              </w:rPr>
              <w:t>55</w:t>
            </w:r>
          </w:p>
        </w:tc>
        <w:tc>
          <w:tcPr>
            <w:tcW w:w="708" w:type="dxa"/>
            <w:noWrap/>
            <w:hideMark/>
          </w:tcPr>
          <w:p w14:paraId="1A89A714" w14:textId="77777777" w:rsidR="00E72009" w:rsidRPr="002A3FE4" w:rsidRDefault="00E72009" w:rsidP="007D34E9">
            <w:pPr>
              <w:ind w:firstLine="0"/>
              <w:jc w:val="center"/>
              <w:rPr>
                <w:rFonts w:ascii="Times New Roman" w:hAnsi="Times New Roman"/>
              </w:rPr>
            </w:pPr>
            <w:r w:rsidRPr="002A3FE4">
              <w:rPr>
                <w:rFonts w:ascii="Times New Roman" w:hAnsi="Times New Roman"/>
              </w:rPr>
              <w:t>151</w:t>
            </w:r>
          </w:p>
        </w:tc>
        <w:tc>
          <w:tcPr>
            <w:tcW w:w="851" w:type="dxa"/>
            <w:noWrap/>
            <w:hideMark/>
          </w:tcPr>
          <w:p w14:paraId="2DDB6E74" w14:textId="57346822"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61</w:t>
            </w:r>
          </w:p>
        </w:tc>
        <w:tc>
          <w:tcPr>
            <w:tcW w:w="992" w:type="dxa"/>
            <w:noWrap/>
            <w:hideMark/>
          </w:tcPr>
          <w:p w14:paraId="562916DB" w14:textId="63C62AA4"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03</w:t>
            </w:r>
          </w:p>
        </w:tc>
        <w:tc>
          <w:tcPr>
            <w:tcW w:w="851" w:type="dxa"/>
            <w:noWrap/>
            <w:hideMark/>
          </w:tcPr>
          <w:p w14:paraId="015EAAAD" w14:textId="119FD7BA" w:rsidR="00E72009" w:rsidRPr="002A3FE4" w:rsidRDefault="00E72009" w:rsidP="007D34E9">
            <w:pPr>
              <w:ind w:firstLine="0"/>
              <w:jc w:val="center"/>
              <w:rPr>
                <w:rFonts w:ascii="Times New Roman" w:hAnsi="Times New Roman"/>
              </w:rPr>
            </w:pPr>
            <w:r w:rsidRPr="002A3FE4">
              <w:rPr>
                <w:rFonts w:ascii="Times New Roman" w:hAnsi="Times New Roman"/>
              </w:rPr>
              <w:t>4</w:t>
            </w:r>
            <w:r w:rsidR="0014077D" w:rsidRPr="002A3FE4">
              <w:rPr>
                <w:rFonts w:ascii="Times New Roman" w:hAnsi="Times New Roman"/>
              </w:rPr>
              <w:t>.</w:t>
            </w:r>
            <w:r w:rsidRPr="002A3FE4">
              <w:rPr>
                <w:rFonts w:ascii="Times New Roman" w:hAnsi="Times New Roman"/>
              </w:rPr>
              <w:t>64</w:t>
            </w:r>
          </w:p>
        </w:tc>
        <w:tc>
          <w:tcPr>
            <w:tcW w:w="896" w:type="dxa"/>
            <w:noWrap/>
            <w:hideMark/>
          </w:tcPr>
          <w:p w14:paraId="27C65D88" w14:textId="77777777" w:rsidR="00E72009" w:rsidRPr="002A3FE4" w:rsidRDefault="00E72009" w:rsidP="007D34E9">
            <w:pPr>
              <w:ind w:firstLine="0"/>
              <w:jc w:val="center"/>
              <w:rPr>
                <w:rFonts w:ascii="Times New Roman" w:hAnsi="Times New Roman"/>
              </w:rPr>
            </w:pPr>
            <w:r w:rsidRPr="002A3FE4">
              <w:rPr>
                <w:rFonts w:ascii="Times New Roman" w:hAnsi="Times New Roman"/>
              </w:rPr>
              <w:t>168</w:t>
            </w:r>
          </w:p>
        </w:tc>
      </w:tr>
      <w:tr w:rsidR="002A3FE4" w:rsidRPr="002A3FE4" w14:paraId="353F873F" w14:textId="77777777" w:rsidTr="00E72009">
        <w:trPr>
          <w:trHeight w:val="290"/>
        </w:trPr>
        <w:tc>
          <w:tcPr>
            <w:tcW w:w="1702" w:type="dxa"/>
            <w:noWrap/>
            <w:hideMark/>
          </w:tcPr>
          <w:p w14:paraId="145EA349" w14:textId="77777777" w:rsidR="00882D8F" w:rsidRPr="002A3FE4" w:rsidRDefault="00882D8F" w:rsidP="00496B34">
            <w:pPr>
              <w:ind w:firstLine="0"/>
              <w:rPr>
                <w:rFonts w:ascii="Times New Roman" w:hAnsi="Times New Roman"/>
              </w:rPr>
            </w:pPr>
            <w:r w:rsidRPr="002A3FE4">
              <w:rPr>
                <w:rFonts w:ascii="Times New Roman" w:hAnsi="Times New Roman"/>
              </w:rPr>
              <w:t>Forests:</w:t>
            </w:r>
          </w:p>
          <w:p w14:paraId="7081998A" w14:textId="3CA155A0" w:rsidR="00E72009" w:rsidRPr="002A3FE4" w:rsidRDefault="00E72009" w:rsidP="00496B34">
            <w:pPr>
              <w:ind w:firstLine="0"/>
              <w:rPr>
                <w:rFonts w:ascii="Times New Roman" w:hAnsi="Times New Roman"/>
              </w:rPr>
            </w:pPr>
            <w:r w:rsidRPr="002A3FE4">
              <w:rPr>
                <w:rFonts w:ascii="Times New Roman" w:hAnsi="Times New Roman"/>
              </w:rPr>
              <w:t xml:space="preserve">Glimåkra </w:t>
            </w:r>
          </w:p>
        </w:tc>
        <w:tc>
          <w:tcPr>
            <w:tcW w:w="850" w:type="dxa"/>
            <w:noWrap/>
            <w:hideMark/>
          </w:tcPr>
          <w:p w14:paraId="36EC2E82" w14:textId="70AA6C3F"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68</w:t>
            </w:r>
          </w:p>
        </w:tc>
        <w:tc>
          <w:tcPr>
            <w:tcW w:w="705" w:type="dxa"/>
            <w:noWrap/>
            <w:hideMark/>
          </w:tcPr>
          <w:p w14:paraId="1DC0EFF2" w14:textId="77777777" w:rsidR="00E72009" w:rsidRPr="002A3FE4" w:rsidRDefault="00E72009" w:rsidP="007D34E9">
            <w:pPr>
              <w:ind w:firstLine="0"/>
              <w:jc w:val="center"/>
              <w:rPr>
                <w:rFonts w:ascii="Times New Roman" w:hAnsi="Times New Roman"/>
              </w:rPr>
            </w:pPr>
            <w:r w:rsidRPr="002A3FE4">
              <w:rPr>
                <w:rFonts w:ascii="Times New Roman" w:hAnsi="Times New Roman"/>
              </w:rPr>
              <w:t>206</w:t>
            </w:r>
          </w:p>
        </w:tc>
        <w:tc>
          <w:tcPr>
            <w:tcW w:w="783" w:type="dxa"/>
            <w:noWrap/>
            <w:hideMark/>
          </w:tcPr>
          <w:p w14:paraId="0DC1CBAB" w14:textId="3A5EAA16"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75</w:t>
            </w:r>
          </w:p>
        </w:tc>
        <w:tc>
          <w:tcPr>
            <w:tcW w:w="916" w:type="dxa"/>
            <w:noWrap/>
            <w:hideMark/>
          </w:tcPr>
          <w:p w14:paraId="5EAF0DCD" w14:textId="788F8C78" w:rsidR="00E72009" w:rsidRPr="002A3FE4" w:rsidRDefault="00E72009" w:rsidP="007D34E9">
            <w:pPr>
              <w:ind w:firstLine="0"/>
              <w:jc w:val="center"/>
              <w:rPr>
                <w:rFonts w:ascii="Times New Roman" w:hAnsi="Times New Roman"/>
              </w:rPr>
            </w:pPr>
            <w:r w:rsidRPr="002A3FE4">
              <w:rPr>
                <w:rFonts w:ascii="Times New Roman" w:hAnsi="Times New Roman"/>
              </w:rPr>
              <w:t>1</w:t>
            </w:r>
            <w:r w:rsidR="0014077D" w:rsidRPr="002A3FE4">
              <w:rPr>
                <w:rFonts w:ascii="Times New Roman" w:hAnsi="Times New Roman"/>
              </w:rPr>
              <w:t>.</w:t>
            </w:r>
            <w:r w:rsidRPr="002A3FE4">
              <w:rPr>
                <w:rFonts w:ascii="Times New Roman" w:hAnsi="Times New Roman"/>
              </w:rPr>
              <w:t>22</w:t>
            </w:r>
          </w:p>
        </w:tc>
        <w:tc>
          <w:tcPr>
            <w:tcW w:w="857" w:type="dxa"/>
            <w:noWrap/>
            <w:hideMark/>
          </w:tcPr>
          <w:p w14:paraId="7CB15187" w14:textId="5EA4432D" w:rsidR="00E72009" w:rsidRPr="002A3FE4" w:rsidRDefault="00E72009" w:rsidP="007D34E9">
            <w:pPr>
              <w:ind w:firstLine="0"/>
              <w:jc w:val="center"/>
              <w:rPr>
                <w:rFonts w:ascii="Times New Roman" w:hAnsi="Times New Roman"/>
              </w:rPr>
            </w:pPr>
            <w:r w:rsidRPr="002A3FE4">
              <w:rPr>
                <w:rFonts w:ascii="Times New Roman" w:hAnsi="Times New Roman"/>
              </w:rPr>
              <w:t>3</w:t>
            </w:r>
            <w:r w:rsidR="0014077D" w:rsidRPr="002A3FE4">
              <w:rPr>
                <w:rFonts w:ascii="Times New Roman" w:hAnsi="Times New Roman"/>
              </w:rPr>
              <w:t>.</w:t>
            </w:r>
            <w:r w:rsidRPr="002A3FE4">
              <w:rPr>
                <w:rFonts w:ascii="Times New Roman" w:hAnsi="Times New Roman"/>
              </w:rPr>
              <w:t>97</w:t>
            </w:r>
          </w:p>
        </w:tc>
        <w:tc>
          <w:tcPr>
            <w:tcW w:w="708" w:type="dxa"/>
            <w:noWrap/>
            <w:hideMark/>
          </w:tcPr>
          <w:p w14:paraId="3991A300" w14:textId="77777777" w:rsidR="00E72009" w:rsidRPr="002A3FE4" w:rsidRDefault="00E72009" w:rsidP="007D34E9">
            <w:pPr>
              <w:ind w:firstLine="0"/>
              <w:jc w:val="center"/>
              <w:rPr>
                <w:rFonts w:ascii="Times New Roman" w:hAnsi="Times New Roman"/>
              </w:rPr>
            </w:pPr>
            <w:r w:rsidRPr="002A3FE4">
              <w:rPr>
                <w:rFonts w:ascii="Times New Roman" w:hAnsi="Times New Roman"/>
              </w:rPr>
              <w:t>402</w:t>
            </w:r>
          </w:p>
        </w:tc>
        <w:tc>
          <w:tcPr>
            <w:tcW w:w="851" w:type="dxa"/>
            <w:noWrap/>
            <w:hideMark/>
          </w:tcPr>
          <w:p w14:paraId="232713B0" w14:textId="05CDC99F"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06</w:t>
            </w:r>
          </w:p>
        </w:tc>
        <w:tc>
          <w:tcPr>
            <w:tcW w:w="992" w:type="dxa"/>
            <w:noWrap/>
            <w:hideMark/>
          </w:tcPr>
          <w:p w14:paraId="2D2B14DD" w14:textId="0236EE1F" w:rsidR="00E72009" w:rsidRPr="002A3FE4" w:rsidRDefault="00E72009" w:rsidP="007D34E9">
            <w:pPr>
              <w:ind w:firstLine="0"/>
              <w:jc w:val="center"/>
              <w:rPr>
                <w:rFonts w:ascii="Times New Roman" w:hAnsi="Times New Roman"/>
              </w:rPr>
            </w:pPr>
            <w:r w:rsidRPr="002A3FE4">
              <w:rPr>
                <w:rFonts w:ascii="Times New Roman" w:hAnsi="Times New Roman"/>
              </w:rPr>
              <w:t>1</w:t>
            </w:r>
            <w:r w:rsidR="0014077D" w:rsidRPr="002A3FE4">
              <w:rPr>
                <w:rFonts w:ascii="Times New Roman" w:hAnsi="Times New Roman"/>
              </w:rPr>
              <w:t>.</w:t>
            </w:r>
            <w:r w:rsidRPr="002A3FE4">
              <w:rPr>
                <w:rFonts w:ascii="Times New Roman" w:hAnsi="Times New Roman"/>
              </w:rPr>
              <w:t>31</w:t>
            </w:r>
          </w:p>
        </w:tc>
        <w:tc>
          <w:tcPr>
            <w:tcW w:w="851" w:type="dxa"/>
            <w:noWrap/>
            <w:hideMark/>
          </w:tcPr>
          <w:p w14:paraId="68CC3887" w14:textId="3ABBE8BF" w:rsidR="00E72009" w:rsidRPr="002A3FE4" w:rsidRDefault="00E72009" w:rsidP="007D34E9">
            <w:pPr>
              <w:ind w:firstLine="0"/>
              <w:jc w:val="center"/>
              <w:rPr>
                <w:rFonts w:ascii="Times New Roman" w:hAnsi="Times New Roman"/>
              </w:rPr>
            </w:pPr>
            <w:r w:rsidRPr="002A3FE4">
              <w:rPr>
                <w:rFonts w:ascii="Times New Roman" w:hAnsi="Times New Roman"/>
              </w:rPr>
              <w:t>3</w:t>
            </w:r>
            <w:r w:rsidR="0014077D" w:rsidRPr="002A3FE4">
              <w:rPr>
                <w:rFonts w:ascii="Times New Roman" w:hAnsi="Times New Roman"/>
              </w:rPr>
              <w:t>.</w:t>
            </w:r>
            <w:r w:rsidRPr="002A3FE4">
              <w:rPr>
                <w:rFonts w:ascii="Times New Roman" w:hAnsi="Times New Roman"/>
              </w:rPr>
              <w:t>37</w:t>
            </w:r>
          </w:p>
        </w:tc>
        <w:tc>
          <w:tcPr>
            <w:tcW w:w="896" w:type="dxa"/>
            <w:noWrap/>
            <w:hideMark/>
          </w:tcPr>
          <w:p w14:paraId="7DA16F80" w14:textId="77777777" w:rsidR="00E72009" w:rsidRPr="002A3FE4" w:rsidRDefault="00E72009" w:rsidP="007D34E9">
            <w:pPr>
              <w:ind w:firstLine="0"/>
              <w:jc w:val="center"/>
              <w:rPr>
                <w:rFonts w:ascii="Times New Roman" w:hAnsi="Times New Roman"/>
              </w:rPr>
            </w:pPr>
            <w:r w:rsidRPr="002A3FE4">
              <w:rPr>
                <w:rFonts w:ascii="Times New Roman" w:hAnsi="Times New Roman"/>
              </w:rPr>
              <w:t>1010</w:t>
            </w:r>
          </w:p>
        </w:tc>
      </w:tr>
      <w:tr w:rsidR="002A3FE4" w:rsidRPr="002A3FE4" w14:paraId="2E8160AC" w14:textId="77777777" w:rsidTr="00E72009">
        <w:trPr>
          <w:trHeight w:val="290"/>
        </w:trPr>
        <w:tc>
          <w:tcPr>
            <w:tcW w:w="1702" w:type="dxa"/>
            <w:noWrap/>
            <w:hideMark/>
          </w:tcPr>
          <w:p w14:paraId="61345E91" w14:textId="77777777" w:rsidR="00E72009" w:rsidRPr="002A3FE4" w:rsidRDefault="00E72009" w:rsidP="00496B34">
            <w:pPr>
              <w:ind w:firstLine="0"/>
              <w:rPr>
                <w:rFonts w:ascii="Times New Roman" w:hAnsi="Times New Roman"/>
              </w:rPr>
            </w:pPr>
            <w:r w:rsidRPr="002A3FE4">
              <w:rPr>
                <w:rFonts w:ascii="Times New Roman" w:hAnsi="Times New Roman"/>
              </w:rPr>
              <w:t>Total</w:t>
            </w:r>
          </w:p>
        </w:tc>
        <w:tc>
          <w:tcPr>
            <w:tcW w:w="850" w:type="dxa"/>
            <w:noWrap/>
            <w:hideMark/>
          </w:tcPr>
          <w:p w14:paraId="311CC2FC" w14:textId="224BBFE5"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72</w:t>
            </w:r>
          </w:p>
        </w:tc>
        <w:tc>
          <w:tcPr>
            <w:tcW w:w="705" w:type="dxa"/>
            <w:noWrap/>
            <w:hideMark/>
          </w:tcPr>
          <w:p w14:paraId="3770FD03" w14:textId="77777777" w:rsidR="00E72009" w:rsidRPr="002A3FE4" w:rsidRDefault="00E72009" w:rsidP="007D34E9">
            <w:pPr>
              <w:ind w:firstLine="0"/>
              <w:jc w:val="center"/>
              <w:rPr>
                <w:rFonts w:ascii="Times New Roman" w:hAnsi="Times New Roman"/>
              </w:rPr>
            </w:pPr>
            <w:r w:rsidRPr="002A3FE4">
              <w:rPr>
                <w:rFonts w:ascii="Times New Roman" w:hAnsi="Times New Roman"/>
              </w:rPr>
              <w:t>302</w:t>
            </w:r>
          </w:p>
        </w:tc>
        <w:tc>
          <w:tcPr>
            <w:tcW w:w="783" w:type="dxa"/>
            <w:noWrap/>
            <w:hideMark/>
          </w:tcPr>
          <w:p w14:paraId="04A7302A" w14:textId="64E49676"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70</w:t>
            </w:r>
          </w:p>
        </w:tc>
        <w:tc>
          <w:tcPr>
            <w:tcW w:w="916" w:type="dxa"/>
            <w:noWrap/>
            <w:hideMark/>
          </w:tcPr>
          <w:p w14:paraId="1CEF6718" w14:textId="63D4C656" w:rsidR="00E72009" w:rsidRPr="002A3FE4" w:rsidRDefault="00E72009" w:rsidP="007D34E9">
            <w:pPr>
              <w:ind w:firstLine="0"/>
              <w:jc w:val="center"/>
              <w:rPr>
                <w:rFonts w:ascii="Times New Roman" w:hAnsi="Times New Roman"/>
              </w:rPr>
            </w:pPr>
            <w:r w:rsidRPr="002A3FE4">
              <w:rPr>
                <w:rFonts w:ascii="Times New Roman" w:hAnsi="Times New Roman"/>
              </w:rPr>
              <w:t>1</w:t>
            </w:r>
            <w:r w:rsidR="0014077D" w:rsidRPr="002A3FE4">
              <w:rPr>
                <w:rFonts w:ascii="Times New Roman" w:hAnsi="Times New Roman"/>
              </w:rPr>
              <w:t>.</w:t>
            </w:r>
            <w:r w:rsidRPr="002A3FE4">
              <w:rPr>
                <w:rFonts w:ascii="Times New Roman" w:hAnsi="Times New Roman"/>
              </w:rPr>
              <w:t>30</w:t>
            </w:r>
          </w:p>
        </w:tc>
        <w:tc>
          <w:tcPr>
            <w:tcW w:w="857" w:type="dxa"/>
            <w:noWrap/>
            <w:hideMark/>
          </w:tcPr>
          <w:p w14:paraId="2752C129" w14:textId="6E8D4F70" w:rsidR="00E72009" w:rsidRPr="002A3FE4" w:rsidRDefault="00E72009" w:rsidP="007D34E9">
            <w:pPr>
              <w:ind w:firstLine="0"/>
              <w:jc w:val="center"/>
              <w:rPr>
                <w:rFonts w:ascii="Times New Roman" w:hAnsi="Times New Roman"/>
              </w:rPr>
            </w:pPr>
            <w:r w:rsidRPr="002A3FE4">
              <w:rPr>
                <w:rFonts w:ascii="Times New Roman" w:hAnsi="Times New Roman"/>
              </w:rPr>
              <w:t>4</w:t>
            </w:r>
            <w:r w:rsidR="0014077D" w:rsidRPr="002A3FE4">
              <w:rPr>
                <w:rFonts w:ascii="Times New Roman" w:hAnsi="Times New Roman"/>
              </w:rPr>
              <w:t>.</w:t>
            </w:r>
            <w:r w:rsidRPr="002A3FE4">
              <w:rPr>
                <w:rFonts w:ascii="Times New Roman" w:hAnsi="Times New Roman"/>
              </w:rPr>
              <w:t>00</w:t>
            </w:r>
          </w:p>
        </w:tc>
        <w:tc>
          <w:tcPr>
            <w:tcW w:w="708" w:type="dxa"/>
            <w:noWrap/>
            <w:hideMark/>
          </w:tcPr>
          <w:p w14:paraId="2CC919A3" w14:textId="77777777" w:rsidR="00E72009" w:rsidRPr="002A3FE4" w:rsidRDefault="00E72009" w:rsidP="007D34E9">
            <w:pPr>
              <w:ind w:firstLine="0"/>
              <w:jc w:val="center"/>
              <w:rPr>
                <w:rFonts w:ascii="Times New Roman" w:hAnsi="Times New Roman"/>
              </w:rPr>
            </w:pPr>
            <w:r w:rsidRPr="002A3FE4">
              <w:rPr>
                <w:rFonts w:ascii="Times New Roman" w:hAnsi="Times New Roman"/>
              </w:rPr>
              <w:t>640</w:t>
            </w:r>
          </w:p>
        </w:tc>
        <w:tc>
          <w:tcPr>
            <w:tcW w:w="851" w:type="dxa"/>
            <w:noWrap/>
            <w:hideMark/>
          </w:tcPr>
          <w:p w14:paraId="39E95097" w14:textId="7136142A" w:rsidR="00E72009" w:rsidRPr="002A3FE4" w:rsidRDefault="00E72009" w:rsidP="007D34E9">
            <w:pPr>
              <w:ind w:firstLine="0"/>
              <w:jc w:val="center"/>
              <w:rPr>
                <w:rFonts w:ascii="Times New Roman" w:hAnsi="Times New Roman"/>
              </w:rPr>
            </w:pPr>
            <w:r w:rsidRPr="002A3FE4">
              <w:rPr>
                <w:rFonts w:ascii="Times New Roman" w:hAnsi="Times New Roman"/>
              </w:rPr>
              <w:t>2</w:t>
            </w:r>
            <w:r w:rsidR="0014077D" w:rsidRPr="002A3FE4">
              <w:rPr>
                <w:rFonts w:ascii="Times New Roman" w:hAnsi="Times New Roman"/>
              </w:rPr>
              <w:t>.</w:t>
            </w:r>
            <w:r w:rsidRPr="002A3FE4">
              <w:rPr>
                <w:rFonts w:ascii="Times New Roman" w:hAnsi="Times New Roman"/>
              </w:rPr>
              <w:t>24</w:t>
            </w:r>
          </w:p>
        </w:tc>
        <w:tc>
          <w:tcPr>
            <w:tcW w:w="992" w:type="dxa"/>
            <w:noWrap/>
            <w:hideMark/>
          </w:tcPr>
          <w:p w14:paraId="46C58A8B" w14:textId="5FB361F7" w:rsidR="00E72009" w:rsidRPr="002A3FE4" w:rsidRDefault="00E72009" w:rsidP="007D34E9">
            <w:pPr>
              <w:ind w:firstLine="0"/>
              <w:jc w:val="center"/>
              <w:rPr>
                <w:rFonts w:ascii="Times New Roman" w:hAnsi="Times New Roman"/>
              </w:rPr>
            </w:pPr>
            <w:r w:rsidRPr="002A3FE4">
              <w:rPr>
                <w:rFonts w:ascii="Times New Roman" w:hAnsi="Times New Roman"/>
              </w:rPr>
              <w:t>1</w:t>
            </w:r>
            <w:r w:rsidR="0014077D" w:rsidRPr="002A3FE4">
              <w:rPr>
                <w:rFonts w:ascii="Times New Roman" w:hAnsi="Times New Roman"/>
              </w:rPr>
              <w:t>.</w:t>
            </w:r>
            <w:r w:rsidRPr="002A3FE4">
              <w:rPr>
                <w:rFonts w:ascii="Times New Roman" w:hAnsi="Times New Roman"/>
              </w:rPr>
              <w:t>49</w:t>
            </w:r>
          </w:p>
        </w:tc>
        <w:tc>
          <w:tcPr>
            <w:tcW w:w="851" w:type="dxa"/>
            <w:noWrap/>
            <w:hideMark/>
          </w:tcPr>
          <w:p w14:paraId="2360E099" w14:textId="5414E9A0" w:rsidR="00E72009" w:rsidRPr="002A3FE4" w:rsidRDefault="00E72009" w:rsidP="007D34E9">
            <w:pPr>
              <w:ind w:firstLine="0"/>
              <w:jc w:val="center"/>
              <w:rPr>
                <w:rFonts w:ascii="Times New Roman" w:hAnsi="Times New Roman"/>
              </w:rPr>
            </w:pPr>
            <w:r w:rsidRPr="002A3FE4">
              <w:rPr>
                <w:rFonts w:ascii="Times New Roman" w:hAnsi="Times New Roman"/>
              </w:rPr>
              <w:t>3</w:t>
            </w:r>
            <w:r w:rsidR="0014077D" w:rsidRPr="002A3FE4">
              <w:rPr>
                <w:rFonts w:ascii="Times New Roman" w:hAnsi="Times New Roman"/>
              </w:rPr>
              <w:t>.</w:t>
            </w:r>
            <w:r w:rsidRPr="002A3FE4">
              <w:rPr>
                <w:rFonts w:ascii="Times New Roman" w:hAnsi="Times New Roman"/>
              </w:rPr>
              <w:t>73</w:t>
            </w:r>
          </w:p>
        </w:tc>
        <w:tc>
          <w:tcPr>
            <w:tcW w:w="896" w:type="dxa"/>
            <w:noWrap/>
            <w:hideMark/>
          </w:tcPr>
          <w:p w14:paraId="569508D9" w14:textId="77777777" w:rsidR="00E72009" w:rsidRPr="002A3FE4" w:rsidRDefault="00E72009" w:rsidP="007D34E9">
            <w:pPr>
              <w:ind w:firstLine="0"/>
              <w:jc w:val="center"/>
              <w:rPr>
                <w:rFonts w:ascii="Times New Roman" w:hAnsi="Times New Roman"/>
              </w:rPr>
            </w:pPr>
            <w:r w:rsidRPr="002A3FE4">
              <w:rPr>
                <w:rFonts w:ascii="Times New Roman" w:hAnsi="Times New Roman"/>
              </w:rPr>
              <w:t>1342</w:t>
            </w:r>
          </w:p>
        </w:tc>
      </w:tr>
    </w:tbl>
    <w:p w14:paraId="22035591" w14:textId="47095076" w:rsidR="00CD34AC" w:rsidRPr="002A3FE4" w:rsidRDefault="00DB4E77" w:rsidP="00496B34">
      <w:pPr>
        <w:spacing w:after="0" w:line="480" w:lineRule="auto"/>
        <w:ind w:firstLine="0"/>
        <w:rPr>
          <w:lang w:val="en-GB"/>
        </w:rPr>
      </w:pPr>
      <w:r w:rsidRPr="002A3FE4">
        <w:rPr>
          <w:lang w:val="en-GB"/>
        </w:rPr>
        <w:t xml:space="preserve">Note. Sources are </w:t>
      </w:r>
      <w:bookmarkStart w:id="1" w:name="_Hlk173250618"/>
      <w:r w:rsidRPr="002A3FE4">
        <w:rPr>
          <w:lang w:val="en-GB"/>
        </w:rPr>
        <w:t>cadastral registers (</w:t>
      </w:r>
      <w:r w:rsidRPr="002A3FE4">
        <w:rPr>
          <w:i/>
          <w:iCs/>
          <w:lang w:val="en-GB"/>
        </w:rPr>
        <w:t>mantalslängder</w:t>
      </w:r>
      <w:r w:rsidRPr="002A3FE4">
        <w:rPr>
          <w:lang w:val="en-GB"/>
        </w:rPr>
        <w:t xml:space="preserve">) </w:t>
      </w:r>
      <w:bookmarkEnd w:id="1"/>
      <w:r w:rsidRPr="002A3FE4">
        <w:rPr>
          <w:lang w:val="en-GB"/>
        </w:rPr>
        <w:t xml:space="preserve">for the </w:t>
      </w:r>
      <w:r w:rsidR="00882D8F" w:rsidRPr="002A3FE4">
        <w:rPr>
          <w:lang w:val="en-GB"/>
        </w:rPr>
        <w:t>four</w:t>
      </w:r>
      <w:r w:rsidRPr="002A3FE4">
        <w:rPr>
          <w:lang w:val="en-GB"/>
        </w:rPr>
        <w:t xml:space="preserve"> parishes.</w:t>
      </w:r>
    </w:p>
    <w:p w14:paraId="73A94443" w14:textId="77777777" w:rsidR="00CD34AC" w:rsidRPr="002A3FE4" w:rsidRDefault="00CD34AC" w:rsidP="00496B34">
      <w:pPr>
        <w:spacing w:after="0" w:line="480" w:lineRule="auto"/>
        <w:ind w:firstLine="720"/>
        <w:rPr>
          <w:sz w:val="24"/>
          <w:szCs w:val="24"/>
          <w:lang w:val="en-GB"/>
        </w:rPr>
      </w:pPr>
    </w:p>
    <w:p w14:paraId="5E8749BA" w14:textId="433A6EE2" w:rsidR="00CD34AC" w:rsidRPr="002A3FE4" w:rsidRDefault="00CE04C6" w:rsidP="00D917CC">
      <w:pPr>
        <w:spacing w:after="0" w:line="480" w:lineRule="auto"/>
        <w:ind w:firstLine="0"/>
        <w:jc w:val="both"/>
        <w:rPr>
          <w:sz w:val="24"/>
          <w:szCs w:val="24"/>
          <w:lang w:val="en-GB"/>
        </w:rPr>
      </w:pPr>
      <w:r w:rsidRPr="002A3FE4">
        <w:rPr>
          <w:sz w:val="24"/>
          <w:szCs w:val="24"/>
          <w:lang w:val="en-GB"/>
        </w:rPr>
        <w:t xml:space="preserve">For our purposes, it is more important </w:t>
      </w:r>
      <w:r w:rsidR="00A832F1" w:rsidRPr="002A3FE4">
        <w:rPr>
          <w:sz w:val="24"/>
          <w:szCs w:val="24"/>
          <w:lang w:val="en-GB"/>
        </w:rPr>
        <w:t xml:space="preserve">to discover </w:t>
      </w:r>
      <w:r w:rsidRPr="002A3FE4">
        <w:rPr>
          <w:sz w:val="24"/>
          <w:szCs w:val="24"/>
          <w:lang w:val="en-GB"/>
        </w:rPr>
        <w:t>if there are changes over time. In Table A</w:t>
      </w:r>
      <w:r w:rsidR="00FF065C" w:rsidRPr="002A3FE4">
        <w:rPr>
          <w:sz w:val="24"/>
          <w:szCs w:val="24"/>
          <w:lang w:val="en-GB"/>
        </w:rPr>
        <w:t>8</w:t>
      </w:r>
      <w:r w:rsidRPr="002A3FE4">
        <w:rPr>
          <w:sz w:val="24"/>
          <w:szCs w:val="24"/>
          <w:lang w:val="en-GB"/>
        </w:rPr>
        <w:t>, we see that the number of adults per household slightly decreases over time, from 2.72 in the first period and 2.7 in the second to 2.24 in the third. The total</w:t>
      </w:r>
      <w:r w:rsidR="00B4192A" w:rsidRPr="002A3FE4">
        <w:rPr>
          <w:sz w:val="24"/>
          <w:szCs w:val="24"/>
          <w:lang w:val="en-GB"/>
        </w:rPr>
        <w:t xml:space="preserve"> number of persons</w:t>
      </w:r>
      <w:r w:rsidRPr="002A3FE4">
        <w:rPr>
          <w:sz w:val="24"/>
          <w:szCs w:val="24"/>
          <w:lang w:val="en-GB"/>
        </w:rPr>
        <w:t xml:space="preserve">, including children, is only </w:t>
      </w:r>
      <w:r w:rsidR="00A446EB" w:rsidRPr="002A3FE4">
        <w:rPr>
          <w:sz w:val="24"/>
          <w:szCs w:val="24"/>
          <w:lang w:val="en-GB"/>
        </w:rPr>
        <w:t xml:space="preserve">possible to </w:t>
      </w:r>
      <w:r w:rsidR="00A832F1" w:rsidRPr="002A3FE4">
        <w:rPr>
          <w:sz w:val="24"/>
          <w:szCs w:val="24"/>
          <w:lang w:val="en-GB"/>
        </w:rPr>
        <w:t xml:space="preserve">show </w:t>
      </w:r>
      <w:r w:rsidRPr="002A3FE4">
        <w:rPr>
          <w:sz w:val="24"/>
          <w:szCs w:val="24"/>
          <w:lang w:val="en-GB"/>
        </w:rPr>
        <w:t xml:space="preserve">in the latter two periods, </w:t>
      </w:r>
      <w:r w:rsidR="00B4192A" w:rsidRPr="002A3FE4">
        <w:rPr>
          <w:sz w:val="24"/>
          <w:szCs w:val="24"/>
          <w:lang w:val="en-GB"/>
        </w:rPr>
        <w:t>between</w:t>
      </w:r>
      <w:r w:rsidRPr="002A3FE4">
        <w:rPr>
          <w:sz w:val="24"/>
          <w:szCs w:val="24"/>
          <w:lang w:val="en-GB"/>
        </w:rPr>
        <w:t xml:space="preserve"> which </w:t>
      </w:r>
      <w:r w:rsidR="00B4192A" w:rsidRPr="002A3FE4">
        <w:rPr>
          <w:sz w:val="24"/>
          <w:szCs w:val="24"/>
          <w:lang w:val="en-GB"/>
        </w:rPr>
        <w:t>the total number</w:t>
      </w:r>
      <w:r w:rsidRPr="002A3FE4">
        <w:rPr>
          <w:sz w:val="24"/>
          <w:szCs w:val="24"/>
          <w:lang w:val="en-GB"/>
        </w:rPr>
        <w:t xml:space="preserve"> slightly decreases, from 4.00 to 3.73.</w:t>
      </w:r>
      <w:r w:rsidR="0018495F" w:rsidRPr="002A3FE4">
        <w:rPr>
          <w:sz w:val="24"/>
          <w:szCs w:val="24"/>
          <w:lang w:val="en-GB"/>
        </w:rPr>
        <w:t xml:space="preserve"> The change over time is small, and statistically not very </w:t>
      </w:r>
      <w:r w:rsidR="0018495F" w:rsidRPr="002A3FE4">
        <w:rPr>
          <w:sz w:val="24"/>
          <w:szCs w:val="24"/>
          <w:lang w:val="en-GB"/>
        </w:rPr>
        <w:lastRenderedPageBreak/>
        <w:t xml:space="preserve">conclusive, but if anything, households became smaller over time. This indicates that the </w:t>
      </w:r>
      <w:r w:rsidR="00C403F8" w:rsidRPr="002A3FE4">
        <w:rPr>
          <w:sz w:val="24"/>
          <w:szCs w:val="24"/>
          <w:lang w:val="en-GB"/>
        </w:rPr>
        <w:t>growth</w:t>
      </w:r>
      <w:r w:rsidR="0018495F" w:rsidRPr="002A3FE4">
        <w:rPr>
          <w:sz w:val="24"/>
          <w:szCs w:val="24"/>
          <w:lang w:val="en-GB"/>
        </w:rPr>
        <w:t xml:space="preserve"> in</w:t>
      </w:r>
      <w:r w:rsidR="00C403F8" w:rsidRPr="002A3FE4">
        <w:rPr>
          <w:sz w:val="24"/>
          <w:szCs w:val="24"/>
          <w:lang w:val="en-GB"/>
        </w:rPr>
        <w:t xml:space="preserve"> the ownership of</w:t>
      </w:r>
      <w:r w:rsidR="0018495F" w:rsidRPr="002A3FE4">
        <w:rPr>
          <w:sz w:val="24"/>
          <w:szCs w:val="24"/>
          <w:lang w:val="en-GB"/>
        </w:rPr>
        <w:t xml:space="preserve"> </w:t>
      </w:r>
      <w:r w:rsidR="00C403F8" w:rsidRPr="002A3FE4">
        <w:rPr>
          <w:sz w:val="24"/>
          <w:szCs w:val="24"/>
          <w:lang w:val="en-GB"/>
        </w:rPr>
        <w:t xml:space="preserve">spinning and weaving </w:t>
      </w:r>
      <w:r w:rsidR="0018495F" w:rsidRPr="002A3FE4">
        <w:rPr>
          <w:sz w:val="24"/>
          <w:szCs w:val="24"/>
          <w:lang w:val="en-GB"/>
        </w:rPr>
        <w:t>tool</w:t>
      </w:r>
      <w:r w:rsidR="00C403F8" w:rsidRPr="002A3FE4">
        <w:rPr>
          <w:sz w:val="24"/>
          <w:szCs w:val="24"/>
          <w:lang w:val="en-GB"/>
        </w:rPr>
        <w:t>s found in</w:t>
      </w:r>
      <w:r w:rsidR="0018495F" w:rsidRPr="002A3FE4">
        <w:rPr>
          <w:sz w:val="24"/>
          <w:szCs w:val="24"/>
          <w:lang w:val="en-GB"/>
        </w:rPr>
        <w:t xml:space="preserve"> the paper</w:t>
      </w:r>
      <w:r w:rsidR="00C403F8" w:rsidRPr="002A3FE4">
        <w:rPr>
          <w:sz w:val="24"/>
          <w:szCs w:val="24"/>
          <w:lang w:val="en-GB"/>
        </w:rPr>
        <w:t xml:space="preserve"> wasn’t driven by the availability of more household members. Rather, it is about the core household members’ use of their time.</w:t>
      </w:r>
    </w:p>
    <w:p w14:paraId="26BE98B9" w14:textId="1C6D9F3B" w:rsidR="00F96232" w:rsidRPr="002A3FE4" w:rsidRDefault="00385BCD" w:rsidP="00D917CC">
      <w:pPr>
        <w:spacing w:after="0" w:line="480" w:lineRule="auto"/>
        <w:ind w:firstLine="0"/>
        <w:jc w:val="both"/>
        <w:rPr>
          <w:sz w:val="24"/>
          <w:szCs w:val="24"/>
          <w:lang w:val="en-GB"/>
        </w:rPr>
      </w:pPr>
      <w:r w:rsidRPr="002A3FE4">
        <w:rPr>
          <w:sz w:val="24"/>
          <w:szCs w:val="24"/>
          <w:lang w:val="en-GB"/>
        </w:rPr>
        <w:tab/>
        <w:t xml:space="preserve">A </w:t>
      </w:r>
      <w:r w:rsidR="00882D8F" w:rsidRPr="002A3FE4">
        <w:rPr>
          <w:sz w:val="24"/>
          <w:szCs w:val="24"/>
          <w:lang w:val="en-GB"/>
        </w:rPr>
        <w:t>concern</w:t>
      </w:r>
      <w:r w:rsidRPr="002A3FE4">
        <w:rPr>
          <w:sz w:val="24"/>
          <w:szCs w:val="24"/>
          <w:lang w:val="en-GB"/>
        </w:rPr>
        <w:t xml:space="preserve"> about the calculations of Table A</w:t>
      </w:r>
      <w:r w:rsidR="00FF065C" w:rsidRPr="002A3FE4">
        <w:rPr>
          <w:sz w:val="24"/>
          <w:szCs w:val="24"/>
          <w:lang w:val="en-GB"/>
        </w:rPr>
        <w:t>8</w:t>
      </w:r>
      <w:r w:rsidRPr="002A3FE4">
        <w:rPr>
          <w:sz w:val="24"/>
          <w:szCs w:val="24"/>
          <w:lang w:val="en-GB"/>
        </w:rPr>
        <w:t xml:space="preserve"> is that the </w:t>
      </w:r>
      <w:r w:rsidR="00882D8F" w:rsidRPr="002A3FE4">
        <w:rPr>
          <w:sz w:val="24"/>
          <w:szCs w:val="24"/>
          <w:lang w:val="en-GB"/>
        </w:rPr>
        <w:t>forested parish is much bigger than the others</w:t>
      </w:r>
      <w:r w:rsidRPr="002A3FE4">
        <w:rPr>
          <w:sz w:val="24"/>
          <w:szCs w:val="24"/>
          <w:lang w:val="en-GB"/>
        </w:rPr>
        <w:t>. Table A</w:t>
      </w:r>
      <w:r w:rsidR="00FF065C" w:rsidRPr="002A3FE4">
        <w:rPr>
          <w:sz w:val="24"/>
          <w:szCs w:val="24"/>
          <w:lang w:val="en-GB"/>
        </w:rPr>
        <w:t>9</w:t>
      </w:r>
      <w:r w:rsidRPr="002A3FE4">
        <w:rPr>
          <w:sz w:val="24"/>
          <w:szCs w:val="24"/>
          <w:lang w:val="en-GB"/>
        </w:rPr>
        <w:t xml:space="preserve"> presents reweighted calculations, reducing the weight of Glimåkra in the sample</w:t>
      </w:r>
      <w:r w:rsidR="00A832F1" w:rsidRPr="002A3FE4">
        <w:rPr>
          <w:sz w:val="24"/>
          <w:szCs w:val="24"/>
          <w:lang w:val="en-GB"/>
        </w:rPr>
        <w:t xml:space="preserve"> by randomly reducing the treated number of households to the average between the t</w:t>
      </w:r>
      <w:r w:rsidR="00A446EB" w:rsidRPr="002A3FE4">
        <w:rPr>
          <w:sz w:val="24"/>
          <w:szCs w:val="24"/>
          <w:lang w:val="en-GB"/>
        </w:rPr>
        <w:t>w</w:t>
      </w:r>
      <w:r w:rsidR="00A832F1" w:rsidRPr="002A3FE4">
        <w:rPr>
          <w:sz w:val="24"/>
          <w:szCs w:val="24"/>
          <w:lang w:val="en-GB"/>
        </w:rPr>
        <w:t>o other categories.</w:t>
      </w:r>
      <w:r w:rsidR="00A446EB" w:rsidRPr="002A3FE4">
        <w:rPr>
          <w:sz w:val="24"/>
          <w:szCs w:val="24"/>
          <w:lang w:val="en-GB"/>
        </w:rPr>
        <w:t xml:space="preserve"> As expected, the weighted mean total increases a little, but the general conclusion holds – the households rather shrank than grew over time.</w:t>
      </w:r>
    </w:p>
    <w:p w14:paraId="541B4C19" w14:textId="77777777" w:rsidR="00385BCD" w:rsidRPr="002A3FE4" w:rsidRDefault="00385BCD" w:rsidP="00D917CC">
      <w:pPr>
        <w:spacing w:after="0" w:line="480" w:lineRule="auto"/>
        <w:ind w:firstLine="0"/>
        <w:jc w:val="both"/>
        <w:rPr>
          <w:sz w:val="24"/>
          <w:szCs w:val="24"/>
          <w:lang w:val="en-GB"/>
        </w:rPr>
      </w:pPr>
    </w:p>
    <w:p w14:paraId="06EF1BDE" w14:textId="7A6EB445" w:rsidR="000E7F0E" w:rsidRPr="002A3FE4" w:rsidRDefault="000E7F0E" w:rsidP="00496B34">
      <w:pPr>
        <w:spacing w:after="0" w:line="480" w:lineRule="auto"/>
        <w:ind w:firstLine="0"/>
        <w:rPr>
          <w:b/>
          <w:bCs/>
          <w:sz w:val="24"/>
          <w:szCs w:val="24"/>
          <w:lang w:val="en-GB"/>
        </w:rPr>
      </w:pPr>
      <w:r w:rsidRPr="002A3FE4">
        <w:rPr>
          <w:b/>
          <w:bCs/>
          <w:sz w:val="24"/>
          <w:szCs w:val="24"/>
          <w:lang w:val="en-GB"/>
        </w:rPr>
        <w:t>Table A</w:t>
      </w:r>
      <w:r w:rsidR="00FF065C" w:rsidRPr="002A3FE4">
        <w:rPr>
          <w:b/>
          <w:bCs/>
          <w:sz w:val="24"/>
          <w:szCs w:val="24"/>
          <w:lang w:val="en-GB"/>
        </w:rPr>
        <w:t>9</w:t>
      </w:r>
      <w:r w:rsidRPr="002A3FE4">
        <w:rPr>
          <w:b/>
          <w:bCs/>
          <w:sz w:val="24"/>
          <w:szCs w:val="24"/>
          <w:lang w:val="en-GB"/>
        </w:rPr>
        <w:t>.</w:t>
      </w:r>
      <w:r w:rsidR="00496B34" w:rsidRPr="002A3FE4">
        <w:rPr>
          <w:b/>
          <w:bCs/>
          <w:sz w:val="24"/>
          <w:szCs w:val="24"/>
          <w:lang w:val="en-GB"/>
        </w:rPr>
        <w:t xml:space="preserve"> Household sizes in </w:t>
      </w:r>
      <w:r w:rsidR="00882D8F" w:rsidRPr="002A3FE4">
        <w:rPr>
          <w:b/>
          <w:bCs/>
          <w:sz w:val="24"/>
          <w:szCs w:val="24"/>
          <w:lang w:val="en-GB"/>
        </w:rPr>
        <w:t>four parishes in the sample</w:t>
      </w:r>
      <w:r w:rsidR="00496B34" w:rsidRPr="002A3FE4">
        <w:rPr>
          <w:b/>
          <w:bCs/>
          <w:sz w:val="24"/>
          <w:szCs w:val="24"/>
          <w:lang w:val="en-GB"/>
        </w:rPr>
        <w:t xml:space="preserve">, </w:t>
      </w:r>
      <w:r w:rsidR="00882D8F" w:rsidRPr="002A3FE4">
        <w:rPr>
          <w:b/>
          <w:bCs/>
          <w:sz w:val="24"/>
          <w:szCs w:val="24"/>
          <w:lang w:val="en-GB"/>
        </w:rPr>
        <w:t>weighted.</w:t>
      </w:r>
    </w:p>
    <w:tbl>
      <w:tblPr>
        <w:tblStyle w:val="Tabellrutnt"/>
        <w:tblW w:w="9545" w:type="dxa"/>
        <w:tblLook w:val="04A0" w:firstRow="1" w:lastRow="0" w:firstColumn="1" w:lastColumn="0" w:noHBand="0" w:noVBand="1"/>
      </w:tblPr>
      <w:tblGrid>
        <w:gridCol w:w="1601"/>
        <w:gridCol w:w="800"/>
        <w:gridCol w:w="557"/>
        <w:gridCol w:w="800"/>
        <w:gridCol w:w="966"/>
        <w:gridCol w:w="941"/>
        <w:gridCol w:w="567"/>
        <w:gridCol w:w="851"/>
        <w:gridCol w:w="966"/>
        <w:gridCol w:w="851"/>
        <w:gridCol w:w="645"/>
      </w:tblGrid>
      <w:tr w:rsidR="002A3FE4" w:rsidRPr="002A3FE4" w14:paraId="245A21DD" w14:textId="77777777" w:rsidTr="00385BCD">
        <w:trPr>
          <w:trHeight w:val="290"/>
        </w:trPr>
        <w:tc>
          <w:tcPr>
            <w:tcW w:w="1601" w:type="dxa"/>
            <w:noWrap/>
            <w:hideMark/>
          </w:tcPr>
          <w:p w14:paraId="6099BC81" w14:textId="77777777" w:rsidR="00385BCD" w:rsidRPr="002A3FE4" w:rsidRDefault="00385BCD" w:rsidP="00496B34">
            <w:pPr>
              <w:ind w:firstLine="0"/>
              <w:jc w:val="center"/>
              <w:rPr>
                <w:rFonts w:ascii="Times New Roman" w:hAnsi="Times New Roman"/>
                <w:lang w:val="en-GB"/>
              </w:rPr>
            </w:pPr>
          </w:p>
        </w:tc>
        <w:tc>
          <w:tcPr>
            <w:tcW w:w="1357" w:type="dxa"/>
            <w:gridSpan w:val="2"/>
            <w:noWrap/>
            <w:hideMark/>
          </w:tcPr>
          <w:p w14:paraId="593B7C6A" w14:textId="3C559773" w:rsidR="00385BCD" w:rsidRPr="002A3FE4" w:rsidRDefault="00385BCD" w:rsidP="007D34E9">
            <w:pPr>
              <w:ind w:firstLine="0"/>
              <w:jc w:val="center"/>
              <w:rPr>
                <w:rFonts w:ascii="Times New Roman" w:hAnsi="Times New Roman"/>
              </w:rPr>
            </w:pPr>
            <w:r w:rsidRPr="002A3FE4">
              <w:rPr>
                <w:rFonts w:ascii="Times New Roman" w:hAnsi="Times New Roman"/>
              </w:rPr>
              <w:t>1700</w:t>
            </w:r>
          </w:p>
        </w:tc>
        <w:tc>
          <w:tcPr>
            <w:tcW w:w="3274" w:type="dxa"/>
            <w:gridSpan w:val="4"/>
            <w:noWrap/>
            <w:hideMark/>
          </w:tcPr>
          <w:p w14:paraId="7C8E0C2D" w14:textId="0AD442B6" w:rsidR="00385BCD" w:rsidRPr="002A3FE4" w:rsidRDefault="00385BCD" w:rsidP="007D34E9">
            <w:pPr>
              <w:ind w:firstLine="0"/>
              <w:jc w:val="center"/>
              <w:rPr>
                <w:rFonts w:ascii="Times New Roman" w:hAnsi="Times New Roman"/>
              </w:rPr>
            </w:pPr>
            <w:r w:rsidRPr="002A3FE4">
              <w:rPr>
                <w:rFonts w:ascii="Times New Roman" w:hAnsi="Times New Roman"/>
              </w:rPr>
              <w:t>1780</w:t>
            </w:r>
          </w:p>
        </w:tc>
        <w:tc>
          <w:tcPr>
            <w:tcW w:w="3313" w:type="dxa"/>
            <w:gridSpan w:val="4"/>
            <w:noWrap/>
            <w:hideMark/>
          </w:tcPr>
          <w:p w14:paraId="61A8D0AB" w14:textId="6C2BE397" w:rsidR="00385BCD" w:rsidRPr="002A3FE4" w:rsidRDefault="00385BCD" w:rsidP="007D34E9">
            <w:pPr>
              <w:ind w:firstLine="0"/>
              <w:jc w:val="center"/>
              <w:rPr>
                <w:rFonts w:ascii="Times New Roman" w:hAnsi="Times New Roman"/>
              </w:rPr>
            </w:pPr>
            <w:r w:rsidRPr="002A3FE4">
              <w:rPr>
                <w:rFonts w:ascii="Times New Roman" w:hAnsi="Times New Roman"/>
              </w:rPr>
              <w:t>1860</w:t>
            </w:r>
          </w:p>
        </w:tc>
      </w:tr>
      <w:tr w:rsidR="002A3FE4" w:rsidRPr="002A3FE4" w14:paraId="76E4D3CB" w14:textId="77777777" w:rsidTr="00385BCD">
        <w:trPr>
          <w:trHeight w:val="290"/>
        </w:trPr>
        <w:tc>
          <w:tcPr>
            <w:tcW w:w="1601" w:type="dxa"/>
            <w:noWrap/>
            <w:hideMark/>
          </w:tcPr>
          <w:p w14:paraId="30D1EAC9" w14:textId="77777777" w:rsidR="00385BCD" w:rsidRPr="002A3FE4" w:rsidRDefault="00385BCD" w:rsidP="00496B34">
            <w:pPr>
              <w:ind w:firstLine="0"/>
              <w:jc w:val="center"/>
              <w:rPr>
                <w:rFonts w:ascii="Times New Roman" w:hAnsi="Times New Roman"/>
              </w:rPr>
            </w:pPr>
          </w:p>
        </w:tc>
        <w:tc>
          <w:tcPr>
            <w:tcW w:w="800" w:type="dxa"/>
            <w:noWrap/>
            <w:hideMark/>
          </w:tcPr>
          <w:p w14:paraId="0028F026" w14:textId="692A0FB1" w:rsidR="00385BCD" w:rsidRPr="002A3FE4" w:rsidRDefault="00385BCD" w:rsidP="007D34E9">
            <w:pPr>
              <w:ind w:firstLine="0"/>
              <w:jc w:val="center"/>
              <w:rPr>
                <w:rFonts w:ascii="Times New Roman" w:hAnsi="Times New Roman"/>
              </w:rPr>
            </w:pPr>
            <w:r w:rsidRPr="002A3FE4">
              <w:rPr>
                <w:rFonts w:ascii="Times New Roman" w:hAnsi="Times New Roman"/>
              </w:rPr>
              <w:t>Adults, mean</w:t>
            </w:r>
          </w:p>
        </w:tc>
        <w:tc>
          <w:tcPr>
            <w:tcW w:w="557" w:type="dxa"/>
            <w:noWrap/>
            <w:hideMark/>
          </w:tcPr>
          <w:p w14:paraId="3D918E16" w14:textId="24FD2C9C" w:rsidR="00385BCD" w:rsidRPr="002A3FE4" w:rsidRDefault="00385BCD" w:rsidP="007D34E9">
            <w:pPr>
              <w:ind w:firstLine="0"/>
              <w:jc w:val="center"/>
              <w:rPr>
                <w:rFonts w:ascii="Times New Roman" w:hAnsi="Times New Roman"/>
              </w:rPr>
            </w:pPr>
            <w:r w:rsidRPr="002A3FE4">
              <w:rPr>
                <w:rFonts w:ascii="Times New Roman" w:hAnsi="Times New Roman"/>
              </w:rPr>
              <w:t>N</w:t>
            </w:r>
          </w:p>
        </w:tc>
        <w:tc>
          <w:tcPr>
            <w:tcW w:w="800" w:type="dxa"/>
            <w:noWrap/>
            <w:hideMark/>
          </w:tcPr>
          <w:p w14:paraId="1404C93F" w14:textId="1B60885B" w:rsidR="00385BCD" w:rsidRPr="002A3FE4" w:rsidRDefault="00385BCD" w:rsidP="007D34E9">
            <w:pPr>
              <w:ind w:firstLine="0"/>
              <w:jc w:val="center"/>
              <w:rPr>
                <w:rFonts w:ascii="Times New Roman" w:hAnsi="Times New Roman"/>
              </w:rPr>
            </w:pPr>
            <w:r w:rsidRPr="002A3FE4">
              <w:rPr>
                <w:rFonts w:ascii="Times New Roman" w:hAnsi="Times New Roman"/>
              </w:rPr>
              <w:t>Adults, mean</w:t>
            </w:r>
          </w:p>
        </w:tc>
        <w:tc>
          <w:tcPr>
            <w:tcW w:w="966" w:type="dxa"/>
            <w:noWrap/>
            <w:hideMark/>
          </w:tcPr>
          <w:p w14:paraId="16A9434A" w14:textId="1BF92DC8" w:rsidR="00385BCD" w:rsidRPr="002A3FE4" w:rsidRDefault="00385BCD" w:rsidP="007D34E9">
            <w:pPr>
              <w:ind w:firstLine="0"/>
              <w:jc w:val="center"/>
              <w:rPr>
                <w:rFonts w:ascii="Times New Roman" w:hAnsi="Times New Roman"/>
              </w:rPr>
            </w:pPr>
            <w:r w:rsidRPr="002A3FE4">
              <w:rPr>
                <w:rFonts w:ascii="Times New Roman" w:hAnsi="Times New Roman"/>
              </w:rPr>
              <w:t>Children, mean</w:t>
            </w:r>
          </w:p>
        </w:tc>
        <w:tc>
          <w:tcPr>
            <w:tcW w:w="941" w:type="dxa"/>
            <w:noWrap/>
            <w:hideMark/>
          </w:tcPr>
          <w:p w14:paraId="768739B5" w14:textId="53364A23" w:rsidR="00385BCD" w:rsidRPr="002A3FE4" w:rsidRDefault="00385BCD" w:rsidP="007D34E9">
            <w:pPr>
              <w:ind w:firstLine="0"/>
              <w:jc w:val="center"/>
              <w:rPr>
                <w:rFonts w:ascii="Times New Roman" w:hAnsi="Times New Roman"/>
              </w:rPr>
            </w:pPr>
            <w:r w:rsidRPr="002A3FE4">
              <w:rPr>
                <w:rFonts w:ascii="Times New Roman" w:hAnsi="Times New Roman"/>
              </w:rPr>
              <w:t>Total, mean</w:t>
            </w:r>
          </w:p>
        </w:tc>
        <w:tc>
          <w:tcPr>
            <w:tcW w:w="567" w:type="dxa"/>
            <w:noWrap/>
            <w:hideMark/>
          </w:tcPr>
          <w:p w14:paraId="3CBDCE10" w14:textId="42BA51E9" w:rsidR="00385BCD" w:rsidRPr="002A3FE4" w:rsidRDefault="00385BCD" w:rsidP="007D34E9">
            <w:pPr>
              <w:ind w:firstLine="0"/>
              <w:jc w:val="center"/>
              <w:rPr>
                <w:rFonts w:ascii="Times New Roman" w:hAnsi="Times New Roman"/>
              </w:rPr>
            </w:pPr>
            <w:r w:rsidRPr="002A3FE4">
              <w:rPr>
                <w:rFonts w:ascii="Times New Roman" w:hAnsi="Times New Roman"/>
              </w:rPr>
              <w:t>N</w:t>
            </w:r>
          </w:p>
        </w:tc>
        <w:tc>
          <w:tcPr>
            <w:tcW w:w="851" w:type="dxa"/>
            <w:noWrap/>
            <w:hideMark/>
          </w:tcPr>
          <w:p w14:paraId="589718A6" w14:textId="7346781D" w:rsidR="00385BCD" w:rsidRPr="002A3FE4" w:rsidRDefault="00385BCD" w:rsidP="007D34E9">
            <w:pPr>
              <w:ind w:firstLine="0"/>
              <w:jc w:val="center"/>
              <w:rPr>
                <w:rFonts w:ascii="Times New Roman" w:hAnsi="Times New Roman"/>
              </w:rPr>
            </w:pPr>
            <w:r w:rsidRPr="002A3FE4">
              <w:rPr>
                <w:rFonts w:ascii="Times New Roman" w:hAnsi="Times New Roman"/>
              </w:rPr>
              <w:t>Adults, mean</w:t>
            </w:r>
          </w:p>
        </w:tc>
        <w:tc>
          <w:tcPr>
            <w:tcW w:w="966" w:type="dxa"/>
            <w:noWrap/>
            <w:hideMark/>
          </w:tcPr>
          <w:p w14:paraId="3799742B" w14:textId="126177BF" w:rsidR="00385BCD" w:rsidRPr="002A3FE4" w:rsidRDefault="00385BCD" w:rsidP="007D34E9">
            <w:pPr>
              <w:ind w:firstLine="0"/>
              <w:jc w:val="center"/>
              <w:rPr>
                <w:rFonts w:ascii="Times New Roman" w:hAnsi="Times New Roman"/>
              </w:rPr>
            </w:pPr>
            <w:r w:rsidRPr="002A3FE4">
              <w:rPr>
                <w:rFonts w:ascii="Times New Roman" w:hAnsi="Times New Roman"/>
              </w:rPr>
              <w:t>Children, mean</w:t>
            </w:r>
          </w:p>
        </w:tc>
        <w:tc>
          <w:tcPr>
            <w:tcW w:w="851" w:type="dxa"/>
            <w:noWrap/>
            <w:hideMark/>
          </w:tcPr>
          <w:p w14:paraId="150A63A0" w14:textId="4739EEE8" w:rsidR="00385BCD" w:rsidRPr="002A3FE4" w:rsidRDefault="00385BCD" w:rsidP="007D34E9">
            <w:pPr>
              <w:ind w:firstLine="0"/>
              <w:jc w:val="center"/>
              <w:rPr>
                <w:rFonts w:ascii="Times New Roman" w:hAnsi="Times New Roman"/>
              </w:rPr>
            </w:pPr>
            <w:r w:rsidRPr="002A3FE4">
              <w:rPr>
                <w:rFonts w:ascii="Times New Roman" w:hAnsi="Times New Roman"/>
              </w:rPr>
              <w:t>Total, mean</w:t>
            </w:r>
          </w:p>
        </w:tc>
        <w:tc>
          <w:tcPr>
            <w:tcW w:w="645" w:type="dxa"/>
            <w:noWrap/>
            <w:hideMark/>
          </w:tcPr>
          <w:p w14:paraId="4A9CA7F9" w14:textId="4F9C3F97" w:rsidR="00385BCD" w:rsidRPr="002A3FE4" w:rsidRDefault="00385BCD" w:rsidP="007D34E9">
            <w:pPr>
              <w:ind w:firstLine="0"/>
              <w:jc w:val="center"/>
              <w:rPr>
                <w:rFonts w:ascii="Times New Roman" w:hAnsi="Times New Roman"/>
              </w:rPr>
            </w:pPr>
            <w:r w:rsidRPr="002A3FE4">
              <w:rPr>
                <w:rFonts w:ascii="Times New Roman" w:hAnsi="Times New Roman"/>
              </w:rPr>
              <w:t>N</w:t>
            </w:r>
          </w:p>
        </w:tc>
      </w:tr>
      <w:tr w:rsidR="002A3FE4" w:rsidRPr="002A3FE4" w14:paraId="154BD37F" w14:textId="77777777" w:rsidTr="00385BCD">
        <w:trPr>
          <w:trHeight w:val="290"/>
        </w:trPr>
        <w:tc>
          <w:tcPr>
            <w:tcW w:w="1601" w:type="dxa"/>
            <w:noWrap/>
            <w:hideMark/>
          </w:tcPr>
          <w:p w14:paraId="439E18DE" w14:textId="34A49A04" w:rsidR="00882D8F" w:rsidRPr="002A3FE4" w:rsidRDefault="00882D8F" w:rsidP="00882D8F">
            <w:pPr>
              <w:ind w:firstLine="0"/>
              <w:rPr>
                <w:rFonts w:ascii="Times New Roman" w:hAnsi="Times New Roman"/>
              </w:rPr>
            </w:pPr>
            <w:r w:rsidRPr="002A3FE4">
              <w:rPr>
                <w:rFonts w:ascii="Times New Roman" w:hAnsi="Times New Roman"/>
              </w:rPr>
              <w:t xml:space="preserve">Plains: Knästorp and Tottarp </w:t>
            </w:r>
          </w:p>
        </w:tc>
        <w:tc>
          <w:tcPr>
            <w:tcW w:w="800" w:type="dxa"/>
            <w:noWrap/>
            <w:hideMark/>
          </w:tcPr>
          <w:p w14:paraId="232CDBE2" w14:textId="77777777" w:rsidR="00882D8F" w:rsidRPr="002A3FE4" w:rsidRDefault="00882D8F" w:rsidP="007D34E9">
            <w:pPr>
              <w:ind w:firstLine="0"/>
              <w:jc w:val="center"/>
              <w:rPr>
                <w:rFonts w:ascii="Times New Roman" w:hAnsi="Times New Roman"/>
              </w:rPr>
            </w:pPr>
            <w:r w:rsidRPr="002A3FE4">
              <w:rPr>
                <w:rFonts w:ascii="Times New Roman" w:hAnsi="Times New Roman"/>
              </w:rPr>
              <w:t>3,19</w:t>
            </w:r>
          </w:p>
        </w:tc>
        <w:tc>
          <w:tcPr>
            <w:tcW w:w="557" w:type="dxa"/>
            <w:noWrap/>
            <w:hideMark/>
          </w:tcPr>
          <w:p w14:paraId="0AFC41C6" w14:textId="77777777" w:rsidR="00882D8F" w:rsidRPr="002A3FE4" w:rsidRDefault="00882D8F" w:rsidP="007D34E9">
            <w:pPr>
              <w:ind w:firstLine="0"/>
              <w:jc w:val="center"/>
              <w:rPr>
                <w:rFonts w:ascii="Times New Roman" w:hAnsi="Times New Roman"/>
              </w:rPr>
            </w:pPr>
            <w:r w:rsidRPr="002A3FE4">
              <w:rPr>
                <w:rFonts w:ascii="Times New Roman" w:hAnsi="Times New Roman"/>
              </w:rPr>
              <w:t>42</w:t>
            </w:r>
          </w:p>
        </w:tc>
        <w:tc>
          <w:tcPr>
            <w:tcW w:w="800" w:type="dxa"/>
            <w:noWrap/>
            <w:hideMark/>
          </w:tcPr>
          <w:p w14:paraId="0A740626" w14:textId="77777777" w:rsidR="00882D8F" w:rsidRPr="002A3FE4" w:rsidRDefault="00882D8F" w:rsidP="007D34E9">
            <w:pPr>
              <w:ind w:firstLine="0"/>
              <w:jc w:val="center"/>
              <w:rPr>
                <w:rFonts w:ascii="Times New Roman" w:hAnsi="Times New Roman"/>
              </w:rPr>
            </w:pPr>
            <w:r w:rsidRPr="002A3FE4">
              <w:rPr>
                <w:rFonts w:ascii="Times New Roman" w:hAnsi="Times New Roman"/>
              </w:rPr>
              <w:t>3,15</w:t>
            </w:r>
          </w:p>
        </w:tc>
        <w:tc>
          <w:tcPr>
            <w:tcW w:w="966" w:type="dxa"/>
            <w:noWrap/>
            <w:hideMark/>
          </w:tcPr>
          <w:p w14:paraId="201CA2A5" w14:textId="77777777" w:rsidR="00882D8F" w:rsidRPr="002A3FE4" w:rsidRDefault="00882D8F" w:rsidP="007D34E9">
            <w:pPr>
              <w:ind w:firstLine="0"/>
              <w:jc w:val="center"/>
              <w:rPr>
                <w:rFonts w:ascii="Times New Roman" w:hAnsi="Times New Roman"/>
              </w:rPr>
            </w:pPr>
            <w:r w:rsidRPr="002A3FE4">
              <w:rPr>
                <w:rFonts w:ascii="Times New Roman" w:hAnsi="Times New Roman"/>
              </w:rPr>
              <w:t>1,78</w:t>
            </w:r>
          </w:p>
        </w:tc>
        <w:tc>
          <w:tcPr>
            <w:tcW w:w="941" w:type="dxa"/>
            <w:noWrap/>
            <w:hideMark/>
          </w:tcPr>
          <w:p w14:paraId="05984852" w14:textId="77777777" w:rsidR="00882D8F" w:rsidRPr="002A3FE4" w:rsidRDefault="00882D8F" w:rsidP="007D34E9">
            <w:pPr>
              <w:ind w:firstLine="0"/>
              <w:jc w:val="center"/>
              <w:rPr>
                <w:rFonts w:ascii="Times New Roman" w:hAnsi="Times New Roman"/>
              </w:rPr>
            </w:pPr>
            <w:r w:rsidRPr="002A3FE4">
              <w:rPr>
                <w:rFonts w:ascii="Times New Roman" w:hAnsi="Times New Roman"/>
              </w:rPr>
              <w:t>4,93</w:t>
            </w:r>
          </w:p>
        </w:tc>
        <w:tc>
          <w:tcPr>
            <w:tcW w:w="567" w:type="dxa"/>
            <w:noWrap/>
            <w:hideMark/>
          </w:tcPr>
          <w:p w14:paraId="3E1B23FE" w14:textId="77777777" w:rsidR="00882D8F" w:rsidRPr="002A3FE4" w:rsidRDefault="00882D8F" w:rsidP="007D34E9">
            <w:pPr>
              <w:ind w:firstLine="0"/>
              <w:jc w:val="center"/>
              <w:rPr>
                <w:rFonts w:ascii="Times New Roman" w:hAnsi="Times New Roman"/>
              </w:rPr>
            </w:pPr>
            <w:r w:rsidRPr="002A3FE4">
              <w:rPr>
                <w:rFonts w:ascii="Times New Roman" w:hAnsi="Times New Roman"/>
              </w:rPr>
              <w:t>87</w:t>
            </w:r>
          </w:p>
        </w:tc>
        <w:tc>
          <w:tcPr>
            <w:tcW w:w="851" w:type="dxa"/>
            <w:noWrap/>
            <w:hideMark/>
          </w:tcPr>
          <w:p w14:paraId="32409593" w14:textId="77777777" w:rsidR="00882D8F" w:rsidRPr="002A3FE4" w:rsidRDefault="00882D8F" w:rsidP="007D34E9">
            <w:pPr>
              <w:ind w:firstLine="0"/>
              <w:jc w:val="center"/>
              <w:rPr>
                <w:rFonts w:ascii="Times New Roman" w:hAnsi="Times New Roman"/>
              </w:rPr>
            </w:pPr>
            <w:r w:rsidRPr="002A3FE4">
              <w:rPr>
                <w:rFonts w:ascii="Times New Roman" w:hAnsi="Times New Roman"/>
              </w:rPr>
              <w:t>2,99</w:t>
            </w:r>
          </w:p>
        </w:tc>
        <w:tc>
          <w:tcPr>
            <w:tcW w:w="966" w:type="dxa"/>
            <w:noWrap/>
            <w:hideMark/>
          </w:tcPr>
          <w:p w14:paraId="72B6FB1F" w14:textId="77777777" w:rsidR="00882D8F" w:rsidRPr="002A3FE4" w:rsidRDefault="00882D8F" w:rsidP="007D34E9">
            <w:pPr>
              <w:ind w:firstLine="0"/>
              <w:jc w:val="center"/>
              <w:rPr>
                <w:rFonts w:ascii="Times New Roman" w:hAnsi="Times New Roman"/>
              </w:rPr>
            </w:pPr>
            <w:r w:rsidRPr="002A3FE4">
              <w:rPr>
                <w:rFonts w:ascii="Times New Roman" w:hAnsi="Times New Roman"/>
              </w:rPr>
              <w:t>2,03</w:t>
            </w:r>
          </w:p>
        </w:tc>
        <w:tc>
          <w:tcPr>
            <w:tcW w:w="851" w:type="dxa"/>
            <w:noWrap/>
            <w:hideMark/>
          </w:tcPr>
          <w:p w14:paraId="70CCC27B" w14:textId="77777777" w:rsidR="00882D8F" w:rsidRPr="002A3FE4" w:rsidRDefault="00882D8F" w:rsidP="007D34E9">
            <w:pPr>
              <w:ind w:firstLine="0"/>
              <w:jc w:val="center"/>
              <w:rPr>
                <w:rFonts w:ascii="Times New Roman" w:hAnsi="Times New Roman"/>
              </w:rPr>
            </w:pPr>
            <w:r w:rsidRPr="002A3FE4">
              <w:rPr>
                <w:rFonts w:ascii="Times New Roman" w:hAnsi="Times New Roman"/>
              </w:rPr>
              <w:t>5,02</w:t>
            </w:r>
          </w:p>
        </w:tc>
        <w:tc>
          <w:tcPr>
            <w:tcW w:w="645" w:type="dxa"/>
            <w:noWrap/>
            <w:hideMark/>
          </w:tcPr>
          <w:p w14:paraId="7A4DCA03" w14:textId="77777777" w:rsidR="00882D8F" w:rsidRPr="002A3FE4" w:rsidRDefault="00882D8F" w:rsidP="007D34E9">
            <w:pPr>
              <w:ind w:firstLine="0"/>
              <w:jc w:val="center"/>
              <w:rPr>
                <w:rFonts w:ascii="Times New Roman" w:hAnsi="Times New Roman"/>
              </w:rPr>
            </w:pPr>
            <w:r w:rsidRPr="002A3FE4">
              <w:rPr>
                <w:rFonts w:ascii="Times New Roman" w:hAnsi="Times New Roman"/>
              </w:rPr>
              <w:t>164</w:t>
            </w:r>
          </w:p>
        </w:tc>
      </w:tr>
      <w:tr w:rsidR="002A3FE4" w:rsidRPr="002A3FE4" w14:paraId="01D4CCD8" w14:textId="77777777" w:rsidTr="00385BCD">
        <w:trPr>
          <w:trHeight w:val="290"/>
        </w:trPr>
        <w:tc>
          <w:tcPr>
            <w:tcW w:w="1601" w:type="dxa"/>
            <w:noWrap/>
            <w:hideMark/>
          </w:tcPr>
          <w:p w14:paraId="2F85B9B6" w14:textId="77777777" w:rsidR="00882D8F" w:rsidRPr="002A3FE4" w:rsidRDefault="00882D8F" w:rsidP="00882D8F">
            <w:pPr>
              <w:ind w:firstLine="0"/>
              <w:rPr>
                <w:rFonts w:ascii="Times New Roman" w:hAnsi="Times New Roman"/>
              </w:rPr>
            </w:pPr>
            <w:r w:rsidRPr="002A3FE4">
              <w:rPr>
                <w:rFonts w:ascii="Times New Roman" w:hAnsi="Times New Roman"/>
              </w:rPr>
              <w:t>Scrub lands:</w:t>
            </w:r>
          </w:p>
          <w:p w14:paraId="18FD7319" w14:textId="38324E83" w:rsidR="00882D8F" w:rsidRPr="002A3FE4" w:rsidRDefault="00882D8F" w:rsidP="00882D8F">
            <w:pPr>
              <w:ind w:firstLine="0"/>
              <w:rPr>
                <w:rFonts w:ascii="Times New Roman" w:hAnsi="Times New Roman"/>
              </w:rPr>
            </w:pPr>
            <w:r w:rsidRPr="002A3FE4">
              <w:rPr>
                <w:rFonts w:ascii="Times New Roman" w:hAnsi="Times New Roman"/>
              </w:rPr>
              <w:t xml:space="preserve">Getinge </w:t>
            </w:r>
          </w:p>
        </w:tc>
        <w:tc>
          <w:tcPr>
            <w:tcW w:w="800" w:type="dxa"/>
            <w:noWrap/>
            <w:hideMark/>
          </w:tcPr>
          <w:p w14:paraId="4E355641" w14:textId="77777777" w:rsidR="00882D8F" w:rsidRPr="002A3FE4" w:rsidRDefault="00882D8F" w:rsidP="007D34E9">
            <w:pPr>
              <w:ind w:firstLine="0"/>
              <w:jc w:val="center"/>
              <w:rPr>
                <w:rFonts w:ascii="Times New Roman" w:hAnsi="Times New Roman"/>
              </w:rPr>
            </w:pPr>
            <w:r w:rsidRPr="002A3FE4">
              <w:rPr>
                <w:rFonts w:ascii="Times New Roman" w:hAnsi="Times New Roman"/>
              </w:rPr>
              <w:t>2,46</w:t>
            </w:r>
          </w:p>
        </w:tc>
        <w:tc>
          <w:tcPr>
            <w:tcW w:w="557" w:type="dxa"/>
            <w:noWrap/>
            <w:hideMark/>
          </w:tcPr>
          <w:p w14:paraId="6F3AE316" w14:textId="77777777" w:rsidR="00882D8F" w:rsidRPr="002A3FE4" w:rsidRDefault="00882D8F" w:rsidP="007D34E9">
            <w:pPr>
              <w:ind w:firstLine="0"/>
              <w:jc w:val="center"/>
              <w:rPr>
                <w:rFonts w:ascii="Times New Roman" w:hAnsi="Times New Roman"/>
              </w:rPr>
            </w:pPr>
            <w:r w:rsidRPr="002A3FE4">
              <w:rPr>
                <w:rFonts w:ascii="Times New Roman" w:hAnsi="Times New Roman"/>
              </w:rPr>
              <w:t>54</w:t>
            </w:r>
          </w:p>
        </w:tc>
        <w:tc>
          <w:tcPr>
            <w:tcW w:w="800" w:type="dxa"/>
            <w:noWrap/>
            <w:hideMark/>
          </w:tcPr>
          <w:p w14:paraId="4126BD47" w14:textId="77777777" w:rsidR="00882D8F" w:rsidRPr="002A3FE4" w:rsidRDefault="00882D8F" w:rsidP="007D34E9">
            <w:pPr>
              <w:ind w:firstLine="0"/>
              <w:jc w:val="center"/>
              <w:rPr>
                <w:rFonts w:ascii="Times New Roman" w:hAnsi="Times New Roman"/>
              </w:rPr>
            </w:pPr>
            <w:r w:rsidRPr="002A3FE4">
              <w:rPr>
                <w:rFonts w:ascii="Times New Roman" w:hAnsi="Times New Roman"/>
              </w:rPr>
              <w:t>2,29</w:t>
            </w:r>
          </w:p>
        </w:tc>
        <w:tc>
          <w:tcPr>
            <w:tcW w:w="966" w:type="dxa"/>
            <w:noWrap/>
            <w:hideMark/>
          </w:tcPr>
          <w:p w14:paraId="0638110E" w14:textId="77777777" w:rsidR="00882D8F" w:rsidRPr="002A3FE4" w:rsidRDefault="00882D8F" w:rsidP="007D34E9">
            <w:pPr>
              <w:ind w:firstLine="0"/>
              <w:jc w:val="center"/>
              <w:rPr>
                <w:rFonts w:ascii="Times New Roman" w:hAnsi="Times New Roman"/>
              </w:rPr>
            </w:pPr>
            <w:r w:rsidRPr="002A3FE4">
              <w:rPr>
                <w:rFonts w:ascii="Times New Roman" w:hAnsi="Times New Roman"/>
              </w:rPr>
              <w:t>1,26</w:t>
            </w:r>
          </w:p>
        </w:tc>
        <w:tc>
          <w:tcPr>
            <w:tcW w:w="941" w:type="dxa"/>
            <w:noWrap/>
            <w:hideMark/>
          </w:tcPr>
          <w:p w14:paraId="2FF30BC5" w14:textId="77777777" w:rsidR="00882D8F" w:rsidRPr="002A3FE4" w:rsidRDefault="00882D8F" w:rsidP="007D34E9">
            <w:pPr>
              <w:ind w:firstLine="0"/>
              <w:jc w:val="center"/>
              <w:rPr>
                <w:rFonts w:ascii="Times New Roman" w:hAnsi="Times New Roman"/>
              </w:rPr>
            </w:pPr>
            <w:r w:rsidRPr="002A3FE4">
              <w:rPr>
                <w:rFonts w:ascii="Times New Roman" w:hAnsi="Times New Roman"/>
              </w:rPr>
              <w:t>3,55</w:t>
            </w:r>
          </w:p>
        </w:tc>
        <w:tc>
          <w:tcPr>
            <w:tcW w:w="567" w:type="dxa"/>
            <w:noWrap/>
            <w:hideMark/>
          </w:tcPr>
          <w:p w14:paraId="1A175B90" w14:textId="77777777" w:rsidR="00882D8F" w:rsidRPr="002A3FE4" w:rsidRDefault="00882D8F" w:rsidP="007D34E9">
            <w:pPr>
              <w:ind w:firstLine="0"/>
              <w:jc w:val="center"/>
              <w:rPr>
                <w:rFonts w:ascii="Times New Roman" w:hAnsi="Times New Roman"/>
              </w:rPr>
            </w:pPr>
            <w:r w:rsidRPr="002A3FE4">
              <w:rPr>
                <w:rFonts w:ascii="Times New Roman" w:hAnsi="Times New Roman"/>
              </w:rPr>
              <w:t>151</w:t>
            </w:r>
          </w:p>
        </w:tc>
        <w:tc>
          <w:tcPr>
            <w:tcW w:w="851" w:type="dxa"/>
            <w:noWrap/>
            <w:hideMark/>
          </w:tcPr>
          <w:p w14:paraId="0D20525F" w14:textId="77777777" w:rsidR="00882D8F" w:rsidRPr="002A3FE4" w:rsidRDefault="00882D8F" w:rsidP="007D34E9">
            <w:pPr>
              <w:ind w:firstLine="0"/>
              <w:jc w:val="center"/>
              <w:rPr>
                <w:rFonts w:ascii="Times New Roman" w:hAnsi="Times New Roman"/>
              </w:rPr>
            </w:pPr>
            <w:r w:rsidRPr="002A3FE4">
              <w:rPr>
                <w:rFonts w:ascii="Times New Roman" w:hAnsi="Times New Roman"/>
              </w:rPr>
              <w:t>2,61</w:t>
            </w:r>
          </w:p>
        </w:tc>
        <w:tc>
          <w:tcPr>
            <w:tcW w:w="966" w:type="dxa"/>
            <w:noWrap/>
            <w:hideMark/>
          </w:tcPr>
          <w:p w14:paraId="2C04BCB0" w14:textId="77777777" w:rsidR="00882D8F" w:rsidRPr="002A3FE4" w:rsidRDefault="00882D8F" w:rsidP="007D34E9">
            <w:pPr>
              <w:ind w:firstLine="0"/>
              <w:jc w:val="center"/>
              <w:rPr>
                <w:rFonts w:ascii="Times New Roman" w:hAnsi="Times New Roman"/>
              </w:rPr>
            </w:pPr>
            <w:r w:rsidRPr="002A3FE4">
              <w:rPr>
                <w:rFonts w:ascii="Times New Roman" w:hAnsi="Times New Roman"/>
              </w:rPr>
              <w:t>2,03</w:t>
            </w:r>
          </w:p>
        </w:tc>
        <w:tc>
          <w:tcPr>
            <w:tcW w:w="851" w:type="dxa"/>
            <w:noWrap/>
            <w:hideMark/>
          </w:tcPr>
          <w:p w14:paraId="4CC76BED" w14:textId="77777777" w:rsidR="00882D8F" w:rsidRPr="002A3FE4" w:rsidRDefault="00882D8F" w:rsidP="007D34E9">
            <w:pPr>
              <w:ind w:firstLine="0"/>
              <w:jc w:val="center"/>
              <w:rPr>
                <w:rFonts w:ascii="Times New Roman" w:hAnsi="Times New Roman"/>
              </w:rPr>
            </w:pPr>
            <w:r w:rsidRPr="002A3FE4">
              <w:rPr>
                <w:rFonts w:ascii="Times New Roman" w:hAnsi="Times New Roman"/>
              </w:rPr>
              <w:t>4,64</w:t>
            </w:r>
          </w:p>
        </w:tc>
        <w:tc>
          <w:tcPr>
            <w:tcW w:w="645" w:type="dxa"/>
            <w:noWrap/>
            <w:hideMark/>
          </w:tcPr>
          <w:p w14:paraId="19844196" w14:textId="77777777" w:rsidR="00882D8F" w:rsidRPr="002A3FE4" w:rsidRDefault="00882D8F" w:rsidP="007D34E9">
            <w:pPr>
              <w:ind w:firstLine="0"/>
              <w:jc w:val="center"/>
              <w:rPr>
                <w:rFonts w:ascii="Times New Roman" w:hAnsi="Times New Roman"/>
              </w:rPr>
            </w:pPr>
            <w:r w:rsidRPr="002A3FE4">
              <w:rPr>
                <w:rFonts w:ascii="Times New Roman" w:hAnsi="Times New Roman"/>
              </w:rPr>
              <w:t>168</w:t>
            </w:r>
          </w:p>
        </w:tc>
      </w:tr>
      <w:tr w:rsidR="002A3FE4" w:rsidRPr="002A3FE4" w14:paraId="30C2FCED" w14:textId="77777777" w:rsidTr="00385BCD">
        <w:trPr>
          <w:trHeight w:val="290"/>
        </w:trPr>
        <w:tc>
          <w:tcPr>
            <w:tcW w:w="1601" w:type="dxa"/>
            <w:noWrap/>
            <w:hideMark/>
          </w:tcPr>
          <w:p w14:paraId="3E358FA4" w14:textId="77777777" w:rsidR="00882D8F" w:rsidRPr="002A3FE4" w:rsidRDefault="00882D8F" w:rsidP="00882D8F">
            <w:pPr>
              <w:ind w:firstLine="0"/>
              <w:rPr>
                <w:rFonts w:ascii="Times New Roman" w:hAnsi="Times New Roman"/>
              </w:rPr>
            </w:pPr>
            <w:r w:rsidRPr="002A3FE4">
              <w:rPr>
                <w:rFonts w:ascii="Times New Roman" w:hAnsi="Times New Roman"/>
              </w:rPr>
              <w:t>Forests:</w:t>
            </w:r>
          </w:p>
          <w:p w14:paraId="5BC33A88" w14:textId="27D45B06" w:rsidR="00882D8F" w:rsidRPr="002A3FE4" w:rsidRDefault="00882D8F" w:rsidP="00882D8F">
            <w:pPr>
              <w:ind w:firstLine="0"/>
              <w:rPr>
                <w:rFonts w:ascii="Times New Roman" w:hAnsi="Times New Roman"/>
              </w:rPr>
            </w:pPr>
            <w:r w:rsidRPr="002A3FE4">
              <w:rPr>
                <w:rFonts w:ascii="Times New Roman" w:hAnsi="Times New Roman"/>
              </w:rPr>
              <w:t xml:space="preserve">Glimåkra </w:t>
            </w:r>
          </w:p>
        </w:tc>
        <w:tc>
          <w:tcPr>
            <w:tcW w:w="800" w:type="dxa"/>
            <w:noWrap/>
            <w:hideMark/>
          </w:tcPr>
          <w:p w14:paraId="6BA958DC" w14:textId="77777777" w:rsidR="00882D8F" w:rsidRPr="002A3FE4" w:rsidRDefault="00882D8F" w:rsidP="007D34E9">
            <w:pPr>
              <w:ind w:firstLine="0"/>
              <w:jc w:val="center"/>
              <w:rPr>
                <w:rFonts w:ascii="Times New Roman" w:hAnsi="Times New Roman"/>
              </w:rPr>
            </w:pPr>
            <w:r w:rsidRPr="002A3FE4">
              <w:rPr>
                <w:rFonts w:ascii="Times New Roman" w:hAnsi="Times New Roman"/>
              </w:rPr>
              <w:t>2,77</w:t>
            </w:r>
          </w:p>
        </w:tc>
        <w:tc>
          <w:tcPr>
            <w:tcW w:w="557" w:type="dxa"/>
            <w:noWrap/>
            <w:hideMark/>
          </w:tcPr>
          <w:p w14:paraId="5AC2DE84" w14:textId="77777777" w:rsidR="00882D8F" w:rsidRPr="002A3FE4" w:rsidRDefault="00882D8F" w:rsidP="007D34E9">
            <w:pPr>
              <w:ind w:firstLine="0"/>
              <w:jc w:val="center"/>
              <w:rPr>
                <w:rFonts w:ascii="Times New Roman" w:hAnsi="Times New Roman"/>
              </w:rPr>
            </w:pPr>
            <w:r w:rsidRPr="002A3FE4">
              <w:rPr>
                <w:rFonts w:ascii="Times New Roman" w:hAnsi="Times New Roman"/>
              </w:rPr>
              <w:t>48</w:t>
            </w:r>
          </w:p>
        </w:tc>
        <w:tc>
          <w:tcPr>
            <w:tcW w:w="800" w:type="dxa"/>
            <w:noWrap/>
            <w:hideMark/>
          </w:tcPr>
          <w:p w14:paraId="00DF4BB1" w14:textId="77777777" w:rsidR="00882D8F" w:rsidRPr="002A3FE4" w:rsidRDefault="00882D8F" w:rsidP="007D34E9">
            <w:pPr>
              <w:ind w:firstLine="0"/>
              <w:jc w:val="center"/>
              <w:rPr>
                <w:rFonts w:ascii="Times New Roman" w:hAnsi="Times New Roman"/>
              </w:rPr>
            </w:pPr>
            <w:r w:rsidRPr="002A3FE4">
              <w:rPr>
                <w:rFonts w:ascii="Times New Roman" w:hAnsi="Times New Roman"/>
              </w:rPr>
              <w:t>2,71</w:t>
            </w:r>
          </w:p>
        </w:tc>
        <w:tc>
          <w:tcPr>
            <w:tcW w:w="966" w:type="dxa"/>
            <w:noWrap/>
            <w:hideMark/>
          </w:tcPr>
          <w:p w14:paraId="116781B2" w14:textId="77777777" w:rsidR="00882D8F" w:rsidRPr="002A3FE4" w:rsidRDefault="00882D8F" w:rsidP="007D34E9">
            <w:pPr>
              <w:ind w:firstLine="0"/>
              <w:jc w:val="center"/>
              <w:rPr>
                <w:rFonts w:ascii="Times New Roman" w:hAnsi="Times New Roman"/>
              </w:rPr>
            </w:pPr>
            <w:r w:rsidRPr="002A3FE4">
              <w:rPr>
                <w:rFonts w:ascii="Times New Roman" w:hAnsi="Times New Roman"/>
              </w:rPr>
              <w:t>1,00</w:t>
            </w:r>
          </w:p>
        </w:tc>
        <w:tc>
          <w:tcPr>
            <w:tcW w:w="941" w:type="dxa"/>
            <w:noWrap/>
            <w:hideMark/>
          </w:tcPr>
          <w:p w14:paraId="4AE74C93" w14:textId="77777777" w:rsidR="00882D8F" w:rsidRPr="002A3FE4" w:rsidRDefault="00882D8F" w:rsidP="007D34E9">
            <w:pPr>
              <w:ind w:firstLine="0"/>
              <w:jc w:val="center"/>
              <w:rPr>
                <w:rFonts w:ascii="Times New Roman" w:hAnsi="Times New Roman"/>
              </w:rPr>
            </w:pPr>
            <w:r w:rsidRPr="002A3FE4">
              <w:rPr>
                <w:rFonts w:ascii="Times New Roman" w:hAnsi="Times New Roman"/>
              </w:rPr>
              <w:t>3,71</w:t>
            </w:r>
          </w:p>
        </w:tc>
        <w:tc>
          <w:tcPr>
            <w:tcW w:w="567" w:type="dxa"/>
            <w:noWrap/>
            <w:hideMark/>
          </w:tcPr>
          <w:p w14:paraId="2671909D" w14:textId="77777777" w:rsidR="00882D8F" w:rsidRPr="002A3FE4" w:rsidRDefault="00882D8F" w:rsidP="007D34E9">
            <w:pPr>
              <w:ind w:firstLine="0"/>
              <w:jc w:val="center"/>
              <w:rPr>
                <w:rFonts w:ascii="Times New Roman" w:hAnsi="Times New Roman"/>
              </w:rPr>
            </w:pPr>
            <w:r w:rsidRPr="002A3FE4">
              <w:rPr>
                <w:rFonts w:ascii="Times New Roman" w:hAnsi="Times New Roman"/>
              </w:rPr>
              <w:t>119</w:t>
            </w:r>
          </w:p>
        </w:tc>
        <w:tc>
          <w:tcPr>
            <w:tcW w:w="851" w:type="dxa"/>
            <w:noWrap/>
            <w:hideMark/>
          </w:tcPr>
          <w:p w14:paraId="6DC593B9" w14:textId="77777777" w:rsidR="00882D8F" w:rsidRPr="002A3FE4" w:rsidRDefault="00882D8F" w:rsidP="007D34E9">
            <w:pPr>
              <w:ind w:firstLine="0"/>
              <w:jc w:val="center"/>
              <w:rPr>
                <w:rFonts w:ascii="Times New Roman" w:hAnsi="Times New Roman"/>
              </w:rPr>
            </w:pPr>
            <w:r w:rsidRPr="002A3FE4">
              <w:rPr>
                <w:rFonts w:ascii="Times New Roman" w:hAnsi="Times New Roman"/>
              </w:rPr>
              <w:t>1,96</w:t>
            </w:r>
          </w:p>
        </w:tc>
        <w:tc>
          <w:tcPr>
            <w:tcW w:w="966" w:type="dxa"/>
            <w:noWrap/>
            <w:hideMark/>
          </w:tcPr>
          <w:p w14:paraId="4FC1255B" w14:textId="77777777" w:rsidR="00882D8F" w:rsidRPr="002A3FE4" w:rsidRDefault="00882D8F" w:rsidP="007D34E9">
            <w:pPr>
              <w:ind w:firstLine="0"/>
              <w:jc w:val="center"/>
              <w:rPr>
                <w:rFonts w:ascii="Times New Roman" w:hAnsi="Times New Roman"/>
              </w:rPr>
            </w:pPr>
            <w:r w:rsidRPr="002A3FE4">
              <w:rPr>
                <w:rFonts w:ascii="Times New Roman" w:hAnsi="Times New Roman"/>
              </w:rPr>
              <w:t>1,34</w:t>
            </w:r>
          </w:p>
        </w:tc>
        <w:tc>
          <w:tcPr>
            <w:tcW w:w="851" w:type="dxa"/>
            <w:noWrap/>
            <w:hideMark/>
          </w:tcPr>
          <w:p w14:paraId="3FC2E55B" w14:textId="77777777" w:rsidR="00882D8F" w:rsidRPr="002A3FE4" w:rsidRDefault="00882D8F" w:rsidP="007D34E9">
            <w:pPr>
              <w:ind w:firstLine="0"/>
              <w:jc w:val="center"/>
              <w:rPr>
                <w:rFonts w:ascii="Times New Roman" w:hAnsi="Times New Roman"/>
              </w:rPr>
            </w:pPr>
            <w:r w:rsidRPr="002A3FE4">
              <w:rPr>
                <w:rFonts w:ascii="Times New Roman" w:hAnsi="Times New Roman"/>
              </w:rPr>
              <w:t>3,31</w:t>
            </w:r>
          </w:p>
        </w:tc>
        <w:tc>
          <w:tcPr>
            <w:tcW w:w="645" w:type="dxa"/>
            <w:noWrap/>
            <w:hideMark/>
          </w:tcPr>
          <w:p w14:paraId="32E5B0F9" w14:textId="77777777" w:rsidR="00882D8F" w:rsidRPr="002A3FE4" w:rsidRDefault="00882D8F" w:rsidP="007D34E9">
            <w:pPr>
              <w:ind w:firstLine="0"/>
              <w:jc w:val="center"/>
              <w:rPr>
                <w:rFonts w:ascii="Times New Roman" w:hAnsi="Times New Roman"/>
              </w:rPr>
            </w:pPr>
            <w:r w:rsidRPr="002A3FE4">
              <w:rPr>
                <w:rFonts w:ascii="Times New Roman" w:hAnsi="Times New Roman"/>
              </w:rPr>
              <w:t>167</w:t>
            </w:r>
          </w:p>
        </w:tc>
      </w:tr>
      <w:tr w:rsidR="002A3FE4" w:rsidRPr="002A3FE4" w14:paraId="0FEDDABE" w14:textId="77777777" w:rsidTr="00385BCD">
        <w:trPr>
          <w:trHeight w:val="290"/>
        </w:trPr>
        <w:tc>
          <w:tcPr>
            <w:tcW w:w="1601" w:type="dxa"/>
            <w:noWrap/>
            <w:hideMark/>
          </w:tcPr>
          <w:p w14:paraId="436DD9FA" w14:textId="77777777" w:rsidR="00385BCD" w:rsidRPr="002A3FE4" w:rsidRDefault="00385BCD" w:rsidP="00496B34">
            <w:pPr>
              <w:ind w:firstLine="0"/>
              <w:rPr>
                <w:rFonts w:ascii="Times New Roman" w:hAnsi="Times New Roman"/>
              </w:rPr>
            </w:pPr>
            <w:r w:rsidRPr="002A3FE4">
              <w:rPr>
                <w:rFonts w:ascii="Times New Roman" w:hAnsi="Times New Roman"/>
              </w:rPr>
              <w:t>Total</w:t>
            </w:r>
          </w:p>
        </w:tc>
        <w:tc>
          <w:tcPr>
            <w:tcW w:w="800" w:type="dxa"/>
            <w:noWrap/>
            <w:hideMark/>
          </w:tcPr>
          <w:p w14:paraId="68502967" w14:textId="77777777" w:rsidR="00385BCD" w:rsidRPr="002A3FE4" w:rsidRDefault="00385BCD" w:rsidP="007D34E9">
            <w:pPr>
              <w:ind w:firstLine="0"/>
              <w:jc w:val="center"/>
              <w:rPr>
                <w:rFonts w:ascii="Times New Roman" w:hAnsi="Times New Roman"/>
              </w:rPr>
            </w:pPr>
            <w:r w:rsidRPr="002A3FE4">
              <w:rPr>
                <w:rFonts w:ascii="Times New Roman" w:hAnsi="Times New Roman"/>
              </w:rPr>
              <w:t>2,78</w:t>
            </w:r>
          </w:p>
        </w:tc>
        <w:tc>
          <w:tcPr>
            <w:tcW w:w="557" w:type="dxa"/>
            <w:noWrap/>
            <w:hideMark/>
          </w:tcPr>
          <w:p w14:paraId="66514F99" w14:textId="77777777" w:rsidR="00385BCD" w:rsidRPr="002A3FE4" w:rsidRDefault="00385BCD" w:rsidP="007D34E9">
            <w:pPr>
              <w:ind w:firstLine="0"/>
              <w:jc w:val="center"/>
              <w:rPr>
                <w:rFonts w:ascii="Times New Roman" w:hAnsi="Times New Roman"/>
              </w:rPr>
            </w:pPr>
            <w:r w:rsidRPr="002A3FE4">
              <w:rPr>
                <w:rFonts w:ascii="Times New Roman" w:hAnsi="Times New Roman"/>
              </w:rPr>
              <w:t>144</w:t>
            </w:r>
          </w:p>
        </w:tc>
        <w:tc>
          <w:tcPr>
            <w:tcW w:w="800" w:type="dxa"/>
            <w:noWrap/>
            <w:hideMark/>
          </w:tcPr>
          <w:p w14:paraId="58679219" w14:textId="77777777" w:rsidR="00385BCD" w:rsidRPr="002A3FE4" w:rsidRDefault="00385BCD" w:rsidP="007D34E9">
            <w:pPr>
              <w:ind w:firstLine="0"/>
              <w:jc w:val="center"/>
              <w:rPr>
                <w:rFonts w:ascii="Times New Roman" w:hAnsi="Times New Roman"/>
              </w:rPr>
            </w:pPr>
            <w:r w:rsidRPr="002A3FE4">
              <w:rPr>
                <w:rFonts w:ascii="Times New Roman" w:hAnsi="Times New Roman"/>
              </w:rPr>
              <w:t>2,64</w:t>
            </w:r>
          </w:p>
        </w:tc>
        <w:tc>
          <w:tcPr>
            <w:tcW w:w="966" w:type="dxa"/>
            <w:noWrap/>
            <w:hideMark/>
          </w:tcPr>
          <w:p w14:paraId="185CAA0B" w14:textId="77777777" w:rsidR="00385BCD" w:rsidRPr="002A3FE4" w:rsidRDefault="00385BCD" w:rsidP="007D34E9">
            <w:pPr>
              <w:ind w:firstLine="0"/>
              <w:jc w:val="center"/>
              <w:rPr>
                <w:rFonts w:ascii="Times New Roman" w:hAnsi="Times New Roman"/>
              </w:rPr>
            </w:pPr>
            <w:r w:rsidRPr="002A3FE4">
              <w:rPr>
                <w:rFonts w:ascii="Times New Roman" w:hAnsi="Times New Roman"/>
              </w:rPr>
              <w:t>1,30</w:t>
            </w:r>
          </w:p>
        </w:tc>
        <w:tc>
          <w:tcPr>
            <w:tcW w:w="941" w:type="dxa"/>
            <w:noWrap/>
            <w:hideMark/>
          </w:tcPr>
          <w:p w14:paraId="35F41D1F" w14:textId="77777777" w:rsidR="00385BCD" w:rsidRPr="002A3FE4" w:rsidRDefault="00385BCD" w:rsidP="007D34E9">
            <w:pPr>
              <w:ind w:firstLine="0"/>
              <w:jc w:val="center"/>
              <w:rPr>
                <w:rFonts w:ascii="Times New Roman" w:hAnsi="Times New Roman"/>
              </w:rPr>
            </w:pPr>
            <w:r w:rsidRPr="002A3FE4">
              <w:rPr>
                <w:rFonts w:ascii="Times New Roman" w:hAnsi="Times New Roman"/>
              </w:rPr>
              <w:t>3,94</w:t>
            </w:r>
          </w:p>
        </w:tc>
        <w:tc>
          <w:tcPr>
            <w:tcW w:w="567" w:type="dxa"/>
            <w:noWrap/>
            <w:hideMark/>
          </w:tcPr>
          <w:p w14:paraId="710DFFC8" w14:textId="77777777" w:rsidR="00385BCD" w:rsidRPr="002A3FE4" w:rsidRDefault="00385BCD" w:rsidP="007D34E9">
            <w:pPr>
              <w:ind w:firstLine="0"/>
              <w:jc w:val="center"/>
              <w:rPr>
                <w:rFonts w:ascii="Times New Roman" w:hAnsi="Times New Roman"/>
              </w:rPr>
            </w:pPr>
            <w:r w:rsidRPr="002A3FE4">
              <w:rPr>
                <w:rFonts w:ascii="Times New Roman" w:hAnsi="Times New Roman"/>
              </w:rPr>
              <w:t>357</w:t>
            </w:r>
          </w:p>
        </w:tc>
        <w:tc>
          <w:tcPr>
            <w:tcW w:w="851" w:type="dxa"/>
            <w:noWrap/>
            <w:hideMark/>
          </w:tcPr>
          <w:p w14:paraId="411A8D79" w14:textId="77777777" w:rsidR="00385BCD" w:rsidRPr="002A3FE4" w:rsidRDefault="00385BCD" w:rsidP="007D34E9">
            <w:pPr>
              <w:ind w:firstLine="0"/>
              <w:jc w:val="center"/>
              <w:rPr>
                <w:rFonts w:ascii="Times New Roman" w:hAnsi="Times New Roman"/>
              </w:rPr>
            </w:pPr>
            <w:r w:rsidRPr="002A3FE4">
              <w:rPr>
                <w:rFonts w:ascii="Times New Roman" w:hAnsi="Times New Roman"/>
              </w:rPr>
              <w:t>2,52</w:t>
            </w:r>
          </w:p>
        </w:tc>
        <w:tc>
          <w:tcPr>
            <w:tcW w:w="966" w:type="dxa"/>
            <w:noWrap/>
            <w:hideMark/>
          </w:tcPr>
          <w:p w14:paraId="32B23180" w14:textId="77777777" w:rsidR="00385BCD" w:rsidRPr="002A3FE4" w:rsidRDefault="00385BCD" w:rsidP="007D34E9">
            <w:pPr>
              <w:ind w:firstLine="0"/>
              <w:jc w:val="center"/>
              <w:rPr>
                <w:rFonts w:ascii="Times New Roman" w:hAnsi="Times New Roman"/>
              </w:rPr>
            </w:pPr>
            <w:r w:rsidRPr="002A3FE4">
              <w:rPr>
                <w:rFonts w:ascii="Times New Roman" w:hAnsi="Times New Roman"/>
              </w:rPr>
              <w:t>1,80</w:t>
            </w:r>
          </w:p>
        </w:tc>
        <w:tc>
          <w:tcPr>
            <w:tcW w:w="851" w:type="dxa"/>
            <w:noWrap/>
            <w:hideMark/>
          </w:tcPr>
          <w:p w14:paraId="7921CD78" w14:textId="77777777" w:rsidR="00385BCD" w:rsidRPr="002A3FE4" w:rsidRDefault="00385BCD" w:rsidP="007D34E9">
            <w:pPr>
              <w:ind w:firstLine="0"/>
              <w:jc w:val="center"/>
              <w:rPr>
                <w:rFonts w:ascii="Times New Roman" w:hAnsi="Times New Roman"/>
              </w:rPr>
            </w:pPr>
            <w:r w:rsidRPr="002A3FE4">
              <w:rPr>
                <w:rFonts w:ascii="Times New Roman" w:hAnsi="Times New Roman"/>
              </w:rPr>
              <w:t>4,32</w:t>
            </w:r>
          </w:p>
        </w:tc>
        <w:tc>
          <w:tcPr>
            <w:tcW w:w="645" w:type="dxa"/>
            <w:noWrap/>
            <w:hideMark/>
          </w:tcPr>
          <w:p w14:paraId="20D469DC" w14:textId="77777777" w:rsidR="00385BCD" w:rsidRPr="002A3FE4" w:rsidRDefault="00385BCD" w:rsidP="007D34E9">
            <w:pPr>
              <w:ind w:firstLine="0"/>
              <w:jc w:val="center"/>
              <w:rPr>
                <w:rFonts w:ascii="Times New Roman" w:hAnsi="Times New Roman"/>
              </w:rPr>
            </w:pPr>
            <w:r w:rsidRPr="002A3FE4">
              <w:rPr>
                <w:rFonts w:ascii="Times New Roman" w:hAnsi="Times New Roman"/>
              </w:rPr>
              <w:t>499</w:t>
            </w:r>
          </w:p>
        </w:tc>
      </w:tr>
    </w:tbl>
    <w:p w14:paraId="24A0BCC3" w14:textId="720A5DC7" w:rsidR="00F17D5A" w:rsidRPr="002A3FE4" w:rsidRDefault="00F17D5A" w:rsidP="00496B34">
      <w:pPr>
        <w:spacing w:after="0" w:line="480" w:lineRule="auto"/>
        <w:ind w:firstLine="0"/>
        <w:rPr>
          <w:lang w:val="en-GB"/>
        </w:rPr>
      </w:pPr>
      <w:r w:rsidRPr="002A3FE4">
        <w:rPr>
          <w:lang w:val="en-GB"/>
        </w:rPr>
        <w:t>Note. Sources are cadastral registers (</w:t>
      </w:r>
      <w:r w:rsidRPr="002A3FE4">
        <w:rPr>
          <w:i/>
          <w:iCs/>
          <w:lang w:val="en-GB"/>
        </w:rPr>
        <w:t>mantalslängder</w:t>
      </w:r>
      <w:r w:rsidRPr="002A3FE4">
        <w:rPr>
          <w:lang w:val="en-GB"/>
        </w:rPr>
        <w:t xml:space="preserve">) for the </w:t>
      </w:r>
      <w:r w:rsidR="00A446EB" w:rsidRPr="002A3FE4">
        <w:rPr>
          <w:lang w:val="en-GB"/>
        </w:rPr>
        <w:t>four</w:t>
      </w:r>
      <w:r w:rsidRPr="002A3FE4">
        <w:rPr>
          <w:lang w:val="en-GB"/>
        </w:rPr>
        <w:t xml:space="preserve"> parishes.</w:t>
      </w:r>
    </w:p>
    <w:p w14:paraId="4C774637" w14:textId="77777777" w:rsidR="00385BCD" w:rsidRPr="002A3FE4" w:rsidRDefault="00385BCD" w:rsidP="00496B34">
      <w:pPr>
        <w:spacing w:after="0" w:line="480" w:lineRule="auto"/>
        <w:ind w:firstLine="0"/>
        <w:rPr>
          <w:sz w:val="24"/>
          <w:szCs w:val="24"/>
          <w:lang w:val="en-GB"/>
        </w:rPr>
      </w:pPr>
    </w:p>
    <w:p w14:paraId="06D7AFEB" w14:textId="77777777" w:rsidR="00F96232" w:rsidRPr="002A3FE4" w:rsidRDefault="00F96232" w:rsidP="00496B34">
      <w:pPr>
        <w:spacing w:after="0" w:line="480" w:lineRule="auto"/>
        <w:ind w:firstLine="0"/>
        <w:rPr>
          <w:sz w:val="24"/>
          <w:szCs w:val="24"/>
          <w:lang w:val="en-GB"/>
        </w:rPr>
      </w:pPr>
    </w:p>
    <w:p w14:paraId="3C5341D7" w14:textId="77777777" w:rsidR="00993A06" w:rsidRPr="002A3FE4" w:rsidRDefault="00993A06" w:rsidP="00496B34">
      <w:pPr>
        <w:spacing w:after="0" w:line="480" w:lineRule="auto"/>
        <w:ind w:firstLine="0"/>
        <w:rPr>
          <w:rFonts w:eastAsiaTheme="majorEastAsia"/>
          <w:iCs/>
          <w:sz w:val="28"/>
          <w:szCs w:val="28"/>
          <w:lang w:val="en-GB"/>
        </w:rPr>
      </w:pPr>
      <w:r w:rsidRPr="002A3FE4">
        <w:rPr>
          <w:i/>
          <w:iCs/>
          <w:sz w:val="28"/>
          <w:szCs w:val="28"/>
          <w:lang w:val="en-GB"/>
        </w:rPr>
        <w:br w:type="page"/>
      </w:r>
    </w:p>
    <w:p w14:paraId="56BB6874" w14:textId="28B4D4C5" w:rsidR="00E73EE8" w:rsidRPr="002A3FE4" w:rsidRDefault="00E73EE8" w:rsidP="00496B34">
      <w:pPr>
        <w:pStyle w:val="Rubrik1"/>
        <w:ind w:firstLine="0"/>
        <w:rPr>
          <w:lang w:val="en-GB"/>
        </w:rPr>
      </w:pPr>
      <w:r w:rsidRPr="002A3FE4">
        <w:rPr>
          <w:lang w:val="en-GB"/>
        </w:rPr>
        <w:lastRenderedPageBreak/>
        <w:t>Appendix references</w:t>
      </w:r>
    </w:p>
    <w:p w14:paraId="77DDFF31" w14:textId="0492DF7E" w:rsidR="004E4BBA" w:rsidRPr="002A3FE4" w:rsidRDefault="004E4BBA" w:rsidP="00496B34">
      <w:pPr>
        <w:pStyle w:val="Rubrik2"/>
        <w:rPr>
          <w:lang w:val="en-GB"/>
        </w:rPr>
      </w:pPr>
      <w:r w:rsidRPr="002A3FE4">
        <w:rPr>
          <w:lang w:val="en-GB"/>
        </w:rPr>
        <w:t>Archival sources</w:t>
      </w:r>
    </w:p>
    <w:p w14:paraId="7A155580" w14:textId="100650CC" w:rsidR="003175C2" w:rsidRPr="002A3FE4" w:rsidRDefault="003175C2" w:rsidP="00607F84">
      <w:pPr>
        <w:spacing w:after="120" w:line="240" w:lineRule="auto"/>
        <w:ind w:firstLine="0"/>
        <w:jc w:val="both"/>
        <w:rPr>
          <w:sz w:val="22"/>
          <w:szCs w:val="22"/>
          <w:lang w:val="en-US"/>
        </w:rPr>
      </w:pPr>
      <w:r w:rsidRPr="002A3FE4">
        <w:rPr>
          <w:sz w:val="22"/>
          <w:szCs w:val="22"/>
          <w:lang w:val="en-US"/>
        </w:rPr>
        <w:t>Probate inventories from the following district archives (</w:t>
      </w:r>
      <w:r w:rsidRPr="002A3FE4">
        <w:rPr>
          <w:i/>
          <w:iCs/>
          <w:sz w:val="22"/>
          <w:szCs w:val="22"/>
          <w:lang w:val="en-US"/>
        </w:rPr>
        <w:t>häradsrätter</w:t>
      </w:r>
      <w:r w:rsidRPr="002A3FE4">
        <w:rPr>
          <w:sz w:val="22"/>
          <w:szCs w:val="22"/>
          <w:lang w:val="en-US"/>
        </w:rPr>
        <w:t>), held at Riksarkivet i Lund and accessed through ArkivDigital (arkivdigital.se): Bara, Bjäre, Frosta, Halmstad, Höks, Norra Åsbo, Oxie, Rönnebergs, Skytts, Södra Åsbo, Vemmenhögs, Östra Göinge.</w:t>
      </w:r>
    </w:p>
    <w:p w14:paraId="4864A6B9" w14:textId="77777777" w:rsidR="00E06CF9" w:rsidRPr="002A3FE4" w:rsidRDefault="00E06CF9" w:rsidP="00607F84">
      <w:pPr>
        <w:spacing w:after="120" w:line="240" w:lineRule="auto"/>
        <w:ind w:firstLine="0"/>
        <w:jc w:val="both"/>
        <w:rPr>
          <w:sz w:val="22"/>
          <w:szCs w:val="22"/>
          <w:lang w:val="en-US"/>
        </w:rPr>
      </w:pPr>
    </w:p>
    <w:p w14:paraId="481D0667" w14:textId="6E056983" w:rsidR="004E4BBA" w:rsidRPr="00E93C99" w:rsidRDefault="003175C2" w:rsidP="00607F84">
      <w:pPr>
        <w:spacing w:after="120" w:line="240" w:lineRule="auto"/>
        <w:ind w:firstLine="0"/>
        <w:jc w:val="both"/>
        <w:rPr>
          <w:sz w:val="22"/>
          <w:szCs w:val="22"/>
          <w:lang w:val="en-GB"/>
        </w:rPr>
      </w:pPr>
      <w:r w:rsidRPr="002A3FE4">
        <w:rPr>
          <w:sz w:val="22"/>
          <w:szCs w:val="22"/>
          <w:lang w:val="en-GB"/>
        </w:rPr>
        <w:t>Church</w:t>
      </w:r>
      <w:r w:rsidR="00910E8A" w:rsidRPr="002A3FE4">
        <w:rPr>
          <w:sz w:val="22"/>
          <w:szCs w:val="22"/>
          <w:lang w:val="en-GB"/>
        </w:rPr>
        <w:t xml:space="preserve"> </w:t>
      </w:r>
      <w:r w:rsidRPr="002A3FE4">
        <w:rPr>
          <w:sz w:val="22"/>
          <w:szCs w:val="22"/>
          <w:lang w:val="en-GB"/>
        </w:rPr>
        <w:t>books (death</w:t>
      </w:r>
      <w:r w:rsidR="00910E8A" w:rsidRPr="002A3FE4">
        <w:rPr>
          <w:sz w:val="22"/>
          <w:szCs w:val="22"/>
          <w:lang w:val="en-GB"/>
        </w:rPr>
        <w:t xml:space="preserve"> </w:t>
      </w:r>
      <w:r w:rsidRPr="002A3FE4">
        <w:rPr>
          <w:sz w:val="22"/>
          <w:szCs w:val="22"/>
          <w:lang w:val="en-GB"/>
        </w:rPr>
        <w:t>books</w:t>
      </w:r>
      <w:r w:rsidR="00910E8A" w:rsidRPr="002A3FE4">
        <w:rPr>
          <w:sz w:val="22"/>
          <w:szCs w:val="22"/>
          <w:lang w:val="en-GB"/>
        </w:rPr>
        <w:t xml:space="preserve"> and </w:t>
      </w:r>
      <w:bookmarkStart w:id="2" w:name="_Hlk163415377"/>
      <w:r w:rsidR="00910E8A" w:rsidRPr="002A3FE4">
        <w:rPr>
          <w:sz w:val="22"/>
          <w:szCs w:val="22"/>
          <w:lang w:val="en-GB"/>
        </w:rPr>
        <w:t>catechetical interrogation books</w:t>
      </w:r>
      <w:r w:rsidRPr="002A3FE4">
        <w:rPr>
          <w:sz w:val="22"/>
          <w:szCs w:val="22"/>
          <w:lang w:val="en-GB"/>
        </w:rPr>
        <w:t xml:space="preserve"> </w:t>
      </w:r>
      <w:r w:rsidR="00910E8A" w:rsidRPr="002A3FE4">
        <w:rPr>
          <w:sz w:val="22"/>
          <w:szCs w:val="22"/>
          <w:lang w:val="en-GB"/>
        </w:rPr>
        <w:t>(</w:t>
      </w:r>
      <w:r w:rsidRPr="002A3FE4">
        <w:rPr>
          <w:i/>
          <w:iCs/>
          <w:sz w:val="22"/>
          <w:szCs w:val="22"/>
          <w:lang w:val="en-GB"/>
        </w:rPr>
        <w:t>husförhörslängder</w:t>
      </w:r>
      <w:r w:rsidR="00910E8A" w:rsidRPr="002A3FE4">
        <w:rPr>
          <w:sz w:val="22"/>
          <w:szCs w:val="22"/>
          <w:lang w:val="en-GB"/>
        </w:rPr>
        <w:t>)</w:t>
      </w:r>
      <w:bookmarkEnd w:id="2"/>
      <w:r w:rsidRPr="002A3FE4">
        <w:rPr>
          <w:sz w:val="22"/>
          <w:szCs w:val="22"/>
          <w:lang w:val="en-GB"/>
        </w:rPr>
        <w:t>) from t</w:t>
      </w:r>
      <w:r w:rsidR="004E4BBA" w:rsidRPr="002A3FE4">
        <w:rPr>
          <w:sz w:val="22"/>
          <w:szCs w:val="22"/>
          <w:lang w:val="en-GB"/>
        </w:rPr>
        <w:t>he following parish archives, held at the National Archives (</w:t>
      </w:r>
      <w:r w:rsidR="004E4BBA" w:rsidRPr="002A3FE4">
        <w:rPr>
          <w:i/>
          <w:iCs/>
          <w:sz w:val="22"/>
          <w:szCs w:val="22"/>
          <w:lang w:val="en-GB"/>
        </w:rPr>
        <w:t>Riksarkivet</w:t>
      </w:r>
      <w:r w:rsidR="004E4BBA" w:rsidRPr="002A3FE4">
        <w:rPr>
          <w:sz w:val="22"/>
          <w:szCs w:val="22"/>
          <w:lang w:val="en-GB"/>
        </w:rPr>
        <w:t xml:space="preserve">) in Lund and accessed through ArkivDigital (arkivdigital.se): Lunds domkyrkofösamling; Anderslöv, Annelöv, Arrie, Asige, Asmundtorp, Ausås, Bara, Barkåkra, Björnekulla, Bodarp, Borlunda, Bosjökloster, Bunkeflo, Burlöv, Båstad, Börringe, Bösarp, Dalköping, Emmislöv, Enslöv, Esarp, Eskilstorp, Fagerhult (Skånes-Fagerhult), Finja, Fjelie, Flackarp, Flyinge, Fosie, Fru Alstad, Fuglie, Fulltofta, Färingtofta, Färlöv, Förslöv, Genarp, Getinge, Gislöv, Glimåkra, Glostorp, Glumslöv, Grevie, Gryt, Gråmanstorp, Grönby, Gårdstånga, Gärdslöv, Gässie, Halmstad, Hammarlunda, Hammarlöv, Harlösa, Harplinge, Hassle-Bösarp, Hasslöv, Hemmesdynge, Hishult, Hjärnarp, Hjärsås, Holm, Holmby, Hov, Hurva, Husie, Hyby, Hyllie, Hällestad, Härslöv, Hästveda, Höja, Hököpinge, Hörby, Höör, Kinnared, Knislinge, Knäred, Knästorp, Konga, Kvibille, Kvidinge, Kviinge, Kvistofta, Kyrkoheddinge, Kyrkoköpinge, Kågeröd, Källna, Laholm socken, Lemmeströ, Lilla Beddinge, Lilla Isie, Lilla Slågarp, Lockarp, Lomma, Loshult, Lyby, Lyngby, Maglarp, Mellan-Grevie, Munka-Ljungby, Kunkarp, Nevishög, Norra Rörum, Norra Strö, Norra Vram, Oderljunga, Osby, Ottarp, Oxie, Perstorp, Rebbelberga, Riseberga, Rya, Räng, Rännselöv, Rävinge, Röstånga, Saxtorp, Simlinge, Sireköping, Skabersjö, Skivarp, Skummeslöv, Skurup, Slimminge, Slättåkra, Slöinge, Snöstorp, Solberga, Starby, Stenestad, Steninge, Stora Hammar, Stora Slågarp, Strövelstorp, Svalöv, Svedala, Svensköp, Säby, Södra Rörum, Södra Sallerup, Söndrum, Tirup, Tjärby, Tofta, Torekov, Torup, Tottarp, Trelleborg, Trönninge, Tullstorp, Tygelsjö, Tåstarp, Tåssjö, Uppåkra, Vadensjö, Vapnö, Vedby, Veinge, Våxtorp, Västra Alstad, Västra Broby, Västra Ingelstad, Västra Karup, Västra Klagstorp, Västra Sallerup, Västra Sönnarslöv, Västra Tommarp, Ysby, Äspinge, Ängelholm, Örkelljunga, Örkened, Örja, Örkelljunga, Örkened, Össjö. </w:t>
      </w:r>
      <w:r w:rsidR="004E4BBA" w:rsidRPr="00E93C99">
        <w:rPr>
          <w:sz w:val="22"/>
          <w:szCs w:val="22"/>
          <w:lang w:val="en-GB"/>
        </w:rPr>
        <w:t xml:space="preserve">Örsjö, Östra Broby, Östra Grevie, Östra Karup, Östra Ljungby, Östra Sallerup, Östra Strö, Östra Torp, Östra Vemmenhög, &amp; Övraby </w:t>
      </w:r>
      <w:r w:rsidR="00B30869" w:rsidRPr="00E93C99">
        <w:rPr>
          <w:sz w:val="22"/>
          <w:szCs w:val="22"/>
          <w:lang w:val="en-GB"/>
        </w:rPr>
        <w:t>parishes</w:t>
      </w:r>
      <w:r w:rsidR="004E4BBA" w:rsidRPr="00E93C99">
        <w:rPr>
          <w:sz w:val="22"/>
          <w:szCs w:val="22"/>
          <w:lang w:val="en-GB"/>
        </w:rPr>
        <w:t>.</w:t>
      </w:r>
    </w:p>
    <w:p w14:paraId="52210335" w14:textId="53542EE1" w:rsidR="00B30869" w:rsidRPr="00E93C99" w:rsidRDefault="00E06CF9" w:rsidP="00607F84">
      <w:pPr>
        <w:spacing w:after="120" w:line="240" w:lineRule="auto"/>
        <w:ind w:firstLine="0"/>
        <w:jc w:val="both"/>
        <w:rPr>
          <w:sz w:val="22"/>
          <w:szCs w:val="22"/>
          <w:lang w:val="en-GB"/>
        </w:rPr>
      </w:pPr>
      <w:r w:rsidRPr="002A3FE4">
        <w:rPr>
          <w:sz w:val="22"/>
          <w:szCs w:val="22"/>
        </w:rPr>
        <w:t>Cadastral registers (</w:t>
      </w:r>
      <w:r w:rsidRPr="002A3FE4">
        <w:rPr>
          <w:i/>
          <w:iCs/>
          <w:sz w:val="22"/>
          <w:szCs w:val="22"/>
        </w:rPr>
        <w:t>mantalslängder</w:t>
      </w:r>
      <w:r w:rsidRPr="002A3FE4">
        <w:rPr>
          <w:sz w:val="22"/>
          <w:szCs w:val="22"/>
        </w:rPr>
        <w:t xml:space="preserve">) for </w:t>
      </w:r>
      <w:r w:rsidR="00B30869" w:rsidRPr="002A3FE4">
        <w:rPr>
          <w:sz w:val="22"/>
          <w:szCs w:val="22"/>
        </w:rPr>
        <w:t>Knästorp and Tottarp, Getinge, and Glimåkra</w:t>
      </w:r>
      <w:r w:rsidR="00910E8A" w:rsidRPr="002A3FE4">
        <w:rPr>
          <w:sz w:val="22"/>
          <w:szCs w:val="22"/>
        </w:rPr>
        <w:t xml:space="preserve"> 1700, 1780, and 1860</w:t>
      </w:r>
      <w:r w:rsidR="00B30869" w:rsidRPr="002A3FE4">
        <w:rPr>
          <w:sz w:val="22"/>
          <w:szCs w:val="22"/>
        </w:rPr>
        <w:t xml:space="preserve">: Kammararkivet, Malmöhus läns landskontor, Hallands läns landskontor, Kristianstads läns landskontor, Häradsskrivaren i Torna, Bara och Harjagers fögderi, Häradsskrivaren i Halmstads fögderi, and Häradsskrivaren i Östra och Västra Göinge fögderi. </w:t>
      </w:r>
      <w:r w:rsidR="00B30869" w:rsidRPr="002A3FE4">
        <w:rPr>
          <w:sz w:val="22"/>
          <w:szCs w:val="22"/>
          <w:lang w:val="en-US"/>
        </w:rPr>
        <w:t>Kammararkivet is held at the National Archives (</w:t>
      </w:r>
      <w:r w:rsidR="00B30869" w:rsidRPr="002A3FE4">
        <w:rPr>
          <w:i/>
          <w:iCs/>
          <w:sz w:val="22"/>
          <w:szCs w:val="22"/>
          <w:lang w:val="en-US"/>
        </w:rPr>
        <w:t>Riksarkivet</w:t>
      </w:r>
      <w:r w:rsidR="00B30869" w:rsidRPr="002A3FE4">
        <w:rPr>
          <w:sz w:val="22"/>
          <w:szCs w:val="22"/>
          <w:lang w:val="en-US"/>
        </w:rPr>
        <w:t>) in Stockholm, the other a</w:t>
      </w:r>
      <w:r w:rsidR="00E93C99">
        <w:rPr>
          <w:sz w:val="22"/>
          <w:szCs w:val="22"/>
          <w:lang w:val="en-US"/>
        </w:rPr>
        <w:t>r</w:t>
      </w:r>
      <w:r w:rsidR="00B30869" w:rsidRPr="002A3FE4">
        <w:rPr>
          <w:sz w:val="22"/>
          <w:szCs w:val="22"/>
          <w:lang w:val="en-US"/>
        </w:rPr>
        <w:t xml:space="preserve">chives in Lund. </w:t>
      </w:r>
      <w:r w:rsidR="00B30869" w:rsidRPr="00E93C99">
        <w:rPr>
          <w:sz w:val="22"/>
          <w:szCs w:val="22"/>
          <w:lang w:val="en-GB"/>
        </w:rPr>
        <w:t>All accessed via ArkivDigital (arkivdigital.se).</w:t>
      </w:r>
    </w:p>
    <w:p w14:paraId="0226745F" w14:textId="5784FB58" w:rsidR="00206EE0" w:rsidRPr="00E93C99" w:rsidRDefault="00B30869" w:rsidP="00607F84">
      <w:pPr>
        <w:spacing w:after="120" w:line="240" w:lineRule="auto"/>
        <w:ind w:firstLine="0"/>
        <w:jc w:val="both"/>
        <w:rPr>
          <w:sz w:val="22"/>
          <w:szCs w:val="22"/>
          <w:lang w:val="en-GB"/>
        </w:rPr>
      </w:pPr>
      <w:r w:rsidRPr="00E93C99">
        <w:rPr>
          <w:sz w:val="22"/>
          <w:szCs w:val="22"/>
          <w:lang w:val="en-GB"/>
        </w:rPr>
        <w:t xml:space="preserve"> </w:t>
      </w:r>
    </w:p>
    <w:p w14:paraId="0948C793" w14:textId="54946E28" w:rsidR="004E4BBA" w:rsidRPr="002A3FE4" w:rsidRDefault="004E4BBA" w:rsidP="00496B34">
      <w:pPr>
        <w:pStyle w:val="Rubrik2"/>
      </w:pPr>
      <w:r w:rsidRPr="002A3FE4">
        <w:t>Literature</w:t>
      </w:r>
    </w:p>
    <w:p w14:paraId="10B96EB1" w14:textId="77777777" w:rsidR="00353B98" w:rsidRPr="002A3FE4" w:rsidRDefault="00353B98" w:rsidP="00607F84">
      <w:pPr>
        <w:spacing w:after="120" w:line="240" w:lineRule="auto"/>
        <w:ind w:left="851" w:hanging="851"/>
        <w:jc w:val="both"/>
        <w:rPr>
          <w:sz w:val="22"/>
          <w:szCs w:val="22"/>
          <w:lang w:val="en-GB"/>
        </w:rPr>
      </w:pPr>
      <w:r w:rsidRPr="002A3FE4">
        <w:rPr>
          <w:sz w:val="22"/>
          <w:szCs w:val="22"/>
        </w:rPr>
        <w:t xml:space="preserve">Bengtsson, Erik, Anna Missiaia, Mats Olsson and Patrick Svensson. </w:t>
      </w:r>
      <w:r w:rsidRPr="00E93C99">
        <w:rPr>
          <w:sz w:val="22"/>
          <w:szCs w:val="22"/>
          <w:lang w:val="en-GB"/>
        </w:rPr>
        <w:t xml:space="preserve">2018. </w:t>
      </w:r>
      <w:r w:rsidRPr="002A3FE4">
        <w:rPr>
          <w:sz w:val="22"/>
          <w:szCs w:val="22"/>
          <w:lang w:val="en-GB"/>
        </w:rPr>
        <w:t xml:space="preserve">“Wealth inequality in Sweden, 1750–1900”. </w:t>
      </w:r>
      <w:r w:rsidRPr="002A3FE4">
        <w:rPr>
          <w:i/>
          <w:iCs/>
          <w:sz w:val="22"/>
          <w:szCs w:val="22"/>
          <w:lang w:val="en-GB"/>
        </w:rPr>
        <w:t>Economic History Review</w:t>
      </w:r>
      <w:r w:rsidRPr="002A3FE4">
        <w:rPr>
          <w:sz w:val="22"/>
          <w:szCs w:val="22"/>
          <w:lang w:val="en-GB"/>
        </w:rPr>
        <w:t>, 71 (3): 772–794.</w:t>
      </w:r>
    </w:p>
    <w:p w14:paraId="6EA2FB83" w14:textId="2B4992D1" w:rsidR="00E73EE8" w:rsidRPr="002A3FE4" w:rsidRDefault="00E73EE8" w:rsidP="00607F84">
      <w:pPr>
        <w:spacing w:after="120" w:line="240" w:lineRule="auto"/>
        <w:ind w:left="851" w:hanging="851"/>
        <w:jc w:val="both"/>
        <w:rPr>
          <w:sz w:val="22"/>
          <w:szCs w:val="22"/>
          <w:lang w:val="en-GB"/>
        </w:rPr>
      </w:pPr>
      <w:r w:rsidRPr="002A3FE4">
        <w:rPr>
          <w:sz w:val="22"/>
          <w:szCs w:val="22"/>
          <w:lang w:val="en-GB"/>
        </w:rPr>
        <w:t>Bengtsson, E</w:t>
      </w:r>
      <w:r w:rsidR="0037648D" w:rsidRPr="002A3FE4">
        <w:rPr>
          <w:sz w:val="22"/>
          <w:szCs w:val="22"/>
          <w:lang w:val="en-GB"/>
        </w:rPr>
        <w:t>rik</w:t>
      </w:r>
      <w:r w:rsidRPr="002A3FE4">
        <w:rPr>
          <w:sz w:val="22"/>
          <w:szCs w:val="22"/>
          <w:lang w:val="en-GB"/>
        </w:rPr>
        <w:t xml:space="preserve"> and </w:t>
      </w:r>
      <w:r w:rsidR="0037648D" w:rsidRPr="002A3FE4">
        <w:rPr>
          <w:sz w:val="22"/>
          <w:szCs w:val="22"/>
          <w:lang w:val="en-GB"/>
        </w:rPr>
        <w:t xml:space="preserve">Patrick </w:t>
      </w:r>
      <w:r w:rsidRPr="002A3FE4">
        <w:rPr>
          <w:sz w:val="22"/>
          <w:szCs w:val="22"/>
          <w:lang w:val="en-GB"/>
        </w:rPr>
        <w:t>Svensson</w:t>
      </w:r>
      <w:r w:rsidR="0037648D" w:rsidRPr="002A3FE4">
        <w:rPr>
          <w:sz w:val="22"/>
          <w:szCs w:val="22"/>
          <w:lang w:val="en-GB"/>
        </w:rPr>
        <w:t>. 2019</w:t>
      </w:r>
      <w:r w:rsidR="00552E0B" w:rsidRPr="002A3FE4">
        <w:rPr>
          <w:sz w:val="22"/>
          <w:szCs w:val="22"/>
          <w:lang w:val="en-GB"/>
        </w:rPr>
        <w:t>.</w:t>
      </w:r>
      <w:r w:rsidRPr="002A3FE4">
        <w:rPr>
          <w:sz w:val="22"/>
          <w:szCs w:val="22"/>
          <w:lang w:val="en-GB"/>
        </w:rPr>
        <w:t xml:space="preserve"> </w:t>
      </w:r>
      <w:r w:rsidR="0037648D" w:rsidRPr="002A3FE4">
        <w:rPr>
          <w:sz w:val="22"/>
          <w:szCs w:val="22"/>
          <w:lang w:val="en-GB"/>
        </w:rPr>
        <w:t>“</w:t>
      </w:r>
      <w:r w:rsidRPr="002A3FE4">
        <w:rPr>
          <w:sz w:val="22"/>
          <w:szCs w:val="22"/>
          <w:lang w:val="en-GB"/>
        </w:rPr>
        <w:t>The wealth of the Swedish peasant farmer class (1750–1900): composition and distribution</w:t>
      </w:r>
      <w:r w:rsidR="0037648D" w:rsidRPr="002A3FE4">
        <w:rPr>
          <w:sz w:val="22"/>
          <w:szCs w:val="22"/>
          <w:lang w:val="en-GB"/>
        </w:rPr>
        <w:t>”.</w:t>
      </w:r>
      <w:r w:rsidRPr="002A3FE4">
        <w:rPr>
          <w:sz w:val="22"/>
          <w:szCs w:val="22"/>
          <w:lang w:val="en-GB"/>
        </w:rPr>
        <w:t xml:space="preserve"> </w:t>
      </w:r>
      <w:r w:rsidRPr="002A3FE4">
        <w:rPr>
          <w:i/>
          <w:iCs/>
          <w:sz w:val="22"/>
          <w:szCs w:val="22"/>
          <w:lang w:val="en-GB"/>
        </w:rPr>
        <w:t>Rural History</w:t>
      </w:r>
      <w:r w:rsidRPr="002A3FE4">
        <w:rPr>
          <w:sz w:val="22"/>
          <w:szCs w:val="22"/>
          <w:lang w:val="en-GB"/>
        </w:rPr>
        <w:t>, 30</w:t>
      </w:r>
      <w:r w:rsidR="00607F84">
        <w:rPr>
          <w:sz w:val="22"/>
          <w:szCs w:val="22"/>
          <w:lang w:val="en-GB"/>
        </w:rPr>
        <w:t xml:space="preserve"> (2):</w:t>
      </w:r>
      <w:r w:rsidRPr="002A3FE4">
        <w:rPr>
          <w:sz w:val="22"/>
          <w:szCs w:val="22"/>
          <w:lang w:val="en-GB"/>
        </w:rPr>
        <w:t xml:space="preserve"> 129–</w:t>
      </w:r>
      <w:r w:rsidR="0037648D" w:rsidRPr="002A3FE4">
        <w:rPr>
          <w:sz w:val="22"/>
          <w:szCs w:val="22"/>
          <w:lang w:val="en-GB"/>
        </w:rPr>
        <w:t>1</w:t>
      </w:r>
      <w:r w:rsidRPr="002A3FE4">
        <w:rPr>
          <w:sz w:val="22"/>
          <w:szCs w:val="22"/>
          <w:lang w:val="en-GB"/>
        </w:rPr>
        <w:t>45.</w:t>
      </w:r>
    </w:p>
    <w:p w14:paraId="3D9D0532" w14:textId="0CECCC6C" w:rsidR="00552E0B" w:rsidRPr="002A3FE4" w:rsidRDefault="00552E0B" w:rsidP="00607F84">
      <w:pPr>
        <w:spacing w:after="120" w:line="240" w:lineRule="auto"/>
        <w:ind w:left="851" w:hanging="851"/>
        <w:jc w:val="both"/>
        <w:rPr>
          <w:sz w:val="22"/>
          <w:szCs w:val="22"/>
          <w:lang w:val="en-GB"/>
        </w:rPr>
      </w:pPr>
      <w:r w:rsidRPr="002A3FE4">
        <w:rPr>
          <w:sz w:val="22"/>
          <w:szCs w:val="22"/>
          <w:lang w:val="en-GB"/>
        </w:rPr>
        <w:t xml:space="preserve">Bengtsson, Erik and Patrick Svensson. 2022. “The living standards of the labouring classes in Sweden, 1750–1900: evidence from rural probate inventories”. </w:t>
      </w:r>
      <w:r w:rsidRPr="002A3FE4">
        <w:rPr>
          <w:i/>
          <w:iCs/>
          <w:sz w:val="22"/>
          <w:szCs w:val="22"/>
          <w:lang w:val="en-GB"/>
        </w:rPr>
        <w:t>Agricultural History Review</w:t>
      </w:r>
      <w:r w:rsidR="007C7B4A">
        <w:rPr>
          <w:sz w:val="22"/>
          <w:szCs w:val="22"/>
          <w:lang w:val="en-GB"/>
        </w:rPr>
        <w:t>,</w:t>
      </w:r>
      <w:r w:rsidRPr="002A3FE4">
        <w:rPr>
          <w:sz w:val="22"/>
          <w:szCs w:val="22"/>
          <w:lang w:val="en-GB"/>
        </w:rPr>
        <w:t xml:space="preserve"> 70 (1): 49–69.</w:t>
      </w:r>
    </w:p>
    <w:p w14:paraId="21E71260" w14:textId="1C092690" w:rsidR="000B37E1" w:rsidRPr="002A3FE4" w:rsidRDefault="000B37E1" w:rsidP="00607F84">
      <w:pPr>
        <w:spacing w:after="120" w:line="240" w:lineRule="auto"/>
        <w:ind w:left="851" w:hanging="851"/>
        <w:jc w:val="both"/>
        <w:rPr>
          <w:sz w:val="22"/>
          <w:szCs w:val="22"/>
        </w:rPr>
      </w:pPr>
      <w:r w:rsidRPr="002A3FE4">
        <w:rPr>
          <w:sz w:val="22"/>
          <w:szCs w:val="22"/>
          <w:lang w:val="en-GB"/>
        </w:rPr>
        <w:t xml:space="preserve">Dribe, Martin., Mats Olsson, and Patrick Svensson (2012). If the landlord so wanted… Family, farm production and land transfers in the manorial system. </w:t>
      </w:r>
      <w:r w:rsidRPr="002A3FE4">
        <w:rPr>
          <w:i/>
          <w:iCs/>
          <w:sz w:val="22"/>
          <w:szCs w:val="22"/>
        </w:rPr>
        <w:t>Economic History Review</w:t>
      </w:r>
      <w:r w:rsidRPr="002A3FE4">
        <w:rPr>
          <w:sz w:val="22"/>
          <w:szCs w:val="22"/>
        </w:rPr>
        <w:t>, 65</w:t>
      </w:r>
      <w:r w:rsidR="007C7B4A">
        <w:rPr>
          <w:sz w:val="22"/>
          <w:szCs w:val="22"/>
        </w:rPr>
        <w:t xml:space="preserve"> </w:t>
      </w:r>
      <w:r w:rsidRPr="002A3FE4">
        <w:rPr>
          <w:sz w:val="22"/>
          <w:szCs w:val="22"/>
        </w:rPr>
        <w:t>(2)</w:t>
      </w:r>
      <w:r w:rsidR="007C7B4A">
        <w:rPr>
          <w:sz w:val="22"/>
          <w:szCs w:val="22"/>
        </w:rPr>
        <w:t>:</w:t>
      </w:r>
      <w:r w:rsidRPr="002A3FE4">
        <w:rPr>
          <w:sz w:val="22"/>
          <w:szCs w:val="22"/>
        </w:rPr>
        <w:t xml:space="preserve"> 746–769.</w:t>
      </w:r>
    </w:p>
    <w:p w14:paraId="4E43AC9D" w14:textId="36AD1D4B" w:rsidR="00BD0BBF" w:rsidRPr="002A3FE4" w:rsidRDefault="00BD0BBF" w:rsidP="00607F84">
      <w:pPr>
        <w:spacing w:after="120" w:line="240" w:lineRule="auto"/>
        <w:ind w:left="851" w:hanging="851"/>
        <w:jc w:val="both"/>
        <w:rPr>
          <w:i/>
          <w:iCs/>
          <w:sz w:val="22"/>
          <w:szCs w:val="22"/>
          <w:lang w:val="en-GB"/>
        </w:rPr>
      </w:pPr>
      <w:r w:rsidRPr="002A3FE4">
        <w:rPr>
          <w:sz w:val="22"/>
          <w:szCs w:val="22"/>
        </w:rPr>
        <w:lastRenderedPageBreak/>
        <w:t xml:space="preserve">Gadd, Carl-Johan. 1983. </w:t>
      </w:r>
      <w:r w:rsidRPr="002A3FE4">
        <w:rPr>
          <w:i/>
          <w:iCs/>
          <w:sz w:val="22"/>
          <w:szCs w:val="22"/>
        </w:rPr>
        <w:t>Järn och potatis: Jordbruk, teknik och social omvandling i Skaraborgs län 1750</w:t>
      </w:r>
      <w:r w:rsidR="000B37E1" w:rsidRPr="002A3FE4">
        <w:rPr>
          <w:i/>
          <w:iCs/>
          <w:sz w:val="22"/>
          <w:szCs w:val="22"/>
        </w:rPr>
        <w:t>–</w:t>
      </w:r>
      <w:r w:rsidRPr="002A3FE4">
        <w:rPr>
          <w:i/>
          <w:iCs/>
          <w:sz w:val="22"/>
          <w:szCs w:val="22"/>
        </w:rPr>
        <w:t>1860.</w:t>
      </w:r>
      <w:r w:rsidRPr="002A3FE4">
        <w:rPr>
          <w:sz w:val="22"/>
          <w:szCs w:val="22"/>
        </w:rPr>
        <w:t xml:space="preserve"> </w:t>
      </w:r>
      <w:r w:rsidRPr="002A3FE4">
        <w:rPr>
          <w:sz w:val="22"/>
          <w:szCs w:val="22"/>
          <w:lang w:val="en-GB"/>
        </w:rPr>
        <w:t>Doctoral dissertation in Economic History, University of Gothenburg.</w:t>
      </w:r>
    </w:p>
    <w:p w14:paraId="3CCF300D" w14:textId="6B5595B0" w:rsidR="000B37E1" w:rsidRPr="002A3FE4" w:rsidRDefault="000B37E1" w:rsidP="00607F84">
      <w:pPr>
        <w:spacing w:after="120" w:line="240" w:lineRule="auto"/>
        <w:ind w:left="851" w:hanging="851"/>
        <w:jc w:val="both"/>
        <w:rPr>
          <w:sz w:val="22"/>
          <w:szCs w:val="22"/>
        </w:rPr>
      </w:pPr>
      <w:r w:rsidRPr="002A3FE4">
        <w:rPr>
          <w:sz w:val="22"/>
          <w:szCs w:val="22"/>
          <w:lang w:val="en-GB"/>
        </w:rPr>
        <w:t xml:space="preserve">Gadd, Carl-Johan. </w:t>
      </w:r>
      <w:r w:rsidRPr="002A3FE4">
        <w:rPr>
          <w:sz w:val="22"/>
          <w:szCs w:val="22"/>
        </w:rPr>
        <w:t xml:space="preserve">2000. </w:t>
      </w:r>
      <w:r w:rsidRPr="002A3FE4">
        <w:rPr>
          <w:i/>
          <w:iCs/>
          <w:sz w:val="22"/>
          <w:szCs w:val="22"/>
        </w:rPr>
        <w:t>Den agrara revolutionen 1700–1870</w:t>
      </w:r>
      <w:r w:rsidRPr="002A3FE4">
        <w:rPr>
          <w:sz w:val="22"/>
          <w:szCs w:val="22"/>
        </w:rPr>
        <w:t>. Stockholm: LTs förlag.</w:t>
      </w:r>
    </w:p>
    <w:p w14:paraId="4C16D1AF" w14:textId="2D687C29" w:rsidR="00CD34AC" w:rsidRPr="002A3FE4" w:rsidRDefault="00CD34AC" w:rsidP="00607F84">
      <w:pPr>
        <w:spacing w:after="120" w:line="240" w:lineRule="auto"/>
        <w:ind w:left="851" w:hanging="851"/>
        <w:jc w:val="both"/>
        <w:rPr>
          <w:sz w:val="22"/>
          <w:szCs w:val="22"/>
        </w:rPr>
      </w:pPr>
      <w:r w:rsidRPr="002A3FE4">
        <w:rPr>
          <w:sz w:val="22"/>
          <w:szCs w:val="22"/>
          <w:lang w:val="en-GB"/>
        </w:rPr>
        <w:t xml:space="preserve">Keibek, Sebastian A.J. and Leigh Shaw-Taylor. 2013. “Early modern rural by-employments: a re-examination of the probate inventory evidence”. </w:t>
      </w:r>
      <w:r w:rsidRPr="002A3FE4">
        <w:rPr>
          <w:i/>
          <w:iCs/>
          <w:sz w:val="22"/>
          <w:szCs w:val="22"/>
        </w:rPr>
        <w:t>Agricultural History Review</w:t>
      </w:r>
      <w:r w:rsidR="00607F84">
        <w:rPr>
          <w:sz w:val="22"/>
          <w:szCs w:val="22"/>
        </w:rPr>
        <w:t>,</w:t>
      </w:r>
      <w:r w:rsidRPr="002A3FE4">
        <w:rPr>
          <w:sz w:val="22"/>
          <w:szCs w:val="22"/>
        </w:rPr>
        <w:t xml:space="preserve"> 61: 244–281.</w:t>
      </w:r>
    </w:p>
    <w:p w14:paraId="7D97BFEE" w14:textId="77777777" w:rsidR="00E73EE8" w:rsidRPr="002A3FE4" w:rsidRDefault="00E73EE8" w:rsidP="00607F84">
      <w:pPr>
        <w:spacing w:after="120" w:line="240" w:lineRule="auto"/>
        <w:ind w:left="851" w:hanging="851"/>
        <w:jc w:val="both"/>
        <w:rPr>
          <w:sz w:val="22"/>
          <w:szCs w:val="22"/>
          <w:lang w:val="en-GB"/>
        </w:rPr>
      </w:pPr>
      <w:r w:rsidRPr="002A3FE4">
        <w:rPr>
          <w:sz w:val="22"/>
          <w:szCs w:val="22"/>
        </w:rPr>
        <w:t xml:space="preserve">Linde, Martin. 2000. </w:t>
      </w:r>
      <w:r w:rsidRPr="002A3FE4">
        <w:rPr>
          <w:i/>
          <w:iCs/>
          <w:sz w:val="22"/>
          <w:szCs w:val="22"/>
        </w:rPr>
        <w:t>Statsmakt och bondemotstånd: allmoge och överhet under stora nordiska kriget</w:t>
      </w:r>
      <w:r w:rsidRPr="002A3FE4">
        <w:rPr>
          <w:sz w:val="22"/>
          <w:szCs w:val="22"/>
        </w:rPr>
        <w:t xml:space="preserve">. </w:t>
      </w:r>
      <w:r w:rsidRPr="002A3FE4">
        <w:rPr>
          <w:sz w:val="22"/>
          <w:szCs w:val="22"/>
          <w:lang w:val="en-GB"/>
        </w:rPr>
        <w:t>Doctoral dissertation in History, Uppsala University.</w:t>
      </w:r>
    </w:p>
    <w:p w14:paraId="41AB0AAB" w14:textId="77777777" w:rsidR="00E73EE8" w:rsidRPr="002A3FE4" w:rsidRDefault="00E73EE8" w:rsidP="00607F84">
      <w:pPr>
        <w:spacing w:after="120" w:line="240" w:lineRule="auto"/>
        <w:ind w:left="851" w:hanging="851"/>
        <w:jc w:val="both"/>
        <w:rPr>
          <w:sz w:val="22"/>
          <w:szCs w:val="22"/>
          <w:lang w:val="en-GB"/>
        </w:rPr>
      </w:pPr>
      <w:r w:rsidRPr="002A3FE4">
        <w:rPr>
          <w:sz w:val="22"/>
          <w:szCs w:val="22"/>
          <w:lang w:val="en-GB"/>
        </w:rPr>
        <w:t xml:space="preserve">Lindström, Jonas. 2008. </w:t>
      </w:r>
      <w:r w:rsidRPr="002A3FE4">
        <w:rPr>
          <w:i/>
          <w:iCs/>
          <w:sz w:val="22"/>
          <w:szCs w:val="22"/>
          <w:lang w:val="en-GB"/>
        </w:rPr>
        <w:t>Distribution and Differences: Stratification and the System of Reproduction in a Swedish Peasant Community 1620–1820</w:t>
      </w:r>
      <w:r w:rsidRPr="002A3FE4">
        <w:rPr>
          <w:sz w:val="22"/>
          <w:szCs w:val="22"/>
          <w:lang w:val="en-GB"/>
        </w:rPr>
        <w:t>. Doctoral thesis in History, Uppsala University.</w:t>
      </w:r>
    </w:p>
    <w:p w14:paraId="274DF345" w14:textId="59EFF488" w:rsidR="00C403F8" w:rsidRPr="002A3FE4" w:rsidRDefault="00C403F8" w:rsidP="00607F84">
      <w:pPr>
        <w:spacing w:after="120" w:line="240" w:lineRule="auto"/>
        <w:ind w:left="851" w:hanging="851"/>
        <w:jc w:val="both"/>
        <w:rPr>
          <w:sz w:val="22"/>
          <w:szCs w:val="22"/>
          <w:lang w:val="en-GB"/>
        </w:rPr>
      </w:pPr>
      <w:r w:rsidRPr="002A3FE4">
        <w:rPr>
          <w:sz w:val="22"/>
          <w:szCs w:val="22"/>
          <w:lang w:val="en-GB"/>
        </w:rPr>
        <w:t xml:space="preserve">Lundh, Christer. 1995. </w:t>
      </w:r>
      <w:r w:rsidR="000E7F0E" w:rsidRPr="002A3FE4">
        <w:rPr>
          <w:sz w:val="22"/>
          <w:szCs w:val="22"/>
          <w:lang w:val="en-GB"/>
        </w:rPr>
        <w:t>“</w:t>
      </w:r>
      <w:r w:rsidRPr="002A3FE4">
        <w:rPr>
          <w:sz w:val="22"/>
          <w:szCs w:val="22"/>
          <w:lang w:val="en-GB"/>
        </w:rPr>
        <w:t xml:space="preserve">Households and Families in Pre-industrial Sweden”. </w:t>
      </w:r>
      <w:r w:rsidRPr="002A3FE4">
        <w:rPr>
          <w:i/>
          <w:iCs/>
          <w:sz w:val="22"/>
          <w:szCs w:val="22"/>
          <w:lang w:val="en-GB"/>
        </w:rPr>
        <w:t>Continuity and Change</w:t>
      </w:r>
      <w:r w:rsidR="000C2360">
        <w:rPr>
          <w:i/>
          <w:iCs/>
          <w:sz w:val="22"/>
          <w:szCs w:val="22"/>
          <w:lang w:val="en-GB"/>
        </w:rPr>
        <w:t xml:space="preserve">, </w:t>
      </w:r>
      <w:r w:rsidRPr="002A3FE4">
        <w:rPr>
          <w:sz w:val="22"/>
          <w:szCs w:val="22"/>
          <w:lang w:val="en-GB"/>
        </w:rPr>
        <w:t>10 (1)</w:t>
      </w:r>
      <w:r w:rsidR="000C2360">
        <w:rPr>
          <w:sz w:val="22"/>
          <w:szCs w:val="22"/>
          <w:lang w:val="en-GB"/>
        </w:rPr>
        <w:t>:</w:t>
      </w:r>
      <w:r w:rsidRPr="002A3FE4">
        <w:rPr>
          <w:sz w:val="22"/>
          <w:szCs w:val="22"/>
          <w:lang w:val="en-GB"/>
        </w:rPr>
        <w:t xml:space="preserve"> 33–68.</w:t>
      </w:r>
    </w:p>
    <w:p w14:paraId="59C509AD" w14:textId="39B4BA4E" w:rsidR="00E73EE8" w:rsidRPr="002A3FE4" w:rsidRDefault="00E73EE8" w:rsidP="00607F84">
      <w:pPr>
        <w:spacing w:after="120" w:line="240" w:lineRule="auto"/>
        <w:ind w:left="851" w:hanging="851"/>
        <w:jc w:val="both"/>
        <w:rPr>
          <w:sz w:val="22"/>
          <w:szCs w:val="22"/>
        </w:rPr>
      </w:pPr>
      <w:r w:rsidRPr="002A3FE4">
        <w:rPr>
          <w:sz w:val="22"/>
          <w:szCs w:val="22"/>
          <w:lang w:val="en-GB"/>
        </w:rPr>
        <w:t xml:space="preserve">Lundh, Christer and Mats Olsson. 2002. “The institution of retirement on Scanian estates in the nineteenth century”. </w:t>
      </w:r>
      <w:r w:rsidRPr="002A3FE4">
        <w:rPr>
          <w:i/>
          <w:iCs/>
          <w:sz w:val="22"/>
          <w:szCs w:val="22"/>
        </w:rPr>
        <w:t>Continuity and Change</w:t>
      </w:r>
      <w:r w:rsidR="000C2360">
        <w:rPr>
          <w:sz w:val="22"/>
          <w:szCs w:val="22"/>
        </w:rPr>
        <w:t>,</w:t>
      </w:r>
      <w:r w:rsidRPr="002A3FE4">
        <w:rPr>
          <w:sz w:val="22"/>
          <w:szCs w:val="22"/>
        </w:rPr>
        <w:t xml:space="preserve"> 17 (3)</w:t>
      </w:r>
      <w:r w:rsidR="000C2360">
        <w:rPr>
          <w:sz w:val="22"/>
          <w:szCs w:val="22"/>
        </w:rPr>
        <w:t>:</w:t>
      </w:r>
      <w:r w:rsidRPr="002A3FE4">
        <w:rPr>
          <w:sz w:val="22"/>
          <w:szCs w:val="22"/>
        </w:rPr>
        <w:t xml:space="preserve"> 373–403.</w:t>
      </w:r>
    </w:p>
    <w:p w14:paraId="77111D97" w14:textId="77777777" w:rsidR="00E73EE8" w:rsidRPr="002A3FE4" w:rsidRDefault="00E73EE8" w:rsidP="00607F84">
      <w:pPr>
        <w:spacing w:after="120" w:line="240" w:lineRule="auto"/>
        <w:ind w:left="851" w:hanging="851"/>
        <w:jc w:val="both"/>
        <w:rPr>
          <w:sz w:val="22"/>
          <w:szCs w:val="22"/>
          <w:lang w:val="en-GB"/>
        </w:rPr>
      </w:pPr>
      <w:r w:rsidRPr="002A3FE4">
        <w:rPr>
          <w:sz w:val="22"/>
          <w:szCs w:val="22"/>
        </w:rPr>
        <w:t xml:space="preserve">Olsson, Mats. 2005. </w:t>
      </w:r>
      <w:r w:rsidRPr="002A3FE4">
        <w:rPr>
          <w:i/>
          <w:iCs/>
          <w:sz w:val="22"/>
          <w:szCs w:val="22"/>
        </w:rPr>
        <w:t>Skatta dig lycklig. Jordränta och jordbruk i Skåne 1660–1900</w:t>
      </w:r>
      <w:r w:rsidRPr="002A3FE4">
        <w:rPr>
          <w:sz w:val="22"/>
          <w:szCs w:val="22"/>
        </w:rPr>
        <w:t xml:space="preserve">. </w:t>
      </w:r>
      <w:r w:rsidRPr="002A3FE4">
        <w:rPr>
          <w:sz w:val="22"/>
          <w:szCs w:val="22"/>
          <w:lang w:val="en-GB"/>
        </w:rPr>
        <w:t>Hedemora: Gidlunds förlag.</w:t>
      </w:r>
    </w:p>
    <w:p w14:paraId="66A931B3" w14:textId="68345E40" w:rsidR="00E73EE8" w:rsidRPr="002A3FE4" w:rsidRDefault="00E73EE8" w:rsidP="00607F84">
      <w:pPr>
        <w:spacing w:after="120" w:line="240" w:lineRule="auto"/>
        <w:ind w:left="851" w:hanging="851"/>
        <w:jc w:val="both"/>
        <w:rPr>
          <w:sz w:val="22"/>
          <w:szCs w:val="22"/>
          <w:lang w:val="en-GB"/>
        </w:rPr>
      </w:pPr>
      <w:r w:rsidRPr="002A3FE4">
        <w:rPr>
          <w:sz w:val="22"/>
          <w:szCs w:val="22"/>
          <w:lang w:val="en-GB"/>
        </w:rPr>
        <w:t xml:space="preserve">Olsson, Mats. 2006. “Manorial Economy and Corvée Labour in Southern Sweden 1650–1850”. </w:t>
      </w:r>
      <w:r w:rsidRPr="002A3FE4">
        <w:rPr>
          <w:i/>
          <w:iCs/>
          <w:sz w:val="22"/>
          <w:szCs w:val="22"/>
          <w:lang w:val="en-GB"/>
        </w:rPr>
        <w:t>Economic History Review</w:t>
      </w:r>
      <w:r w:rsidRPr="002A3FE4">
        <w:rPr>
          <w:sz w:val="22"/>
          <w:szCs w:val="22"/>
          <w:lang w:val="en-GB"/>
        </w:rPr>
        <w:t xml:space="preserve">, </w:t>
      </w:r>
      <w:r w:rsidR="000C2360">
        <w:rPr>
          <w:sz w:val="22"/>
          <w:szCs w:val="22"/>
          <w:lang w:val="en-GB"/>
        </w:rPr>
        <w:t>59</w:t>
      </w:r>
      <w:r w:rsidRPr="002A3FE4">
        <w:rPr>
          <w:sz w:val="22"/>
          <w:szCs w:val="22"/>
          <w:lang w:val="en-GB"/>
        </w:rPr>
        <w:t xml:space="preserve"> </w:t>
      </w:r>
      <w:r w:rsidR="000C2360">
        <w:rPr>
          <w:sz w:val="22"/>
          <w:szCs w:val="22"/>
          <w:lang w:val="en-GB"/>
        </w:rPr>
        <w:t>(</w:t>
      </w:r>
      <w:r w:rsidRPr="002A3FE4">
        <w:rPr>
          <w:sz w:val="22"/>
          <w:szCs w:val="22"/>
          <w:lang w:val="en-GB"/>
        </w:rPr>
        <w:t>3</w:t>
      </w:r>
      <w:r w:rsidR="000C2360">
        <w:rPr>
          <w:sz w:val="22"/>
          <w:szCs w:val="22"/>
          <w:lang w:val="en-GB"/>
        </w:rPr>
        <w:t>):</w:t>
      </w:r>
      <w:r w:rsidRPr="002A3FE4">
        <w:rPr>
          <w:sz w:val="22"/>
          <w:szCs w:val="22"/>
          <w:lang w:val="en-GB"/>
        </w:rPr>
        <w:t xml:space="preserve"> 481–497.</w:t>
      </w:r>
    </w:p>
    <w:p w14:paraId="03E48602" w14:textId="77777777" w:rsidR="00E73EE8" w:rsidRPr="002A3FE4" w:rsidRDefault="00E73EE8" w:rsidP="00607F84">
      <w:pPr>
        <w:spacing w:after="120" w:line="240" w:lineRule="auto"/>
        <w:ind w:left="851" w:hanging="851"/>
        <w:jc w:val="both"/>
        <w:rPr>
          <w:sz w:val="22"/>
          <w:szCs w:val="22"/>
        </w:rPr>
      </w:pPr>
      <w:r w:rsidRPr="002A3FE4">
        <w:rPr>
          <w:sz w:val="22"/>
          <w:szCs w:val="22"/>
          <w:lang w:val="en-GB"/>
        </w:rPr>
        <w:t xml:space="preserve">Olsson, Mats and Patrick Svensson. 2010. “Agricultural growth and institutions: Sweden 1700–1860”. </w:t>
      </w:r>
      <w:r w:rsidRPr="002A3FE4">
        <w:rPr>
          <w:i/>
          <w:iCs/>
          <w:sz w:val="22"/>
          <w:szCs w:val="22"/>
        </w:rPr>
        <w:t>European Review of Economic History</w:t>
      </w:r>
      <w:r w:rsidRPr="002A3FE4">
        <w:rPr>
          <w:sz w:val="22"/>
          <w:szCs w:val="22"/>
        </w:rPr>
        <w:t>, 14 (2): 275–304.</w:t>
      </w:r>
    </w:p>
    <w:p w14:paraId="54B90BAD" w14:textId="4F7C9577" w:rsidR="002E331F" w:rsidRPr="002A3FE4" w:rsidRDefault="007E668B" w:rsidP="00607F84">
      <w:pPr>
        <w:spacing w:after="120" w:line="240" w:lineRule="auto"/>
        <w:ind w:left="851" w:hanging="851"/>
        <w:jc w:val="both"/>
        <w:rPr>
          <w:lang w:val="en-GB"/>
        </w:rPr>
      </w:pPr>
      <w:r w:rsidRPr="002A3FE4">
        <w:rPr>
          <w:sz w:val="22"/>
          <w:szCs w:val="22"/>
        </w:rPr>
        <w:t xml:space="preserve">Söderberg, Johan. 1978. </w:t>
      </w:r>
      <w:r w:rsidRPr="002A3FE4">
        <w:rPr>
          <w:i/>
          <w:iCs/>
          <w:sz w:val="22"/>
          <w:szCs w:val="22"/>
        </w:rPr>
        <w:t>Agrar fattigdom i Sydsverige under 1800-talet</w:t>
      </w:r>
      <w:r w:rsidRPr="002A3FE4">
        <w:rPr>
          <w:sz w:val="22"/>
          <w:szCs w:val="22"/>
        </w:rPr>
        <w:t xml:space="preserve">. </w:t>
      </w:r>
      <w:r w:rsidRPr="002A3FE4">
        <w:rPr>
          <w:sz w:val="22"/>
          <w:szCs w:val="22"/>
          <w:lang w:val="en-GB"/>
        </w:rPr>
        <w:t>Doctoral dissertation in Economic History, Stockholm University.</w:t>
      </w:r>
      <w:bookmarkEnd w:id="0"/>
    </w:p>
    <w:sectPr w:rsidR="002E331F" w:rsidRPr="002A3FE4" w:rsidSect="00B52424">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60DF6" w14:textId="77777777" w:rsidR="007758B1" w:rsidRDefault="007758B1" w:rsidP="00E73EE8">
      <w:pPr>
        <w:spacing w:line="240" w:lineRule="auto"/>
      </w:pPr>
      <w:r>
        <w:separator/>
      </w:r>
    </w:p>
  </w:endnote>
  <w:endnote w:type="continuationSeparator" w:id="0">
    <w:p w14:paraId="4ED79C9C" w14:textId="77777777" w:rsidR="007758B1" w:rsidRDefault="007758B1" w:rsidP="00E73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870700"/>
      <w:docPartObj>
        <w:docPartGallery w:val="Page Numbers (Bottom of Page)"/>
        <w:docPartUnique/>
      </w:docPartObj>
    </w:sdtPr>
    <w:sdtContent>
      <w:p w14:paraId="56EF6E04" w14:textId="77777777" w:rsidR="002C2FDA" w:rsidRDefault="00000000">
        <w:pPr>
          <w:pStyle w:val="Sidfot"/>
          <w:jc w:val="center"/>
        </w:pPr>
        <w:r>
          <w:fldChar w:fldCharType="begin"/>
        </w:r>
        <w:r>
          <w:instrText>PAGE   \* MERGEFORMAT</w:instrText>
        </w:r>
        <w:r>
          <w:fldChar w:fldCharType="separate"/>
        </w:r>
        <w:r>
          <w:t>2</w:t>
        </w:r>
        <w:r>
          <w:fldChar w:fldCharType="end"/>
        </w:r>
      </w:p>
    </w:sdtContent>
  </w:sdt>
  <w:p w14:paraId="3A5C64B9" w14:textId="77777777" w:rsidR="002C2FDA" w:rsidRDefault="002C2F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253EE" w14:textId="77777777" w:rsidR="007758B1" w:rsidRDefault="007758B1" w:rsidP="00E73EE8">
      <w:pPr>
        <w:spacing w:line="240" w:lineRule="auto"/>
      </w:pPr>
      <w:r>
        <w:separator/>
      </w:r>
    </w:p>
  </w:footnote>
  <w:footnote w:type="continuationSeparator" w:id="0">
    <w:p w14:paraId="05FA850D" w14:textId="77777777" w:rsidR="007758B1" w:rsidRDefault="007758B1" w:rsidP="00E73EE8">
      <w:pPr>
        <w:spacing w:line="240" w:lineRule="auto"/>
      </w:pPr>
      <w:r>
        <w:continuationSeparator/>
      </w:r>
    </w:p>
  </w:footnote>
  <w:footnote w:id="1">
    <w:p w14:paraId="1AAD1ED8" w14:textId="77777777" w:rsidR="00E73EE8" w:rsidRPr="00F95C01" w:rsidRDefault="00E73EE8" w:rsidP="006D16D0">
      <w:pPr>
        <w:pStyle w:val="Fotnotstext"/>
        <w:spacing w:after="120"/>
        <w:ind w:firstLine="0"/>
        <w:rPr>
          <w:rFonts w:ascii="Times New Roman" w:hAnsi="Times New Roman"/>
        </w:rPr>
      </w:pPr>
      <w:r w:rsidRPr="00F95C01">
        <w:rPr>
          <w:rStyle w:val="Fotnotsreferens"/>
          <w:rFonts w:ascii="Times New Roman" w:hAnsi="Times New Roman"/>
        </w:rPr>
        <w:footnoteRef/>
      </w:r>
      <w:r w:rsidRPr="00F95C01">
        <w:rPr>
          <w:rFonts w:ascii="Times New Roman" w:hAnsi="Times New Roman"/>
        </w:rPr>
        <w:t xml:space="preserve"> On the other hand, he argued that overall inequality probably grew, through growth of the underclasses and an increasing concentration of wealth </w:t>
      </w:r>
      <w:r>
        <w:rPr>
          <w:rFonts w:ascii="Times New Roman" w:hAnsi="Times New Roman"/>
        </w:rPr>
        <w:t>among</w:t>
      </w:r>
      <w:r w:rsidRPr="00F95C01">
        <w:rPr>
          <w:rFonts w:ascii="Times New Roman" w:hAnsi="Times New Roman"/>
        </w:rPr>
        <w:t xml:space="preserve"> the non-farmer landowners </w:t>
      </w:r>
      <w:r>
        <w:rPr>
          <w:rFonts w:ascii="Times New Roman" w:hAnsi="Times New Roman"/>
        </w:rPr>
        <w:t>(</w:t>
      </w:r>
      <w:r w:rsidRPr="00F95C01">
        <w:rPr>
          <w:rFonts w:ascii="Times New Roman" w:hAnsi="Times New Roman"/>
        </w:rPr>
        <w:t>Lindström 2008, p. 92</w:t>
      </w:r>
      <w:r>
        <w:rPr>
          <w:rFonts w:ascii="Times New Roman" w:hAnsi="Times New Roman"/>
        </w:rPr>
        <w:t>)</w:t>
      </w:r>
      <w:r w:rsidRPr="00F95C01">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90AC2D9" w14:paraId="2827D733" w14:textId="77777777" w:rsidTr="090AC2D9">
      <w:tc>
        <w:tcPr>
          <w:tcW w:w="3020" w:type="dxa"/>
        </w:tcPr>
        <w:p w14:paraId="7E84FF49" w14:textId="77777777" w:rsidR="002C2FDA" w:rsidRDefault="002C2FDA" w:rsidP="090AC2D9">
          <w:pPr>
            <w:pStyle w:val="Sidhuvud"/>
            <w:ind w:left="-115"/>
          </w:pPr>
        </w:p>
      </w:tc>
      <w:tc>
        <w:tcPr>
          <w:tcW w:w="3020" w:type="dxa"/>
        </w:tcPr>
        <w:p w14:paraId="4F4283E9" w14:textId="77777777" w:rsidR="002C2FDA" w:rsidRDefault="002C2FDA" w:rsidP="090AC2D9">
          <w:pPr>
            <w:pStyle w:val="Sidhuvud"/>
            <w:jc w:val="center"/>
          </w:pPr>
        </w:p>
      </w:tc>
      <w:tc>
        <w:tcPr>
          <w:tcW w:w="3020" w:type="dxa"/>
        </w:tcPr>
        <w:p w14:paraId="45CB6D2B" w14:textId="77777777" w:rsidR="002C2FDA" w:rsidRDefault="002C2FDA" w:rsidP="090AC2D9">
          <w:pPr>
            <w:pStyle w:val="Sidhuvud"/>
            <w:ind w:right="-115"/>
            <w:jc w:val="right"/>
          </w:pPr>
        </w:p>
      </w:tc>
    </w:tr>
  </w:tbl>
  <w:p w14:paraId="1B778B6F" w14:textId="77777777" w:rsidR="002C2FDA" w:rsidRDefault="002C2FDA" w:rsidP="090AC2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BA4"/>
    <w:multiLevelType w:val="hybridMultilevel"/>
    <w:tmpl w:val="6A3CE0D2"/>
    <w:lvl w:ilvl="0" w:tplc="B628BFF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CC14CB"/>
    <w:multiLevelType w:val="hybridMultilevel"/>
    <w:tmpl w:val="83165634"/>
    <w:lvl w:ilvl="0" w:tplc="A840497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EC7C33"/>
    <w:multiLevelType w:val="hybridMultilevel"/>
    <w:tmpl w:val="07C6A3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026400"/>
    <w:multiLevelType w:val="hybridMultilevel"/>
    <w:tmpl w:val="7974E3A0"/>
    <w:lvl w:ilvl="0" w:tplc="FEDCE714">
      <w:start w:val="1814"/>
      <w:numFmt w:val="bullet"/>
      <w:lvlText w:val=""/>
      <w:lvlJc w:val="left"/>
      <w:pPr>
        <w:ind w:left="720" w:hanging="360"/>
      </w:pPr>
      <w:rPr>
        <w:rFonts w:ascii="Symbol" w:eastAsiaTheme="minorHAnsi" w:hAnsi="Symbol" w:cstheme="minorBid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6652B8"/>
    <w:multiLevelType w:val="hybridMultilevel"/>
    <w:tmpl w:val="4B22B0F8"/>
    <w:lvl w:ilvl="0" w:tplc="A516AF8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506388E"/>
    <w:multiLevelType w:val="hybridMultilevel"/>
    <w:tmpl w:val="D452F48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526818"/>
    <w:multiLevelType w:val="hybridMultilevel"/>
    <w:tmpl w:val="29728814"/>
    <w:lvl w:ilvl="0" w:tplc="F8905FB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1920C25"/>
    <w:multiLevelType w:val="hybridMultilevel"/>
    <w:tmpl w:val="6B52A672"/>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0318E7"/>
    <w:multiLevelType w:val="hybridMultilevel"/>
    <w:tmpl w:val="2E8AECE4"/>
    <w:lvl w:ilvl="0" w:tplc="64F0E6F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A36628"/>
    <w:multiLevelType w:val="hybridMultilevel"/>
    <w:tmpl w:val="C972B83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F207E41"/>
    <w:multiLevelType w:val="hybridMultilevel"/>
    <w:tmpl w:val="6B52A67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416942"/>
    <w:multiLevelType w:val="hybridMultilevel"/>
    <w:tmpl w:val="6E80B220"/>
    <w:lvl w:ilvl="0" w:tplc="52B20EFE">
      <w:start w:val="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8706655">
    <w:abstractNumId w:val="3"/>
  </w:num>
  <w:num w:numId="2" w16cid:durableId="917446104">
    <w:abstractNumId w:val="8"/>
  </w:num>
  <w:num w:numId="3" w16cid:durableId="409693637">
    <w:abstractNumId w:val="0"/>
  </w:num>
  <w:num w:numId="4" w16cid:durableId="2096050651">
    <w:abstractNumId w:val="4"/>
  </w:num>
  <w:num w:numId="5" w16cid:durableId="1322080251">
    <w:abstractNumId w:val="1"/>
  </w:num>
  <w:num w:numId="6" w16cid:durableId="2038695955">
    <w:abstractNumId w:val="6"/>
  </w:num>
  <w:num w:numId="7" w16cid:durableId="1829707380">
    <w:abstractNumId w:val="11"/>
  </w:num>
  <w:num w:numId="8" w16cid:durableId="190344206">
    <w:abstractNumId w:val="2"/>
  </w:num>
  <w:num w:numId="9" w16cid:durableId="747848140">
    <w:abstractNumId w:val="7"/>
  </w:num>
  <w:num w:numId="10" w16cid:durableId="1999335235">
    <w:abstractNumId w:val="10"/>
  </w:num>
  <w:num w:numId="11" w16cid:durableId="1023357778">
    <w:abstractNumId w:val="9"/>
  </w:num>
  <w:num w:numId="12" w16cid:durableId="2120754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E8"/>
    <w:rsid w:val="00037268"/>
    <w:rsid w:val="000A2974"/>
    <w:rsid w:val="000B37E1"/>
    <w:rsid w:val="000C2360"/>
    <w:rsid w:val="000E7F0E"/>
    <w:rsid w:val="00126323"/>
    <w:rsid w:val="00126CFB"/>
    <w:rsid w:val="0013115C"/>
    <w:rsid w:val="001325F9"/>
    <w:rsid w:val="0014077D"/>
    <w:rsid w:val="001505DC"/>
    <w:rsid w:val="001758ED"/>
    <w:rsid w:val="0018495F"/>
    <w:rsid w:val="001A57D6"/>
    <w:rsid w:val="001B3CE6"/>
    <w:rsid w:val="00206EE0"/>
    <w:rsid w:val="00220600"/>
    <w:rsid w:val="00222372"/>
    <w:rsid w:val="002461E0"/>
    <w:rsid w:val="00267818"/>
    <w:rsid w:val="002A3FE4"/>
    <w:rsid w:val="002A5E23"/>
    <w:rsid w:val="002B4472"/>
    <w:rsid w:val="002C2FDA"/>
    <w:rsid w:val="002E331F"/>
    <w:rsid w:val="00312B55"/>
    <w:rsid w:val="003175C2"/>
    <w:rsid w:val="00334D2B"/>
    <w:rsid w:val="00335306"/>
    <w:rsid w:val="00353B98"/>
    <w:rsid w:val="0037648D"/>
    <w:rsid w:val="00383A8C"/>
    <w:rsid w:val="00385BCD"/>
    <w:rsid w:val="00395CD3"/>
    <w:rsid w:val="004058EB"/>
    <w:rsid w:val="0042005A"/>
    <w:rsid w:val="004246EE"/>
    <w:rsid w:val="00483B32"/>
    <w:rsid w:val="00496B34"/>
    <w:rsid w:val="004B5DAB"/>
    <w:rsid w:val="004D13DA"/>
    <w:rsid w:val="004E4BBA"/>
    <w:rsid w:val="00527A95"/>
    <w:rsid w:val="00552E0B"/>
    <w:rsid w:val="00586107"/>
    <w:rsid w:val="005A2219"/>
    <w:rsid w:val="005C534F"/>
    <w:rsid w:val="005C72A6"/>
    <w:rsid w:val="006004F5"/>
    <w:rsid w:val="00607F84"/>
    <w:rsid w:val="006246CE"/>
    <w:rsid w:val="006301B3"/>
    <w:rsid w:val="006B1BEB"/>
    <w:rsid w:val="006B344A"/>
    <w:rsid w:val="006C2076"/>
    <w:rsid w:val="006D16D0"/>
    <w:rsid w:val="006F30B7"/>
    <w:rsid w:val="007331B4"/>
    <w:rsid w:val="007758B1"/>
    <w:rsid w:val="00796C11"/>
    <w:rsid w:val="007A1266"/>
    <w:rsid w:val="007A4488"/>
    <w:rsid w:val="007C7B4A"/>
    <w:rsid w:val="007D34E9"/>
    <w:rsid w:val="007E668B"/>
    <w:rsid w:val="0082579D"/>
    <w:rsid w:val="00846896"/>
    <w:rsid w:val="00867940"/>
    <w:rsid w:val="008772C6"/>
    <w:rsid w:val="00882D8F"/>
    <w:rsid w:val="008A3DC5"/>
    <w:rsid w:val="008A4A1B"/>
    <w:rsid w:val="008C1B22"/>
    <w:rsid w:val="008C6ED3"/>
    <w:rsid w:val="009002A7"/>
    <w:rsid w:val="00910E8A"/>
    <w:rsid w:val="00931B9A"/>
    <w:rsid w:val="0093684B"/>
    <w:rsid w:val="0095092F"/>
    <w:rsid w:val="00993A06"/>
    <w:rsid w:val="009A6752"/>
    <w:rsid w:val="009C2804"/>
    <w:rsid w:val="00A446EB"/>
    <w:rsid w:val="00A503CA"/>
    <w:rsid w:val="00A51774"/>
    <w:rsid w:val="00A832F1"/>
    <w:rsid w:val="00A9284C"/>
    <w:rsid w:val="00AB046D"/>
    <w:rsid w:val="00B22C44"/>
    <w:rsid w:val="00B27F71"/>
    <w:rsid w:val="00B30869"/>
    <w:rsid w:val="00B4192A"/>
    <w:rsid w:val="00B52424"/>
    <w:rsid w:val="00B6430F"/>
    <w:rsid w:val="00B736AD"/>
    <w:rsid w:val="00BB0860"/>
    <w:rsid w:val="00BD0BBF"/>
    <w:rsid w:val="00BE503E"/>
    <w:rsid w:val="00C403F8"/>
    <w:rsid w:val="00C95464"/>
    <w:rsid w:val="00CA6E72"/>
    <w:rsid w:val="00CD34AC"/>
    <w:rsid w:val="00CE04C6"/>
    <w:rsid w:val="00D13C2D"/>
    <w:rsid w:val="00D26F55"/>
    <w:rsid w:val="00D56822"/>
    <w:rsid w:val="00D62951"/>
    <w:rsid w:val="00D917CC"/>
    <w:rsid w:val="00D9203E"/>
    <w:rsid w:val="00DB4E77"/>
    <w:rsid w:val="00DC17EB"/>
    <w:rsid w:val="00DD35E3"/>
    <w:rsid w:val="00E06CF9"/>
    <w:rsid w:val="00E3725C"/>
    <w:rsid w:val="00E72009"/>
    <w:rsid w:val="00E73EE8"/>
    <w:rsid w:val="00E93C99"/>
    <w:rsid w:val="00F17D5A"/>
    <w:rsid w:val="00F96232"/>
    <w:rsid w:val="00FB3D1C"/>
    <w:rsid w:val="00FE4B6A"/>
    <w:rsid w:val="00FF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FE6"/>
  <w15:chartTrackingRefBased/>
  <w15:docId w15:val="{9CD1F6C7-72F8-4347-B084-9EEB77B6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E8"/>
    <w:rPr>
      <w:kern w:val="0"/>
      <w:sz w:val="20"/>
      <w:szCs w:val="20"/>
      <w:lang w:val="sv-SE"/>
      <w14:ligatures w14:val="none"/>
    </w:rPr>
  </w:style>
  <w:style w:type="paragraph" w:styleId="Rubrik1">
    <w:name w:val="heading 1"/>
    <w:basedOn w:val="Normal"/>
    <w:next w:val="Normal"/>
    <w:link w:val="Rubrik1Char"/>
    <w:uiPriority w:val="9"/>
    <w:qFormat/>
    <w:rsid w:val="00E73EE8"/>
    <w:pPr>
      <w:keepNext/>
      <w:keepLines/>
      <w:spacing w:before="120" w:after="120"/>
      <w:outlineLvl w:val="0"/>
    </w:pPr>
    <w:rPr>
      <w:rFonts w:eastAsiaTheme="majorEastAsia" w:cstheme="majorBidi"/>
      <w:sz w:val="36"/>
      <w:szCs w:val="32"/>
    </w:rPr>
  </w:style>
  <w:style w:type="paragraph" w:styleId="Rubrik2">
    <w:name w:val="heading 2"/>
    <w:basedOn w:val="Normal"/>
    <w:next w:val="Normal"/>
    <w:link w:val="Rubrik2Char"/>
    <w:uiPriority w:val="9"/>
    <w:unhideWhenUsed/>
    <w:qFormat/>
    <w:rsid w:val="0013115C"/>
    <w:pPr>
      <w:keepNext/>
      <w:keepLines/>
      <w:spacing w:before="120" w:after="120"/>
      <w:ind w:firstLine="0"/>
      <w:outlineLvl w:val="1"/>
    </w:pPr>
    <w:rPr>
      <w:rFonts w:eastAsiaTheme="majorEastAsia" w:cstheme="majorBidi"/>
      <w: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3EE8"/>
    <w:rPr>
      <w:rFonts w:eastAsiaTheme="majorEastAsia" w:cstheme="majorBidi"/>
      <w:kern w:val="0"/>
      <w:sz w:val="36"/>
      <w:szCs w:val="32"/>
      <w:lang w:val="sv-SE"/>
      <w14:ligatures w14:val="none"/>
    </w:rPr>
  </w:style>
  <w:style w:type="character" w:customStyle="1" w:styleId="Rubrik2Char">
    <w:name w:val="Rubrik 2 Char"/>
    <w:basedOn w:val="Standardstycketeckensnitt"/>
    <w:link w:val="Rubrik2"/>
    <w:uiPriority w:val="9"/>
    <w:rsid w:val="0013115C"/>
    <w:rPr>
      <w:rFonts w:eastAsiaTheme="majorEastAsia" w:cstheme="majorBidi"/>
      <w:i/>
      <w:kern w:val="0"/>
      <w:sz w:val="26"/>
      <w:szCs w:val="26"/>
      <w:lang w:val="sv-SE"/>
      <w14:ligatures w14:val="none"/>
    </w:rPr>
  </w:style>
  <w:style w:type="paragraph" w:customStyle="1" w:styleId="Tabellbeskrivning">
    <w:name w:val="Tabellbeskrivning"/>
    <w:basedOn w:val="Normal"/>
    <w:link w:val="TabellbeskrivningChar"/>
    <w:autoRedefine/>
    <w:qFormat/>
    <w:rsid w:val="00496B34"/>
    <w:pPr>
      <w:spacing w:line="240" w:lineRule="auto"/>
      <w:ind w:firstLine="0"/>
    </w:pPr>
    <w:rPr>
      <w:iCs/>
      <w:noProof/>
      <w:szCs w:val="22"/>
      <w:lang w:val="en-GB"/>
    </w:rPr>
  </w:style>
  <w:style w:type="character" w:customStyle="1" w:styleId="TabellbeskrivningChar">
    <w:name w:val="Tabellbeskrivning Char"/>
    <w:basedOn w:val="Standardstycketeckensnitt"/>
    <w:link w:val="Tabellbeskrivning"/>
    <w:rsid w:val="00496B34"/>
    <w:rPr>
      <w:iCs/>
      <w:noProof/>
      <w:kern w:val="0"/>
      <w:sz w:val="20"/>
      <w:lang w:val="en-GB"/>
      <w14:ligatures w14:val="none"/>
    </w:rPr>
  </w:style>
  <w:style w:type="paragraph" w:styleId="Fotnotstext">
    <w:name w:val="footnote text"/>
    <w:basedOn w:val="Normal"/>
    <w:link w:val="FotnotstextChar"/>
    <w:uiPriority w:val="99"/>
    <w:unhideWhenUsed/>
    <w:rsid w:val="00E73EE8"/>
    <w:pPr>
      <w:spacing w:line="240" w:lineRule="auto"/>
    </w:pPr>
    <w:rPr>
      <w:rFonts w:asciiTheme="minorHAnsi" w:hAnsiTheme="minorHAnsi"/>
      <w:lang w:val="en-GB"/>
    </w:rPr>
  </w:style>
  <w:style w:type="character" w:customStyle="1" w:styleId="FotnotstextChar">
    <w:name w:val="Fotnotstext Char"/>
    <w:basedOn w:val="Standardstycketeckensnitt"/>
    <w:link w:val="Fotnotstext"/>
    <w:uiPriority w:val="99"/>
    <w:rsid w:val="00E73EE8"/>
    <w:rPr>
      <w:rFonts w:asciiTheme="minorHAnsi" w:hAnsiTheme="minorHAnsi"/>
      <w:kern w:val="0"/>
      <w:sz w:val="20"/>
      <w:szCs w:val="20"/>
      <w:lang w:val="en-GB"/>
      <w14:ligatures w14:val="none"/>
    </w:rPr>
  </w:style>
  <w:style w:type="character" w:styleId="Fotnotsreferens">
    <w:name w:val="footnote reference"/>
    <w:basedOn w:val="Standardstycketeckensnitt"/>
    <w:uiPriority w:val="99"/>
    <w:semiHidden/>
    <w:unhideWhenUsed/>
    <w:rsid w:val="00E73EE8"/>
    <w:rPr>
      <w:vertAlign w:val="superscript"/>
    </w:rPr>
  </w:style>
  <w:style w:type="table" w:styleId="Tabellrutnt">
    <w:name w:val="Table Grid"/>
    <w:basedOn w:val="Normaltabell"/>
    <w:uiPriority w:val="39"/>
    <w:rsid w:val="00E73EE8"/>
    <w:pPr>
      <w:spacing w:after="0" w:line="240" w:lineRule="auto"/>
    </w:pPr>
    <w:rPr>
      <w:rFonts w:asciiTheme="minorHAnsi"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73EE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73EE8"/>
    <w:rPr>
      <w:kern w:val="0"/>
      <w:sz w:val="20"/>
      <w:szCs w:val="20"/>
      <w:lang w:val="sv-SE"/>
      <w14:ligatures w14:val="none"/>
    </w:rPr>
  </w:style>
  <w:style w:type="paragraph" w:styleId="Sidfot">
    <w:name w:val="footer"/>
    <w:basedOn w:val="Normal"/>
    <w:link w:val="SidfotChar"/>
    <w:uiPriority w:val="99"/>
    <w:unhideWhenUsed/>
    <w:rsid w:val="00E73EE8"/>
    <w:pPr>
      <w:tabs>
        <w:tab w:val="center" w:pos="4536"/>
        <w:tab w:val="right" w:pos="9072"/>
      </w:tabs>
      <w:spacing w:line="240" w:lineRule="auto"/>
    </w:pPr>
  </w:style>
  <w:style w:type="character" w:customStyle="1" w:styleId="SidfotChar">
    <w:name w:val="Sidfot Char"/>
    <w:basedOn w:val="Standardstycketeckensnitt"/>
    <w:link w:val="Sidfot"/>
    <w:uiPriority w:val="99"/>
    <w:rsid w:val="00E73EE8"/>
    <w:rPr>
      <w:kern w:val="0"/>
      <w:sz w:val="20"/>
      <w:szCs w:val="20"/>
      <w:lang w:val="sv-SE"/>
      <w14:ligatures w14:val="none"/>
    </w:rPr>
  </w:style>
  <w:style w:type="paragraph" w:styleId="Liststycke">
    <w:name w:val="List Paragraph"/>
    <w:basedOn w:val="Normal"/>
    <w:uiPriority w:val="34"/>
    <w:qFormat/>
    <w:rsid w:val="00E73EE8"/>
    <w:pPr>
      <w:ind w:left="720"/>
      <w:contextualSpacing/>
    </w:pPr>
  </w:style>
  <w:style w:type="paragraph" w:styleId="Ingetavstnd">
    <w:name w:val="No Spacing"/>
    <w:uiPriority w:val="1"/>
    <w:qFormat/>
    <w:rsid w:val="00E73EE8"/>
    <w:pPr>
      <w:spacing w:after="0" w:line="240" w:lineRule="auto"/>
      <w:jc w:val="both"/>
    </w:pPr>
    <w:rPr>
      <w:kern w:val="0"/>
      <w:sz w:val="20"/>
      <w:szCs w:val="20"/>
      <w:lang w:val="sv-SE"/>
      <w14:ligatures w14:val="none"/>
    </w:rPr>
  </w:style>
  <w:style w:type="table" w:styleId="Oformateradtabell1">
    <w:name w:val="Plain Table 1"/>
    <w:basedOn w:val="Normaltabell"/>
    <w:uiPriority w:val="41"/>
    <w:rsid w:val="00E73EE8"/>
    <w:pPr>
      <w:spacing w:after="0" w:line="240" w:lineRule="auto"/>
      <w:jc w:val="both"/>
    </w:pPr>
    <w:rPr>
      <w:kern w:val="0"/>
      <w:sz w:val="20"/>
      <w:szCs w:val="20"/>
      <w:lang w:val="sv-S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nk">
    <w:name w:val="Hyperlink"/>
    <w:basedOn w:val="Standardstycketeckensnitt"/>
    <w:uiPriority w:val="99"/>
    <w:unhideWhenUsed/>
    <w:rsid w:val="00E73EE8"/>
    <w:rPr>
      <w:color w:val="0563C1" w:themeColor="hyperlink"/>
      <w:u w:val="single"/>
    </w:rPr>
  </w:style>
  <w:style w:type="character" w:styleId="Olstomnmnande">
    <w:name w:val="Unresolved Mention"/>
    <w:basedOn w:val="Standardstycketeckensnitt"/>
    <w:uiPriority w:val="99"/>
    <w:semiHidden/>
    <w:unhideWhenUsed/>
    <w:rsid w:val="00E73EE8"/>
    <w:rPr>
      <w:color w:val="605E5C"/>
      <w:shd w:val="clear" w:color="auto" w:fill="E1DFDD"/>
    </w:rPr>
  </w:style>
  <w:style w:type="table" w:styleId="Oformateradtabell3">
    <w:name w:val="Plain Table 3"/>
    <w:basedOn w:val="Normaltabell"/>
    <w:uiPriority w:val="43"/>
    <w:rsid w:val="00E73EE8"/>
    <w:pPr>
      <w:spacing w:after="0" w:line="240" w:lineRule="auto"/>
      <w:jc w:val="both"/>
    </w:pPr>
    <w:rPr>
      <w:kern w:val="0"/>
      <w:sz w:val="20"/>
      <w:szCs w:val="20"/>
      <w:lang w:val="sv-SE"/>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
    <w:name w:val="Grid Table 1 Light"/>
    <w:basedOn w:val="Normaltabell"/>
    <w:uiPriority w:val="46"/>
    <w:rsid w:val="00E73EE8"/>
    <w:pPr>
      <w:spacing w:after="0" w:line="240" w:lineRule="auto"/>
      <w:jc w:val="both"/>
    </w:pPr>
    <w:rPr>
      <w:kern w:val="0"/>
      <w:sz w:val="20"/>
      <w:szCs w:val="20"/>
      <w:lang w:val="sv-S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wtze">
    <w:name w:val="hwtze"/>
    <w:basedOn w:val="Standardstycketeckensnitt"/>
    <w:rsid w:val="00E73EE8"/>
  </w:style>
  <w:style w:type="character" w:customStyle="1" w:styleId="rynqvb">
    <w:name w:val="rynqvb"/>
    <w:basedOn w:val="Standardstycketeckensnitt"/>
    <w:rsid w:val="00E73EE8"/>
  </w:style>
  <w:style w:type="paragraph" w:styleId="Revision">
    <w:name w:val="Revision"/>
    <w:hidden/>
    <w:uiPriority w:val="99"/>
    <w:semiHidden/>
    <w:rsid w:val="00E73EE8"/>
    <w:pPr>
      <w:spacing w:after="0" w:line="240" w:lineRule="auto"/>
    </w:pPr>
    <w:rPr>
      <w:kern w:val="0"/>
      <w:sz w:val="20"/>
      <w:szCs w:val="20"/>
      <w:lang w:val="sv-SE"/>
      <w14:ligatures w14:val="none"/>
    </w:rPr>
  </w:style>
  <w:style w:type="character" w:styleId="Kommentarsreferens">
    <w:name w:val="annotation reference"/>
    <w:basedOn w:val="Standardstycketeckensnitt"/>
    <w:uiPriority w:val="99"/>
    <w:semiHidden/>
    <w:unhideWhenUsed/>
    <w:rsid w:val="00E73EE8"/>
    <w:rPr>
      <w:sz w:val="16"/>
      <w:szCs w:val="16"/>
    </w:rPr>
  </w:style>
  <w:style w:type="paragraph" w:styleId="Kommentarer">
    <w:name w:val="annotation text"/>
    <w:basedOn w:val="Normal"/>
    <w:link w:val="KommentarerChar"/>
    <w:uiPriority w:val="99"/>
    <w:semiHidden/>
    <w:unhideWhenUsed/>
    <w:rsid w:val="00E73EE8"/>
    <w:pPr>
      <w:spacing w:line="240" w:lineRule="auto"/>
    </w:pPr>
  </w:style>
  <w:style w:type="character" w:customStyle="1" w:styleId="KommentarerChar">
    <w:name w:val="Kommentarer Char"/>
    <w:basedOn w:val="Standardstycketeckensnitt"/>
    <w:link w:val="Kommentarer"/>
    <w:uiPriority w:val="99"/>
    <w:semiHidden/>
    <w:rsid w:val="00E73EE8"/>
    <w:rPr>
      <w:kern w:val="0"/>
      <w:sz w:val="20"/>
      <w:szCs w:val="20"/>
      <w:lang w:val="sv-SE"/>
      <w14:ligatures w14:val="none"/>
    </w:rPr>
  </w:style>
  <w:style w:type="paragraph" w:styleId="Kommentarsmne">
    <w:name w:val="annotation subject"/>
    <w:basedOn w:val="Kommentarer"/>
    <w:next w:val="Kommentarer"/>
    <w:link w:val="KommentarsmneChar"/>
    <w:uiPriority w:val="99"/>
    <w:semiHidden/>
    <w:unhideWhenUsed/>
    <w:rsid w:val="00E73EE8"/>
    <w:rPr>
      <w:b/>
      <w:bCs/>
    </w:rPr>
  </w:style>
  <w:style w:type="character" w:customStyle="1" w:styleId="KommentarsmneChar">
    <w:name w:val="Kommentarsämne Char"/>
    <w:basedOn w:val="KommentarerChar"/>
    <w:link w:val="Kommentarsmne"/>
    <w:uiPriority w:val="99"/>
    <w:semiHidden/>
    <w:rsid w:val="00E73EE8"/>
    <w:rPr>
      <w:b/>
      <w:bCs/>
      <w:kern w:val="0"/>
      <w:sz w:val="20"/>
      <w:szCs w:val="20"/>
      <w:lang w:val="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6599">
      <w:bodyDiv w:val="1"/>
      <w:marLeft w:val="0"/>
      <w:marRight w:val="0"/>
      <w:marTop w:val="0"/>
      <w:marBottom w:val="0"/>
      <w:divBdr>
        <w:top w:val="none" w:sz="0" w:space="0" w:color="auto"/>
        <w:left w:val="none" w:sz="0" w:space="0" w:color="auto"/>
        <w:bottom w:val="none" w:sz="0" w:space="0" w:color="auto"/>
        <w:right w:val="none" w:sz="0" w:space="0" w:color="auto"/>
      </w:divBdr>
    </w:div>
    <w:div w:id="487208967">
      <w:bodyDiv w:val="1"/>
      <w:marLeft w:val="0"/>
      <w:marRight w:val="0"/>
      <w:marTop w:val="0"/>
      <w:marBottom w:val="0"/>
      <w:divBdr>
        <w:top w:val="none" w:sz="0" w:space="0" w:color="auto"/>
        <w:left w:val="none" w:sz="0" w:space="0" w:color="auto"/>
        <w:bottom w:val="none" w:sz="0" w:space="0" w:color="auto"/>
        <w:right w:val="none" w:sz="0" w:space="0" w:color="auto"/>
      </w:divBdr>
    </w:div>
    <w:div w:id="16774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B28F-9009-4469-B0F2-33A7AF3C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5467</Words>
  <Characters>28981</Characters>
  <Application>Microsoft Office Word</Application>
  <DocSecurity>0</DocSecurity>
  <Lines>241</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Kovacs</dc:creator>
  <cp:keywords/>
  <dc:description/>
  <cp:lastModifiedBy>Erik Bengtsson</cp:lastModifiedBy>
  <cp:revision>32</cp:revision>
  <cp:lastPrinted>2024-04-03T13:22:00Z</cp:lastPrinted>
  <dcterms:created xsi:type="dcterms:W3CDTF">2024-04-04T09:01:00Z</dcterms:created>
  <dcterms:modified xsi:type="dcterms:W3CDTF">2024-07-30T15:11:00Z</dcterms:modified>
</cp:coreProperties>
</file>