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9C" w:rsidRPr="001F2220" w:rsidRDefault="00B0519C" w:rsidP="00B0519C">
      <w:pPr>
        <w:rPr>
          <w:b/>
        </w:rPr>
      </w:pPr>
      <w:bookmarkStart w:id="0" w:name="_GoBack"/>
      <w:bookmarkEnd w:id="0"/>
      <w:r w:rsidRPr="001F2220">
        <w:rPr>
          <w:b/>
        </w:rPr>
        <w:t>SUPPLEMENTARY INFORMATION</w:t>
      </w:r>
    </w:p>
    <w:p w:rsidR="00B0519C" w:rsidRDefault="00B0519C" w:rsidP="00B0519C"/>
    <w:p w:rsidR="00B0519C" w:rsidRDefault="00B0519C" w:rsidP="008C6331">
      <w:pPr>
        <w:spacing w:line="480" w:lineRule="auto"/>
      </w:pPr>
      <w:r>
        <w:t xml:space="preserve">Table S1. IUCN Red List Version 3.1 Second edition criteria (IUCN 2012) that depend on population estimates. For some species, population estimates are made by estimating a population density then multiplying that density by the estimated range size to obtain an overall population estimate. Categories with no populations in the wild (EX and EW), insufficient information (DD), and non-threatened categories (NT and LC) are not considered here. Criteria or </w:t>
      </w:r>
      <w:proofErr w:type="spellStart"/>
      <w:r>
        <w:t>subcriteria</w:t>
      </w:r>
      <w:proofErr w:type="spellEnd"/>
      <w:r>
        <w:t xml:space="preserve"> that depend on population estimates are indicated in boldface type.</w:t>
      </w:r>
    </w:p>
    <w:tbl>
      <w:tblPr>
        <w:tblStyle w:val="TableGrid"/>
        <w:tblW w:w="9445" w:type="dxa"/>
        <w:tblLook w:val="04A0" w:firstRow="1" w:lastRow="0" w:firstColumn="1" w:lastColumn="0" w:noHBand="0" w:noVBand="1"/>
      </w:tblPr>
      <w:tblGrid>
        <w:gridCol w:w="1435"/>
        <w:gridCol w:w="4500"/>
        <w:gridCol w:w="3510"/>
      </w:tblGrid>
      <w:tr w:rsidR="00B0519C" w:rsidRPr="000B4CA7" w:rsidTr="00084447">
        <w:tc>
          <w:tcPr>
            <w:tcW w:w="1435" w:type="dxa"/>
            <w:tcBorders>
              <w:bottom w:val="thinThickMediumGap" w:sz="24" w:space="0" w:color="auto"/>
            </w:tcBorders>
          </w:tcPr>
          <w:p w:rsidR="00B0519C" w:rsidRPr="000B4CA7" w:rsidRDefault="00B0519C" w:rsidP="00084447">
            <w:pPr>
              <w:rPr>
                <w:b/>
              </w:rPr>
            </w:pPr>
            <w:r>
              <w:rPr>
                <w:b/>
              </w:rPr>
              <w:t>Red List Category</w:t>
            </w:r>
          </w:p>
        </w:tc>
        <w:tc>
          <w:tcPr>
            <w:tcW w:w="4500" w:type="dxa"/>
            <w:tcBorders>
              <w:bottom w:val="thinThickMediumGap" w:sz="24" w:space="0" w:color="auto"/>
            </w:tcBorders>
            <w:vAlign w:val="bottom"/>
          </w:tcPr>
          <w:p w:rsidR="00B0519C" w:rsidRPr="000B4CA7" w:rsidRDefault="00B0519C" w:rsidP="00084447">
            <w:pPr>
              <w:jc w:val="center"/>
              <w:rPr>
                <w:b/>
              </w:rPr>
            </w:pPr>
            <w:r>
              <w:rPr>
                <w:b/>
              </w:rPr>
              <w:t>Criterion</w:t>
            </w:r>
          </w:p>
        </w:tc>
        <w:tc>
          <w:tcPr>
            <w:tcW w:w="3510" w:type="dxa"/>
            <w:tcBorders>
              <w:bottom w:val="thinThickMediumGap" w:sz="24" w:space="0" w:color="auto"/>
            </w:tcBorders>
            <w:vAlign w:val="bottom"/>
          </w:tcPr>
          <w:p w:rsidR="00B0519C" w:rsidRPr="000B4CA7" w:rsidRDefault="00B0519C" w:rsidP="00084447">
            <w:pPr>
              <w:jc w:val="center"/>
              <w:rPr>
                <w:b/>
              </w:rPr>
            </w:pPr>
            <w:proofErr w:type="spellStart"/>
            <w:r>
              <w:rPr>
                <w:b/>
              </w:rPr>
              <w:t>Subcriteria</w:t>
            </w:r>
            <w:proofErr w:type="spellEnd"/>
          </w:p>
        </w:tc>
      </w:tr>
      <w:tr w:rsidR="00B0519C" w:rsidTr="00084447">
        <w:tc>
          <w:tcPr>
            <w:tcW w:w="1435" w:type="dxa"/>
            <w:tcBorders>
              <w:top w:val="thinThickMediumGap" w:sz="24" w:space="0" w:color="auto"/>
            </w:tcBorders>
            <w:shd w:val="clear" w:color="auto" w:fill="D9D9D9" w:themeFill="background1" w:themeFillShade="D9"/>
          </w:tcPr>
          <w:p w:rsidR="00B0519C" w:rsidRDefault="00B0519C" w:rsidP="00084447">
            <w:r>
              <w:t>CR</w:t>
            </w:r>
          </w:p>
        </w:tc>
        <w:tc>
          <w:tcPr>
            <w:tcW w:w="4500" w:type="dxa"/>
            <w:tcBorders>
              <w:top w:val="thinThickMediumGap" w:sz="24" w:space="0" w:color="auto"/>
            </w:tcBorders>
            <w:shd w:val="clear" w:color="auto" w:fill="D9D9D9" w:themeFill="background1" w:themeFillShade="D9"/>
          </w:tcPr>
          <w:p w:rsidR="00B0519C" w:rsidRDefault="00B0519C" w:rsidP="00084447">
            <w:pPr>
              <w:ind w:right="252"/>
              <w:jc w:val="right"/>
            </w:pPr>
          </w:p>
        </w:tc>
        <w:tc>
          <w:tcPr>
            <w:tcW w:w="3510" w:type="dxa"/>
            <w:tcBorders>
              <w:top w:val="thinThickMediumGap" w:sz="24" w:space="0" w:color="auto"/>
            </w:tcBorders>
            <w:shd w:val="clear" w:color="auto" w:fill="D9D9D9" w:themeFill="background1" w:themeFillShade="D9"/>
          </w:tcPr>
          <w:p w:rsidR="00B0519C" w:rsidRDefault="00B0519C" w:rsidP="00084447">
            <w:pPr>
              <w:ind w:right="258"/>
              <w:jc w:val="right"/>
            </w:pPr>
          </w:p>
        </w:tc>
      </w:tr>
      <w:tr w:rsidR="00B0519C" w:rsidTr="00084447">
        <w:tc>
          <w:tcPr>
            <w:tcW w:w="1435" w:type="dxa"/>
            <w:vAlign w:val="center"/>
          </w:tcPr>
          <w:p w:rsidR="00B0519C" w:rsidRDefault="00B0519C" w:rsidP="00084447">
            <w:pPr>
              <w:ind w:left="340"/>
            </w:pPr>
            <w:r>
              <w:t>A</w:t>
            </w:r>
          </w:p>
        </w:tc>
        <w:tc>
          <w:tcPr>
            <w:tcW w:w="4500" w:type="dxa"/>
            <w:vAlign w:val="center"/>
          </w:tcPr>
          <w:p w:rsidR="00B0519C" w:rsidRDefault="00B0519C" w:rsidP="00084447">
            <w:pPr>
              <w:ind w:right="252"/>
            </w:pPr>
            <w:r>
              <w:t>Does not depend on population size</w:t>
            </w:r>
          </w:p>
        </w:tc>
        <w:tc>
          <w:tcPr>
            <w:tcW w:w="3510" w:type="dxa"/>
            <w:vAlign w:val="center"/>
          </w:tcPr>
          <w:p w:rsidR="00B0519C" w:rsidRDefault="00B0519C" w:rsidP="008C6331">
            <w:pPr>
              <w:spacing w:line="480" w:lineRule="auto"/>
              <w:ind w:right="259"/>
            </w:pPr>
            <w:r>
              <w:t>Evaluated on population declines</w:t>
            </w:r>
          </w:p>
        </w:tc>
      </w:tr>
      <w:tr w:rsidR="00B0519C" w:rsidTr="00084447">
        <w:tc>
          <w:tcPr>
            <w:tcW w:w="1435" w:type="dxa"/>
            <w:vAlign w:val="center"/>
          </w:tcPr>
          <w:p w:rsidR="00B0519C" w:rsidRDefault="00B0519C" w:rsidP="00084447">
            <w:pPr>
              <w:ind w:left="340"/>
            </w:pPr>
            <w:r>
              <w:t>B</w:t>
            </w:r>
          </w:p>
        </w:tc>
        <w:tc>
          <w:tcPr>
            <w:tcW w:w="4500" w:type="dxa"/>
            <w:vAlign w:val="center"/>
          </w:tcPr>
          <w:p w:rsidR="00B0519C" w:rsidRDefault="00B0519C" w:rsidP="00084447">
            <w:pPr>
              <w:ind w:right="252"/>
            </w:pPr>
            <w:r>
              <w:t>Does not depend on population size</w:t>
            </w:r>
          </w:p>
        </w:tc>
        <w:tc>
          <w:tcPr>
            <w:tcW w:w="3510" w:type="dxa"/>
            <w:vAlign w:val="center"/>
          </w:tcPr>
          <w:p w:rsidR="00B0519C" w:rsidRDefault="00B0519C" w:rsidP="008C6331">
            <w:pPr>
              <w:spacing w:line="480" w:lineRule="auto"/>
              <w:ind w:right="259"/>
            </w:pPr>
            <w:r>
              <w:t>Evaluated on range size, fragmentation, or fluctuations in range size or population</w:t>
            </w:r>
          </w:p>
        </w:tc>
      </w:tr>
      <w:tr w:rsidR="00B0519C" w:rsidTr="00084447">
        <w:tc>
          <w:tcPr>
            <w:tcW w:w="1435" w:type="dxa"/>
            <w:vAlign w:val="center"/>
          </w:tcPr>
          <w:p w:rsidR="00B0519C" w:rsidRPr="008E2071" w:rsidRDefault="00B0519C" w:rsidP="00084447">
            <w:pPr>
              <w:ind w:left="340"/>
              <w:rPr>
                <w:b/>
              </w:rPr>
            </w:pPr>
            <w:r w:rsidRPr="008E2071">
              <w:rPr>
                <w:b/>
              </w:rPr>
              <w:t xml:space="preserve">C </w:t>
            </w:r>
          </w:p>
        </w:tc>
        <w:tc>
          <w:tcPr>
            <w:tcW w:w="4500" w:type="dxa"/>
            <w:vAlign w:val="center"/>
          </w:tcPr>
          <w:p w:rsidR="00B0519C" w:rsidRPr="008E2071" w:rsidRDefault="00B0519C" w:rsidP="008C6331">
            <w:pPr>
              <w:spacing w:line="480" w:lineRule="auto"/>
              <w:ind w:right="259"/>
              <w:rPr>
                <w:b/>
              </w:rPr>
            </w:pPr>
            <w:r w:rsidRPr="008E2071">
              <w:rPr>
                <w:b/>
              </w:rPr>
              <w:t>Population size estimated to number fewer than 250 mature individuals</w:t>
            </w:r>
          </w:p>
        </w:tc>
        <w:tc>
          <w:tcPr>
            <w:tcW w:w="3510" w:type="dxa"/>
            <w:vAlign w:val="center"/>
          </w:tcPr>
          <w:p w:rsidR="00B0519C" w:rsidRDefault="00B0519C" w:rsidP="008C6331">
            <w:pPr>
              <w:spacing w:line="480" w:lineRule="auto"/>
              <w:ind w:right="259"/>
            </w:pPr>
            <w:r>
              <w:t>Evaluated on population decline, subpopulation size, or population fluctuation</w:t>
            </w:r>
          </w:p>
        </w:tc>
      </w:tr>
      <w:tr w:rsidR="00B0519C" w:rsidTr="00084447">
        <w:tc>
          <w:tcPr>
            <w:tcW w:w="1435" w:type="dxa"/>
            <w:vAlign w:val="center"/>
          </w:tcPr>
          <w:p w:rsidR="00B0519C" w:rsidRPr="008E2071" w:rsidRDefault="00B0519C" w:rsidP="00084447">
            <w:pPr>
              <w:ind w:left="340"/>
              <w:rPr>
                <w:b/>
              </w:rPr>
            </w:pPr>
            <w:r w:rsidRPr="008E2071">
              <w:rPr>
                <w:b/>
              </w:rPr>
              <w:t>D</w:t>
            </w:r>
          </w:p>
        </w:tc>
        <w:tc>
          <w:tcPr>
            <w:tcW w:w="4500" w:type="dxa"/>
            <w:vAlign w:val="center"/>
          </w:tcPr>
          <w:p w:rsidR="00B0519C" w:rsidRPr="008E2071" w:rsidRDefault="00B0519C" w:rsidP="008C6331">
            <w:pPr>
              <w:spacing w:line="480" w:lineRule="auto"/>
              <w:ind w:right="259"/>
              <w:rPr>
                <w:b/>
              </w:rPr>
            </w:pPr>
            <w:r w:rsidRPr="008E2071">
              <w:rPr>
                <w:b/>
              </w:rPr>
              <w:t>Population size estimated to number fewer than 50 mature individuals</w:t>
            </w:r>
          </w:p>
        </w:tc>
        <w:tc>
          <w:tcPr>
            <w:tcW w:w="3510" w:type="dxa"/>
            <w:vAlign w:val="center"/>
          </w:tcPr>
          <w:p w:rsidR="00B0519C" w:rsidRDefault="00B0519C" w:rsidP="00084447">
            <w:pPr>
              <w:ind w:right="258"/>
            </w:pPr>
            <w:r>
              <w:t xml:space="preserve">No </w:t>
            </w:r>
            <w:proofErr w:type="spellStart"/>
            <w:r>
              <w:t>subcriteria</w:t>
            </w:r>
            <w:proofErr w:type="spellEnd"/>
          </w:p>
        </w:tc>
      </w:tr>
      <w:tr w:rsidR="00B0519C" w:rsidTr="00084447">
        <w:tc>
          <w:tcPr>
            <w:tcW w:w="1435" w:type="dxa"/>
            <w:vAlign w:val="center"/>
          </w:tcPr>
          <w:p w:rsidR="00B0519C" w:rsidRDefault="00B0519C" w:rsidP="00084447">
            <w:pPr>
              <w:ind w:left="340"/>
            </w:pPr>
            <w:r>
              <w:t>E</w:t>
            </w:r>
          </w:p>
        </w:tc>
        <w:tc>
          <w:tcPr>
            <w:tcW w:w="4500" w:type="dxa"/>
            <w:vAlign w:val="center"/>
          </w:tcPr>
          <w:p w:rsidR="00B0519C" w:rsidRDefault="00B0519C" w:rsidP="00084447">
            <w:pPr>
              <w:ind w:right="252"/>
            </w:pPr>
            <w:r>
              <w:t>Does not depend on population size</w:t>
            </w:r>
          </w:p>
        </w:tc>
        <w:tc>
          <w:tcPr>
            <w:tcW w:w="3510" w:type="dxa"/>
            <w:vAlign w:val="center"/>
          </w:tcPr>
          <w:p w:rsidR="00B0519C" w:rsidRDefault="00B0519C" w:rsidP="008C6331">
            <w:pPr>
              <w:spacing w:line="480" w:lineRule="auto"/>
              <w:ind w:right="259"/>
            </w:pPr>
            <w:r>
              <w:t xml:space="preserve">No </w:t>
            </w:r>
            <w:proofErr w:type="spellStart"/>
            <w:r>
              <w:t>subcriteria</w:t>
            </w:r>
            <w:proofErr w:type="spellEnd"/>
          </w:p>
        </w:tc>
      </w:tr>
      <w:tr w:rsidR="00B0519C" w:rsidTr="00084447">
        <w:tc>
          <w:tcPr>
            <w:tcW w:w="1435" w:type="dxa"/>
            <w:shd w:val="clear" w:color="auto" w:fill="D9D9D9" w:themeFill="background1" w:themeFillShade="D9"/>
          </w:tcPr>
          <w:p w:rsidR="00B0519C" w:rsidRDefault="00B0519C" w:rsidP="00084447">
            <w:r>
              <w:t>EN</w:t>
            </w:r>
          </w:p>
        </w:tc>
        <w:tc>
          <w:tcPr>
            <w:tcW w:w="4500" w:type="dxa"/>
            <w:shd w:val="clear" w:color="auto" w:fill="D9D9D9" w:themeFill="background1" w:themeFillShade="D9"/>
          </w:tcPr>
          <w:p w:rsidR="00B0519C" w:rsidRDefault="00B0519C" w:rsidP="00084447">
            <w:pPr>
              <w:ind w:right="252"/>
            </w:pPr>
          </w:p>
        </w:tc>
        <w:tc>
          <w:tcPr>
            <w:tcW w:w="3510" w:type="dxa"/>
            <w:shd w:val="clear" w:color="auto" w:fill="D9D9D9" w:themeFill="background1" w:themeFillShade="D9"/>
          </w:tcPr>
          <w:p w:rsidR="00B0519C" w:rsidRDefault="00B0519C" w:rsidP="00084447">
            <w:pPr>
              <w:ind w:right="258"/>
            </w:pPr>
          </w:p>
        </w:tc>
      </w:tr>
      <w:tr w:rsidR="00B0519C" w:rsidTr="00084447">
        <w:tc>
          <w:tcPr>
            <w:tcW w:w="1435" w:type="dxa"/>
            <w:tcBorders>
              <w:bottom w:val="single" w:sz="4" w:space="0" w:color="auto"/>
            </w:tcBorders>
            <w:vAlign w:val="center"/>
          </w:tcPr>
          <w:p w:rsidR="00B0519C" w:rsidRDefault="00B0519C" w:rsidP="00084447">
            <w:pPr>
              <w:ind w:left="340"/>
            </w:pPr>
            <w:r>
              <w:t>A</w:t>
            </w:r>
          </w:p>
        </w:tc>
        <w:tc>
          <w:tcPr>
            <w:tcW w:w="4500" w:type="dxa"/>
            <w:tcBorders>
              <w:bottom w:val="single" w:sz="4" w:space="0" w:color="auto"/>
            </w:tcBorders>
            <w:vAlign w:val="center"/>
          </w:tcPr>
          <w:p w:rsidR="00B0519C" w:rsidRDefault="00B0519C" w:rsidP="00084447">
            <w:pPr>
              <w:ind w:right="252"/>
            </w:pPr>
            <w:r>
              <w:t>Does not depend on population size</w:t>
            </w:r>
          </w:p>
        </w:tc>
        <w:tc>
          <w:tcPr>
            <w:tcW w:w="3510" w:type="dxa"/>
            <w:tcBorders>
              <w:bottom w:val="single" w:sz="4" w:space="0" w:color="auto"/>
            </w:tcBorders>
            <w:vAlign w:val="center"/>
          </w:tcPr>
          <w:p w:rsidR="00B0519C" w:rsidRDefault="00B0519C" w:rsidP="008C6331">
            <w:pPr>
              <w:spacing w:line="480" w:lineRule="auto"/>
              <w:ind w:right="259"/>
            </w:pPr>
            <w:r>
              <w:t>Evaluated on population declines</w:t>
            </w:r>
          </w:p>
        </w:tc>
      </w:tr>
      <w:tr w:rsidR="00B0519C" w:rsidTr="00084447">
        <w:tc>
          <w:tcPr>
            <w:tcW w:w="1435" w:type="dxa"/>
            <w:vAlign w:val="center"/>
          </w:tcPr>
          <w:p w:rsidR="00B0519C" w:rsidRDefault="00B0519C" w:rsidP="00084447">
            <w:pPr>
              <w:ind w:left="340"/>
            </w:pPr>
            <w:r>
              <w:t>B</w:t>
            </w:r>
          </w:p>
        </w:tc>
        <w:tc>
          <w:tcPr>
            <w:tcW w:w="4500" w:type="dxa"/>
            <w:vAlign w:val="center"/>
          </w:tcPr>
          <w:p w:rsidR="00B0519C" w:rsidRDefault="00B0519C" w:rsidP="00084447">
            <w:pPr>
              <w:ind w:right="252"/>
            </w:pPr>
            <w:r>
              <w:t>Does not depend on population size</w:t>
            </w:r>
          </w:p>
        </w:tc>
        <w:tc>
          <w:tcPr>
            <w:tcW w:w="3510" w:type="dxa"/>
            <w:vAlign w:val="center"/>
          </w:tcPr>
          <w:p w:rsidR="00B0519C" w:rsidRDefault="00B0519C" w:rsidP="008C6331">
            <w:pPr>
              <w:spacing w:line="480" w:lineRule="auto"/>
              <w:ind w:right="259"/>
            </w:pPr>
            <w:r>
              <w:t xml:space="preserve">Evaluated on range size, </w:t>
            </w:r>
            <w:r>
              <w:lastRenderedPageBreak/>
              <w:t>fragmentation, or fluctuations in range size or population</w:t>
            </w:r>
          </w:p>
        </w:tc>
      </w:tr>
      <w:tr w:rsidR="00B0519C" w:rsidTr="00084447">
        <w:tc>
          <w:tcPr>
            <w:tcW w:w="1435" w:type="dxa"/>
            <w:vAlign w:val="center"/>
          </w:tcPr>
          <w:p w:rsidR="00B0519C" w:rsidRPr="008E2071" w:rsidRDefault="00B0519C" w:rsidP="00084447">
            <w:pPr>
              <w:ind w:left="340"/>
              <w:rPr>
                <w:b/>
              </w:rPr>
            </w:pPr>
            <w:r w:rsidRPr="008E2071">
              <w:rPr>
                <w:b/>
              </w:rPr>
              <w:lastRenderedPageBreak/>
              <w:t>C</w:t>
            </w:r>
          </w:p>
        </w:tc>
        <w:tc>
          <w:tcPr>
            <w:tcW w:w="4500" w:type="dxa"/>
            <w:vAlign w:val="center"/>
          </w:tcPr>
          <w:p w:rsidR="00B0519C" w:rsidRPr="008E2071" w:rsidRDefault="00B0519C" w:rsidP="008C6331">
            <w:pPr>
              <w:spacing w:line="480" w:lineRule="auto"/>
              <w:ind w:right="259"/>
              <w:rPr>
                <w:b/>
              </w:rPr>
            </w:pPr>
            <w:r w:rsidRPr="008E2071">
              <w:rPr>
                <w:b/>
              </w:rPr>
              <w:t>Population size estimated to number fewer than 2,500 mature individuals</w:t>
            </w:r>
          </w:p>
        </w:tc>
        <w:tc>
          <w:tcPr>
            <w:tcW w:w="3510" w:type="dxa"/>
            <w:vAlign w:val="center"/>
          </w:tcPr>
          <w:p w:rsidR="00B0519C" w:rsidRDefault="00B0519C" w:rsidP="008C6331">
            <w:pPr>
              <w:spacing w:line="480" w:lineRule="auto"/>
              <w:ind w:right="259"/>
            </w:pPr>
            <w:r>
              <w:t>Evaluated on population decline, subpopulation size, or population fluctuation</w:t>
            </w:r>
          </w:p>
        </w:tc>
      </w:tr>
      <w:tr w:rsidR="00B0519C" w:rsidTr="00084447">
        <w:tc>
          <w:tcPr>
            <w:tcW w:w="1435" w:type="dxa"/>
            <w:vAlign w:val="center"/>
          </w:tcPr>
          <w:p w:rsidR="00B0519C" w:rsidRPr="008E2071" w:rsidRDefault="00B0519C" w:rsidP="00084447">
            <w:pPr>
              <w:ind w:left="340"/>
              <w:rPr>
                <w:b/>
              </w:rPr>
            </w:pPr>
            <w:r w:rsidRPr="008E2071">
              <w:rPr>
                <w:b/>
              </w:rPr>
              <w:t>D</w:t>
            </w:r>
          </w:p>
        </w:tc>
        <w:tc>
          <w:tcPr>
            <w:tcW w:w="4500" w:type="dxa"/>
            <w:vAlign w:val="center"/>
          </w:tcPr>
          <w:p w:rsidR="00B0519C" w:rsidRPr="008E2071" w:rsidRDefault="00B0519C" w:rsidP="008C6331">
            <w:pPr>
              <w:spacing w:line="480" w:lineRule="auto"/>
              <w:ind w:right="259"/>
              <w:rPr>
                <w:b/>
              </w:rPr>
            </w:pPr>
            <w:r w:rsidRPr="008E2071">
              <w:rPr>
                <w:b/>
              </w:rPr>
              <w:t>Population size estimated to number fewer than 250 mature individuals</w:t>
            </w:r>
          </w:p>
        </w:tc>
        <w:tc>
          <w:tcPr>
            <w:tcW w:w="3510" w:type="dxa"/>
            <w:vAlign w:val="center"/>
          </w:tcPr>
          <w:p w:rsidR="00B0519C" w:rsidRDefault="00B0519C" w:rsidP="00084447">
            <w:pPr>
              <w:ind w:right="258"/>
            </w:pPr>
            <w:r>
              <w:t xml:space="preserve">No </w:t>
            </w:r>
            <w:proofErr w:type="spellStart"/>
            <w:r>
              <w:t>subcriteria</w:t>
            </w:r>
            <w:proofErr w:type="spellEnd"/>
          </w:p>
        </w:tc>
      </w:tr>
      <w:tr w:rsidR="00B0519C" w:rsidTr="00084447">
        <w:tc>
          <w:tcPr>
            <w:tcW w:w="1435" w:type="dxa"/>
            <w:vAlign w:val="center"/>
          </w:tcPr>
          <w:p w:rsidR="00B0519C" w:rsidRDefault="00B0519C" w:rsidP="00084447">
            <w:pPr>
              <w:ind w:left="340"/>
            </w:pPr>
            <w:r>
              <w:t>E</w:t>
            </w:r>
          </w:p>
        </w:tc>
        <w:tc>
          <w:tcPr>
            <w:tcW w:w="4500" w:type="dxa"/>
            <w:vAlign w:val="center"/>
          </w:tcPr>
          <w:p w:rsidR="00B0519C" w:rsidRDefault="00B0519C" w:rsidP="00084447">
            <w:pPr>
              <w:ind w:right="252"/>
            </w:pPr>
            <w:r>
              <w:t>Does not depend on population size</w:t>
            </w:r>
          </w:p>
        </w:tc>
        <w:tc>
          <w:tcPr>
            <w:tcW w:w="3510" w:type="dxa"/>
            <w:vAlign w:val="center"/>
          </w:tcPr>
          <w:p w:rsidR="008C6331" w:rsidRDefault="00B0519C" w:rsidP="008C6331">
            <w:pPr>
              <w:ind w:right="258"/>
            </w:pPr>
            <w:r>
              <w:t xml:space="preserve">No </w:t>
            </w:r>
            <w:proofErr w:type="spellStart"/>
            <w:r>
              <w:t>subcriteria</w:t>
            </w:r>
            <w:proofErr w:type="spellEnd"/>
          </w:p>
        </w:tc>
      </w:tr>
      <w:tr w:rsidR="00B0519C" w:rsidTr="00084447">
        <w:tc>
          <w:tcPr>
            <w:tcW w:w="1435" w:type="dxa"/>
            <w:shd w:val="clear" w:color="auto" w:fill="D9D9D9" w:themeFill="background1" w:themeFillShade="D9"/>
            <w:vAlign w:val="center"/>
          </w:tcPr>
          <w:p w:rsidR="00B0519C" w:rsidRDefault="00B0519C" w:rsidP="00084447">
            <w:pPr>
              <w:ind w:left="-20"/>
            </w:pPr>
            <w:r>
              <w:t>VU</w:t>
            </w:r>
          </w:p>
        </w:tc>
        <w:tc>
          <w:tcPr>
            <w:tcW w:w="4500" w:type="dxa"/>
            <w:shd w:val="clear" w:color="auto" w:fill="D9D9D9" w:themeFill="background1" w:themeFillShade="D9"/>
            <w:vAlign w:val="center"/>
          </w:tcPr>
          <w:p w:rsidR="00B0519C" w:rsidRDefault="00B0519C" w:rsidP="00084447">
            <w:pPr>
              <w:ind w:right="252"/>
            </w:pPr>
          </w:p>
        </w:tc>
        <w:tc>
          <w:tcPr>
            <w:tcW w:w="3510" w:type="dxa"/>
            <w:shd w:val="clear" w:color="auto" w:fill="D9D9D9" w:themeFill="background1" w:themeFillShade="D9"/>
            <w:vAlign w:val="center"/>
          </w:tcPr>
          <w:p w:rsidR="00B0519C" w:rsidRDefault="00B0519C" w:rsidP="00084447">
            <w:pPr>
              <w:ind w:right="258"/>
            </w:pPr>
          </w:p>
        </w:tc>
      </w:tr>
      <w:tr w:rsidR="00B0519C" w:rsidTr="00084447">
        <w:tc>
          <w:tcPr>
            <w:tcW w:w="1435" w:type="dxa"/>
            <w:vAlign w:val="center"/>
          </w:tcPr>
          <w:p w:rsidR="00B0519C" w:rsidRDefault="00B0519C" w:rsidP="00084447">
            <w:pPr>
              <w:ind w:left="340"/>
            </w:pPr>
            <w:r>
              <w:t>A</w:t>
            </w:r>
          </w:p>
        </w:tc>
        <w:tc>
          <w:tcPr>
            <w:tcW w:w="4500" w:type="dxa"/>
            <w:vAlign w:val="center"/>
          </w:tcPr>
          <w:p w:rsidR="00B0519C" w:rsidRDefault="00B0519C" w:rsidP="00084447">
            <w:pPr>
              <w:ind w:right="252"/>
            </w:pPr>
            <w:r>
              <w:t>Does not depend on population size</w:t>
            </w:r>
          </w:p>
        </w:tc>
        <w:tc>
          <w:tcPr>
            <w:tcW w:w="3510" w:type="dxa"/>
            <w:vAlign w:val="center"/>
          </w:tcPr>
          <w:p w:rsidR="00B0519C" w:rsidRDefault="00B0519C" w:rsidP="008C6331">
            <w:pPr>
              <w:spacing w:line="480" w:lineRule="auto"/>
              <w:ind w:right="259"/>
            </w:pPr>
            <w:r>
              <w:t>Evaluated on population declines, levels of exploitation, or other threats</w:t>
            </w:r>
          </w:p>
        </w:tc>
      </w:tr>
      <w:tr w:rsidR="00B0519C" w:rsidTr="00084447">
        <w:tc>
          <w:tcPr>
            <w:tcW w:w="1435" w:type="dxa"/>
            <w:vAlign w:val="center"/>
          </w:tcPr>
          <w:p w:rsidR="00B0519C" w:rsidRDefault="00B0519C" w:rsidP="00084447">
            <w:pPr>
              <w:ind w:left="340"/>
            </w:pPr>
            <w:r>
              <w:t>B</w:t>
            </w:r>
          </w:p>
        </w:tc>
        <w:tc>
          <w:tcPr>
            <w:tcW w:w="4500" w:type="dxa"/>
            <w:vAlign w:val="center"/>
          </w:tcPr>
          <w:p w:rsidR="00B0519C" w:rsidRDefault="00B0519C" w:rsidP="00084447">
            <w:pPr>
              <w:ind w:right="252"/>
            </w:pPr>
            <w:r>
              <w:t>Does not depend on population size</w:t>
            </w:r>
          </w:p>
        </w:tc>
        <w:tc>
          <w:tcPr>
            <w:tcW w:w="3510" w:type="dxa"/>
            <w:vAlign w:val="center"/>
          </w:tcPr>
          <w:p w:rsidR="00B0519C" w:rsidRDefault="00B0519C" w:rsidP="008C6331">
            <w:pPr>
              <w:spacing w:line="480" w:lineRule="auto"/>
              <w:ind w:right="259"/>
            </w:pPr>
            <w:r>
              <w:t>Evaluated on range size, fragmentation, or fluctuations in range size or population</w:t>
            </w:r>
          </w:p>
        </w:tc>
      </w:tr>
      <w:tr w:rsidR="00B0519C" w:rsidTr="00084447">
        <w:tc>
          <w:tcPr>
            <w:tcW w:w="1435" w:type="dxa"/>
            <w:vAlign w:val="center"/>
          </w:tcPr>
          <w:p w:rsidR="00B0519C" w:rsidRPr="008E2071" w:rsidRDefault="00B0519C" w:rsidP="00084447">
            <w:pPr>
              <w:ind w:left="340"/>
              <w:rPr>
                <w:b/>
              </w:rPr>
            </w:pPr>
            <w:r w:rsidRPr="008E2071">
              <w:rPr>
                <w:b/>
              </w:rPr>
              <w:t>C</w:t>
            </w:r>
          </w:p>
        </w:tc>
        <w:tc>
          <w:tcPr>
            <w:tcW w:w="4500" w:type="dxa"/>
            <w:vAlign w:val="center"/>
          </w:tcPr>
          <w:p w:rsidR="00B0519C" w:rsidRPr="008E2071" w:rsidRDefault="00B0519C" w:rsidP="008C6331">
            <w:pPr>
              <w:spacing w:line="480" w:lineRule="auto"/>
              <w:ind w:right="259"/>
              <w:rPr>
                <w:b/>
              </w:rPr>
            </w:pPr>
            <w:r w:rsidRPr="008E2071">
              <w:rPr>
                <w:b/>
              </w:rPr>
              <w:t>Population size estimated to number fewer than 10,000 mature individuals</w:t>
            </w:r>
          </w:p>
        </w:tc>
        <w:tc>
          <w:tcPr>
            <w:tcW w:w="3510" w:type="dxa"/>
            <w:vAlign w:val="center"/>
          </w:tcPr>
          <w:p w:rsidR="00B0519C" w:rsidRDefault="00B0519C" w:rsidP="008C6331">
            <w:pPr>
              <w:spacing w:line="480" w:lineRule="auto"/>
              <w:ind w:right="259"/>
            </w:pPr>
            <w:r>
              <w:t>Evaluated on population decline, subpopulation size, or population fluctuation</w:t>
            </w:r>
          </w:p>
        </w:tc>
      </w:tr>
      <w:tr w:rsidR="00B0519C" w:rsidTr="00084447">
        <w:tc>
          <w:tcPr>
            <w:tcW w:w="1435" w:type="dxa"/>
            <w:vAlign w:val="center"/>
          </w:tcPr>
          <w:p w:rsidR="00B0519C" w:rsidRPr="008E2071" w:rsidRDefault="00B0519C" w:rsidP="00084447">
            <w:pPr>
              <w:ind w:left="340"/>
              <w:rPr>
                <w:b/>
              </w:rPr>
            </w:pPr>
            <w:r w:rsidRPr="008E2071">
              <w:rPr>
                <w:b/>
              </w:rPr>
              <w:t>D1</w:t>
            </w:r>
          </w:p>
        </w:tc>
        <w:tc>
          <w:tcPr>
            <w:tcW w:w="4500" w:type="dxa"/>
            <w:vAlign w:val="center"/>
          </w:tcPr>
          <w:p w:rsidR="00B0519C" w:rsidRDefault="00B0519C" w:rsidP="00084447">
            <w:pPr>
              <w:ind w:right="252"/>
            </w:pPr>
            <w:r w:rsidRPr="00C76CCE">
              <w:t>Population very small or restricted</w:t>
            </w:r>
          </w:p>
        </w:tc>
        <w:tc>
          <w:tcPr>
            <w:tcW w:w="3510" w:type="dxa"/>
            <w:vAlign w:val="center"/>
          </w:tcPr>
          <w:p w:rsidR="00B0519C" w:rsidRPr="008E2071" w:rsidRDefault="00B0519C" w:rsidP="008C6331">
            <w:pPr>
              <w:spacing w:line="480" w:lineRule="auto"/>
              <w:ind w:right="259"/>
              <w:rPr>
                <w:b/>
              </w:rPr>
            </w:pPr>
            <w:r w:rsidRPr="008E2071">
              <w:rPr>
                <w:b/>
              </w:rPr>
              <w:t>Population size estimated to number fewer than 1,000 mature individuals</w:t>
            </w:r>
          </w:p>
        </w:tc>
      </w:tr>
      <w:tr w:rsidR="00B0519C" w:rsidTr="00084447">
        <w:tc>
          <w:tcPr>
            <w:tcW w:w="1435" w:type="dxa"/>
            <w:vAlign w:val="center"/>
          </w:tcPr>
          <w:p w:rsidR="00B0519C" w:rsidRDefault="00B0519C" w:rsidP="00084447">
            <w:pPr>
              <w:ind w:left="340"/>
            </w:pPr>
            <w:r>
              <w:t>D2</w:t>
            </w:r>
          </w:p>
        </w:tc>
        <w:tc>
          <w:tcPr>
            <w:tcW w:w="4500" w:type="dxa"/>
            <w:vAlign w:val="center"/>
          </w:tcPr>
          <w:p w:rsidR="00B0519C" w:rsidRDefault="00B0519C" w:rsidP="00084447">
            <w:pPr>
              <w:ind w:right="252"/>
            </w:pPr>
            <w:r w:rsidRPr="00C76CCE">
              <w:t>Population very small or restricted</w:t>
            </w:r>
          </w:p>
        </w:tc>
        <w:tc>
          <w:tcPr>
            <w:tcW w:w="3510" w:type="dxa"/>
            <w:vAlign w:val="center"/>
          </w:tcPr>
          <w:p w:rsidR="00B0519C" w:rsidRDefault="00B0519C" w:rsidP="008C6331">
            <w:pPr>
              <w:spacing w:line="480" w:lineRule="auto"/>
              <w:ind w:right="259"/>
            </w:pPr>
            <w:r>
              <w:t>Very small area of occupancy or number of locations</w:t>
            </w:r>
          </w:p>
        </w:tc>
      </w:tr>
      <w:tr w:rsidR="00B0519C" w:rsidTr="00084447">
        <w:tc>
          <w:tcPr>
            <w:tcW w:w="1435" w:type="dxa"/>
            <w:vAlign w:val="center"/>
          </w:tcPr>
          <w:p w:rsidR="00B0519C" w:rsidRDefault="00B0519C" w:rsidP="00084447">
            <w:pPr>
              <w:ind w:left="340"/>
            </w:pPr>
            <w:r>
              <w:t>E</w:t>
            </w:r>
          </w:p>
        </w:tc>
        <w:tc>
          <w:tcPr>
            <w:tcW w:w="4500" w:type="dxa"/>
            <w:vAlign w:val="center"/>
          </w:tcPr>
          <w:p w:rsidR="00B0519C" w:rsidRPr="00C76CCE" w:rsidRDefault="00B0519C" w:rsidP="00084447">
            <w:pPr>
              <w:ind w:right="252"/>
            </w:pPr>
            <w:r>
              <w:t>Does not depend on population size</w:t>
            </w:r>
          </w:p>
        </w:tc>
        <w:tc>
          <w:tcPr>
            <w:tcW w:w="3510" w:type="dxa"/>
            <w:vAlign w:val="center"/>
          </w:tcPr>
          <w:p w:rsidR="00B0519C" w:rsidRDefault="00B0519C" w:rsidP="00084447">
            <w:pPr>
              <w:ind w:right="258"/>
            </w:pPr>
            <w:r>
              <w:t xml:space="preserve">No </w:t>
            </w:r>
            <w:proofErr w:type="spellStart"/>
            <w:r>
              <w:t>subcriteria</w:t>
            </w:r>
            <w:proofErr w:type="spellEnd"/>
          </w:p>
        </w:tc>
      </w:tr>
    </w:tbl>
    <w:p w:rsidR="00B0519C" w:rsidRDefault="00B0519C" w:rsidP="00B0519C"/>
    <w:p w:rsidR="00B0519C" w:rsidRDefault="00B0519C" w:rsidP="00B0519C"/>
    <w:p w:rsidR="00FA1E9A" w:rsidRDefault="00FA1E9A"/>
    <w:sectPr w:rsidR="00FA1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9C"/>
    <w:rsid w:val="000A62DC"/>
    <w:rsid w:val="0030722A"/>
    <w:rsid w:val="00340B09"/>
    <w:rsid w:val="0045192E"/>
    <w:rsid w:val="004D2012"/>
    <w:rsid w:val="00543F89"/>
    <w:rsid w:val="00637E7E"/>
    <w:rsid w:val="008C6331"/>
    <w:rsid w:val="00B0519C"/>
    <w:rsid w:val="00C86A5E"/>
    <w:rsid w:val="00E8199E"/>
    <w:rsid w:val="00F24261"/>
    <w:rsid w:val="00FA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Wiedenfeld</dc:creator>
  <cp:lastModifiedBy>Valerie</cp:lastModifiedBy>
  <cp:revision>2</cp:revision>
  <dcterms:created xsi:type="dcterms:W3CDTF">2023-11-20T11:30:00Z</dcterms:created>
  <dcterms:modified xsi:type="dcterms:W3CDTF">2023-11-20T11:30:00Z</dcterms:modified>
</cp:coreProperties>
</file>