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7578" w14:textId="4546CB14" w:rsidR="00D0448F" w:rsidRPr="00C245A2" w:rsidRDefault="00D0448F" w:rsidP="0095472F">
      <w:pPr>
        <w:jc w:val="center"/>
        <w:rPr>
          <w:rFonts w:ascii="Garamond" w:hAnsi="Garamond" w:cs="Times New Roman"/>
          <w:b/>
          <w:bCs/>
          <w:sz w:val="24"/>
          <w:szCs w:val="24"/>
        </w:rPr>
      </w:pPr>
      <w:r w:rsidRPr="00C245A2">
        <w:rPr>
          <w:rFonts w:ascii="Garamond" w:hAnsi="Garamond" w:cs="Times New Roman"/>
          <w:b/>
          <w:bCs/>
          <w:sz w:val="24"/>
          <w:szCs w:val="24"/>
        </w:rPr>
        <w:t xml:space="preserve">APPENDICES: Results of </w:t>
      </w:r>
      <w:r w:rsidR="006E7010" w:rsidRPr="00C245A2">
        <w:rPr>
          <w:rFonts w:ascii="Garamond" w:hAnsi="Garamond" w:cs="Times New Roman"/>
          <w:b/>
          <w:bCs/>
          <w:sz w:val="24"/>
          <w:szCs w:val="24"/>
        </w:rPr>
        <w:t xml:space="preserve">Other </w:t>
      </w:r>
      <w:r w:rsidRPr="00C245A2">
        <w:rPr>
          <w:rFonts w:ascii="Garamond" w:hAnsi="Garamond" w:cs="Times New Roman"/>
          <w:b/>
          <w:bCs/>
          <w:sz w:val="24"/>
          <w:szCs w:val="24"/>
        </w:rPr>
        <w:t>Test</w:t>
      </w:r>
      <w:r w:rsidR="006E7010" w:rsidRPr="00C245A2">
        <w:rPr>
          <w:rFonts w:ascii="Garamond" w:hAnsi="Garamond" w:cs="Times New Roman"/>
          <w:b/>
          <w:bCs/>
          <w:sz w:val="24"/>
          <w:szCs w:val="24"/>
        </w:rPr>
        <w:t>s</w:t>
      </w:r>
    </w:p>
    <w:p w14:paraId="4BDE5C5F" w14:textId="371DBB6C" w:rsidR="004231AE" w:rsidRPr="00C245A2" w:rsidRDefault="00EF4206" w:rsidP="004231AE">
      <w:pPr>
        <w:rPr>
          <w:rFonts w:ascii="Garamond" w:hAnsi="Garamond" w:cs="Times New Roman"/>
          <w:sz w:val="24"/>
          <w:szCs w:val="24"/>
        </w:rPr>
      </w:pPr>
      <w:r w:rsidRPr="00C245A2">
        <w:rPr>
          <w:rFonts w:ascii="Garamond" w:hAnsi="Garamond" w:cs="Times New Roman"/>
          <w:sz w:val="24"/>
          <w:szCs w:val="24"/>
        </w:rPr>
        <w:t xml:space="preserve">Reported here are </w:t>
      </w:r>
      <w:r w:rsidR="004231AE" w:rsidRPr="00C245A2">
        <w:rPr>
          <w:rFonts w:ascii="Garamond" w:hAnsi="Garamond" w:cs="Times New Roman"/>
          <w:sz w:val="24"/>
          <w:szCs w:val="24"/>
        </w:rPr>
        <w:t xml:space="preserve">empirical results that supplement the paper, </w:t>
      </w:r>
      <w:r w:rsidR="00B244DA" w:rsidRPr="00C245A2">
        <w:rPr>
          <w:rFonts w:ascii="Garamond" w:hAnsi="Garamond" w:cs="Times New Roman"/>
          <w:sz w:val="24"/>
          <w:szCs w:val="24"/>
        </w:rPr>
        <w:t>“</w:t>
      </w:r>
      <w:r w:rsidR="004231AE" w:rsidRPr="00C245A2">
        <w:rPr>
          <w:rFonts w:ascii="Garamond" w:hAnsi="Garamond" w:cs="Times New Roman"/>
          <w:sz w:val="24"/>
          <w:szCs w:val="24"/>
        </w:rPr>
        <w:t xml:space="preserve">Investor Reactions to Legislative Liberalization </w:t>
      </w:r>
      <w:r w:rsidR="00B244DA" w:rsidRPr="00C245A2">
        <w:rPr>
          <w:rFonts w:ascii="Garamond" w:hAnsi="Garamond" w:cs="Times New Roman"/>
          <w:sz w:val="24"/>
          <w:szCs w:val="24"/>
        </w:rPr>
        <w:t>a</w:t>
      </w:r>
      <w:r w:rsidR="004231AE" w:rsidRPr="00C245A2">
        <w:rPr>
          <w:rFonts w:ascii="Garamond" w:hAnsi="Garamond" w:cs="Times New Roman"/>
          <w:sz w:val="24"/>
          <w:szCs w:val="24"/>
        </w:rPr>
        <w:t>nd the Runup in British Share Prices, 1844 to 1845</w:t>
      </w:r>
      <w:r w:rsidR="00B244DA" w:rsidRPr="00C245A2">
        <w:rPr>
          <w:rFonts w:ascii="Garamond" w:hAnsi="Garamond" w:cs="Times New Roman"/>
          <w:sz w:val="24"/>
          <w:szCs w:val="24"/>
        </w:rPr>
        <w:t>.”</w:t>
      </w:r>
      <w:r w:rsidR="003D3AE3" w:rsidRPr="00C245A2">
        <w:rPr>
          <w:rFonts w:ascii="Garamond" w:hAnsi="Garamond" w:cs="Times New Roman"/>
          <w:sz w:val="24"/>
          <w:szCs w:val="24"/>
        </w:rPr>
        <w:t xml:space="preserve">  These consist of the following:</w:t>
      </w:r>
    </w:p>
    <w:p w14:paraId="5E877B5B" w14:textId="274E652C" w:rsidR="00182ADA" w:rsidRPr="00C245A2" w:rsidRDefault="00F71F05" w:rsidP="00F71F05">
      <w:pPr>
        <w:pStyle w:val="ListParagraph"/>
        <w:numPr>
          <w:ilvl w:val="0"/>
          <w:numId w:val="2"/>
        </w:numPr>
        <w:rPr>
          <w:rFonts w:ascii="Garamond" w:hAnsi="Garamond" w:cs="Times New Roman"/>
          <w:sz w:val="24"/>
          <w:szCs w:val="24"/>
        </w:rPr>
      </w:pPr>
      <w:r w:rsidRPr="00C245A2">
        <w:rPr>
          <w:rFonts w:ascii="Garamond" w:hAnsi="Garamond" w:cs="Times New Roman"/>
          <w:sz w:val="24"/>
          <w:szCs w:val="24"/>
        </w:rPr>
        <w:t xml:space="preserve">Appendix 1: </w:t>
      </w:r>
      <w:r w:rsidR="003E3130" w:rsidRPr="00C245A2">
        <w:rPr>
          <w:rFonts w:ascii="Garamond" w:hAnsi="Garamond" w:cs="Times New Roman"/>
          <w:sz w:val="24"/>
          <w:szCs w:val="24"/>
        </w:rPr>
        <w:t>Validation</w:t>
      </w:r>
      <w:r w:rsidR="00852222" w:rsidRPr="00C245A2">
        <w:rPr>
          <w:rFonts w:ascii="Garamond" w:hAnsi="Garamond" w:cs="Times New Roman"/>
          <w:sz w:val="24"/>
          <w:szCs w:val="24"/>
        </w:rPr>
        <w:t xml:space="preserve"> of data in the Global Financial Data set.</w:t>
      </w:r>
    </w:p>
    <w:p w14:paraId="026A01CD" w14:textId="78699C99" w:rsidR="003D3AE3" w:rsidRPr="00C245A2" w:rsidRDefault="00182ADA" w:rsidP="00F71F05">
      <w:pPr>
        <w:pStyle w:val="ListParagraph"/>
        <w:numPr>
          <w:ilvl w:val="0"/>
          <w:numId w:val="2"/>
        </w:numPr>
        <w:rPr>
          <w:rFonts w:ascii="Garamond" w:hAnsi="Garamond" w:cs="Times New Roman"/>
          <w:sz w:val="24"/>
          <w:szCs w:val="24"/>
        </w:rPr>
      </w:pPr>
      <w:r w:rsidRPr="00C245A2">
        <w:rPr>
          <w:rFonts w:ascii="Garamond" w:hAnsi="Garamond" w:cs="Times New Roman"/>
          <w:sz w:val="24"/>
          <w:szCs w:val="24"/>
        </w:rPr>
        <w:t xml:space="preserve">Appendix 2: </w:t>
      </w:r>
      <w:r w:rsidR="00F71F05" w:rsidRPr="00C245A2">
        <w:rPr>
          <w:rFonts w:ascii="Garamond" w:hAnsi="Garamond" w:cs="Times New Roman"/>
          <w:sz w:val="24"/>
          <w:szCs w:val="24"/>
        </w:rPr>
        <w:t xml:space="preserve">Test of Robustness about Information Leakage.  </w:t>
      </w:r>
      <w:r w:rsidR="00CA1949" w:rsidRPr="00C245A2">
        <w:rPr>
          <w:rFonts w:ascii="Garamond" w:hAnsi="Garamond" w:cs="Times New Roman"/>
          <w:sz w:val="24"/>
          <w:szCs w:val="24"/>
        </w:rPr>
        <w:t xml:space="preserve">This examines the impact on the tests for significance of returns in the 18 event </w:t>
      </w:r>
      <w:r w:rsidR="00EB3F12" w:rsidRPr="00C245A2">
        <w:rPr>
          <w:rFonts w:ascii="Garamond" w:hAnsi="Garamond" w:cs="Times New Roman"/>
          <w:sz w:val="24"/>
          <w:szCs w:val="24"/>
        </w:rPr>
        <w:t>episodes from extending the window of observation from one day before</w:t>
      </w:r>
      <w:r w:rsidR="002D2D89" w:rsidRPr="00C245A2">
        <w:rPr>
          <w:rFonts w:ascii="Garamond" w:hAnsi="Garamond" w:cs="Times New Roman"/>
          <w:sz w:val="24"/>
          <w:szCs w:val="24"/>
        </w:rPr>
        <w:t xml:space="preserve"> the arrival of news (day T-1</w:t>
      </w:r>
      <w:r w:rsidR="00633DE1" w:rsidRPr="00C245A2">
        <w:rPr>
          <w:rFonts w:ascii="Garamond" w:hAnsi="Garamond" w:cs="Times New Roman"/>
          <w:sz w:val="24"/>
          <w:szCs w:val="24"/>
        </w:rPr>
        <w:t>, as reported in Table 2 of the paper</w:t>
      </w:r>
      <w:r w:rsidR="002D2D89" w:rsidRPr="00C245A2">
        <w:rPr>
          <w:rFonts w:ascii="Garamond" w:hAnsi="Garamond" w:cs="Times New Roman"/>
          <w:sz w:val="24"/>
          <w:szCs w:val="24"/>
        </w:rPr>
        <w:t>) to two days before (day T-2).</w:t>
      </w:r>
      <w:r w:rsidR="00633DE1" w:rsidRPr="00C245A2">
        <w:rPr>
          <w:rFonts w:ascii="Garamond" w:hAnsi="Garamond" w:cs="Times New Roman"/>
          <w:sz w:val="24"/>
          <w:szCs w:val="24"/>
        </w:rPr>
        <w:t xml:space="preserve">  </w:t>
      </w:r>
    </w:p>
    <w:p w14:paraId="557802FF" w14:textId="2B1590BA" w:rsidR="00090C22" w:rsidRPr="00C245A2" w:rsidRDefault="00090C22" w:rsidP="00F71F05">
      <w:pPr>
        <w:pStyle w:val="ListParagraph"/>
        <w:numPr>
          <w:ilvl w:val="0"/>
          <w:numId w:val="2"/>
        </w:numPr>
        <w:rPr>
          <w:rFonts w:ascii="Garamond" w:hAnsi="Garamond" w:cs="Times New Roman"/>
          <w:sz w:val="24"/>
          <w:szCs w:val="24"/>
        </w:rPr>
      </w:pPr>
      <w:r w:rsidRPr="00C245A2">
        <w:rPr>
          <w:rFonts w:ascii="Garamond" w:hAnsi="Garamond" w:cs="Times New Roman"/>
          <w:sz w:val="24"/>
          <w:szCs w:val="24"/>
        </w:rPr>
        <w:t xml:space="preserve">Appendix </w:t>
      </w:r>
      <w:r w:rsidR="00182ADA" w:rsidRPr="00C245A2">
        <w:rPr>
          <w:rFonts w:ascii="Garamond" w:hAnsi="Garamond" w:cs="Times New Roman"/>
          <w:sz w:val="24"/>
          <w:szCs w:val="24"/>
        </w:rPr>
        <w:t>3</w:t>
      </w:r>
      <w:r w:rsidRPr="00C245A2">
        <w:rPr>
          <w:rFonts w:ascii="Garamond" w:hAnsi="Garamond" w:cs="Times New Roman"/>
          <w:sz w:val="24"/>
          <w:szCs w:val="24"/>
        </w:rPr>
        <w:t xml:space="preserve">: Test of Robustness about </w:t>
      </w:r>
      <w:r w:rsidR="00E15E1D" w:rsidRPr="00C245A2">
        <w:rPr>
          <w:rFonts w:ascii="Garamond" w:hAnsi="Garamond" w:cs="Times New Roman"/>
          <w:sz w:val="24"/>
          <w:szCs w:val="24"/>
        </w:rPr>
        <w:t xml:space="preserve">Zero Return Days.  This examines the impact on the tests for significance of returns in the 18 event episodes from </w:t>
      </w:r>
      <w:r w:rsidR="0033067C" w:rsidRPr="00C245A2">
        <w:rPr>
          <w:rFonts w:ascii="Garamond" w:hAnsi="Garamond" w:cs="Times New Roman"/>
          <w:sz w:val="24"/>
          <w:szCs w:val="24"/>
        </w:rPr>
        <w:t>exclusion of securities with zero returns on 95 percent or more of the 498 trading days during the run-up</w:t>
      </w:r>
      <w:r w:rsidR="00274C8C" w:rsidRPr="00C245A2">
        <w:rPr>
          <w:rFonts w:ascii="Garamond" w:hAnsi="Garamond" w:cs="Times New Roman"/>
          <w:sz w:val="24"/>
          <w:szCs w:val="24"/>
        </w:rPr>
        <w:t xml:space="preserve">, as compared to Table 2 of the paper that is based on the </w:t>
      </w:r>
      <w:r w:rsidR="000D5943" w:rsidRPr="00C245A2">
        <w:rPr>
          <w:rFonts w:ascii="Garamond" w:hAnsi="Garamond" w:cs="Times New Roman"/>
          <w:sz w:val="24"/>
          <w:szCs w:val="24"/>
        </w:rPr>
        <w:t>entire sample of 100 securities.</w:t>
      </w:r>
    </w:p>
    <w:p w14:paraId="6696DAA6" w14:textId="003575AF" w:rsidR="000D5943" w:rsidRPr="00C245A2" w:rsidRDefault="000D5943" w:rsidP="00F71F05">
      <w:pPr>
        <w:pStyle w:val="ListParagraph"/>
        <w:numPr>
          <w:ilvl w:val="0"/>
          <w:numId w:val="2"/>
        </w:numPr>
        <w:rPr>
          <w:rFonts w:ascii="Garamond" w:hAnsi="Garamond" w:cs="Times New Roman"/>
          <w:sz w:val="24"/>
          <w:szCs w:val="24"/>
        </w:rPr>
      </w:pPr>
      <w:r w:rsidRPr="00C245A2">
        <w:rPr>
          <w:rFonts w:ascii="Garamond" w:hAnsi="Garamond" w:cs="Times New Roman"/>
          <w:sz w:val="24"/>
          <w:szCs w:val="24"/>
        </w:rPr>
        <w:t xml:space="preserve">Appendix </w:t>
      </w:r>
      <w:r w:rsidR="00182ADA" w:rsidRPr="00C245A2">
        <w:rPr>
          <w:rFonts w:ascii="Garamond" w:hAnsi="Garamond" w:cs="Times New Roman"/>
          <w:sz w:val="24"/>
          <w:szCs w:val="24"/>
        </w:rPr>
        <w:t>4</w:t>
      </w:r>
      <w:r w:rsidRPr="00C245A2">
        <w:rPr>
          <w:rFonts w:ascii="Garamond" w:hAnsi="Garamond" w:cs="Times New Roman"/>
          <w:sz w:val="24"/>
          <w:szCs w:val="24"/>
        </w:rPr>
        <w:t xml:space="preserve">: </w:t>
      </w:r>
      <w:r w:rsidR="00FA596A" w:rsidRPr="00C245A2">
        <w:rPr>
          <w:rFonts w:ascii="Garamond" w:hAnsi="Garamond" w:cs="Times New Roman"/>
          <w:sz w:val="24"/>
          <w:szCs w:val="24"/>
        </w:rPr>
        <w:t xml:space="preserve">Cross-sectional Regression Analysis of </w:t>
      </w:r>
      <w:r w:rsidR="00160669" w:rsidRPr="00C245A2">
        <w:rPr>
          <w:rFonts w:ascii="Garamond" w:hAnsi="Garamond" w:cs="Times New Roman"/>
          <w:sz w:val="24"/>
          <w:szCs w:val="24"/>
        </w:rPr>
        <w:t xml:space="preserve">Impact of Monetary Policy and Grain Prices on Daily Returns.  This </w:t>
      </w:r>
      <w:r w:rsidR="002F366E" w:rsidRPr="00C245A2">
        <w:rPr>
          <w:rFonts w:ascii="Garamond" w:hAnsi="Garamond" w:cs="Times New Roman"/>
          <w:sz w:val="24"/>
          <w:szCs w:val="24"/>
        </w:rPr>
        <w:t>explores</w:t>
      </w:r>
      <w:r w:rsidR="000B29D5" w:rsidRPr="00C245A2">
        <w:rPr>
          <w:rFonts w:ascii="Garamond" w:hAnsi="Garamond" w:cs="Times New Roman"/>
          <w:sz w:val="24"/>
          <w:szCs w:val="24"/>
        </w:rPr>
        <w:t xml:space="preserve"> the possible impact of two alternative explanations for</w:t>
      </w:r>
      <w:r w:rsidR="003F4C53" w:rsidRPr="00C245A2">
        <w:rPr>
          <w:rFonts w:ascii="Garamond" w:hAnsi="Garamond" w:cs="Times New Roman"/>
          <w:sz w:val="24"/>
          <w:szCs w:val="24"/>
        </w:rPr>
        <w:t xml:space="preserve"> the run-up.</w:t>
      </w:r>
    </w:p>
    <w:p w14:paraId="405E6028" w14:textId="44049D5D" w:rsidR="00D76D20" w:rsidRPr="00C245A2" w:rsidRDefault="00D76D20" w:rsidP="00D76D20">
      <w:pPr>
        <w:pStyle w:val="ListParagraph"/>
        <w:numPr>
          <w:ilvl w:val="0"/>
          <w:numId w:val="2"/>
        </w:numPr>
        <w:rPr>
          <w:rFonts w:ascii="Garamond" w:hAnsi="Garamond" w:cs="Times New Roman"/>
          <w:sz w:val="24"/>
          <w:szCs w:val="24"/>
        </w:rPr>
      </w:pPr>
      <w:r w:rsidRPr="00C245A2">
        <w:rPr>
          <w:rFonts w:ascii="Garamond" w:hAnsi="Garamond" w:cs="Times New Roman"/>
          <w:sz w:val="24"/>
          <w:szCs w:val="24"/>
        </w:rPr>
        <w:t xml:space="preserve">Appendix 5: Test of Robustness of the Bootstrap Test. We test </w:t>
      </w:r>
      <w:r w:rsidR="00AB4FBF" w:rsidRPr="00C245A2">
        <w:rPr>
          <w:rFonts w:ascii="Garamond" w:hAnsi="Garamond" w:cs="Times New Roman"/>
          <w:sz w:val="24"/>
          <w:szCs w:val="24"/>
        </w:rPr>
        <w:t>a</w:t>
      </w:r>
      <w:r w:rsidRPr="00C245A2">
        <w:rPr>
          <w:rFonts w:ascii="Garamond" w:hAnsi="Garamond" w:cs="Times New Roman"/>
          <w:sz w:val="24"/>
          <w:szCs w:val="24"/>
        </w:rPr>
        <w:t xml:space="preserve"> relaxation </w:t>
      </w:r>
      <w:r w:rsidR="00891022" w:rsidRPr="00C245A2">
        <w:rPr>
          <w:rFonts w:ascii="Garamond" w:hAnsi="Garamond" w:cs="Times New Roman"/>
          <w:sz w:val="24"/>
          <w:szCs w:val="24"/>
        </w:rPr>
        <w:t xml:space="preserve">in our approach to </w:t>
      </w:r>
      <w:r w:rsidRPr="00C245A2">
        <w:rPr>
          <w:rFonts w:ascii="Garamond" w:hAnsi="Garamond" w:cs="Times New Roman"/>
          <w:sz w:val="24"/>
          <w:szCs w:val="24"/>
        </w:rPr>
        <w:t>position</w:t>
      </w:r>
      <w:r w:rsidR="00891022" w:rsidRPr="00C245A2">
        <w:rPr>
          <w:rFonts w:ascii="Garamond" w:hAnsi="Garamond" w:cs="Times New Roman"/>
          <w:sz w:val="24"/>
          <w:szCs w:val="24"/>
        </w:rPr>
        <w:t>ing</w:t>
      </w:r>
      <w:r w:rsidRPr="00C245A2">
        <w:rPr>
          <w:rFonts w:ascii="Garamond" w:hAnsi="Garamond" w:cs="Times New Roman"/>
          <w:sz w:val="24"/>
          <w:szCs w:val="24"/>
        </w:rPr>
        <w:t xml:space="preserve"> event and non-event periods in the bootstrap test for significance of all episodes returns.</w:t>
      </w:r>
    </w:p>
    <w:p w14:paraId="52E1668D" w14:textId="2C8A75FD" w:rsidR="00D0448F" w:rsidRPr="00C245A2" w:rsidRDefault="00D0448F">
      <w:pPr>
        <w:rPr>
          <w:rFonts w:ascii="Garamond" w:hAnsi="Garamond" w:cs="Times New Roman"/>
          <w:sz w:val="24"/>
          <w:szCs w:val="24"/>
        </w:rPr>
      </w:pPr>
    </w:p>
    <w:p w14:paraId="74A2F8DA" w14:textId="12626874" w:rsidR="00852222" w:rsidRPr="00C245A2" w:rsidRDefault="00852222">
      <w:pPr>
        <w:rPr>
          <w:rFonts w:ascii="Garamond" w:hAnsi="Garamond" w:cs="Times New Roman"/>
          <w:b/>
          <w:bCs/>
          <w:sz w:val="24"/>
          <w:szCs w:val="24"/>
        </w:rPr>
      </w:pPr>
      <w:r w:rsidRPr="00C245A2">
        <w:rPr>
          <w:rFonts w:ascii="Garamond" w:hAnsi="Garamond" w:cs="Times New Roman"/>
          <w:b/>
          <w:bCs/>
          <w:sz w:val="24"/>
          <w:szCs w:val="24"/>
        </w:rPr>
        <w:t xml:space="preserve">Appendix 1: </w:t>
      </w:r>
      <w:r w:rsidR="003E3130" w:rsidRPr="00C245A2">
        <w:rPr>
          <w:rFonts w:ascii="Garamond" w:hAnsi="Garamond" w:cs="Times New Roman"/>
          <w:b/>
          <w:bCs/>
          <w:sz w:val="24"/>
          <w:szCs w:val="24"/>
        </w:rPr>
        <w:t>Validation of Data in the Global Financial Data Set.</w:t>
      </w:r>
    </w:p>
    <w:p w14:paraId="6D546DCF" w14:textId="245241B0" w:rsidR="003A403C" w:rsidRPr="00C245A2" w:rsidRDefault="003A403C" w:rsidP="003A403C">
      <w:pPr>
        <w:spacing w:line="480" w:lineRule="auto"/>
        <w:rPr>
          <w:rFonts w:ascii="Garamond" w:hAnsi="Garamond" w:cs="Times New Roman"/>
          <w:sz w:val="24"/>
          <w:szCs w:val="24"/>
          <w:shd w:val="clear" w:color="auto" w:fill="FFFFFF"/>
        </w:rPr>
      </w:pPr>
      <w:r w:rsidRPr="00C245A2">
        <w:rPr>
          <w:rFonts w:ascii="Garamond" w:hAnsi="Garamond" w:cs="Times New Roman"/>
          <w:sz w:val="24"/>
          <w:szCs w:val="24"/>
        </w:rPr>
        <w:t xml:space="preserve">Some scholars have raised concerns about the reliability of Global Financial Data (GFD) price series. In contrast, other scholars including </w:t>
      </w:r>
      <w:r w:rsidRPr="00C245A2">
        <w:rPr>
          <w:rFonts w:ascii="Garamond" w:hAnsi="Garamond" w:cs="Times New Roman"/>
          <w:sz w:val="24"/>
          <w:szCs w:val="24"/>
          <w:shd w:val="clear" w:color="auto" w:fill="FFFFFF"/>
        </w:rPr>
        <w:t>Goetzmann, Li, and Rouwenhorst (2005)</w:t>
      </w:r>
      <w:r w:rsidR="007C3890" w:rsidRPr="00C245A2">
        <w:rPr>
          <w:rStyle w:val="FootnoteReference"/>
          <w:rFonts w:ascii="Garamond" w:hAnsi="Garamond" w:cs="Times New Roman"/>
          <w:sz w:val="24"/>
          <w:szCs w:val="24"/>
          <w:shd w:val="clear" w:color="auto" w:fill="FFFFFF"/>
        </w:rPr>
        <w:footnoteReference w:id="1"/>
      </w:r>
      <w:r w:rsidRPr="00C245A2">
        <w:rPr>
          <w:rFonts w:ascii="Garamond" w:hAnsi="Garamond" w:cs="Times New Roman"/>
          <w:sz w:val="24"/>
          <w:szCs w:val="24"/>
          <w:shd w:val="clear" w:color="auto" w:fill="FFFFFF"/>
        </w:rPr>
        <w:t xml:space="preserve"> and </w:t>
      </w:r>
      <w:r w:rsidRPr="00C245A2">
        <w:rPr>
          <w:rFonts w:ascii="Garamond" w:hAnsi="Garamond" w:cs="Times New Roman"/>
          <w:sz w:val="24"/>
          <w:szCs w:val="24"/>
        </w:rPr>
        <w:t xml:space="preserve">Goetzmann, Ibbotson, and Peng (2001) have used GFD data confidently after testing specific price series for accuracy. For example, </w:t>
      </w:r>
      <w:r w:rsidRPr="00C245A2">
        <w:rPr>
          <w:rFonts w:ascii="Garamond" w:hAnsi="Garamond" w:cs="Times New Roman"/>
          <w:sz w:val="24"/>
          <w:szCs w:val="24"/>
          <w:shd w:val="clear" w:color="auto" w:fill="FFFFFF"/>
        </w:rPr>
        <w:t>Goetzmann, Li, and Rouwenhorst, compared “early series with other independent sources” and found that “</w:t>
      </w:r>
      <w:r w:rsidRPr="00C245A2">
        <w:rPr>
          <w:rFonts w:ascii="Garamond" w:hAnsi="Garamond" w:cs="Times New Roman"/>
          <w:sz w:val="24"/>
          <w:szCs w:val="24"/>
        </w:rPr>
        <w:t xml:space="preserve">GFD provides credible sources for most of the data series.” We examined samples of GFD returns in comparison with reports in </w:t>
      </w:r>
      <w:r w:rsidRPr="00C245A2">
        <w:rPr>
          <w:rFonts w:ascii="Garamond" w:hAnsi="Garamond" w:cs="Times New Roman"/>
          <w:i/>
          <w:iCs/>
          <w:sz w:val="24"/>
          <w:szCs w:val="24"/>
        </w:rPr>
        <w:t xml:space="preserve">The Times of London </w:t>
      </w:r>
      <w:r w:rsidRPr="00C245A2">
        <w:rPr>
          <w:rFonts w:ascii="Garamond" w:hAnsi="Garamond" w:cs="Times New Roman"/>
          <w:sz w:val="24"/>
          <w:szCs w:val="24"/>
        </w:rPr>
        <w:t xml:space="preserve">and </w:t>
      </w:r>
      <w:r w:rsidRPr="00C245A2">
        <w:rPr>
          <w:rFonts w:ascii="Garamond" w:hAnsi="Garamond" w:cs="Times New Roman"/>
          <w:i/>
          <w:iCs/>
          <w:sz w:val="24"/>
          <w:szCs w:val="24"/>
        </w:rPr>
        <w:t>Course of the Exchange</w:t>
      </w:r>
      <w:r w:rsidRPr="00C245A2">
        <w:rPr>
          <w:rFonts w:ascii="Garamond" w:hAnsi="Garamond" w:cs="Times New Roman"/>
          <w:sz w:val="24"/>
          <w:szCs w:val="24"/>
        </w:rPr>
        <w:t xml:space="preserve"> and found immaterial variances.</w:t>
      </w:r>
    </w:p>
    <w:p w14:paraId="5B0590B0" w14:textId="0F28BD7C" w:rsidR="003A403C" w:rsidRPr="00C245A2" w:rsidRDefault="003A403C" w:rsidP="003A403C">
      <w:pPr>
        <w:spacing w:line="480" w:lineRule="auto"/>
        <w:rPr>
          <w:rFonts w:ascii="Garamond" w:hAnsi="Garamond" w:cs="Times New Roman"/>
          <w:sz w:val="24"/>
          <w:szCs w:val="24"/>
          <w:shd w:val="clear" w:color="auto" w:fill="FFFFFF"/>
        </w:rPr>
      </w:pPr>
      <w:r w:rsidRPr="00C245A2">
        <w:rPr>
          <w:rFonts w:ascii="Garamond" w:hAnsi="Garamond" w:cs="Times New Roman"/>
          <w:sz w:val="24"/>
          <w:szCs w:val="24"/>
          <w:shd w:val="clear" w:color="auto" w:fill="FFFFFF"/>
        </w:rPr>
        <w:t xml:space="preserve">In addition, we </w:t>
      </w:r>
      <w:r w:rsidRPr="00C245A2">
        <w:rPr>
          <w:rFonts w:ascii="Garamond" w:hAnsi="Garamond" w:cs="Times New Roman"/>
          <w:sz w:val="24"/>
          <w:szCs w:val="24"/>
        </w:rPr>
        <w:t xml:space="preserve">compared our dataset to the hand-collected returns data compiled in “Monthly Indices of Returns for the British Equity Market, 1825-70” by Graeme G. Acheson, Charles R. Hickson, John D. Turner and Qing Ye (2009). We were able to do this for the broad market and for </w:t>
      </w:r>
      <w:r w:rsidRPr="00C245A2">
        <w:rPr>
          <w:rFonts w:ascii="Garamond" w:hAnsi="Garamond" w:cs="Times New Roman"/>
          <w:sz w:val="24"/>
          <w:szCs w:val="24"/>
        </w:rPr>
        <w:lastRenderedPageBreak/>
        <w:t>three sectors which had a directly comparable sector in the monthly indices data of Acheson et al.—rail, banks, and insurance. First, we converted our market and sector daily series into monthly returns for January 1844 to July 1845. Then we computed the correlations of these monthly return series with those of the Acheson et al. series. As shown in Panel A (below)</w:t>
      </w:r>
      <w:r w:rsidR="00794F3D" w:rsidRPr="00C245A2">
        <w:rPr>
          <w:rFonts w:ascii="Garamond" w:hAnsi="Garamond" w:cs="Times New Roman"/>
          <w:sz w:val="24"/>
          <w:szCs w:val="24"/>
        </w:rPr>
        <w:t>, except for the Banks sector,</w:t>
      </w:r>
      <w:r w:rsidRPr="00C245A2">
        <w:rPr>
          <w:rFonts w:ascii="Garamond" w:hAnsi="Garamond" w:cs="Times New Roman"/>
          <w:sz w:val="24"/>
          <w:szCs w:val="24"/>
        </w:rPr>
        <w:t xml:space="preserve"> the correlations with both the capital appreciation and total return series were </w:t>
      </w:r>
      <w:r w:rsidR="00C638BF" w:rsidRPr="00C245A2">
        <w:rPr>
          <w:rFonts w:ascii="Garamond" w:hAnsi="Garamond" w:cs="Times New Roman"/>
          <w:sz w:val="24"/>
          <w:szCs w:val="24"/>
        </w:rPr>
        <w:t xml:space="preserve">generally </w:t>
      </w:r>
      <w:r w:rsidRPr="00C245A2">
        <w:rPr>
          <w:rFonts w:ascii="Garamond" w:hAnsi="Garamond" w:cs="Times New Roman"/>
          <w:sz w:val="24"/>
          <w:szCs w:val="24"/>
        </w:rPr>
        <w:t xml:space="preserve">above </w:t>
      </w:r>
      <w:r w:rsidR="00EA5874" w:rsidRPr="00C245A2">
        <w:rPr>
          <w:rFonts w:ascii="Garamond" w:hAnsi="Garamond" w:cs="Times New Roman"/>
          <w:sz w:val="24"/>
          <w:szCs w:val="24"/>
        </w:rPr>
        <w:t>0.76 and</w:t>
      </w:r>
      <w:r w:rsidRPr="00C245A2">
        <w:rPr>
          <w:rFonts w:ascii="Garamond" w:hAnsi="Garamond" w:cs="Times New Roman"/>
          <w:sz w:val="24"/>
          <w:szCs w:val="24"/>
        </w:rPr>
        <w:t xml:space="preserve"> reached as high as 0.</w:t>
      </w:r>
      <w:r w:rsidR="00C638BF" w:rsidRPr="00C245A2">
        <w:rPr>
          <w:rFonts w:ascii="Garamond" w:hAnsi="Garamond" w:cs="Times New Roman"/>
          <w:sz w:val="24"/>
          <w:szCs w:val="24"/>
        </w:rPr>
        <w:t>82</w:t>
      </w:r>
      <w:r w:rsidRPr="00C245A2">
        <w:rPr>
          <w:rFonts w:ascii="Garamond" w:hAnsi="Garamond" w:cs="Times New Roman"/>
          <w:sz w:val="24"/>
          <w:szCs w:val="24"/>
        </w:rPr>
        <w:t xml:space="preserve"> for the</w:t>
      </w:r>
      <w:r w:rsidR="00EA5874" w:rsidRPr="00C245A2">
        <w:rPr>
          <w:rFonts w:ascii="Garamond" w:hAnsi="Garamond" w:cs="Times New Roman"/>
          <w:sz w:val="24"/>
          <w:szCs w:val="24"/>
        </w:rPr>
        <w:t xml:space="preserve"> insurance</w:t>
      </w:r>
      <w:r w:rsidRPr="00C245A2">
        <w:rPr>
          <w:rFonts w:ascii="Garamond" w:hAnsi="Garamond" w:cs="Times New Roman"/>
          <w:sz w:val="24"/>
          <w:szCs w:val="24"/>
        </w:rPr>
        <w:t xml:space="preserve"> sector. We consider these correlations to be reasonably high, given that our sample includes only firms with full returns over the analysis period. This restriction means that we drop new entrants and firms which exited the public markets during the period. As a final check, we applied a two-tail unequal-variances (heteroscedastic) t-test to compare the means of our sector returns and those in Acheson et al. All p-values are </w:t>
      </w:r>
      <w:r w:rsidR="00EA5874" w:rsidRPr="00C245A2">
        <w:rPr>
          <w:rFonts w:ascii="Garamond" w:hAnsi="Garamond" w:cs="Times New Roman"/>
          <w:sz w:val="24"/>
          <w:szCs w:val="24"/>
        </w:rPr>
        <w:t xml:space="preserve">well </w:t>
      </w:r>
      <w:r w:rsidRPr="00C245A2">
        <w:rPr>
          <w:rFonts w:ascii="Garamond" w:hAnsi="Garamond" w:cs="Times New Roman"/>
          <w:sz w:val="24"/>
          <w:szCs w:val="24"/>
        </w:rPr>
        <w:t xml:space="preserve">above 0.05, so we fail to reject the null hypothesis that the two data series have equal mean returns at the five percent significance level. </w:t>
      </w:r>
      <w:r w:rsidR="003D00A8" w:rsidRPr="00C245A2">
        <w:rPr>
          <w:rFonts w:ascii="Garamond" w:hAnsi="Garamond" w:cs="Times New Roman"/>
          <w:sz w:val="24"/>
          <w:szCs w:val="24"/>
        </w:rPr>
        <w:t>This is also true for the Banks sector, where the observed correlation between the two series is low</w:t>
      </w:r>
      <w:r w:rsidRPr="00C245A2">
        <w:rPr>
          <w:rFonts w:ascii="Garamond" w:hAnsi="Garamond" w:cs="Times New Roman"/>
          <w:sz w:val="24"/>
          <w:szCs w:val="24"/>
        </w:rPr>
        <w:t xml:space="preserve">. </w:t>
      </w:r>
    </w:p>
    <w:tbl>
      <w:tblPr>
        <w:tblW w:w="9447" w:type="dxa"/>
        <w:tblLook w:val="04A0" w:firstRow="1" w:lastRow="0" w:firstColumn="1" w:lastColumn="0" w:noHBand="0" w:noVBand="1"/>
      </w:tblPr>
      <w:tblGrid>
        <w:gridCol w:w="1742"/>
        <w:gridCol w:w="1498"/>
        <w:gridCol w:w="1251"/>
        <w:gridCol w:w="345"/>
        <w:gridCol w:w="1741"/>
        <w:gridCol w:w="1461"/>
        <w:gridCol w:w="216"/>
        <w:gridCol w:w="1039"/>
        <w:gridCol w:w="154"/>
      </w:tblGrid>
      <w:tr w:rsidR="000F1480" w:rsidRPr="00C245A2" w14:paraId="13A602F7" w14:textId="77777777" w:rsidTr="00AF2CC4">
        <w:trPr>
          <w:trHeight w:val="640"/>
        </w:trPr>
        <w:tc>
          <w:tcPr>
            <w:tcW w:w="9447" w:type="dxa"/>
            <w:gridSpan w:val="9"/>
            <w:tcBorders>
              <w:top w:val="nil"/>
              <w:left w:val="nil"/>
              <w:right w:val="nil"/>
            </w:tcBorders>
            <w:shd w:val="clear" w:color="auto" w:fill="auto"/>
            <w:noWrap/>
            <w:vAlign w:val="bottom"/>
          </w:tcPr>
          <w:p w14:paraId="03091797" w14:textId="77777777" w:rsidR="000F1480" w:rsidRPr="00C245A2" w:rsidRDefault="000F1480" w:rsidP="00AF2CC4">
            <w:pPr>
              <w:pStyle w:val="CaseBullets1"/>
              <w:numPr>
                <w:ilvl w:val="0"/>
                <w:numId w:val="0"/>
              </w:numPr>
              <w:jc w:val="center"/>
              <w:rPr>
                <w:rFonts w:eastAsia="Times New Roman"/>
                <w:b/>
                <w:bCs/>
                <w:color w:val="000000"/>
                <w:sz w:val="24"/>
                <w:szCs w:val="24"/>
              </w:rPr>
            </w:pPr>
            <w:r w:rsidRPr="00C245A2">
              <w:rPr>
                <w:rFonts w:eastAsia="Times New Roman"/>
                <w:b/>
                <w:bCs/>
                <w:color w:val="000000"/>
                <w:sz w:val="24"/>
                <w:szCs w:val="24"/>
              </w:rPr>
              <w:t>Table A1</w:t>
            </w:r>
          </w:p>
          <w:p w14:paraId="0EDAB494" w14:textId="77777777" w:rsidR="000F1480" w:rsidRPr="00C245A2" w:rsidRDefault="000F1480" w:rsidP="00AF2CC4">
            <w:pPr>
              <w:pStyle w:val="CaseBullets1"/>
              <w:numPr>
                <w:ilvl w:val="0"/>
                <w:numId w:val="0"/>
              </w:numPr>
              <w:jc w:val="center"/>
              <w:rPr>
                <w:b/>
                <w:bCs/>
                <w:sz w:val="24"/>
                <w:szCs w:val="24"/>
              </w:rPr>
            </w:pPr>
            <w:r w:rsidRPr="00C245A2">
              <w:rPr>
                <w:rFonts w:eastAsia="Times New Roman"/>
                <w:b/>
                <w:bCs/>
                <w:color w:val="000000"/>
                <w:sz w:val="24"/>
                <w:szCs w:val="24"/>
              </w:rPr>
              <w:t>Correlation and Test for Significance of Difference: Comparison of This Data Set with Acheson, Hickson, Turner, and Ye</w:t>
            </w:r>
          </w:p>
          <w:p w14:paraId="774E587F" w14:textId="77777777" w:rsidR="000F1480" w:rsidRPr="00C245A2" w:rsidRDefault="000F1480" w:rsidP="00AF2CC4">
            <w:pPr>
              <w:spacing w:after="0"/>
              <w:rPr>
                <w:rFonts w:ascii="Garamond" w:eastAsia="Times New Roman" w:hAnsi="Garamond" w:cs="Times New Roman"/>
                <w:color w:val="000000"/>
                <w:sz w:val="24"/>
                <w:szCs w:val="24"/>
              </w:rPr>
            </w:pPr>
          </w:p>
        </w:tc>
      </w:tr>
      <w:tr w:rsidR="000F1480" w:rsidRPr="00C245A2" w14:paraId="5D258BF6" w14:textId="77777777" w:rsidTr="00AF2CC4">
        <w:trPr>
          <w:trHeight w:val="320"/>
        </w:trPr>
        <w:tc>
          <w:tcPr>
            <w:tcW w:w="3240" w:type="dxa"/>
            <w:gridSpan w:val="2"/>
            <w:tcBorders>
              <w:top w:val="nil"/>
              <w:left w:val="nil"/>
              <w:bottom w:val="nil"/>
              <w:right w:val="nil"/>
            </w:tcBorders>
            <w:shd w:val="clear" w:color="auto" w:fill="auto"/>
            <w:noWrap/>
            <w:vAlign w:val="bottom"/>
            <w:hideMark/>
          </w:tcPr>
          <w:p w14:paraId="62CC76E6" w14:textId="77777777" w:rsidR="000F1480" w:rsidRPr="00C245A2" w:rsidRDefault="000F1480" w:rsidP="00AF2CC4">
            <w:pPr>
              <w:spacing w:after="0"/>
              <w:rPr>
                <w:rFonts w:ascii="Garamond" w:eastAsia="Times New Roman" w:hAnsi="Garamond" w:cs="Times New Roman"/>
                <w:b/>
                <w:bCs/>
                <w:color w:val="000000"/>
                <w:sz w:val="24"/>
                <w:szCs w:val="24"/>
              </w:rPr>
            </w:pPr>
            <w:r w:rsidRPr="00C245A2">
              <w:rPr>
                <w:rFonts w:ascii="Garamond" w:eastAsia="Times New Roman" w:hAnsi="Garamond" w:cs="Times New Roman"/>
                <w:b/>
                <w:bCs/>
                <w:color w:val="000000"/>
                <w:sz w:val="24"/>
                <w:szCs w:val="24"/>
              </w:rPr>
              <w:t>Panel A: Correlations</w:t>
            </w:r>
          </w:p>
        </w:tc>
        <w:tc>
          <w:tcPr>
            <w:tcW w:w="1251" w:type="dxa"/>
            <w:tcBorders>
              <w:top w:val="nil"/>
              <w:left w:val="nil"/>
              <w:bottom w:val="nil"/>
              <w:right w:val="nil"/>
            </w:tcBorders>
            <w:shd w:val="clear" w:color="auto" w:fill="auto"/>
            <w:noWrap/>
            <w:vAlign w:val="bottom"/>
            <w:hideMark/>
          </w:tcPr>
          <w:p w14:paraId="58FA4619" w14:textId="77777777" w:rsidR="000F1480" w:rsidRPr="00C245A2" w:rsidRDefault="000F1480" w:rsidP="00AF2CC4">
            <w:pPr>
              <w:spacing w:after="0"/>
              <w:rPr>
                <w:rFonts w:ascii="Garamond" w:eastAsia="Times New Roman" w:hAnsi="Garamond" w:cs="Times New Roman"/>
                <w:color w:val="000000"/>
                <w:sz w:val="24"/>
                <w:szCs w:val="24"/>
              </w:rPr>
            </w:pPr>
          </w:p>
        </w:tc>
        <w:tc>
          <w:tcPr>
            <w:tcW w:w="345" w:type="dxa"/>
            <w:tcBorders>
              <w:top w:val="nil"/>
              <w:left w:val="nil"/>
              <w:bottom w:val="nil"/>
              <w:right w:val="nil"/>
            </w:tcBorders>
            <w:shd w:val="clear" w:color="auto" w:fill="auto"/>
            <w:noWrap/>
            <w:vAlign w:val="bottom"/>
            <w:hideMark/>
          </w:tcPr>
          <w:p w14:paraId="1460002E" w14:textId="77777777" w:rsidR="000F1480" w:rsidRPr="00C245A2" w:rsidRDefault="000F1480" w:rsidP="00AF2CC4">
            <w:pPr>
              <w:spacing w:after="0"/>
              <w:rPr>
                <w:rFonts w:ascii="Garamond" w:eastAsia="Times New Roman" w:hAnsi="Garamond" w:cs="Times New Roman"/>
                <w:sz w:val="24"/>
                <w:szCs w:val="24"/>
              </w:rPr>
            </w:pPr>
          </w:p>
        </w:tc>
        <w:tc>
          <w:tcPr>
            <w:tcW w:w="3418" w:type="dxa"/>
            <w:gridSpan w:val="3"/>
            <w:tcBorders>
              <w:top w:val="nil"/>
              <w:left w:val="nil"/>
              <w:bottom w:val="nil"/>
              <w:right w:val="nil"/>
            </w:tcBorders>
            <w:shd w:val="clear" w:color="auto" w:fill="auto"/>
            <w:noWrap/>
            <w:vAlign w:val="bottom"/>
            <w:hideMark/>
          </w:tcPr>
          <w:p w14:paraId="41F3A90C" w14:textId="77777777" w:rsidR="000F1480" w:rsidRPr="00C245A2" w:rsidRDefault="000F1480" w:rsidP="00AF2CC4">
            <w:pPr>
              <w:spacing w:after="0"/>
              <w:rPr>
                <w:rFonts w:ascii="Garamond" w:eastAsia="Times New Roman" w:hAnsi="Garamond" w:cs="Times New Roman"/>
                <w:b/>
                <w:bCs/>
                <w:color w:val="000000"/>
                <w:sz w:val="24"/>
                <w:szCs w:val="24"/>
              </w:rPr>
            </w:pPr>
            <w:r w:rsidRPr="00C245A2">
              <w:rPr>
                <w:rFonts w:ascii="Garamond" w:eastAsia="Times New Roman" w:hAnsi="Garamond" w:cs="Times New Roman"/>
                <w:b/>
                <w:bCs/>
                <w:color w:val="000000"/>
                <w:sz w:val="24"/>
                <w:szCs w:val="24"/>
              </w:rPr>
              <w:t>Panel B: T-test p-values</w:t>
            </w:r>
          </w:p>
        </w:tc>
        <w:tc>
          <w:tcPr>
            <w:tcW w:w="1193" w:type="dxa"/>
            <w:gridSpan w:val="2"/>
            <w:tcBorders>
              <w:top w:val="nil"/>
              <w:left w:val="nil"/>
              <w:bottom w:val="nil"/>
              <w:right w:val="nil"/>
            </w:tcBorders>
            <w:shd w:val="clear" w:color="auto" w:fill="auto"/>
            <w:noWrap/>
            <w:vAlign w:val="bottom"/>
            <w:hideMark/>
          </w:tcPr>
          <w:p w14:paraId="3BA8FE03" w14:textId="77777777" w:rsidR="000F1480" w:rsidRPr="00C245A2" w:rsidRDefault="000F1480" w:rsidP="00AF2CC4">
            <w:pPr>
              <w:spacing w:after="0"/>
              <w:rPr>
                <w:rFonts w:ascii="Garamond" w:eastAsia="Times New Roman" w:hAnsi="Garamond" w:cs="Times New Roman"/>
                <w:color w:val="000000"/>
                <w:sz w:val="24"/>
                <w:szCs w:val="24"/>
              </w:rPr>
            </w:pPr>
          </w:p>
        </w:tc>
      </w:tr>
      <w:tr w:rsidR="000F1480" w:rsidRPr="00C245A2" w14:paraId="4A445847" w14:textId="77777777" w:rsidTr="00AF2CC4">
        <w:trPr>
          <w:gridAfter w:val="1"/>
          <w:wAfter w:w="154" w:type="dxa"/>
          <w:trHeight w:val="360"/>
        </w:trPr>
        <w:tc>
          <w:tcPr>
            <w:tcW w:w="1742" w:type="dxa"/>
            <w:tcBorders>
              <w:top w:val="nil"/>
              <w:left w:val="nil"/>
              <w:bottom w:val="single" w:sz="8" w:space="0" w:color="7F7F7F"/>
              <w:right w:val="nil"/>
            </w:tcBorders>
            <w:shd w:val="clear" w:color="000000" w:fill="FFFFFF"/>
            <w:noWrap/>
            <w:vAlign w:val="center"/>
            <w:hideMark/>
          </w:tcPr>
          <w:p w14:paraId="0477322A"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Sector</w:t>
            </w:r>
          </w:p>
        </w:tc>
        <w:tc>
          <w:tcPr>
            <w:tcW w:w="1498" w:type="dxa"/>
            <w:tcBorders>
              <w:top w:val="nil"/>
              <w:left w:val="nil"/>
              <w:bottom w:val="single" w:sz="8" w:space="0" w:color="7F7F7F"/>
              <w:right w:val="nil"/>
            </w:tcBorders>
            <w:shd w:val="clear" w:color="000000" w:fill="FFFFFF"/>
            <w:noWrap/>
            <w:vAlign w:val="center"/>
            <w:hideMark/>
          </w:tcPr>
          <w:p w14:paraId="6BCC27E8" w14:textId="77777777" w:rsidR="000F1480" w:rsidRPr="00C245A2" w:rsidRDefault="000F1480" w:rsidP="00AF2CC4">
            <w:pPr>
              <w:spacing w:after="0"/>
              <w:jc w:val="center"/>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Capital Appreciation Series</w:t>
            </w:r>
          </w:p>
        </w:tc>
        <w:tc>
          <w:tcPr>
            <w:tcW w:w="1251" w:type="dxa"/>
            <w:tcBorders>
              <w:top w:val="nil"/>
              <w:left w:val="nil"/>
              <w:bottom w:val="single" w:sz="8" w:space="0" w:color="7F7F7F"/>
              <w:right w:val="nil"/>
            </w:tcBorders>
            <w:shd w:val="clear" w:color="000000" w:fill="FFFFFF"/>
            <w:noWrap/>
            <w:vAlign w:val="center"/>
            <w:hideMark/>
          </w:tcPr>
          <w:p w14:paraId="1223E765" w14:textId="77777777" w:rsidR="000F1480" w:rsidRPr="00C245A2" w:rsidRDefault="000F1480" w:rsidP="00AF2CC4">
            <w:pPr>
              <w:spacing w:after="0"/>
              <w:jc w:val="center"/>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Total Return Series</w:t>
            </w:r>
          </w:p>
        </w:tc>
        <w:tc>
          <w:tcPr>
            <w:tcW w:w="345" w:type="dxa"/>
            <w:tcBorders>
              <w:top w:val="nil"/>
              <w:left w:val="nil"/>
              <w:bottom w:val="nil"/>
              <w:right w:val="nil"/>
            </w:tcBorders>
            <w:shd w:val="clear" w:color="auto" w:fill="auto"/>
            <w:noWrap/>
            <w:vAlign w:val="bottom"/>
            <w:hideMark/>
          </w:tcPr>
          <w:p w14:paraId="0670C7C4" w14:textId="77777777" w:rsidR="000F1480" w:rsidRPr="00C245A2" w:rsidRDefault="000F1480" w:rsidP="00AF2CC4">
            <w:pPr>
              <w:spacing w:after="0"/>
              <w:rPr>
                <w:rFonts w:ascii="Garamond" w:eastAsia="Times New Roman" w:hAnsi="Garamond" w:cs="Times New Roman"/>
                <w:i/>
                <w:iCs/>
                <w:color w:val="000000"/>
                <w:sz w:val="24"/>
                <w:szCs w:val="24"/>
              </w:rPr>
            </w:pPr>
          </w:p>
        </w:tc>
        <w:tc>
          <w:tcPr>
            <w:tcW w:w="1741" w:type="dxa"/>
            <w:tcBorders>
              <w:top w:val="nil"/>
              <w:left w:val="nil"/>
              <w:bottom w:val="single" w:sz="8" w:space="0" w:color="7F7F7F"/>
              <w:right w:val="nil"/>
            </w:tcBorders>
            <w:shd w:val="clear" w:color="000000" w:fill="FFFFFF"/>
            <w:noWrap/>
            <w:vAlign w:val="center"/>
            <w:hideMark/>
          </w:tcPr>
          <w:p w14:paraId="2FAC54EA"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Sector</w:t>
            </w:r>
          </w:p>
        </w:tc>
        <w:tc>
          <w:tcPr>
            <w:tcW w:w="1461" w:type="dxa"/>
            <w:tcBorders>
              <w:top w:val="nil"/>
              <w:left w:val="nil"/>
              <w:bottom w:val="single" w:sz="8" w:space="0" w:color="7F7F7F"/>
              <w:right w:val="nil"/>
            </w:tcBorders>
            <w:shd w:val="clear" w:color="000000" w:fill="FFFFFF"/>
            <w:noWrap/>
            <w:vAlign w:val="center"/>
            <w:hideMark/>
          </w:tcPr>
          <w:p w14:paraId="01425D05" w14:textId="77777777" w:rsidR="000F1480" w:rsidRPr="00C245A2" w:rsidRDefault="000F1480" w:rsidP="00AF2CC4">
            <w:pPr>
              <w:spacing w:after="0"/>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Capital Appreciation Series</w:t>
            </w:r>
          </w:p>
        </w:tc>
        <w:tc>
          <w:tcPr>
            <w:tcW w:w="1255" w:type="dxa"/>
            <w:gridSpan w:val="2"/>
            <w:tcBorders>
              <w:top w:val="nil"/>
              <w:left w:val="nil"/>
              <w:bottom w:val="single" w:sz="8" w:space="0" w:color="7F7F7F"/>
              <w:right w:val="nil"/>
            </w:tcBorders>
            <w:shd w:val="clear" w:color="000000" w:fill="FFFFFF"/>
            <w:noWrap/>
            <w:vAlign w:val="center"/>
            <w:hideMark/>
          </w:tcPr>
          <w:p w14:paraId="69F72B48" w14:textId="77777777" w:rsidR="000F1480" w:rsidRPr="00C245A2" w:rsidRDefault="000F1480" w:rsidP="00AF2CC4">
            <w:pPr>
              <w:spacing w:after="0"/>
              <w:jc w:val="center"/>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Total Return Series</w:t>
            </w:r>
          </w:p>
        </w:tc>
      </w:tr>
      <w:tr w:rsidR="000F1480" w:rsidRPr="00C245A2" w14:paraId="4A94569D" w14:textId="77777777" w:rsidTr="00AF2CC4">
        <w:trPr>
          <w:gridAfter w:val="1"/>
          <w:wAfter w:w="154" w:type="dxa"/>
          <w:trHeight w:val="340"/>
        </w:trPr>
        <w:tc>
          <w:tcPr>
            <w:tcW w:w="1742" w:type="dxa"/>
            <w:tcBorders>
              <w:top w:val="nil"/>
              <w:left w:val="nil"/>
              <w:bottom w:val="nil"/>
              <w:right w:val="single" w:sz="8" w:space="0" w:color="7F7F7F"/>
            </w:tcBorders>
            <w:shd w:val="clear" w:color="000000" w:fill="FFFFFF"/>
            <w:noWrap/>
            <w:vAlign w:val="center"/>
            <w:hideMark/>
          </w:tcPr>
          <w:p w14:paraId="3AFB690B"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 xml:space="preserve"> Market</w:t>
            </w:r>
          </w:p>
        </w:tc>
        <w:tc>
          <w:tcPr>
            <w:tcW w:w="1498" w:type="dxa"/>
            <w:tcBorders>
              <w:top w:val="nil"/>
              <w:left w:val="nil"/>
              <w:bottom w:val="nil"/>
              <w:right w:val="nil"/>
            </w:tcBorders>
            <w:shd w:val="clear" w:color="000000" w:fill="F2F2F2"/>
            <w:noWrap/>
            <w:vAlign w:val="bottom"/>
            <w:hideMark/>
          </w:tcPr>
          <w:p w14:paraId="59F9AF40"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Calibri"/>
                <w:color w:val="000000"/>
                <w:sz w:val="24"/>
                <w:szCs w:val="24"/>
              </w:rPr>
              <w:t xml:space="preserve">            0.71 </w:t>
            </w:r>
          </w:p>
        </w:tc>
        <w:tc>
          <w:tcPr>
            <w:tcW w:w="1251" w:type="dxa"/>
            <w:tcBorders>
              <w:top w:val="nil"/>
              <w:left w:val="nil"/>
              <w:bottom w:val="nil"/>
              <w:right w:val="nil"/>
            </w:tcBorders>
            <w:shd w:val="clear" w:color="000000" w:fill="F2F2F2"/>
            <w:noWrap/>
            <w:vAlign w:val="bottom"/>
            <w:hideMark/>
          </w:tcPr>
          <w:p w14:paraId="5AC50570"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Calibri"/>
                <w:color w:val="000000"/>
                <w:sz w:val="24"/>
                <w:szCs w:val="24"/>
              </w:rPr>
              <w:t xml:space="preserve">            0.72 </w:t>
            </w:r>
          </w:p>
        </w:tc>
        <w:tc>
          <w:tcPr>
            <w:tcW w:w="345" w:type="dxa"/>
            <w:tcBorders>
              <w:top w:val="nil"/>
              <w:left w:val="nil"/>
              <w:bottom w:val="nil"/>
              <w:right w:val="nil"/>
            </w:tcBorders>
            <w:shd w:val="clear" w:color="auto" w:fill="auto"/>
            <w:noWrap/>
            <w:vAlign w:val="bottom"/>
            <w:hideMark/>
          </w:tcPr>
          <w:p w14:paraId="536E75B3" w14:textId="77777777" w:rsidR="000F1480" w:rsidRPr="00C245A2" w:rsidRDefault="000F1480" w:rsidP="00AF2CC4">
            <w:pPr>
              <w:spacing w:after="0"/>
              <w:jc w:val="right"/>
              <w:rPr>
                <w:rFonts w:ascii="Garamond" w:eastAsia="Times New Roman" w:hAnsi="Garamond" w:cs="Times New Roman"/>
                <w:color w:val="000000"/>
                <w:sz w:val="24"/>
                <w:szCs w:val="24"/>
              </w:rPr>
            </w:pPr>
          </w:p>
        </w:tc>
        <w:tc>
          <w:tcPr>
            <w:tcW w:w="1741" w:type="dxa"/>
            <w:tcBorders>
              <w:top w:val="nil"/>
              <w:left w:val="nil"/>
              <w:bottom w:val="nil"/>
              <w:right w:val="single" w:sz="8" w:space="0" w:color="7F7F7F"/>
            </w:tcBorders>
            <w:shd w:val="clear" w:color="000000" w:fill="FFFFFF"/>
            <w:noWrap/>
            <w:vAlign w:val="center"/>
            <w:hideMark/>
          </w:tcPr>
          <w:p w14:paraId="4FA62FF7"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Market</w:t>
            </w:r>
          </w:p>
        </w:tc>
        <w:tc>
          <w:tcPr>
            <w:tcW w:w="1461" w:type="dxa"/>
            <w:tcBorders>
              <w:top w:val="nil"/>
              <w:left w:val="nil"/>
              <w:bottom w:val="nil"/>
              <w:right w:val="nil"/>
            </w:tcBorders>
            <w:shd w:val="clear" w:color="000000" w:fill="F2F2F2"/>
            <w:noWrap/>
            <w:vAlign w:val="bottom"/>
            <w:hideMark/>
          </w:tcPr>
          <w:p w14:paraId="358AEBB3"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Arial"/>
                <w:color w:val="000000"/>
                <w:sz w:val="24"/>
                <w:szCs w:val="24"/>
              </w:rPr>
              <w:t xml:space="preserve">            0.67 </w:t>
            </w:r>
          </w:p>
        </w:tc>
        <w:tc>
          <w:tcPr>
            <w:tcW w:w="1255" w:type="dxa"/>
            <w:gridSpan w:val="2"/>
            <w:tcBorders>
              <w:top w:val="nil"/>
              <w:left w:val="nil"/>
              <w:bottom w:val="nil"/>
              <w:right w:val="nil"/>
            </w:tcBorders>
            <w:shd w:val="clear" w:color="000000" w:fill="F2F2F2"/>
            <w:noWrap/>
            <w:vAlign w:val="bottom"/>
            <w:hideMark/>
          </w:tcPr>
          <w:p w14:paraId="2D810B1E"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Arial"/>
                <w:color w:val="000000"/>
                <w:sz w:val="24"/>
                <w:szCs w:val="24"/>
              </w:rPr>
              <w:t xml:space="preserve">            0.30 </w:t>
            </w:r>
          </w:p>
        </w:tc>
      </w:tr>
      <w:tr w:rsidR="000F1480" w:rsidRPr="00C245A2" w14:paraId="75A0F364" w14:textId="77777777" w:rsidTr="00AF2CC4">
        <w:trPr>
          <w:gridAfter w:val="1"/>
          <w:wAfter w:w="154" w:type="dxa"/>
          <w:trHeight w:val="340"/>
        </w:trPr>
        <w:tc>
          <w:tcPr>
            <w:tcW w:w="1742" w:type="dxa"/>
            <w:tcBorders>
              <w:top w:val="nil"/>
              <w:left w:val="nil"/>
              <w:bottom w:val="nil"/>
              <w:right w:val="single" w:sz="8" w:space="0" w:color="7F7F7F"/>
            </w:tcBorders>
            <w:shd w:val="clear" w:color="000000" w:fill="FFFFFF"/>
            <w:noWrap/>
            <w:vAlign w:val="center"/>
            <w:hideMark/>
          </w:tcPr>
          <w:p w14:paraId="37CBA146"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Rail</w:t>
            </w:r>
          </w:p>
        </w:tc>
        <w:tc>
          <w:tcPr>
            <w:tcW w:w="1498" w:type="dxa"/>
            <w:tcBorders>
              <w:top w:val="nil"/>
              <w:left w:val="nil"/>
              <w:bottom w:val="nil"/>
              <w:right w:val="nil"/>
            </w:tcBorders>
            <w:shd w:val="clear" w:color="auto" w:fill="auto"/>
            <w:noWrap/>
            <w:vAlign w:val="bottom"/>
            <w:hideMark/>
          </w:tcPr>
          <w:p w14:paraId="19F6C4E9"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Calibri"/>
                <w:color w:val="000000"/>
                <w:sz w:val="24"/>
                <w:szCs w:val="24"/>
              </w:rPr>
              <w:t xml:space="preserve">            0.76 </w:t>
            </w:r>
          </w:p>
        </w:tc>
        <w:tc>
          <w:tcPr>
            <w:tcW w:w="1251" w:type="dxa"/>
            <w:tcBorders>
              <w:top w:val="nil"/>
              <w:left w:val="nil"/>
              <w:bottom w:val="nil"/>
              <w:right w:val="nil"/>
            </w:tcBorders>
            <w:shd w:val="clear" w:color="auto" w:fill="auto"/>
            <w:noWrap/>
            <w:vAlign w:val="bottom"/>
            <w:hideMark/>
          </w:tcPr>
          <w:p w14:paraId="2AECE740"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Calibri"/>
                <w:color w:val="000000"/>
                <w:sz w:val="24"/>
                <w:szCs w:val="24"/>
              </w:rPr>
              <w:t xml:space="preserve">            0.77 </w:t>
            </w:r>
          </w:p>
        </w:tc>
        <w:tc>
          <w:tcPr>
            <w:tcW w:w="345" w:type="dxa"/>
            <w:tcBorders>
              <w:top w:val="nil"/>
              <w:left w:val="nil"/>
              <w:bottom w:val="nil"/>
              <w:right w:val="nil"/>
            </w:tcBorders>
            <w:shd w:val="clear" w:color="auto" w:fill="auto"/>
            <w:noWrap/>
            <w:vAlign w:val="bottom"/>
            <w:hideMark/>
          </w:tcPr>
          <w:p w14:paraId="5D705C76" w14:textId="77777777" w:rsidR="000F1480" w:rsidRPr="00C245A2" w:rsidRDefault="000F1480" w:rsidP="00AF2CC4">
            <w:pPr>
              <w:spacing w:after="0"/>
              <w:jc w:val="right"/>
              <w:rPr>
                <w:rFonts w:ascii="Garamond" w:eastAsia="Times New Roman" w:hAnsi="Garamond" w:cs="Times New Roman"/>
                <w:color w:val="000000"/>
                <w:sz w:val="24"/>
                <w:szCs w:val="24"/>
              </w:rPr>
            </w:pPr>
          </w:p>
        </w:tc>
        <w:tc>
          <w:tcPr>
            <w:tcW w:w="1741" w:type="dxa"/>
            <w:tcBorders>
              <w:top w:val="nil"/>
              <w:left w:val="nil"/>
              <w:bottom w:val="nil"/>
              <w:right w:val="single" w:sz="8" w:space="0" w:color="7F7F7F"/>
            </w:tcBorders>
            <w:shd w:val="clear" w:color="000000" w:fill="FFFFFF"/>
            <w:noWrap/>
            <w:vAlign w:val="center"/>
            <w:hideMark/>
          </w:tcPr>
          <w:p w14:paraId="3A980F62"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Rail</w:t>
            </w:r>
          </w:p>
        </w:tc>
        <w:tc>
          <w:tcPr>
            <w:tcW w:w="1461" w:type="dxa"/>
            <w:tcBorders>
              <w:top w:val="nil"/>
              <w:left w:val="nil"/>
              <w:bottom w:val="nil"/>
              <w:right w:val="nil"/>
            </w:tcBorders>
            <w:shd w:val="clear" w:color="auto" w:fill="auto"/>
            <w:noWrap/>
            <w:vAlign w:val="bottom"/>
            <w:hideMark/>
          </w:tcPr>
          <w:p w14:paraId="7692E762"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Arial"/>
                <w:color w:val="000000"/>
                <w:sz w:val="24"/>
                <w:szCs w:val="24"/>
              </w:rPr>
              <w:t xml:space="preserve">            0.56 </w:t>
            </w:r>
          </w:p>
        </w:tc>
        <w:tc>
          <w:tcPr>
            <w:tcW w:w="1255" w:type="dxa"/>
            <w:gridSpan w:val="2"/>
            <w:tcBorders>
              <w:top w:val="nil"/>
              <w:left w:val="nil"/>
              <w:bottom w:val="nil"/>
              <w:right w:val="nil"/>
            </w:tcBorders>
            <w:shd w:val="clear" w:color="auto" w:fill="auto"/>
            <w:noWrap/>
            <w:vAlign w:val="bottom"/>
            <w:hideMark/>
          </w:tcPr>
          <w:p w14:paraId="7CC3910F"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Arial"/>
                <w:color w:val="000000"/>
                <w:sz w:val="24"/>
                <w:szCs w:val="24"/>
              </w:rPr>
              <w:t xml:space="preserve">            0.74 </w:t>
            </w:r>
          </w:p>
        </w:tc>
      </w:tr>
      <w:tr w:rsidR="000F1480" w:rsidRPr="00C245A2" w14:paraId="05C8B856" w14:textId="77777777" w:rsidTr="00AF2CC4">
        <w:trPr>
          <w:gridAfter w:val="1"/>
          <w:wAfter w:w="154" w:type="dxa"/>
          <w:trHeight w:val="340"/>
        </w:trPr>
        <w:tc>
          <w:tcPr>
            <w:tcW w:w="1742" w:type="dxa"/>
            <w:tcBorders>
              <w:top w:val="nil"/>
              <w:left w:val="nil"/>
              <w:bottom w:val="nil"/>
              <w:right w:val="single" w:sz="8" w:space="0" w:color="7F7F7F"/>
            </w:tcBorders>
            <w:shd w:val="clear" w:color="000000" w:fill="FFFFFF"/>
            <w:noWrap/>
            <w:vAlign w:val="center"/>
            <w:hideMark/>
          </w:tcPr>
          <w:p w14:paraId="3AA648C7"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Banks</w:t>
            </w:r>
          </w:p>
        </w:tc>
        <w:tc>
          <w:tcPr>
            <w:tcW w:w="1498" w:type="dxa"/>
            <w:tcBorders>
              <w:top w:val="nil"/>
              <w:left w:val="nil"/>
              <w:bottom w:val="nil"/>
              <w:right w:val="nil"/>
            </w:tcBorders>
            <w:shd w:val="clear" w:color="000000" w:fill="F2F2F2"/>
            <w:noWrap/>
            <w:vAlign w:val="bottom"/>
            <w:hideMark/>
          </w:tcPr>
          <w:p w14:paraId="1842C11A"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Calibri"/>
                <w:color w:val="000000"/>
                <w:sz w:val="24"/>
                <w:szCs w:val="24"/>
              </w:rPr>
              <w:t xml:space="preserve">            0.04 </w:t>
            </w:r>
          </w:p>
        </w:tc>
        <w:tc>
          <w:tcPr>
            <w:tcW w:w="1251" w:type="dxa"/>
            <w:tcBorders>
              <w:top w:val="nil"/>
              <w:left w:val="nil"/>
              <w:bottom w:val="nil"/>
              <w:right w:val="nil"/>
            </w:tcBorders>
            <w:shd w:val="clear" w:color="000000" w:fill="F2F2F2"/>
            <w:noWrap/>
            <w:vAlign w:val="bottom"/>
            <w:hideMark/>
          </w:tcPr>
          <w:p w14:paraId="53F6CEDF"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Calibri"/>
                <w:color w:val="000000"/>
                <w:sz w:val="24"/>
                <w:szCs w:val="24"/>
              </w:rPr>
              <w:t xml:space="preserve">            0.05 </w:t>
            </w:r>
          </w:p>
        </w:tc>
        <w:tc>
          <w:tcPr>
            <w:tcW w:w="345" w:type="dxa"/>
            <w:tcBorders>
              <w:top w:val="nil"/>
              <w:left w:val="nil"/>
              <w:bottom w:val="nil"/>
              <w:right w:val="nil"/>
            </w:tcBorders>
            <w:shd w:val="clear" w:color="auto" w:fill="auto"/>
            <w:noWrap/>
            <w:vAlign w:val="bottom"/>
            <w:hideMark/>
          </w:tcPr>
          <w:p w14:paraId="3E6B2557" w14:textId="77777777" w:rsidR="000F1480" w:rsidRPr="00C245A2" w:rsidRDefault="000F1480" w:rsidP="00AF2CC4">
            <w:pPr>
              <w:spacing w:after="0"/>
              <w:jc w:val="right"/>
              <w:rPr>
                <w:rFonts w:ascii="Garamond" w:eastAsia="Times New Roman" w:hAnsi="Garamond" w:cs="Times New Roman"/>
                <w:color w:val="000000"/>
                <w:sz w:val="24"/>
                <w:szCs w:val="24"/>
              </w:rPr>
            </w:pPr>
          </w:p>
        </w:tc>
        <w:tc>
          <w:tcPr>
            <w:tcW w:w="1741" w:type="dxa"/>
            <w:tcBorders>
              <w:top w:val="nil"/>
              <w:left w:val="nil"/>
              <w:bottom w:val="nil"/>
              <w:right w:val="single" w:sz="8" w:space="0" w:color="7F7F7F"/>
            </w:tcBorders>
            <w:shd w:val="clear" w:color="000000" w:fill="FFFFFF"/>
            <w:noWrap/>
            <w:vAlign w:val="center"/>
            <w:hideMark/>
          </w:tcPr>
          <w:p w14:paraId="2F845CC3"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Banks</w:t>
            </w:r>
          </w:p>
        </w:tc>
        <w:tc>
          <w:tcPr>
            <w:tcW w:w="1461" w:type="dxa"/>
            <w:tcBorders>
              <w:top w:val="nil"/>
              <w:left w:val="nil"/>
              <w:bottom w:val="nil"/>
              <w:right w:val="nil"/>
            </w:tcBorders>
            <w:shd w:val="clear" w:color="000000" w:fill="F2F2F2"/>
            <w:noWrap/>
            <w:vAlign w:val="bottom"/>
            <w:hideMark/>
          </w:tcPr>
          <w:p w14:paraId="03E77CBC"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Arial"/>
                <w:color w:val="000000"/>
                <w:sz w:val="24"/>
                <w:szCs w:val="24"/>
              </w:rPr>
              <w:t xml:space="preserve">            0.80 </w:t>
            </w:r>
          </w:p>
        </w:tc>
        <w:tc>
          <w:tcPr>
            <w:tcW w:w="1255" w:type="dxa"/>
            <w:gridSpan w:val="2"/>
            <w:tcBorders>
              <w:top w:val="nil"/>
              <w:left w:val="nil"/>
              <w:bottom w:val="nil"/>
              <w:right w:val="nil"/>
            </w:tcBorders>
            <w:shd w:val="clear" w:color="000000" w:fill="F2F2F2"/>
            <w:noWrap/>
            <w:vAlign w:val="bottom"/>
            <w:hideMark/>
          </w:tcPr>
          <w:p w14:paraId="62A8EE3E"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Arial"/>
                <w:color w:val="000000"/>
                <w:sz w:val="24"/>
                <w:szCs w:val="24"/>
              </w:rPr>
              <w:t xml:space="preserve">            0.62 </w:t>
            </w:r>
          </w:p>
        </w:tc>
      </w:tr>
      <w:tr w:rsidR="000F1480" w:rsidRPr="00C245A2" w14:paraId="4A8FE6E4" w14:textId="77777777" w:rsidTr="00AF2CC4">
        <w:trPr>
          <w:gridAfter w:val="1"/>
          <w:wAfter w:w="154" w:type="dxa"/>
          <w:trHeight w:val="340"/>
        </w:trPr>
        <w:tc>
          <w:tcPr>
            <w:tcW w:w="1742" w:type="dxa"/>
            <w:tcBorders>
              <w:top w:val="nil"/>
              <w:left w:val="nil"/>
              <w:bottom w:val="nil"/>
              <w:right w:val="single" w:sz="8" w:space="0" w:color="7F7F7F"/>
            </w:tcBorders>
            <w:shd w:val="clear" w:color="000000" w:fill="FFFFFF"/>
            <w:noWrap/>
            <w:vAlign w:val="center"/>
            <w:hideMark/>
          </w:tcPr>
          <w:p w14:paraId="00547FBB"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Insurance</w:t>
            </w:r>
          </w:p>
        </w:tc>
        <w:tc>
          <w:tcPr>
            <w:tcW w:w="1498" w:type="dxa"/>
            <w:tcBorders>
              <w:top w:val="nil"/>
              <w:left w:val="nil"/>
              <w:bottom w:val="nil"/>
              <w:right w:val="nil"/>
            </w:tcBorders>
            <w:shd w:val="clear" w:color="auto" w:fill="auto"/>
            <w:noWrap/>
            <w:vAlign w:val="bottom"/>
            <w:hideMark/>
          </w:tcPr>
          <w:p w14:paraId="44B4DD29"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Calibri"/>
                <w:color w:val="000000"/>
                <w:sz w:val="24"/>
                <w:szCs w:val="24"/>
              </w:rPr>
              <w:t xml:space="preserve">            0.82 </w:t>
            </w:r>
          </w:p>
        </w:tc>
        <w:tc>
          <w:tcPr>
            <w:tcW w:w="1251" w:type="dxa"/>
            <w:tcBorders>
              <w:top w:val="nil"/>
              <w:left w:val="nil"/>
              <w:bottom w:val="nil"/>
              <w:right w:val="nil"/>
            </w:tcBorders>
            <w:shd w:val="clear" w:color="auto" w:fill="auto"/>
            <w:noWrap/>
            <w:vAlign w:val="bottom"/>
            <w:hideMark/>
          </w:tcPr>
          <w:p w14:paraId="69953886"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Calibri"/>
                <w:color w:val="000000"/>
                <w:sz w:val="24"/>
                <w:szCs w:val="24"/>
              </w:rPr>
              <w:t xml:space="preserve">            0.82 </w:t>
            </w:r>
          </w:p>
        </w:tc>
        <w:tc>
          <w:tcPr>
            <w:tcW w:w="345" w:type="dxa"/>
            <w:tcBorders>
              <w:top w:val="nil"/>
              <w:left w:val="nil"/>
              <w:bottom w:val="nil"/>
              <w:right w:val="nil"/>
            </w:tcBorders>
            <w:shd w:val="clear" w:color="auto" w:fill="auto"/>
            <w:noWrap/>
            <w:vAlign w:val="bottom"/>
            <w:hideMark/>
          </w:tcPr>
          <w:p w14:paraId="1CA6519C" w14:textId="77777777" w:rsidR="000F1480" w:rsidRPr="00C245A2" w:rsidRDefault="000F1480" w:rsidP="00AF2CC4">
            <w:pPr>
              <w:spacing w:after="0"/>
              <w:jc w:val="right"/>
              <w:rPr>
                <w:rFonts w:ascii="Garamond" w:eastAsia="Times New Roman" w:hAnsi="Garamond" w:cs="Times New Roman"/>
                <w:color w:val="000000"/>
                <w:sz w:val="24"/>
                <w:szCs w:val="24"/>
              </w:rPr>
            </w:pPr>
          </w:p>
        </w:tc>
        <w:tc>
          <w:tcPr>
            <w:tcW w:w="1741" w:type="dxa"/>
            <w:tcBorders>
              <w:top w:val="nil"/>
              <w:left w:val="nil"/>
              <w:bottom w:val="nil"/>
              <w:right w:val="single" w:sz="8" w:space="0" w:color="7F7F7F"/>
            </w:tcBorders>
            <w:shd w:val="clear" w:color="000000" w:fill="FFFFFF"/>
            <w:noWrap/>
            <w:vAlign w:val="center"/>
            <w:hideMark/>
          </w:tcPr>
          <w:p w14:paraId="33959AD9" w14:textId="77777777" w:rsidR="000F1480" w:rsidRPr="00C245A2" w:rsidRDefault="000F1480" w:rsidP="00AF2CC4">
            <w:pPr>
              <w:spacing w:after="0"/>
              <w:jc w:val="right"/>
              <w:rPr>
                <w:rFonts w:ascii="Garamond" w:eastAsia="Times New Roman" w:hAnsi="Garamond" w:cs="Times New Roman"/>
                <w:i/>
                <w:iCs/>
                <w:color w:val="000000"/>
                <w:sz w:val="24"/>
                <w:szCs w:val="24"/>
              </w:rPr>
            </w:pPr>
            <w:r w:rsidRPr="00C245A2">
              <w:rPr>
                <w:rFonts w:ascii="Garamond" w:eastAsia="Times New Roman" w:hAnsi="Garamond" w:cs="Times New Roman"/>
                <w:i/>
                <w:iCs/>
                <w:color w:val="000000"/>
                <w:sz w:val="24"/>
                <w:szCs w:val="24"/>
              </w:rPr>
              <w:t>Insurance</w:t>
            </w:r>
          </w:p>
        </w:tc>
        <w:tc>
          <w:tcPr>
            <w:tcW w:w="1461" w:type="dxa"/>
            <w:tcBorders>
              <w:top w:val="nil"/>
              <w:left w:val="nil"/>
              <w:bottom w:val="nil"/>
              <w:right w:val="nil"/>
            </w:tcBorders>
            <w:shd w:val="clear" w:color="auto" w:fill="auto"/>
            <w:noWrap/>
            <w:vAlign w:val="bottom"/>
            <w:hideMark/>
          </w:tcPr>
          <w:p w14:paraId="0D62541F"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Arial"/>
                <w:color w:val="000000"/>
                <w:sz w:val="24"/>
                <w:szCs w:val="24"/>
              </w:rPr>
              <w:t xml:space="preserve">            0.65 </w:t>
            </w:r>
          </w:p>
        </w:tc>
        <w:tc>
          <w:tcPr>
            <w:tcW w:w="1255" w:type="dxa"/>
            <w:gridSpan w:val="2"/>
            <w:tcBorders>
              <w:top w:val="nil"/>
              <w:left w:val="nil"/>
              <w:bottom w:val="nil"/>
              <w:right w:val="nil"/>
            </w:tcBorders>
            <w:shd w:val="clear" w:color="auto" w:fill="auto"/>
            <w:noWrap/>
            <w:vAlign w:val="bottom"/>
            <w:hideMark/>
          </w:tcPr>
          <w:p w14:paraId="1041E236" w14:textId="77777777" w:rsidR="000F1480" w:rsidRPr="00C245A2" w:rsidRDefault="000F1480" w:rsidP="00AF2CC4">
            <w:pPr>
              <w:spacing w:after="0"/>
              <w:jc w:val="center"/>
              <w:rPr>
                <w:rFonts w:ascii="Garamond" w:eastAsia="Times New Roman" w:hAnsi="Garamond" w:cs="Times New Roman"/>
                <w:color w:val="000000"/>
                <w:sz w:val="24"/>
                <w:szCs w:val="24"/>
              </w:rPr>
            </w:pPr>
            <w:r w:rsidRPr="00C245A2">
              <w:rPr>
                <w:rFonts w:ascii="Garamond" w:hAnsi="Garamond" w:cs="Arial"/>
                <w:color w:val="000000"/>
                <w:sz w:val="24"/>
                <w:szCs w:val="24"/>
              </w:rPr>
              <w:t xml:space="preserve">            0.38 </w:t>
            </w:r>
          </w:p>
        </w:tc>
      </w:tr>
    </w:tbl>
    <w:p w14:paraId="7F8C9EC1" w14:textId="77777777" w:rsidR="003A403C" w:rsidRPr="00C245A2" w:rsidRDefault="003A403C" w:rsidP="003A403C">
      <w:pPr>
        <w:autoSpaceDE w:val="0"/>
        <w:autoSpaceDN w:val="0"/>
        <w:adjustRightInd w:val="0"/>
        <w:spacing w:after="0"/>
        <w:rPr>
          <w:rFonts w:ascii="Garamond" w:hAnsi="Garamond" w:cs="Times New Roman"/>
          <w:color w:val="000000"/>
          <w:sz w:val="24"/>
          <w:szCs w:val="24"/>
        </w:rPr>
      </w:pPr>
    </w:p>
    <w:p w14:paraId="2633A5FB" w14:textId="77777777" w:rsidR="003A403C" w:rsidRPr="00C245A2" w:rsidRDefault="003A403C" w:rsidP="003A403C">
      <w:pPr>
        <w:pStyle w:val="CaseBullets1"/>
        <w:numPr>
          <w:ilvl w:val="0"/>
          <w:numId w:val="0"/>
        </w:numPr>
        <w:jc w:val="left"/>
        <w:rPr>
          <w:sz w:val="24"/>
          <w:szCs w:val="24"/>
          <w:shd w:val="clear" w:color="auto" w:fill="FFFFFF"/>
        </w:rPr>
      </w:pPr>
    </w:p>
    <w:p w14:paraId="267344F5" w14:textId="77777777" w:rsidR="003A403C" w:rsidRPr="00C245A2" w:rsidRDefault="003A403C" w:rsidP="003A403C">
      <w:pPr>
        <w:pStyle w:val="CaseBullets1"/>
        <w:numPr>
          <w:ilvl w:val="0"/>
          <w:numId w:val="0"/>
        </w:numPr>
        <w:spacing w:line="480" w:lineRule="auto"/>
        <w:jc w:val="left"/>
        <w:rPr>
          <w:sz w:val="24"/>
          <w:szCs w:val="24"/>
          <w:shd w:val="clear" w:color="auto" w:fill="FFFFFF"/>
        </w:rPr>
      </w:pPr>
      <w:r w:rsidRPr="00C245A2">
        <w:rPr>
          <w:sz w:val="24"/>
          <w:szCs w:val="24"/>
          <w:shd w:val="clear" w:color="auto" w:fill="FFFFFF"/>
        </w:rPr>
        <w:lastRenderedPageBreak/>
        <w:t>Considering precedential use of the GFD set in other research, of our own selective checking for accuracy of the data, and of correspondence with another prominent data set, we base our calculations on the GFD price series.</w:t>
      </w:r>
    </w:p>
    <w:p w14:paraId="10450DAB" w14:textId="77777777" w:rsidR="00852222" w:rsidRPr="00C245A2" w:rsidRDefault="00852222" w:rsidP="00D0448F">
      <w:pPr>
        <w:pStyle w:val="CaseBullets1"/>
        <w:numPr>
          <w:ilvl w:val="0"/>
          <w:numId w:val="0"/>
        </w:numPr>
        <w:spacing w:line="480" w:lineRule="auto"/>
        <w:jc w:val="left"/>
        <w:rPr>
          <w:b/>
          <w:bCs/>
          <w:sz w:val="24"/>
          <w:szCs w:val="24"/>
          <w:shd w:val="clear" w:color="auto" w:fill="FFFFFF"/>
        </w:rPr>
      </w:pPr>
    </w:p>
    <w:p w14:paraId="1BA82177" w14:textId="77777777" w:rsidR="00852222" w:rsidRPr="00C245A2" w:rsidRDefault="00852222">
      <w:pPr>
        <w:rPr>
          <w:rFonts w:ascii="Garamond" w:hAnsi="Garamond" w:cs="Times New Roman"/>
          <w:b/>
          <w:bCs/>
          <w:kern w:val="0"/>
          <w:sz w:val="24"/>
          <w:szCs w:val="24"/>
          <w:shd w:val="clear" w:color="auto" w:fill="FFFFFF"/>
          <w14:ligatures w14:val="none"/>
        </w:rPr>
      </w:pPr>
      <w:r w:rsidRPr="00C245A2">
        <w:rPr>
          <w:rFonts w:ascii="Garamond" w:hAnsi="Garamond"/>
          <w:b/>
          <w:bCs/>
          <w:sz w:val="24"/>
          <w:szCs w:val="24"/>
          <w:shd w:val="clear" w:color="auto" w:fill="FFFFFF"/>
        </w:rPr>
        <w:br w:type="page"/>
      </w:r>
    </w:p>
    <w:p w14:paraId="110BC739" w14:textId="442A0900" w:rsidR="00D0448F" w:rsidRPr="00C245A2" w:rsidRDefault="00D0448F" w:rsidP="00D0448F">
      <w:pPr>
        <w:pStyle w:val="CaseBullets1"/>
        <w:numPr>
          <w:ilvl w:val="0"/>
          <w:numId w:val="0"/>
        </w:numPr>
        <w:spacing w:line="480" w:lineRule="auto"/>
        <w:jc w:val="left"/>
        <w:rPr>
          <w:b/>
          <w:bCs/>
          <w:sz w:val="24"/>
          <w:szCs w:val="24"/>
          <w:shd w:val="clear" w:color="auto" w:fill="FFFFFF"/>
        </w:rPr>
      </w:pPr>
      <w:r w:rsidRPr="00C245A2">
        <w:rPr>
          <w:b/>
          <w:bCs/>
          <w:sz w:val="24"/>
          <w:szCs w:val="24"/>
          <w:shd w:val="clear" w:color="auto" w:fill="FFFFFF"/>
        </w:rPr>
        <w:lastRenderedPageBreak/>
        <w:t xml:space="preserve">Appendix </w:t>
      </w:r>
      <w:r w:rsidR="003D7F30" w:rsidRPr="00C245A2">
        <w:rPr>
          <w:b/>
          <w:bCs/>
          <w:sz w:val="24"/>
          <w:szCs w:val="24"/>
          <w:shd w:val="clear" w:color="auto" w:fill="FFFFFF"/>
        </w:rPr>
        <w:t>2</w:t>
      </w:r>
      <w:r w:rsidRPr="00C245A2">
        <w:rPr>
          <w:b/>
          <w:bCs/>
          <w:sz w:val="24"/>
          <w:szCs w:val="24"/>
          <w:shd w:val="clear" w:color="auto" w:fill="FFFFFF"/>
        </w:rPr>
        <w:t>: Test of Robustness about Information Leakage</w:t>
      </w:r>
    </w:p>
    <w:p w14:paraId="0D304C38" w14:textId="707E47B4" w:rsidR="004270DD" w:rsidRPr="00C245A2" w:rsidRDefault="00D0448F" w:rsidP="00A06688">
      <w:pPr>
        <w:pStyle w:val="CaseParagraph"/>
        <w:spacing w:before="0" w:line="480" w:lineRule="auto"/>
        <w:ind w:firstLine="720"/>
        <w:jc w:val="left"/>
        <w:rPr>
          <w:rFonts w:eastAsiaTheme="minorEastAsia"/>
          <w:sz w:val="24"/>
          <w:szCs w:val="24"/>
        </w:rPr>
      </w:pPr>
      <w:r w:rsidRPr="00C245A2">
        <w:rPr>
          <w:rFonts w:eastAsiaTheme="minorEastAsia"/>
          <w:i/>
          <w:sz w:val="24"/>
          <w:szCs w:val="24"/>
        </w:rPr>
        <w:t xml:space="preserve">The Times of London </w:t>
      </w:r>
      <w:r w:rsidRPr="00C245A2">
        <w:rPr>
          <w:rFonts w:eastAsiaTheme="minorEastAsia"/>
          <w:sz w:val="24"/>
          <w:szCs w:val="24"/>
        </w:rPr>
        <w:t xml:space="preserve">reported on various occasions the allegations that news of government policy innovations had leaked to traders in advance of </w:t>
      </w:r>
      <w:r w:rsidR="001D4AD3" w:rsidRPr="00C245A2">
        <w:rPr>
          <w:rFonts w:eastAsiaTheme="minorEastAsia"/>
          <w:sz w:val="24"/>
          <w:szCs w:val="24"/>
        </w:rPr>
        <w:t>public ann</w:t>
      </w:r>
      <w:r w:rsidR="00DD7EF2" w:rsidRPr="00C245A2">
        <w:rPr>
          <w:rFonts w:eastAsiaTheme="minorEastAsia"/>
          <w:sz w:val="24"/>
          <w:szCs w:val="24"/>
        </w:rPr>
        <w:t>o</w:t>
      </w:r>
      <w:r w:rsidR="001D4AD3" w:rsidRPr="00C245A2">
        <w:rPr>
          <w:rFonts w:eastAsiaTheme="minorEastAsia"/>
          <w:sz w:val="24"/>
          <w:szCs w:val="24"/>
        </w:rPr>
        <w:t>uncements</w:t>
      </w:r>
      <w:r w:rsidRPr="00C245A2">
        <w:rPr>
          <w:rFonts w:eastAsiaTheme="minorEastAsia"/>
          <w:sz w:val="24"/>
          <w:szCs w:val="24"/>
        </w:rPr>
        <w:t>.  Therefore, we repeated the analysis by enlarging the event episode to include one more day, starting from day T-2 rather than T-1.</w:t>
      </w:r>
      <w:r w:rsidR="00B70F61" w:rsidRPr="00C245A2">
        <w:rPr>
          <w:rFonts w:eastAsiaTheme="minorEastAsia"/>
          <w:sz w:val="24"/>
          <w:szCs w:val="24"/>
        </w:rPr>
        <w:t xml:space="preserve"> </w:t>
      </w:r>
    </w:p>
    <w:p w14:paraId="70DAF39C" w14:textId="37B965EE" w:rsidR="00B70F61" w:rsidRPr="00C245A2" w:rsidRDefault="00B70F61" w:rsidP="00A06688">
      <w:pPr>
        <w:pStyle w:val="CaseParagraph"/>
        <w:spacing w:before="0" w:line="480" w:lineRule="auto"/>
        <w:ind w:firstLine="720"/>
        <w:jc w:val="left"/>
        <w:rPr>
          <w:rFonts w:eastAsiaTheme="minorEastAsia"/>
          <w:sz w:val="24"/>
          <w:szCs w:val="24"/>
        </w:rPr>
      </w:pPr>
      <w:r w:rsidRPr="00C245A2">
        <w:rPr>
          <w:rFonts w:eastAsiaTheme="minorEastAsia"/>
          <w:b/>
          <w:bCs/>
          <w:sz w:val="24"/>
          <w:szCs w:val="24"/>
        </w:rPr>
        <w:t xml:space="preserve">Table </w:t>
      </w:r>
      <w:r w:rsidR="00D552A9" w:rsidRPr="00C245A2">
        <w:rPr>
          <w:rFonts w:eastAsiaTheme="minorEastAsia"/>
          <w:b/>
          <w:bCs/>
          <w:sz w:val="24"/>
          <w:szCs w:val="24"/>
        </w:rPr>
        <w:t>A</w:t>
      </w:r>
      <w:r w:rsidRPr="00C245A2">
        <w:rPr>
          <w:rFonts w:eastAsiaTheme="minorEastAsia"/>
          <w:b/>
          <w:bCs/>
          <w:sz w:val="24"/>
          <w:szCs w:val="24"/>
        </w:rPr>
        <w:t xml:space="preserve">2.1 </w:t>
      </w:r>
      <w:r w:rsidR="00543435" w:rsidRPr="00C245A2">
        <w:rPr>
          <w:rFonts w:eastAsiaTheme="minorEastAsia"/>
          <w:sz w:val="24"/>
          <w:szCs w:val="24"/>
        </w:rPr>
        <w:t>gives the test</w:t>
      </w:r>
      <w:r w:rsidR="00206832" w:rsidRPr="00C245A2">
        <w:rPr>
          <w:rFonts w:eastAsiaTheme="minorEastAsia"/>
          <w:sz w:val="24"/>
          <w:szCs w:val="24"/>
        </w:rPr>
        <w:t xml:space="preserve"> of</w:t>
      </w:r>
      <w:r w:rsidR="00543435" w:rsidRPr="00C245A2">
        <w:rPr>
          <w:rFonts w:eastAsiaTheme="minorEastAsia"/>
          <w:sz w:val="24"/>
          <w:szCs w:val="24"/>
        </w:rPr>
        <w:t xml:space="preserve"> CERs vs RURs </w:t>
      </w:r>
      <w:r w:rsidR="00206832" w:rsidRPr="00C245A2">
        <w:rPr>
          <w:rFonts w:eastAsiaTheme="minorEastAsia"/>
          <w:sz w:val="24"/>
          <w:szCs w:val="24"/>
        </w:rPr>
        <w:t>for comparison to Table 1 in the paper</w:t>
      </w:r>
      <w:r w:rsidR="00833FF6" w:rsidRPr="00C245A2">
        <w:rPr>
          <w:rFonts w:eastAsiaTheme="minorEastAsia"/>
          <w:sz w:val="24"/>
          <w:szCs w:val="24"/>
        </w:rPr>
        <w:t xml:space="preserve">.  Adding the one additional day </w:t>
      </w:r>
      <w:r w:rsidR="00195D38" w:rsidRPr="00C245A2">
        <w:rPr>
          <w:rFonts w:eastAsiaTheme="minorEastAsia"/>
          <w:sz w:val="24"/>
          <w:szCs w:val="24"/>
        </w:rPr>
        <w:t xml:space="preserve">(from T-1 to T-2) </w:t>
      </w:r>
      <w:r w:rsidR="00D951D5" w:rsidRPr="00C245A2">
        <w:rPr>
          <w:rFonts w:eastAsiaTheme="minorEastAsia"/>
          <w:sz w:val="24"/>
          <w:szCs w:val="24"/>
        </w:rPr>
        <w:t xml:space="preserve">induces no material change from the results in Table 1.  </w:t>
      </w:r>
      <w:r w:rsidR="0098081B" w:rsidRPr="00C245A2">
        <w:rPr>
          <w:rFonts w:eastAsiaTheme="minorEastAsia"/>
          <w:sz w:val="24"/>
          <w:szCs w:val="24"/>
        </w:rPr>
        <w:t xml:space="preserve">In both Table 1 and Table 2.1, the </w:t>
      </w:r>
      <w:r w:rsidR="004E5C03" w:rsidRPr="00C245A2">
        <w:rPr>
          <w:rFonts w:eastAsiaTheme="minorEastAsia"/>
          <w:sz w:val="24"/>
          <w:szCs w:val="24"/>
        </w:rPr>
        <w:t>difference of event returns from non-</w:t>
      </w:r>
      <w:r w:rsidR="00157B3C" w:rsidRPr="00C245A2">
        <w:rPr>
          <w:rFonts w:eastAsiaTheme="minorEastAsia"/>
          <w:sz w:val="24"/>
          <w:szCs w:val="24"/>
        </w:rPr>
        <w:t>e</w:t>
      </w:r>
      <w:r w:rsidR="004E5C03" w:rsidRPr="00C245A2">
        <w:rPr>
          <w:rFonts w:eastAsiaTheme="minorEastAsia"/>
          <w:sz w:val="24"/>
          <w:szCs w:val="24"/>
        </w:rPr>
        <w:t xml:space="preserve">vent returns remains </w:t>
      </w:r>
      <w:r w:rsidR="00823BC3" w:rsidRPr="00C245A2">
        <w:rPr>
          <w:rFonts w:eastAsiaTheme="minorEastAsia"/>
          <w:sz w:val="24"/>
          <w:szCs w:val="24"/>
        </w:rPr>
        <w:t>material and significant</w:t>
      </w:r>
      <w:r w:rsidR="00ED3797" w:rsidRPr="00C245A2">
        <w:rPr>
          <w:rFonts w:eastAsiaTheme="minorEastAsia"/>
          <w:sz w:val="24"/>
          <w:szCs w:val="24"/>
        </w:rPr>
        <w:t xml:space="preserve">, and the bootstrap test </w:t>
      </w:r>
      <w:r w:rsidR="00146FF4" w:rsidRPr="00C245A2">
        <w:rPr>
          <w:rFonts w:eastAsiaTheme="minorEastAsia"/>
          <w:sz w:val="24"/>
          <w:szCs w:val="24"/>
        </w:rPr>
        <w:t xml:space="preserve">finds a significant difference between the distributions </w:t>
      </w:r>
      <w:r w:rsidR="00106E05" w:rsidRPr="00C245A2">
        <w:rPr>
          <w:rFonts w:eastAsiaTheme="minorEastAsia"/>
          <w:sz w:val="24"/>
          <w:szCs w:val="24"/>
        </w:rPr>
        <w:t>of all</w:t>
      </w:r>
      <w:r w:rsidR="00146FF4" w:rsidRPr="00C245A2">
        <w:rPr>
          <w:rFonts w:eastAsiaTheme="minorEastAsia"/>
          <w:sz w:val="24"/>
          <w:szCs w:val="24"/>
        </w:rPr>
        <w:t xml:space="preserve"> </w:t>
      </w:r>
      <w:proofErr w:type="gramStart"/>
      <w:r w:rsidR="00146FF4" w:rsidRPr="00C245A2">
        <w:rPr>
          <w:rFonts w:eastAsiaTheme="minorEastAsia"/>
          <w:sz w:val="24"/>
          <w:szCs w:val="24"/>
        </w:rPr>
        <w:t>event</w:t>
      </w:r>
      <w:proofErr w:type="gramEnd"/>
      <w:r w:rsidR="00146FF4" w:rsidRPr="00C245A2">
        <w:rPr>
          <w:rFonts w:eastAsiaTheme="minorEastAsia"/>
          <w:sz w:val="24"/>
          <w:szCs w:val="24"/>
        </w:rPr>
        <w:t xml:space="preserve"> returns versus </w:t>
      </w:r>
      <w:r w:rsidR="00D552A9" w:rsidRPr="00C245A2">
        <w:rPr>
          <w:rFonts w:eastAsiaTheme="minorEastAsia"/>
          <w:sz w:val="24"/>
          <w:szCs w:val="24"/>
        </w:rPr>
        <w:t>returns of the</w:t>
      </w:r>
      <w:r w:rsidR="00146FF4" w:rsidRPr="00C245A2">
        <w:rPr>
          <w:rFonts w:eastAsiaTheme="minorEastAsia"/>
          <w:sz w:val="24"/>
          <w:szCs w:val="24"/>
        </w:rPr>
        <w:t xml:space="preserve"> </w:t>
      </w:r>
      <w:r w:rsidR="00D552A9" w:rsidRPr="00C245A2">
        <w:rPr>
          <w:rFonts w:eastAsiaTheme="minorEastAsia"/>
          <w:sz w:val="24"/>
          <w:szCs w:val="24"/>
        </w:rPr>
        <w:t>entire run-up.</w:t>
      </w:r>
    </w:p>
    <w:p w14:paraId="581483FA" w14:textId="77777777" w:rsidR="00570338" w:rsidRPr="00C245A2" w:rsidRDefault="00D0448F" w:rsidP="00A06688">
      <w:pPr>
        <w:pStyle w:val="CaseParagraph"/>
        <w:spacing w:before="0" w:line="480" w:lineRule="auto"/>
        <w:ind w:firstLine="720"/>
        <w:jc w:val="left"/>
        <w:rPr>
          <w:sz w:val="24"/>
          <w:szCs w:val="24"/>
        </w:rPr>
      </w:pPr>
      <w:r w:rsidRPr="00C245A2">
        <w:rPr>
          <w:rFonts w:eastAsiaTheme="minorEastAsia"/>
          <w:sz w:val="24"/>
          <w:szCs w:val="24"/>
        </w:rPr>
        <w:t xml:space="preserve">  </w:t>
      </w:r>
      <w:r w:rsidRPr="00C245A2">
        <w:rPr>
          <w:b/>
          <w:bCs/>
          <w:sz w:val="24"/>
          <w:szCs w:val="24"/>
        </w:rPr>
        <w:t>Table</w:t>
      </w:r>
      <w:r w:rsidR="005136CE" w:rsidRPr="00C245A2">
        <w:rPr>
          <w:b/>
          <w:bCs/>
          <w:sz w:val="24"/>
          <w:szCs w:val="24"/>
        </w:rPr>
        <w:t xml:space="preserve"> A</w:t>
      </w:r>
      <w:r w:rsidR="005B0473" w:rsidRPr="00C245A2">
        <w:rPr>
          <w:b/>
          <w:bCs/>
          <w:sz w:val="24"/>
          <w:szCs w:val="24"/>
        </w:rPr>
        <w:t>2</w:t>
      </w:r>
      <w:r w:rsidR="00B70F61" w:rsidRPr="00C245A2">
        <w:rPr>
          <w:b/>
          <w:bCs/>
          <w:sz w:val="24"/>
          <w:szCs w:val="24"/>
        </w:rPr>
        <w:t>.2</w:t>
      </w:r>
      <w:r w:rsidRPr="00C245A2">
        <w:rPr>
          <w:sz w:val="24"/>
          <w:szCs w:val="24"/>
        </w:rPr>
        <w:t xml:space="preserve"> </w:t>
      </w:r>
      <w:r w:rsidR="000E595E" w:rsidRPr="00C245A2">
        <w:rPr>
          <w:sz w:val="24"/>
          <w:szCs w:val="24"/>
        </w:rPr>
        <w:t>considers</w:t>
      </w:r>
      <w:r w:rsidRPr="00C245A2">
        <w:rPr>
          <w:sz w:val="24"/>
          <w:szCs w:val="24"/>
        </w:rPr>
        <w:t xml:space="preserve"> possible information leakage around the</w:t>
      </w:r>
      <w:r w:rsidR="00106E05" w:rsidRPr="00C245A2">
        <w:rPr>
          <w:sz w:val="24"/>
          <w:szCs w:val="24"/>
        </w:rPr>
        <w:t xml:space="preserve"> 18</w:t>
      </w:r>
      <w:r w:rsidRPr="00C245A2">
        <w:rPr>
          <w:sz w:val="24"/>
          <w:szCs w:val="24"/>
        </w:rPr>
        <w:t xml:space="preserve"> legislative event</w:t>
      </w:r>
      <w:r w:rsidR="00106E05" w:rsidRPr="00C245A2">
        <w:rPr>
          <w:sz w:val="24"/>
          <w:szCs w:val="24"/>
        </w:rPr>
        <w:t xml:space="preserve"> episodes</w:t>
      </w:r>
      <w:r w:rsidR="002D0A4C" w:rsidRPr="00C245A2">
        <w:rPr>
          <w:sz w:val="24"/>
          <w:szCs w:val="24"/>
        </w:rPr>
        <w:t xml:space="preserve">: an </w:t>
      </w:r>
      <w:r w:rsidR="002D0A4C" w:rsidRPr="00C245A2">
        <w:rPr>
          <w:i/>
          <w:iCs/>
          <w:sz w:val="24"/>
          <w:szCs w:val="24"/>
        </w:rPr>
        <w:t xml:space="preserve">increase </w:t>
      </w:r>
      <w:r w:rsidR="002D0A4C" w:rsidRPr="00C245A2">
        <w:rPr>
          <w:sz w:val="24"/>
          <w:szCs w:val="24"/>
        </w:rPr>
        <w:t>in returns due to adding one more day</w:t>
      </w:r>
      <w:r w:rsidR="00E46803" w:rsidRPr="00C245A2">
        <w:rPr>
          <w:sz w:val="24"/>
          <w:szCs w:val="24"/>
        </w:rPr>
        <w:t xml:space="preserve"> would be consistent with leakage</w:t>
      </w:r>
      <w:r w:rsidRPr="00C245A2">
        <w:rPr>
          <w:sz w:val="24"/>
          <w:szCs w:val="24"/>
        </w:rPr>
        <w:t xml:space="preserve">.   </w:t>
      </w:r>
      <w:r w:rsidR="00A24C89" w:rsidRPr="00C245A2">
        <w:rPr>
          <w:sz w:val="24"/>
          <w:szCs w:val="24"/>
        </w:rPr>
        <w:t>T</w:t>
      </w:r>
      <w:r w:rsidR="00D50FDE" w:rsidRPr="00C245A2">
        <w:rPr>
          <w:sz w:val="24"/>
          <w:szCs w:val="24"/>
        </w:rPr>
        <w:t>he</w:t>
      </w:r>
      <w:r w:rsidRPr="00C245A2">
        <w:rPr>
          <w:sz w:val="24"/>
          <w:szCs w:val="24"/>
        </w:rPr>
        <w:t xml:space="preserve"> </w:t>
      </w:r>
      <w:r w:rsidR="00D50FDE" w:rsidRPr="00C245A2">
        <w:rPr>
          <w:sz w:val="24"/>
          <w:szCs w:val="24"/>
        </w:rPr>
        <w:t>t</w:t>
      </w:r>
      <w:r w:rsidRPr="00C245A2">
        <w:rPr>
          <w:sz w:val="24"/>
          <w:szCs w:val="24"/>
        </w:rPr>
        <w:t xml:space="preserve">able </w:t>
      </w:r>
      <w:r w:rsidR="0027552B" w:rsidRPr="00C245A2">
        <w:rPr>
          <w:sz w:val="24"/>
          <w:szCs w:val="24"/>
        </w:rPr>
        <w:t xml:space="preserve">affords two main insights.  First, </w:t>
      </w:r>
      <w:r w:rsidR="00113CD5" w:rsidRPr="00C245A2">
        <w:rPr>
          <w:sz w:val="24"/>
          <w:szCs w:val="24"/>
        </w:rPr>
        <w:t xml:space="preserve">in terms of </w:t>
      </w:r>
      <w:r w:rsidR="0035074A" w:rsidRPr="00C245A2">
        <w:rPr>
          <w:sz w:val="24"/>
          <w:szCs w:val="24"/>
        </w:rPr>
        <w:t xml:space="preserve">statistical significance of CERs, Table A2.2 </w:t>
      </w:r>
      <w:r w:rsidR="00437075" w:rsidRPr="00C245A2">
        <w:rPr>
          <w:sz w:val="24"/>
          <w:szCs w:val="24"/>
        </w:rPr>
        <w:t xml:space="preserve">reveals only one </w:t>
      </w:r>
      <w:r w:rsidR="00437075" w:rsidRPr="00C245A2">
        <w:rPr>
          <w:i/>
          <w:iCs/>
          <w:sz w:val="24"/>
          <w:szCs w:val="24"/>
        </w:rPr>
        <w:t xml:space="preserve">new </w:t>
      </w:r>
      <w:r w:rsidR="00437075" w:rsidRPr="00C245A2">
        <w:rPr>
          <w:sz w:val="24"/>
          <w:szCs w:val="24"/>
        </w:rPr>
        <w:t xml:space="preserve">significant CER, that of the Metals Sector </w:t>
      </w:r>
      <w:r w:rsidR="00AB6CA9" w:rsidRPr="00C245A2">
        <w:rPr>
          <w:sz w:val="24"/>
          <w:szCs w:val="24"/>
        </w:rPr>
        <w:t>in March 1844 (line 2)</w:t>
      </w:r>
      <w:r w:rsidR="000D1B22" w:rsidRPr="00C245A2">
        <w:rPr>
          <w:sz w:val="24"/>
          <w:szCs w:val="24"/>
        </w:rPr>
        <w:t>, which is consistent with information leakage</w:t>
      </w:r>
      <w:r w:rsidR="00AB6CA9" w:rsidRPr="00C245A2">
        <w:rPr>
          <w:sz w:val="24"/>
          <w:szCs w:val="24"/>
        </w:rPr>
        <w:t>.  O</w:t>
      </w:r>
      <w:r w:rsidR="001A5ADD" w:rsidRPr="00C245A2">
        <w:rPr>
          <w:sz w:val="24"/>
          <w:szCs w:val="24"/>
        </w:rPr>
        <w:t xml:space="preserve">f the </w:t>
      </w:r>
      <w:r w:rsidR="00715A96" w:rsidRPr="00C245A2">
        <w:rPr>
          <w:sz w:val="24"/>
          <w:szCs w:val="24"/>
        </w:rPr>
        <w:t>15 significant CERs in Table 2 of the paper</w:t>
      </w:r>
      <w:r w:rsidR="009F34C0" w:rsidRPr="00C245A2">
        <w:rPr>
          <w:sz w:val="24"/>
          <w:szCs w:val="24"/>
        </w:rPr>
        <w:t>,</w:t>
      </w:r>
      <w:r w:rsidR="00715A96" w:rsidRPr="00C245A2">
        <w:rPr>
          <w:sz w:val="24"/>
          <w:szCs w:val="24"/>
        </w:rPr>
        <w:t xml:space="preserve"> </w:t>
      </w:r>
      <w:r w:rsidR="00114CB8" w:rsidRPr="00C245A2">
        <w:rPr>
          <w:sz w:val="24"/>
          <w:szCs w:val="24"/>
        </w:rPr>
        <w:t>10 remain significant after enlarging the window by one day</w:t>
      </w:r>
      <w:r w:rsidR="00B3013C" w:rsidRPr="00C245A2">
        <w:rPr>
          <w:sz w:val="24"/>
          <w:szCs w:val="24"/>
        </w:rPr>
        <w:t xml:space="preserve">, which </w:t>
      </w:r>
      <w:r w:rsidR="003C5369" w:rsidRPr="00C245A2">
        <w:rPr>
          <w:sz w:val="24"/>
          <w:szCs w:val="24"/>
        </w:rPr>
        <w:t xml:space="preserve">suggests that </w:t>
      </w:r>
      <w:r w:rsidR="00B14450" w:rsidRPr="00C245A2">
        <w:rPr>
          <w:sz w:val="24"/>
          <w:szCs w:val="24"/>
        </w:rPr>
        <w:t>for the five episodes</w:t>
      </w:r>
      <w:r w:rsidR="0048312D" w:rsidRPr="00C245A2">
        <w:rPr>
          <w:sz w:val="24"/>
          <w:szCs w:val="24"/>
        </w:rPr>
        <w:t xml:space="preserve"> that dropped in significance, </w:t>
      </w:r>
      <w:r w:rsidR="003C5369" w:rsidRPr="00C245A2">
        <w:rPr>
          <w:sz w:val="24"/>
          <w:szCs w:val="24"/>
        </w:rPr>
        <w:t>the addition of one day</w:t>
      </w:r>
      <w:r w:rsidR="00B14450" w:rsidRPr="00C245A2">
        <w:rPr>
          <w:sz w:val="24"/>
          <w:szCs w:val="24"/>
        </w:rPr>
        <w:t xml:space="preserve"> merely adds noise, rather than information</w:t>
      </w:r>
      <w:r w:rsidR="00B3013C" w:rsidRPr="00C245A2">
        <w:rPr>
          <w:sz w:val="24"/>
          <w:szCs w:val="24"/>
        </w:rPr>
        <w:t xml:space="preserve">.  </w:t>
      </w:r>
    </w:p>
    <w:p w14:paraId="65132969" w14:textId="3567CA01" w:rsidR="001244D1" w:rsidRPr="00C245A2" w:rsidRDefault="00570338" w:rsidP="00A06688">
      <w:pPr>
        <w:pStyle w:val="CaseParagraph"/>
        <w:spacing w:before="0" w:line="480" w:lineRule="auto"/>
        <w:ind w:firstLine="720"/>
        <w:jc w:val="left"/>
        <w:rPr>
          <w:sz w:val="24"/>
          <w:szCs w:val="24"/>
        </w:rPr>
      </w:pPr>
      <w:r w:rsidRPr="00C245A2">
        <w:rPr>
          <w:sz w:val="24"/>
          <w:szCs w:val="24"/>
        </w:rPr>
        <w:t xml:space="preserve">Second, </w:t>
      </w:r>
      <w:r w:rsidR="000F5173" w:rsidRPr="00C245A2">
        <w:rPr>
          <w:sz w:val="24"/>
          <w:szCs w:val="24"/>
        </w:rPr>
        <w:t xml:space="preserve">a comparison of the significant </w:t>
      </w:r>
      <w:r w:rsidR="001E7510" w:rsidRPr="00C245A2">
        <w:rPr>
          <w:sz w:val="24"/>
          <w:szCs w:val="24"/>
        </w:rPr>
        <w:t xml:space="preserve">railway sector </w:t>
      </w:r>
      <w:r w:rsidR="000F5173" w:rsidRPr="00C245A2">
        <w:rPr>
          <w:sz w:val="24"/>
          <w:szCs w:val="24"/>
        </w:rPr>
        <w:t>CERs between Table 2 and Table A2.2 reveals</w:t>
      </w:r>
      <w:r w:rsidR="007F54A3" w:rsidRPr="00C245A2">
        <w:rPr>
          <w:sz w:val="24"/>
          <w:szCs w:val="24"/>
        </w:rPr>
        <w:t xml:space="preserve"> </w:t>
      </w:r>
      <w:r w:rsidR="001E7510" w:rsidRPr="00C245A2">
        <w:rPr>
          <w:sz w:val="24"/>
          <w:szCs w:val="24"/>
        </w:rPr>
        <w:t xml:space="preserve">increases </w:t>
      </w:r>
      <w:r w:rsidR="003D2CD4" w:rsidRPr="00C245A2">
        <w:rPr>
          <w:sz w:val="24"/>
          <w:szCs w:val="24"/>
        </w:rPr>
        <w:t>of 0.50 percent in January 13-20, 1845 (line 11)</w:t>
      </w:r>
      <w:r w:rsidR="00DA51D4" w:rsidRPr="00C245A2">
        <w:rPr>
          <w:sz w:val="24"/>
          <w:szCs w:val="24"/>
        </w:rPr>
        <w:t xml:space="preserve"> when </w:t>
      </w:r>
      <w:r w:rsidR="00244355" w:rsidRPr="00C245A2">
        <w:rPr>
          <w:sz w:val="24"/>
          <w:szCs w:val="24"/>
        </w:rPr>
        <w:t>the Select Committee indicated a preference for incumbent railways</w:t>
      </w:r>
      <w:r w:rsidR="00DA51D4" w:rsidRPr="00C245A2">
        <w:rPr>
          <w:sz w:val="24"/>
          <w:szCs w:val="24"/>
        </w:rPr>
        <w:t xml:space="preserve">, 0.38 percent </w:t>
      </w:r>
      <w:r w:rsidR="00E300AE" w:rsidRPr="00C245A2">
        <w:rPr>
          <w:sz w:val="24"/>
          <w:szCs w:val="24"/>
        </w:rPr>
        <w:t xml:space="preserve">in May 26-June 2, 1845 when </w:t>
      </w:r>
      <w:r w:rsidR="00E532C6" w:rsidRPr="00C245A2">
        <w:rPr>
          <w:sz w:val="24"/>
          <w:szCs w:val="24"/>
        </w:rPr>
        <w:t>Lord Russell declared that repeal of the Corn Laws would be a priority for the Liberal Party (line 16),</w:t>
      </w:r>
      <w:r w:rsidR="00D563C3" w:rsidRPr="00C245A2">
        <w:rPr>
          <w:sz w:val="24"/>
          <w:szCs w:val="24"/>
        </w:rPr>
        <w:t xml:space="preserve"> 0.27 percent in March 4-8, 1844, </w:t>
      </w:r>
      <w:r w:rsidR="00BD695B" w:rsidRPr="00C245A2">
        <w:rPr>
          <w:sz w:val="24"/>
          <w:szCs w:val="24"/>
        </w:rPr>
        <w:t>with Peel’s first proposal of the Joint Stock Companies Act (line 2)</w:t>
      </w:r>
      <w:r w:rsidR="004B223B" w:rsidRPr="00C245A2">
        <w:rPr>
          <w:sz w:val="24"/>
          <w:szCs w:val="24"/>
        </w:rPr>
        <w:t>, and 0.11 percent</w:t>
      </w:r>
      <w:r w:rsidR="00CC1B11" w:rsidRPr="00C245A2">
        <w:rPr>
          <w:sz w:val="24"/>
          <w:szCs w:val="24"/>
        </w:rPr>
        <w:t xml:space="preserve"> on July 18-24, 1844 when the three major legislative initiatives </w:t>
      </w:r>
      <w:r w:rsidR="007C6927" w:rsidRPr="00C245A2">
        <w:rPr>
          <w:sz w:val="24"/>
          <w:szCs w:val="24"/>
        </w:rPr>
        <w:t>gained affirmative votes in Parliament (line 6)</w:t>
      </w:r>
      <w:r w:rsidR="00BD695B" w:rsidRPr="00C245A2">
        <w:rPr>
          <w:sz w:val="24"/>
          <w:szCs w:val="24"/>
        </w:rPr>
        <w:t xml:space="preserve">.  These </w:t>
      </w:r>
      <w:r w:rsidR="007C6927" w:rsidRPr="00C245A2">
        <w:rPr>
          <w:sz w:val="24"/>
          <w:szCs w:val="24"/>
        </w:rPr>
        <w:t xml:space="preserve">small </w:t>
      </w:r>
      <w:r w:rsidR="00BD695B" w:rsidRPr="00C245A2">
        <w:rPr>
          <w:sz w:val="24"/>
          <w:szCs w:val="24"/>
        </w:rPr>
        <w:t xml:space="preserve">increases </w:t>
      </w:r>
      <w:r w:rsidR="00BD7697" w:rsidRPr="00C245A2">
        <w:rPr>
          <w:sz w:val="24"/>
          <w:szCs w:val="24"/>
        </w:rPr>
        <w:t xml:space="preserve">imply some information leakage </w:t>
      </w:r>
      <w:r w:rsidR="007E46E2" w:rsidRPr="00C245A2">
        <w:rPr>
          <w:sz w:val="24"/>
          <w:szCs w:val="24"/>
        </w:rPr>
        <w:t>o</w:t>
      </w:r>
      <w:r w:rsidR="00BD7697" w:rsidRPr="00C245A2">
        <w:rPr>
          <w:sz w:val="24"/>
          <w:szCs w:val="24"/>
        </w:rPr>
        <w:t xml:space="preserve">n day T-2.  </w:t>
      </w:r>
    </w:p>
    <w:p w14:paraId="0BE6964C" w14:textId="2070467B" w:rsidR="00EE78CE" w:rsidRPr="00C245A2" w:rsidRDefault="00AE68BC" w:rsidP="00A06688">
      <w:pPr>
        <w:pStyle w:val="CaseParagraph"/>
        <w:spacing w:before="0" w:line="480" w:lineRule="auto"/>
        <w:ind w:firstLine="720"/>
        <w:jc w:val="left"/>
        <w:rPr>
          <w:sz w:val="24"/>
          <w:szCs w:val="24"/>
        </w:rPr>
      </w:pPr>
      <w:r w:rsidRPr="00C245A2">
        <w:rPr>
          <w:sz w:val="24"/>
          <w:szCs w:val="24"/>
        </w:rPr>
        <w:lastRenderedPageBreak/>
        <w:t xml:space="preserve">Overall, these results are qualitatively consistent with the insights obtained from Tables 1 and 2 of the paper. </w:t>
      </w:r>
      <w:r w:rsidR="00297197" w:rsidRPr="00C245A2">
        <w:rPr>
          <w:sz w:val="24"/>
          <w:szCs w:val="24"/>
        </w:rPr>
        <w:t xml:space="preserve">The </w:t>
      </w:r>
      <w:r w:rsidR="00B7359E" w:rsidRPr="00C245A2">
        <w:rPr>
          <w:sz w:val="24"/>
          <w:szCs w:val="24"/>
        </w:rPr>
        <w:t xml:space="preserve">slightly larger CERs </w:t>
      </w:r>
      <w:r w:rsidR="00E36141" w:rsidRPr="00C245A2">
        <w:rPr>
          <w:sz w:val="24"/>
          <w:szCs w:val="24"/>
        </w:rPr>
        <w:t xml:space="preserve">given in Table A2.2 </w:t>
      </w:r>
      <w:r w:rsidR="00780F44" w:rsidRPr="00C245A2">
        <w:rPr>
          <w:sz w:val="24"/>
          <w:szCs w:val="24"/>
        </w:rPr>
        <w:t xml:space="preserve">are consistent with </w:t>
      </w:r>
      <w:r w:rsidR="00195978" w:rsidRPr="00C245A2">
        <w:rPr>
          <w:sz w:val="24"/>
          <w:szCs w:val="24"/>
        </w:rPr>
        <w:t>some</w:t>
      </w:r>
      <w:r w:rsidR="00394205" w:rsidRPr="00C245A2">
        <w:rPr>
          <w:sz w:val="24"/>
          <w:szCs w:val="24"/>
        </w:rPr>
        <w:t xml:space="preserve"> leakage of information</w:t>
      </w:r>
      <w:r w:rsidR="00E36141" w:rsidRPr="00C245A2">
        <w:rPr>
          <w:sz w:val="24"/>
          <w:szCs w:val="24"/>
        </w:rPr>
        <w:t>, though the effect</w:t>
      </w:r>
      <w:r w:rsidR="00BA3006" w:rsidRPr="00C245A2">
        <w:rPr>
          <w:sz w:val="24"/>
          <w:szCs w:val="24"/>
        </w:rPr>
        <w:t xml:space="preserve"> </w:t>
      </w:r>
      <w:r w:rsidR="00125EBA" w:rsidRPr="00C245A2">
        <w:rPr>
          <w:sz w:val="24"/>
          <w:szCs w:val="24"/>
        </w:rPr>
        <w:t>on the size and</w:t>
      </w:r>
      <w:r w:rsidR="00F1415D" w:rsidRPr="00C245A2">
        <w:rPr>
          <w:sz w:val="24"/>
          <w:szCs w:val="24"/>
        </w:rPr>
        <w:t xml:space="preserve"> significance of CERs reported </w:t>
      </w:r>
      <w:r w:rsidR="00BA3006" w:rsidRPr="00C245A2">
        <w:rPr>
          <w:sz w:val="24"/>
          <w:szCs w:val="24"/>
        </w:rPr>
        <w:t>here is not material</w:t>
      </w:r>
      <w:r w:rsidR="00F1415D" w:rsidRPr="00C245A2">
        <w:rPr>
          <w:sz w:val="24"/>
          <w:szCs w:val="24"/>
        </w:rPr>
        <w:t xml:space="preserve">.  </w:t>
      </w:r>
    </w:p>
    <w:p w14:paraId="09238FD6" w14:textId="77777777" w:rsidR="00EE78CE" w:rsidRPr="00C245A2" w:rsidRDefault="00EE78CE">
      <w:pPr>
        <w:rPr>
          <w:rFonts w:ascii="Garamond" w:hAnsi="Garamond" w:cs="Times New Roman"/>
          <w:kern w:val="0"/>
          <w:sz w:val="24"/>
          <w:szCs w:val="24"/>
          <w14:ligatures w14:val="none"/>
        </w:rPr>
      </w:pPr>
      <w:r w:rsidRPr="00C245A2">
        <w:rPr>
          <w:rFonts w:ascii="Garamond" w:hAnsi="Garamond"/>
          <w:sz w:val="24"/>
          <w:szCs w:val="24"/>
        </w:rPr>
        <w:br w:type="page"/>
      </w:r>
    </w:p>
    <w:p w14:paraId="459E9139" w14:textId="77777777" w:rsidR="00D0448F" w:rsidRPr="00C245A2" w:rsidRDefault="00D0448F" w:rsidP="00D0448F">
      <w:pPr>
        <w:pStyle w:val="CaseParagraph"/>
        <w:spacing w:before="0" w:line="480" w:lineRule="auto"/>
        <w:ind w:firstLine="0"/>
        <w:jc w:val="left"/>
        <w:rPr>
          <w:rFonts w:eastAsiaTheme="minorEastAsia"/>
          <w:sz w:val="24"/>
          <w:szCs w:val="24"/>
        </w:rPr>
      </w:pPr>
    </w:p>
    <w:p w14:paraId="0A6F962C" w14:textId="4E8687E3" w:rsidR="00F617FD" w:rsidRPr="00C245A2" w:rsidRDefault="00F617FD" w:rsidP="00F617FD">
      <w:pPr>
        <w:jc w:val="both"/>
        <w:rPr>
          <w:rFonts w:ascii="Garamond" w:hAnsi="Garamond" w:cs="Calibri"/>
          <w:b/>
          <w:bCs/>
          <w:sz w:val="24"/>
          <w:szCs w:val="24"/>
        </w:rPr>
      </w:pPr>
      <w:r w:rsidRPr="00C245A2">
        <w:rPr>
          <w:rFonts w:ascii="Garamond" w:hAnsi="Garamond" w:cs="Calibri"/>
          <w:b/>
          <w:bCs/>
          <w:sz w:val="24"/>
          <w:szCs w:val="24"/>
        </w:rPr>
        <w:t>Table A2.1: Bootstrap Test for Event Periods Cumulative Returns Significance (starting at T-2)</w:t>
      </w:r>
    </w:p>
    <w:p w14:paraId="42A2720B" w14:textId="61AD7112" w:rsidR="00B16F48" w:rsidRPr="00C245A2" w:rsidRDefault="00B16F48" w:rsidP="00F617FD">
      <w:pPr>
        <w:jc w:val="both"/>
        <w:rPr>
          <w:rFonts w:ascii="Garamond" w:hAnsi="Garamond" w:cs="Calibri"/>
          <w:sz w:val="24"/>
          <w:szCs w:val="24"/>
        </w:rPr>
      </w:pPr>
      <w:r w:rsidRPr="00C245A2">
        <w:rPr>
          <w:rFonts w:ascii="Garamond" w:hAnsi="Garamond" w:cs="Calibri"/>
          <w:sz w:val="24"/>
          <w:szCs w:val="24"/>
        </w:rPr>
        <w:t>We test the robustness of the returns results using bootstrap methodology. For each market and return window, we compare the event cumulative observation period returns to a randomly drawn distribution of 100,000 cumulative returns of the same window length and from the full runup period, from each respective market. P-values are based on the position of the cumulative event returns in the top tail of the bootstrapped distributions. Thus, p&lt;0.01 indicates that the event returns were above the 99th percentile of bootstrapped returns. This table reveals positive and significant returns at event dates associated with news regarding government policy innovations.  The authors’ archival research identified event periods and non-event periods.</w:t>
      </w:r>
    </w:p>
    <w:p w14:paraId="1E5DB453" w14:textId="0CE05382" w:rsidR="008525D3" w:rsidRPr="00C245A2" w:rsidRDefault="007F531B" w:rsidP="005C51BF">
      <w:pPr>
        <w:jc w:val="center"/>
        <w:rPr>
          <w:rFonts w:ascii="Garamond" w:hAnsi="Garamond" w:cs="Times New Roman"/>
          <w:b/>
          <w:bCs/>
          <w:sz w:val="24"/>
          <w:szCs w:val="24"/>
        </w:rPr>
      </w:pPr>
      <w:r w:rsidRPr="00C245A2">
        <w:rPr>
          <w:rFonts w:ascii="Garamond" w:hAnsi="Garamond"/>
          <w:noProof/>
          <w:sz w:val="24"/>
          <w:szCs w:val="24"/>
        </w:rPr>
        <w:drawing>
          <wp:inline distT="0" distB="0" distL="0" distR="0" wp14:anchorId="7E40DC2B" wp14:editId="13C7F976">
            <wp:extent cx="5151814" cy="5636172"/>
            <wp:effectExtent l="0" t="0" r="0" b="3175"/>
            <wp:docPr id="1103197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7665" cy="5653514"/>
                    </a:xfrm>
                    <a:prstGeom prst="rect">
                      <a:avLst/>
                    </a:prstGeom>
                    <a:noFill/>
                    <a:ln>
                      <a:noFill/>
                    </a:ln>
                  </pic:spPr>
                </pic:pic>
              </a:graphicData>
            </a:graphic>
          </wp:inline>
        </w:drawing>
      </w:r>
    </w:p>
    <w:p w14:paraId="00819692" w14:textId="7C6A2228" w:rsidR="008525D3" w:rsidRPr="00C245A2" w:rsidRDefault="00F54340">
      <w:pPr>
        <w:rPr>
          <w:rFonts w:ascii="Garamond" w:hAnsi="Garamond" w:cs="Times New Roman"/>
          <w:b/>
          <w:bCs/>
          <w:sz w:val="24"/>
          <w:szCs w:val="24"/>
        </w:rPr>
      </w:pPr>
      <w:r w:rsidRPr="00C245A2">
        <w:rPr>
          <w:rFonts w:ascii="Garamond" w:hAnsi="Garamond" w:cs="Calibri"/>
          <w:sz w:val="24"/>
          <w:szCs w:val="24"/>
        </w:rPr>
        <w:lastRenderedPageBreak/>
        <w:t xml:space="preserve">Note: § </w:t>
      </w:r>
      <w:r w:rsidR="005C51BF" w:rsidRPr="00C245A2">
        <w:rPr>
          <w:rFonts w:ascii="Garamond" w:hAnsi="Garamond" w:cs="Calibri"/>
          <w:sz w:val="24"/>
          <w:szCs w:val="24"/>
        </w:rPr>
        <w:t>The Levene</w:t>
      </w:r>
      <w:r w:rsidR="00D92564" w:rsidRPr="00C245A2">
        <w:rPr>
          <w:rFonts w:ascii="Garamond" w:hAnsi="Garamond" w:cs="Calibri"/>
          <w:sz w:val="24"/>
          <w:szCs w:val="24"/>
        </w:rPr>
        <w:t xml:space="preserve"> tests of the equality of variances between </w:t>
      </w:r>
      <w:r w:rsidR="00B70754" w:rsidRPr="00C245A2">
        <w:rPr>
          <w:rFonts w:ascii="Garamond" w:hAnsi="Garamond" w:cs="Calibri"/>
          <w:sz w:val="24"/>
          <w:szCs w:val="24"/>
        </w:rPr>
        <w:t xml:space="preserve">Event </w:t>
      </w:r>
      <w:r w:rsidR="00D92564" w:rsidRPr="00C245A2">
        <w:rPr>
          <w:rFonts w:ascii="Garamond" w:hAnsi="Garamond" w:cs="Calibri"/>
          <w:sz w:val="24"/>
          <w:szCs w:val="24"/>
        </w:rPr>
        <w:t xml:space="preserve">vs. </w:t>
      </w:r>
      <w:r w:rsidR="00B70754" w:rsidRPr="00C245A2">
        <w:rPr>
          <w:rFonts w:ascii="Garamond" w:hAnsi="Garamond" w:cs="Calibri"/>
          <w:sz w:val="24"/>
          <w:szCs w:val="24"/>
        </w:rPr>
        <w:t>Non-Event</w:t>
      </w:r>
      <w:r w:rsidR="00D92564" w:rsidRPr="00C245A2">
        <w:rPr>
          <w:rFonts w:ascii="Garamond" w:hAnsi="Garamond" w:cs="Calibri"/>
          <w:sz w:val="24"/>
          <w:szCs w:val="24"/>
        </w:rPr>
        <w:t xml:space="preserve"> </w:t>
      </w:r>
      <w:r w:rsidR="00B70754" w:rsidRPr="00C245A2">
        <w:rPr>
          <w:rFonts w:ascii="Garamond" w:hAnsi="Garamond" w:cs="Calibri"/>
          <w:sz w:val="24"/>
          <w:szCs w:val="24"/>
        </w:rPr>
        <w:t xml:space="preserve">Episodes </w:t>
      </w:r>
      <w:r w:rsidR="00D92564" w:rsidRPr="00C245A2">
        <w:rPr>
          <w:rFonts w:ascii="Garamond" w:hAnsi="Garamond" w:cs="Calibri"/>
          <w:sz w:val="24"/>
          <w:szCs w:val="24"/>
        </w:rPr>
        <w:t xml:space="preserve">revealed insignificant differences for the </w:t>
      </w:r>
      <w:proofErr w:type="gramStart"/>
      <w:r w:rsidR="00D92564" w:rsidRPr="00C245A2">
        <w:rPr>
          <w:rFonts w:ascii="Garamond" w:hAnsi="Garamond" w:cs="Calibri"/>
          <w:sz w:val="24"/>
          <w:szCs w:val="24"/>
        </w:rPr>
        <w:t>returns</w:t>
      </w:r>
      <w:proofErr w:type="gramEnd"/>
      <w:r w:rsidR="00D92564" w:rsidRPr="00C245A2">
        <w:rPr>
          <w:rFonts w:ascii="Garamond" w:hAnsi="Garamond" w:cs="Calibri"/>
          <w:sz w:val="24"/>
          <w:szCs w:val="24"/>
        </w:rPr>
        <w:t xml:space="preserve"> series, except for the Market series.  Therefore, our t-test for the returns assumes equal variances for all series, except the</w:t>
      </w:r>
      <w:r w:rsidR="005C51BF" w:rsidRPr="00C245A2">
        <w:rPr>
          <w:rFonts w:ascii="Garamond" w:hAnsi="Garamond" w:cs="Calibri"/>
          <w:sz w:val="24"/>
          <w:szCs w:val="24"/>
        </w:rPr>
        <w:t xml:space="preserve"> market.</w:t>
      </w:r>
      <w:r w:rsidR="008525D3" w:rsidRPr="00C245A2">
        <w:rPr>
          <w:rFonts w:ascii="Garamond" w:hAnsi="Garamond" w:cs="Times New Roman"/>
          <w:b/>
          <w:bCs/>
          <w:sz w:val="24"/>
          <w:szCs w:val="24"/>
        </w:rPr>
        <w:br w:type="page"/>
      </w:r>
    </w:p>
    <w:p w14:paraId="6C69024A" w14:textId="0BDB8B74" w:rsidR="000C4988" w:rsidRPr="00C245A2" w:rsidRDefault="000C4988" w:rsidP="00EE78CE">
      <w:pPr>
        <w:rPr>
          <w:rFonts w:ascii="Garamond" w:hAnsi="Garamond" w:cs="Times New Roman"/>
          <w:b/>
          <w:bCs/>
          <w:sz w:val="24"/>
          <w:szCs w:val="24"/>
        </w:rPr>
      </w:pPr>
      <w:r w:rsidRPr="00C245A2">
        <w:rPr>
          <w:rFonts w:ascii="Garamond" w:hAnsi="Garamond" w:cs="Calibri"/>
          <w:b/>
          <w:bCs/>
          <w:sz w:val="24"/>
          <w:szCs w:val="24"/>
        </w:rPr>
        <w:lastRenderedPageBreak/>
        <w:t xml:space="preserve">Table </w:t>
      </w:r>
      <w:r w:rsidR="008C1D69" w:rsidRPr="00C245A2">
        <w:rPr>
          <w:rFonts w:ascii="Garamond" w:hAnsi="Garamond" w:cs="Calibri"/>
          <w:b/>
          <w:bCs/>
          <w:sz w:val="24"/>
          <w:szCs w:val="24"/>
        </w:rPr>
        <w:t>A</w:t>
      </w:r>
      <w:r w:rsidR="005B0473" w:rsidRPr="00C245A2">
        <w:rPr>
          <w:rFonts w:ascii="Garamond" w:hAnsi="Garamond" w:cs="Calibri"/>
          <w:b/>
          <w:bCs/>
          <w:sz w:val="24"/>
          <w:szCs w:val="24"/>
        </w:rPr>
        <w:t>2</w:t>
      </w:r>
      <w:r w:rsidR="00AF2217" w:rsidRPr="00C245A2">
        <w:rPr>
          <w:rFonts w:ascii="Garamond" w:hAnsi="Garamond" w:cs="Calibri"/>
          <w:b/>
          <w:bCs/>
          <w:sz w:val="24"/>
          <w:szCs w:val="24"/>
        </w:rPr>
        <w:t>.2</w:t>
      </w:r>
      <w:r w:rsidRPr="00C245A2">
        <w:rPr>
          <w:rFonts w:ascii="Garamond" w:hAnsi="Garamond" w:cs="Calibri"/>
          <w:b/>
          <w:bCs/>
          <w:sz w:val="24"/>
          <w:szCs w:val="24"/>
        </w:rPr>
        <w:t>: Bootstrap Test for Event Periods Cumulative Returns Significance (starting at T-</w:t>
      </w:r>
      <w:r w:rsidR="005B38B4" w:rsidRPr="00C245A2">
        <w:rPr>
          <w:rFonts w:ascii="Garamond" w:hAnsi="Garamond" w:cs="Calibri"/>
          <w:b/>
          <w:bCs/>
          <w:sz w:val="24"/>
          <w:szCs w:val="24"/>
        </w:rPr>
        <w:t>2</w:t>
      </w:r>
      <w:r w:rsidRPr="00C245A2">
        <w:rPr>
          <w:rFonts w:ascii="Garamond" w:hAnsi="Garamond" w:cs="Calibri"/>
          <w:b/>
          <w:bCs/>
          <w:sz w:val="24"/>
          <w:szCs w:val="24"/>
        </w:rPr>
        <w:t>)</w:t>
      </w:r>
    </w:p>
    <w:p w14:paraId="1651D91F" w14:textId="5A29C051" w:rsidR="00575893" w:rsidRPr="00C245A2" w:rsidRDefault="000C4988" w:rsidP="000C4988">
      <w:pPr>
        <w:jc w:val="both"/>
        <w:rPr>
          <w:rFonts w:ascii="Garamond" w:hAnsi="Garamond" w:cs="Calibri"/>
          <w:sz w:val="24"/>
          <w:szCs w:val="24"/>
        </w:rPr>
      </w:pPr>
      <w:bookmarkStart w:id="0" w:name="_Hlk149816965"/>
      <w:r w:rsidRPr="00C245A2">
        <w:rPr>
          <w:rFonts w:ascii="Garamond" w:hAnsi="Garamond" w:cs="Calibri"/>
          <w:sz w:val="24"/>
          <w:szCs w:val="24"/>
        </w:rPr>
        <w:t xml:space="preserve">We test the robustness of the returns results using bootstrap methodology. For each market and return window, we compare the event cumulative observation period returns to a randomly drawn distribution of 100,000 cumulative returns of the same window length and from the full runup period, from each respective market. P-values are based on the position of the cumulative event returns in the top tail of the </w:t>
      </w:r>
      <w:r w:rsidR="003A5A6E" w:rsidRPr="00C245A2">
        <w:rPr>
          <w:rFonts w:ascii="Garamond" w:hAnsi="Garamond" w:cs="Calibri"/>
          <w:sz w:val="24"/>
          <w:szCs w:val="24"/>
        </w:rPr>
        <w:t>bootstrapped</w:t>
      </w:r>
      <w:r w:rsidRPr="00C245A2">
        <w:rPr>
          <w:rFonts w:ascii="Garamond" w:hAnsi="Garamond" w:cs="Calibri"/>
          <w:sz w:val="24"/>
          <w:szCs w:val="24"/>
        </w:rPr>
        <w:t xml:space="preserve"> distributions. Thus, p&lt;0.01 indicates that the event returns were above the 99th percentile of bootstrapped returns. This table reveals positive and significant returns at event dates associated with news regarding government policy innovations.  The authors’ archival research identified event periods and non-event periods.</w:t>
      </w:r>
    </w:p>
    <w:bookmarkEnd w:id="0"/>
    <w:p w14:paraId="4EB4C177" w14:textId="694C24BF" w:rsidR="00764AD9" w:rsidRPr="00C245A2" w:rsidRDefault="00C655C3" w:rsidP="00A269C1">
      <w:pPr>
        <w:jc w:val="both"/>
        <w:rPr>
          <w:rFonts w:ascii="Garamond" w:hAnsi="Garamond" w:cs="Calibri"/>
          <w:sz w:val="24"/>
          <w:szCs w:val="24"/>
        </w:rPr>
      </w:pPr>
      <w:r w:rsidRPr="00C245A2">
        <w:rPr>
          <w:rFonts w:ascii="Garamond" w:hAnsi="Garamond"/>
          <w:noProof/>
          <w:sz w:val="24"/>
          <w:szCs w:val="24"/>
        </w:rPr>
        <w:drawing>
          <wp:inline distT="0" distB="0" distL="0" distR="0" wp14:anchorId="3B516053" wp14:editId="66A07EFA">
            <wp:extent cx="5943600" cy="5433060"/>
            <wp:effectExtent l="0" t="0" r="0" b="0"/>
            <wp:docPr id="9812900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433060"/>
                    </a:xfrm>
                    <a:prstGeom prst="rect">
                      <a:avLst/>
                    </a:prstGeom>
                    <a:noFill/>
                    <a:ln>
                      <a:noFill/>
                    </a:ln>
                  </pic:spPr>
                </pic:pic>
              </a:graphicData>
            </a:graphic>
          </wp:inline>
        </w:drawing>
      </w:r>
    </w:p>
    <w:p w14:paraId="3E92377D" w14:textId="03C24ADE" w:rsidR="002A58B4" w:rsidRPr="00C245A2" w:rsidRDefault="002A58B4">
      <w:pPr>
        <w:rPr>
          <w:rFonts w:ascii="Garamond" w:hAnsi="Garamond" w:cs="Calibri"/>
          <w:sz w:val="24"/>
          <w:szCs w:val="24"/>
        </w:rPr>
      </w:pPr>
      <w:r w:rsidRPr="00C245A2">
        <w:rPr>
          <w:rFonts w:ascii="Garamond" w:hAnsi="Garamond" w:cs="Calibri"/>
          <w:sz w:val="24"/>
          <w:szCs w:val="24"/>
        </w:rPr>
        <w:br w:type="page"/>
      </w:r>
    </w:p>
    <w:p w14:paraId="4FBEDCAC" w14:textId="77777777" w:rsidR="00764AD9" w:rsidRPr="00C245A2" w:rsidRDefault="00764AD9">
      <w:pPr>
        <w:rPr>
          <w:rFonts w:ascii="Garamond" w:hAnsi="Garamond" w:cs="Calibri"/>
          <w:sz w:val="24"/>
          <w:szCs w:val="24"/>
        </w:rPr>
      </w:pPr>
    </w:p>
    <w:p w14:paraId="580CB8F9" w14:textId="46BA09B3" w:rsidR="00764AD9" w:rsidRPr="00C245A2" w:rsidRDefault="00764AD9" w:rsidP="00764AD9">
      <w:pPr>
        <w:pStyle w:val="CaseBullets1"/>
        <w:numPr>
          <w:ilvl w:val="0"/>
          <w:numId w:val="0"/>
        </w:numPr>
        <w:spacing w:line="480" w:lineRule="auto"/>
        <w:jc w:val="left"/>
        <w:rPr>
          <w:b/>
          <w:bCs/>
          <w:sz w:val="24"/>
          <w:szCs w:val="24"/>
          <w:shd w:val="clear" w:color="auto" w:fill="FFFFFF"/>
        </w:rPr>
      </w:pPr>
      <w:r w:rsidRPr="00C245A2">
        <w:rPr>
          <w:b/>
          <w:bCs/>
          <w:sz w:val="24"/>
          <w:szCs w:val="24"/>
          <w:shd w:val="clear" w:color="auto" w:fill="FFFFFF"/>
        </w:rPr>
        <w:t xml:space="preserve">Appendix </w:t>
      </w:r>
      <w:r w:rsidR="003D7F30" w:rsidRPr="00C245A2">
        <w:rPr>
          <w:b/>
          <w:bCs/>
          <w:sz w:val="24"/>
          <w:szCs w:val="24"/>
          <w:shd w:val="clear" w:color="auto" w:fill="FFFFFF"/>
        </w:rPr>
        <w:t>3</w:t>
      </w:r>
      <w:r w:rsidRPr="00C245A2">
        <w:rPr>
          <w:b/>
          <w:bCs/>
          <w:sz w:val="24"/>
          <w:szCs w:val="24"/>
          <w:shd w:val="clear" w:color="auto" w:fill="FFFFFF"/>
        </w:rPr>
        <w:t xml:space="preserve">: Test of Robustness </w:t>
      </w:r>
      <w:r w:rsidR="00A823AE" w:rsidRPr="00C245A2">
        <w:rPr>
          <w:b/>
          <w:bCs/>
          <w:sz w:val="24"/>
          <w:szCs w:val="24"/>
          <w:shd w:val="clear" w:color="auto" w:fill="FFFFFF"/>
        </w:rPr>
        <w:t xml:space="preserve">Related to </w:t>
      </w:r>
      <w:r w:rsidR="002861F0" w:rsidRPr="00C245A2">
        <w:rPr>
          <w:b/>
          <w:bCs/>
          <w:sz w:val="24"/>
          <w:szCs w:val="24"/>
          <w:shd w:val="clear" w:color="auto" w:fill="FFFFFF"/>
        </w:rPr>
        <w:t>Securities with Extensive Zero Return Days</w:t>
      </w:r>
    </w:p>
    <w:p w14:paraId="296E7B27" w14:textId="0CADDB6E" w:rsidR="007C3412" w:rsidRPr="00C245A2" w:rsidRDefault="000361EE" w:rsidP="00145E57">
      <w:pPr>
        <w:pStyle w:val="CaseParagraph"/>
        <w:spacing w:line="480" w:lineRule="auto"/>
        <w:ind w:firstLine="0"/>
        <w:jc w:val="left"/>
        <w:rPr>
          <w:sz w:val="24"/>
          <w:szCs w:val="24"/>
        </w:rPr>
      </w:pPr>
      <w:r w:rsidRPr="00C245A2">
        <w:rPr>
          <w:sz w:val="24"/>
          <w:szCs w:val="24"/>
        </w:rPr>
        <w:t>S</w:t>
      </w:r>
      <w:r w:rsidR="00786D78" w:rsidRPr="00C245A2">
        <w:rPr>
          <w:sz w:val="24"/>
          <w:szCs w:val="24"/>
        </w:rPr>
        <w:t xml:space="preserve">ome securities </w:t>
      </w:r>
      <w:r w:rsidRPr="00C245A2">
        <w:rPr>
          <w:sz w:val="24"/>
          <w:szCs w:val="24"/>
        </w:rPr>
        <w:t xml:space="preserve">in our sample </w:t>
      </w:r>
      <w:r w:rsidR="00786D78" w:rsidRPr="00C245A2">
        <w:rPr>
          <w:sz w:val="24"/>
          <w:szCs w:val="24"/>
        </w:rPr>
        <w:t xml:space="preserve">reported </w:t>
      </w:r>
      <w:r w:rsidR="00145E57" w:rsidRPr="00C245A2">
        <w:rPr>
          <w:sz w:val="24"/>
          <w:szCs w:val="24"/>
        </w:rPr>
        <w:t>material percentages of zero returns (</w:t>
      </w:r>
      <w:r w:rsidR="00645F8F" w:rsidRPr="00C245A2">
        <w:rPr>
          <w:sz w:val="24"/>
          <w:szCs w:val="24"/>
        </w:rPr>
        <w:t xml:space="preserve">in the paper, see Table 1 </w:t>
      </w:r>
      <w:r w:rsidR="00145E57" w:rsidRPr="00C245A2">
        <w:rPr>
          <w:sz w:val="24"/>
          <w:szCs w:val="24"/>
        </w:rPr>
        <w:t xml:space="preserve">lines 4, 15, 26).  Since archival sources did not report trading volume, we could not determine the extent of non-trading versus flat trading each day.  Yet the zero returns present valuable information about possible investor responses to surprising news.  Thus, we elected to report results based on the entire </w:t>
      </w:r>
      <w:r w:rsidR="00A54FBA" w:rsidRPr="00C245A2">
        <w:rPr>
          <w:sz w:val="24"/>
          <w:szCs w:val="24"/>
        </w:rPr>
        <w:t>set of listed securities</w:t>
      </w:r>
      <w:r w:rsidR="00145E57" w:rsidRPr="00C245A2">
        <w:rPr>
          <w:sz w:val="24"/>
          <w:szCs w:val="24"/>
        </w:rPr>
        <w:t xml:space="preserve"> for the period.  To the extent that some of these zero</w:t>
      </w:r>
      <w:r w:rsidR="006E09F8" w:rsidRPr="00C245A2">
        <w:rPr>
          <w:sz w:val="24"/>
          <w:szCs w:val="24"/>
        </w:rPr>
        <w:t xml:space="preserve"> returns</w:t>
      </w:r>
      <w:r w:rsidR="00145E57" w:rsidRPr="00C245A2">
        <w:rPr>
          <w:sz w:val="24"/>
          <w:szCs w:val="24"/>
        </w:rPr>
        <w:t xml:space="preserve"> reflect </w:t>
      </w:r>
      <w:r w:rsidR="00F06523" w:rsidRPr="00C245A2">
        <w:rPr>
          <w:sz w:val="24"/>
          <w:szCs w:val="24"/>
        </w:rPr>
        <w:t>the absence of trading</w:t>
      </w:r>
      <w:r w:rsidR="00145E57" w:rsidRPr="00C245A2">
        <w:rPr>
          <w:sz w:val="24"/>
          <w:szCs w:val="24"/>
        </w:rPr>
        <w:t xml:space="preserve">, inclusion of these days biases </w:t>
      </w:r>
      <w:r w:rsidR="000A0E74" w:rsidRPr="00C245A2">
        <w:rPr>
          <w:sz w:val="24"/>
          <w:szCs w:val="24"/>
        </w:rPr>
        <w:t>returns toward zero</w:t>
      </w:r>
      <w:r w:rsidR="00145E57" w:rsidRPr="00C245A2">
        <w:rPr>
          <w:sz w:val="24"/>
          <w:szCs w:val="24"/>
        </w:rPr>
        <w:t xml:space="preserve">.  </w:t>
      </w:r>
    </w:p>
    <w:p w14:paraId="542A436A" w14:textId="0CC6120D" w:rsidR="004B6A4C" w:rsidRPr="00C245A2" w:rsidRDefault="00B60FBC" w:rsidP="00145E57">
      <w:pPr>
        <w:pStyle w:val="CaseParagraph"/>
        <w:spacing w:line="480" w:lineRule="auto"/>
        <w:ind w:firstLine="0"/>
        <w:jc w:val="left"/>
        <w:rPr>
          <w:sz w:val="24"/>
          <w:szCs w:val="24"/>
        </w:rPr>
      </w:pPr>
      <w:r w:rsidRPr="00C245A2">
        <w:rPr>
          <w:sz w:val="24"/>
          <w:szCs w:val="24"/>
        </w:rPr>
        <w:t xml:space="preserve">We tested the robustness of our results in Tables 1 and 2 to the exclusion of securities with zero returns on 95 percent or more of the 498 trading days during the run-up.  </w:t>
      </w:r>
      <w:r w:rsidR="00F24144" w:rsidRPr="00C245A2">
        <w:rPr>
          <w:sz w:val="24"/>
          <w:szCs w:val="24"/>
        </w:rPr>
        <w:t xml:space="preserve">As a result of the exclusion, the sample declines from 100 securities to 53.  </w:t>
      </w:r>
      <w:r w:rsidR="009E3208" w:rsidRPr="00C245A2">
        <w:rPr>
          <w:sz w:val="24"/>
          <w:szCs w:val="24"/>
        </w:rPr>
        <w:t xml:space="preserve">The dropped firms make up 15.2% of the total sample market cap at the beginning of the runup and 12.3% at the end of it so although large in number they are smaller firms.  </w:t>
      </w:r>
      <w:r w:rsidR="00F24144" w:rsidRPr="00C245A2">
        <w:rPr>
          <w:sz w:val="24"/>
          <w:szCs w:val="24"/>
        </w:rPr>
        <w:t>T</w:t>
      </w:r>
      <w:r w:rsidR="004B6A4C" w:rsidRPr="00C245A2">
        <w:rPr>
          <w:sz w:val="24"/>
          <w:szCs w:val="24"/>
        </w:rPr>
        <w:t>he main sector of interest</w:t>
      </w:r>
      <w:r w:rsidR="00F24144" w:rsidRPr="00C245A2">
        <w:rPr>
          <w:sz w:val="24"/>
          <w:szCs w:val="24"/>
        </w:rPr>
        <w:t>,</w:t>
      </w:r>
      <w:r w:rsidR="004B6A4C" w:rsidRPr="00C245A2">
        <w:rPr>
          <w:sz w:val="24"/>
          <w:szCs w:val="24"/>
        </w:rPr>
        <w:t xml:space="preserve"> Railways</w:t>
      </w:r>
      <w:r w:rsidR="00F24144" w:rsidRPr="00C245A2">
        <w:rPr>
          <w:sz w:val="24"/>
          <w:szCs w:val="24"/>
        </w:rPr>
        <w:t>,</w:t>
      </w:r>
      <w:r w:rsidR="004B6A4C" w:rsidRPr="00C245A2">
        <w:rPr>
          <w:sz w:val="24"/>
          <w:szCs w:val="24"/>
        </w:rPr>
        <w:t xml:space="preserve"> loses very few firms and the broad results for all sectors are consistent with and without the removal of the infrequently trading firms. </w:t>
      </w:r>
      <w:r w:rsidR="00FC68CB" w:rsidRPr="00C245A2">
        <w:rPr>
          <w:sz w:val="24"/>
          <w:szCs w:val="24"/>
        </w:rPr>
        <w:t xml:space="preserve"> </w:t>
      </w:r>
      <w:r w:rsidR="004B6A4C" w:rsidRPr="00C245A2">
        <w:rPr>
          <w:sz w:val="24"/>
          <w:szCs w:val="24"/>
        </w:rPr>
        <w:t> </w:t>
      </w:r>
    </w:p>
    <w:p w14:paraId="6B3FE948" w14:textId="704DBD4A" w:rsidR="000978A3" w:rsidRPr="00C245A2" w:rsidRDefault="004C2BC6" w:rsidP="00145E57">
      <w:pPr>
        <w:pStyle w:val="CaseParagraph"/>
        <w:spacing w:line="480" w:lineRule="auto"/>
        <w:ind w:firstLine="0"/>
        <w:jc w:val="left"/>
        <w:rPr>
          <w:sz w:val="24"/>
          <w:szCs w:val="24"/>
        </w:rPr>
      </w:pPr>
      <w:r w:rsidRPr="00C245A2">
        <w:rPr>
          <w:b/>
          <w:bCs/>
          <w:sz w:val="24"/>
          <w:szCs w:val="24"/>
        </w:rPr>
        <w:t>Table A3</w:t>
      </w:r>
      <w:r w:rsidR="00FA3E84" w:rsidRPr="00C245A2">
        <w:rPr>
          <w:b/>
          <w:bCs/>
          <w:sz w:val="24"/>
          <w:szCs w:val="24"/>
        </w:rPr>
        <w:t>.1</w:t>
      </w:r>
      <w:r w:rsidRPr="00C245A2">
        <w:rPr>
          <w:sz w:val="24"/>
          <w:szCs w:val="24"/>
        </w:rPr>
        <w:t xml:space="preserve"> replicates Table 1 of the paper, after the exclusion of </w:t>
      </w:r>
      <w:r w:rsidR="00DA3B26" w:rsidRPr="00C245A2">
        <w:rPr>
          <w:sz w:val="24"/>
          <w:szCs w:val="24"/>
        </w:rPr>
        <w:t xml:space="preserve">securities with few non-zero returns.  </w:t>
      </w:r>
      <w:r w:rsidR="003962D2" w:rsidRPr="00C245A2">
        <w:rPr>
          <w:sz w:val="24"/>
          <w:szCs w:val="24"/>
        </w:rPr>
        <w:t xml:space="preserve">The significance test results in lines 35, 37, and 38 </w:t>
      </w:r>
      <w:r w:rsidR="002632D4" w:rsidRPr="00C245A2">
        <w:rPr>
          <w:sz w:val="24"/>
          <w:szCs w:val="24"/>
        </w:rPr>
        <w:t xml:space="preserve">differ immaterially from those in Table 1 of the paper.  </w:t>
      </w:r>
    </w:p>
    <w:p w14:paraId="146D6C96" w14:textId="5DD6BCD3" w:rsidR="00145E57" w:rsidRPr="00C245A2" w:rsidRDefault="002632D4" w:rsidP="00145E57">
      <w:pPr>
        <w:pStyle w:val="CaseParagraph"/>
        <w:spacing w:line="480" w:lineRule="auto"/>
        <w:ind w:firstLine="0"/>
        <w:jc w:val="left"/>
        <w:rPr>
          <w:sz w:val="24"/>
          <w:szCs w:val="24"/>
        </w:rPr>
      </w:pPr>
      <w:r w:rsidRPr="00C245A2">
        <w:rPr>
          <w:b/>
          <w:bCs/>
          <w:sz w:val="24"/>
          <w:szCs w:val="24"/>
        </w:rPr>
        <w:t>Table A</w:t>
      </w:r>
      <w:r w:rsidR="00FA3E84" w:rsidRPr="00C245A2">
        <w:rPr>
          <w:b/>
          <w:bCs/>
          <w:sz w:val="24"/>
          <w:szCs w:val="24"/>
        </w:rPr>
        <w:t>3.2</w:t>
      </w:r>
      <w:r w:rsidRPr="00C245A2">
        <w:rPr>
          <w:sz w:val="24"/>
          <w:szCs w:val="24"/>
        </w:rPr>
        <w:t xml:space="preserve"> replicates Table 2 of the paper</w:t>
      </w:r>
      <w:r w:rsidR="003F31E9" w:rsidRPr="00C245A2">
        <w:rPr>
          <w:sz w:val="24"/>
          <w:szCs w:val="24"/>
        </w:rPr>
        <w:t xml:space="preserve"> after exclusion of securities with few non-zero returns. </w:t>
      </w:r>
      <w:r w:rsidR="00E433DC" w:rsidRPr="00C245A2">
        <w:rPr>
          <w:sz w:val="24"/>
          <w:szCs w:val="24"/>
        </w:rPr>
        <w:t xml:space="preserve"> </w:t>
      </w:r>
      <w:r w:rsidR="00145E57" w:rsidRPr="00C245A2">
        <w:rPr>
          <w:sz w:val="24"/>
          <w:szCs w:val="24"/>
        </w:rPr>
        <w:t>days raised the event returns but did not alter the qualitative insights.</w:t>
      </w:r>
      <w:r w:rsidR="0001620C" w:rsidRPr="00C245A2">
        <w:rPr>
          <w:sz w:val="24"/>
          <w:szCs w:val="24"/>
        </w:rPr>
        <w:t xml:space="preserve">  </w:t>
      </w:r>
      <w:r w:rsidR="00006420" w:rsidRPr="00C245A2">
        <w:rPr>
          <w:sz w:val="24"/>
          <w:szCs w:val="24"/>
        </w:rPr>
        <w:t xml:space="preserve">Returns are generally higher after the exclusion, consistent with the </w:t>
      </w:r>
      <w:r w:rsidR="00A42C63" w:rsidRPr="00C245A2">
        <w:rPr>
          <w:sz w:val="24"/>
          <w:szCs w:val="24"/>
        </w:rPr>
        <w:t>intuition</w:t>
      </w:r>
      <w:r w:rsidR="00006420" w:rsidRPr="00C245A2">
        <w:rPr>
          <w:sz w:val="24"/>
          <w:szCs w:val="24"/>
        </w:rPr>
        <w:t xml:space="preserve"> that </w:t>
      </w:r>
      <w:r w:rsidR="00A42C63" w:rsidRPr="00C245A2">
        <w:rPr>
          <w:sz w:val="24"/>
          <w:szCs w:val="24"/>
        </w:rPr>
        <w:t>securities with many zero-return days</w:t>
      </w:r>
      <w:r w:rsidR="00006420" w:rsidRPr="00C245A2">
        <w:rPr>
          <w:sz w:val="24"/>
          <w:szCs w:val="24"/>
        </w:rPr>
        <w:t xml:space="preserve"> biases the results toward zero.  </w:t>
      </w:r>
      <w:r w:rsidR="00F93D82" w:rsidRPr="00C245A2">
        <w:rPr>
          <w:sz w:val="24"/>
          <w:szCs w:val="24"/>
        </w:rPr>
        <w:t>The significance of CERs for the Market Composite, Railway, Bank, and Shipping Trade samples is unchanged</w:t>
      </w:r>
      <w:r w:rsidR="00B32AF6" w:rsidRPr="00C245A2">
        <w:rPr>
          <w:sz w:val="24"/>
          <w:szCs w:val="24"/>
        </w:rPr>
        <w:t xml:space="preserve">.  However, after exclusion, the Insurance Sector gains two </w:t>
      </w:r>
      <w:r w:rsidR="00B32AF6" w:rsidRPr="00C245A2">
        <w:rPr>
          <w:sz w:val="24"/>
          <w:szCs w:val="24"/>
        </w:rPr>
        <w:lastRenderedPageBreak/>
        <w:t xml:space="preserve">significant events (lines </w:t>
      </w:r>
      <w:r w:rsidR="002B5642" w:rsidRPr="00C245A2">
        <w:rPr>
          <w:sz w:val="24"/>
          <w:szCs w:val="24"/>
        </w:rPr>
        <w:t xml:space="preserve">2 and 8) both of which are significant for other sectors and are pivotal events as discussed in the paper.  </w:t>
      </w:r>
      <w:r w:rsidR="00B2076A" w:rsidRPr="00C245A2">
        <w:rPr>
          <w:sz w:val="24"/>
          <w:szCs w:val="24"/>
        </w:rPr>
        <w:t>Also, the Metals Sector gains one significant</w:t>
      </w:r>
      <w:r w:rsidR="00D406B6" w:rsidRPr="00C245A2">
        <w:rPr>
          <w:sz w:val="24"/>
          <w:szCs w:val="24"/>
        </w:rPr>
        <w:t xml:space="preserve"> event (line 6), which is significant for the </w:t>
      </w:r>
      <w:r w:rsidR="00F24414" w:rsidRPr="00C245A2">
        <w:rPr>
          <w:sz w:val="24"/>
          <w:szCs w:val="24"/>
        </w:rPr>
        <w:t xml:space="preserve">Railway sector as well.  </w:t>
      </w:r>
    </w:p>
    <w:p w14:paraId="5BDFF2BF" w14:textId="1D0F4BA0" w:rsidR="00C629DA" w:rsidRPr="00C245A2" w:rsidRDefault="00C629DA" w:rsidP="00145E57">
      <w:pPr>
        <w:pStyle w:val="CaseParagraph"/>
        <w:spacing w:line="480" w:lineRule="auto"/>
        <w:ind w:firstLine="0"/>
        <w:jc w:val="left"/>
        <w:rPr>
          <w:sz w:val="24"/>
          <w:szCs w:val="24"/>
        </w:rPr>
      </w:pPr>
      <w:r w:rsidRPr="00C245A2">
        <w:rPr>
          <w:sz w:val="24"/>
          <w:szCs w:val="24"/>
        </w:rPr>
        <w:t xml:space="preserve">In all, these results </w:t>
      </w:r>
      <w:r w:rsidR="00C323C5" w:rsidRPr="00C245A2">
        <w:rPr>
          <w:sz w:val="24"/>
          <w:szCs w:val="24"/>
        </w:rPr>
        <w:t>are qualitatively consistent with</w:t>
      </w:r>
      <w:r w:rsidRPr="00C245A2">
        <w:rPr>
          <w:sz w:val="24"/>
          <w:szCs w:val="24"/>
        </w:rPr>
        <w:t xml:space="preserve"> the </w:t>
      </w:r>
      <w:r w:rsidR="00553CBD" w:rsidRPr="00C245A2">
        <w:rPr>
          <w:sz w:val="24"/>
          <w:szCs w:val="24"/>
        </w:rPr>
        <w:t>insights obtained from</w:t>
      </w:r>
      <w:r w:rsidR="00C530AB" w:rsidRPr="00C245A2">
        <w:rPr>
          <w:sz w:val="24"/>
          <w:szCs w:val="24"/>
        </w:rPr>
        <w:t xml:space="preserve"> Tables 1 and 2 of the paper.</w:t>
      </w:r>
    </w:p>
    <w:p w14:paraId="3E367A34" w14:textId="6C0C9880" w:rsidR="00021063" w:rsidRPr="00C245A2" w:rsidRDefault="00021063">
      <w:pPr>
        <w:rPr>
          <w:rFonts w:ascii="Garamond" w:hAnsi="Garamond" w:cs="Times New Roman"/>
          <w:b/>
          <w:bCs/>
          <w:sz w:val="24"/>
          <w:szCs w:val="24"/>
        </w:rPr>
      </w:pPr>
      <w:r w:rsidRPr="00C245A2">
        <w:rPr>
          <w:rFonts w:ascii="Garamond" w:hAnsi="Garamond" w:cs="Times New Roman"/>
          <w:b/>
          <w:bCs/>
          <w:sz w:val="24"/>
          <w:szCs w:val="24"/>
        </w:rPr>
        <w:br w:type="page"/>
      </w:r>
    </w:p>
    <w:p w14:paraId="07CED8D4" w14:textId="665F0B98" w:rsidR="00583ED7" w:rsidRPr="00C245A2" w:rsidRDefault="00764AD9" w:rsidP="00764AD9">
      <w:pPr>
        <w:jc w:val="both"/>
        <w:rPr>
          <w:rFonts w:ascii="Garamond" w:hAnsi="Garamond" w:cs="Calibri"/>
          <w:b/>
          <w:bCs/>
          <w:sz w:val="24"/>
          <w:szCs w:val="24"/>
        </w:rPr>
      </w:pPr>
      <w:r w:rsidRPr="00C245A2">
        <w:rPr>
          <w:rFonts w:ascii="Garamond" w:hAnsi="Garamond" w:cs="Calibri"/>
          <w:b/>
          <w:bCs/>
          <w:sz w:val="24"/>
          <w:szCs w:val="24"/>
        </w:rPr>
        <w:lastRenderedPageBreak/>
        <w:t>Table A</w:t>
      </w:r>
      <w:r w:rsidR="00312453" w:rsidRPr="00C245A2">
        <w:rPr>
          <w:rFonts w:ascii="Garamond" w:hAnsi="Garamond" w:cs="Calibri"/>
          <w:b/>
          <w:bCs/>
          <w:sz w:val="24"/>
          <w:szCs w:val="24"/>
        </w:rPr>
        <w:t>3</w:t>
      </w:r>
      <w:r w:rsidR="008A0593" w:rsidRPr="00C245A2">
        <w:rPr>
          <w:rFonts w:ascii="Garamond" w:hAnsi="Garamond" w:cs="Calibri"/>
          <w:b/>
          <w:bCs/>
          <w:sz w:val="24"/>
          <w:szCs w:val="24"/>
        </w:rPr>
        <w:t>.1</w:t>
      </w:r>
      <w:r w:rsidRPr="00C245A2">
        <w:rPr>
          <w:rFonts w:ascii="Garamond" w:hAnsi="Garamond" w:cs="Calibri"/>
          <w:b/>
          <w:bCs/>
          <w:sz w:val="24"/>
          <w:szCs w:val="24"/>
        </w:rPr>
        <w:t>: Bootstrap Test Comparing Distributions of Event and Non-Event Returns</w:t>
      </w:r>
      <w:r w:rsidR="008816F7" w:rsidRPr="00C245A2">
        <w:rPr>
          <w:rFonts w:ascii="Garamond" w:hAnsi="Garamond" w:cs="Calibri"/>
          <w:b/>
          <w:bCs/>
          <w:sz w:val="24"/>
          <w:szCs w:val="24"/>
        </w:rPr>
        <w:t xml:space="preserve"> After </w:t>
      </w:r>
      <w:r w:rsidR="00583ED7" w:rsidRPr="00C245A2">
        <w:rPr>
          <w:rFonts w:ascii="Garamond" w:hAnsi="Garamond" w:cs="Calibri"/>
          <w:b/>
          <w:bCs/>
          <w:sz w:val="24"/>
          <w:szCs w:val="24"/>
        </w:rPr>
        <w:t>Exclusion of Securities with Extensive Zero Return Days</w:t>
      </w:r>
    </w:p>
    <w:p w14:paraId="15DB9802" w14:textId="1264F259" w:rsidR="00764AD9" w:rsidRPr="00C245A2" w:rsidRDefault="00764AD9" w:rsidP="00764AD9">
      <w:pPr>
        <w:jc w:val="both"/>
        <w:rPr>
          <w:rFonts w:ascii="Garamond" w:hAnsi="Garamond" w:cs="Calibri"/>
          <w:sz w:val="24"/>
          <w:szCs w:val="24"/>
        </w:rPr>
      </w:pPr>
      <w:r w:rsidRPr="00C245A2">
        <w:rPr>
          <w:rFonts w:ascii="Garamond" w:hAnsi="Garamond" w:cs="Calibri"/>
          <w:sz w:val="24"/>
          <w:szCs w:val="24"/>
        </w:rPr>
        <w:t>We test the robustness of the returns results using bootstrap methodology. For each market and return window, we compare the event cumulative observation period returns to a randomly drawn distribution of 100,000 cumulative returns of the same window length and from the full runup period, from each respective market. P-values are based on the position of the cumulative event returns in the top tail of the bootstrapped distributions. Thus, p&lt;0.01 indicates that the event returns were above the 99th percentile of bootstrapped returns. This table reveals positive and significant returns at event dates associated with news regarding government policy innovations.  The returns are based on value-weighted average returns estimated by the authors from share prices provided by Global Financial Data. The authors’ archival research identified event periods and non-event periods.</w:t>
      </w:r>
    </w:p>
    <w:p w14:paraId="24634DC9" w14:textId="20F01341" w:rsidR="00764AD9" w:rsidRPr="00C245A2" w:rsidRDefault="00087D07" w:rsidP="008816F7">
      <w:pPr>
        <w:jc w:val="center"/>
        <w:rPr>
          <w:rFonts w:ascii="Garamond" w:hAnsi="Garamond" w:cs="Calibri"/>
          <w:b/>
          <w:bCs/>
          <w:sz w:val="24"/>
          <w:szCs w:val="24"/>
        </w:rPr>
      </w:pPr>
      <w:r w:rsidRPr="00C245A2">
        <w:rPr>
          <w:rFonts w:ascii="Garamond" w:hAnsi="Garamond"/>
          <w:noProof/>
          <w:sz w:val="24"/>
          <w:szCs w:val="24"/>
        </w:rPr>
        <w:drawing>
          <wp:inline distT="0" distB="0" distL="0" distR="0" wp14:anchorId="525295E9" wp14:editId="7A12235A">
            <wp:extent cx="4946321" cy="5486400"/>
            <wp:effectExtent l="0" t="0" r="0" b="0"/>
            <wp:docPr id="1644865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1846" cy="5559080"/>
                    </a:xfrm>
                    <a:prstGeom prst="rect">
                      <a:avLst/>
                    </a:prstGeom>
                    <a:noFill/>
                    <a:ln>
                      <a:noFill/>
                    </a:ln>
                  </pic:spPr>
                </pic:pic>
              </a:graphicData>
            </a:graphic>
          </wp:inline>
        </w:drawing>
      </w:r>
    </w:p>
    <w:p w14:paraId="4FD96C17" w14:textId="00806283" w:rsidR="003168E1" w:rsidRPr="00C245A2" w:rsidRDefault="003168E1" w:rsidP="003168E1">
      <w:pPr>
        <w:rPr>
          <w:rFonts w:ascii="Garamond" w:hAnsi="Garamond" w:cs="Calibri"/>
          <w:sz w:val="24"/>
          <w:szCs w:val="24"/>
        </w:rPr>
      </w:pPr>
      <w:r w:rsidRPr="00C245A2">
        <w:rPr>
          <w:rFonts w:ascii="Garamond" w:hAnsi="Garamond" w:cs="Calibri"/>
          <w:sz w:val="24"/>
          <w:szCs w:val="24"/>
        </w:rPr>
        <w:t xml:space="preserve">Note: § The Levene tests of the equality of variances between Event and Non-Event Episodes revealed insignificant differences for the </w:t>
      </w:r>
      <w:proofErr w:type="gramStart"/>
      <w:r w:rsidRPr="00C245A2">
        <w:rPr>
          <w:rFonts w:ascii="Garamond" w:hAnsi="Garamond" w:cs="Calibri"/>
          <w:sz w:val="24"/>
          <w:szCs w:val="24"/>
        </w:rPr>
        <w:t>returns</w:t>
      </w:r>
      <w:proofErr w:type="gramEnd"/>
      <w:r w:rsidRPr="00C245A2">
        <w:rPr>
          <w:rFonts w:ascii="Garamond" w:hAnsi="Garamond" w:cs="Calibri"/>
          <w:sz w:val="24"/>
          <w:szCs w:val="24"/>
        </w:rPr>
        <w:t xml:space="preserve"> series.  Therefore, our t-test assumes equal variances.</w:t>
      </w:r>
      <w:r w:rsidRPr="00C245A2">
        <w:rPr>
          <w:rFonts w:ascii="Garamond" w:hAnsi="Garamond" w:cs="Calibri"/>
          <w:sz w:val="24"/>
          <w:szCs w:val="24"/>
        </w:rPr>
        <w:tab/>
      </w:r>
      <w:r w:rsidRPr="00C245A2">
        <w:rPr>
          <w:rFonts w:ascii="Garamond" w:hAnsi="Garamond" w:cs="Calibri"/>
          <w:sz w:val="24"/>
          <w:szCs w:val="24"/>
        </w:rPr>
        <w:tab/>
      </w:r>
      <w:r w:rsidRPr="00C245A2">
        <w:rPr>
          <w:rFonts w:ascii="Garamond" w:hAnsi="Garamond" w:cs="Calibri"/>
          <w:sz w:val="24"/>
          <w:szCs w:val="24"/>
        </w:rPr>
        <w:tab/>
      </w:r>
      <w:r w:rsidRPr="00C245A2">
        <w:rPr>
          <w:rFonts w:ascii="Garamond" w:hAnsi="Garamond" w:cs="Calibri"/>
          <w:sz w:val="24"/>
          <w:szCs w:val="24"/>
        </w:rPr>
        <w:tab/>
      </w:r>
      <w:r w:rsidRPr="00C245A2">
        <w:rPr>
          <w:rFonts w:ascii="Garamond" w:hAnsi="Garamond" w:cs="Calibri"/>
          <w:sz w:val="24"/>
          <w:szCs w:val="24"/>
        </w:rPr>
        <w:tab/>
      </w:r>
      <w:r w:rsidRPr="00C245A2">
        <w:rPr>
          <w:rFonts w:ascii="Garamond" w:hAnsi="Garamond" w:cs="Calibri"/>
          <w:sz w:val="24"/>
          <w:szCs w:val="24"/>
        </w:rPr>
        <w:tab/>
      </w:r>
    </w:p>
    <w:p w14:paraId="383B7BBA" w14:textId="01ACF87D" w:rsidR="00D4454F" w:rsidRPr="00C245A2" w:rsidRDefault="00764AD9" w:rsidP="00764AD9">
      <w:pPr>
        <w:jc w:val="both"/>
        <w:rPr>
          <w:rFonts w:ascii="Garamond" w:hAnsi="Garamond" w:cs="Calibri"/>
          <w:b/>
          <w:bCs/>
          <w:sz w:val="24"/>
          <w:szCs w:val="24"/>
        </w:rPr>
      </w:pPr>
      <w:r w:rsidRPr="00C245A2">
        <w:rPr>
          <w:rFonts w:ascii="Garamond" w:hAnsi="Garamond" w:cs="Calibri"/>
          <w:b/>
          <w:bCs/>
          <w:sz w:val="24"/>
          <w:szCs w:val="24"/>
        </w:rPr>
        <w:lastRenderedPageBreak/>
        <w:t>Table A</w:t>
      </w:r>
      <w:r w:rsidR="006C7A61" w:rsidRPr="00C245A2">
        <w:rPr>
          <w:rFonts w:ascii="Garamond" w:hAnsi="Garamond" w:cs="Calibri"/>
          <w:b/>
          <w:bCs/>
          <w:sz w:val="24"/>
          <w:szCs w:val="24"/>
        </w:rPr>
        <w:t>3.2</w:t>
      </w:r>
      <w:r w:rsidRPr="00C245A2">
        <w:rPr>
          <w:rFonts w:ascii="Garamond" w:hAnsi="Garamond" w:cs="Calibri"/>
          <w:b/>
          <w:bCs/>
          <w:sz w:val="24"/>
          <w:szCs w:val="24"/>
        </w:rPr>
        <w:t xml:space="preserve">: </w:t>
      </w:r>
      <w:r w:rsidR="00CD5644" w:rsidRPr="00C245A2">
        <w:rPr>
          <w:rFonts w:ascii="Garamond" w:hAnsi="Garamond" w:cs="Calibri"/>
          <w:b/>
          <w:bCs/>
          <w:sz w:val="24"/>
          <w:szCs w:val="24"/>
        </w:rPr>
        <w:t xml:space="preserve">Distribution of Returns When Sample is Restricted to Exclude Securities </w:t>
      </w:r>
      <w:proofErr w:type="gramStart"/>
      <w:r w:rsidR="00CD5644" w:rsidRPr="00C245A2">
        <w:rPr>
          <w:rFonts w:ascii="Garamond" w:hAnsi="Garamond" w:cs="Calibri"/>
          <w:b/>
          <w:bCs/>
          <w:sz w:val="24"/>
          <w:szCs w:val="24"/>
        </w:rPr>
        <w:t>With</w:t>
      </w:r>
      <w:proofErr w:type="gramEnd"/>
      <w:r w:rsidR="00CD5644" w:rsidRPr="00C245A2">
        <w:rPr>
          <w:rFonts w:ascii="Garamond" w:hAnsi="Garamond" w:cs="Calibri"/>
          <w:b/>
          <w:bCs/>
          <w:sz w:val="24"/>
          <w:szCs w:val="24"/>
        </w:rPr>
        <w:t xml:space="preserve"> Returns on Less Than 5 Percent of Run-Up Days</w:t>
      </w:r>
    </w:p>
    <w:p w14:paraId="3664676C" w14:textId="16DEB52F" w:rsidR="00764AD9" w:rsidRPr="00C245A2" w:rsidRDefault="00764AD9" w:rsidP="00764AD9">
      <w:pPr>
        <w:jc w:val="both"/>
        <w:rPr>
          <w:rFonts w:ascii="Garamond" w:hAnsi="Garamond" w:cs="Calibri"/>
          <w:sz w:val="24"/>
          <w:szCs w:val="24"/>
        </w:rPr>
      </w:pPr>
      <w:r w:rsidRPr="00C245A2">
        <w:rPr>
          <w:rFonts w:ascii="Garamond" w:hAnsi="Garamond" w:cs="Calibri"/>
          <w:sz w:val="24"/>
          <w:szCs w:val="24"/>
        </w:rPr>
        <w:t>We test the robustness of the returns results using bootstrap methodology. For each market and return window, we compare the event cumulative observation period returns to a randomly drawn distribution of 100,000 cumulative returns of the same window length and from the full runup period, from each respective market. P-values are based on the position of the cumulative event returns in the top tail of the bootstrapped distributions. Thus, p&lt;0.01 indicates that the event returns were above the 99th percentile of bootstrapped returns. This table reveals positive and significant returns at event dates associated with news regarding government policy innovations.  The authors’ archival research identified event periods and non-event periods.</w:t>
      </w:r>
    </w:p>
    <w:p w14:paraId="34B282D4" w14:textId="1A026D91" w:rsidR="00136642" w:rsidRPr="00C245A2" w:rsidRDefault="00E15AA6" w:rsidP="00CF3481">
      <w:pPr>
        <w:jc w:val="center"/>
        <w:rPr>
          <w:rFonts w:ascii="Garamond" w:hAnsi="Garamond" w:cs="Calibri"/>
          <w:sz w:val="24"/>
          <w:szCs w:val="24"/>
        </w:rPr>
      </w:pPr>
      <w:r w:rsidRPr="00C245A2">
        <w:rPr>
          <w:rFonts w:ascii="Garamond" w:hAnsi="Garamond"/>
          <w:noProof/>
          <w:sz w:val="24"/>
          <w:szCs w:val="24"/>
        </w:rPr>
        <w:drawing>
          <wp:inline distT="0" distB="0" distL="0" distR="0" wp14:anchorId="3F4BB6B4" wp14:editId="391ADF11">
            <wp:extent cx="5877050" cy="5272392"/>
            <wp:effectExtent l="0" t="0" r="3175" b="0"/>
            <wp:docPr id="1717870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856" cy="5350267"/>
                    </a:xfrm>
                    <a:prstGeom prst="rect">
                      <a:avLst/>
                    </a:prstGeom>
                    <a:noFill/>
                    <a:ln>
                      <a:noFill/>
                    </a:ln>
                  </pic:spPr>
                </pic:pic>
              </a:graphicData>
            </a:graphic>
          </wp:inline>
        </w:drawing>
      </w:r>
      <w:r w:rsidR="00136642" w:rsidRPr="00C245A2">
        <w:rPr>
          <w:rFonts w:ascii="Garamond" w:hAnsi="Garamond" w:cs="Calibri"/>
          <w:sz w:val="24"/>
          <w:szCs w:val="24"/>
        </w:rPr>
        <w:br w:type="page"/>
      </w:r>
    </w:p>
    <w:p w14:paraId="126691F0" w14:textId="341A7D6E" w:rsidR="005B7DC4" w:rsidRPr="00C245A2" w:rsidRDefault="005B7DC4" w:rsidP="00682690">
      <w:pPr>
        <w:rPr>
          <w:rFonts w:ascii="Garamond" w:hAnsi="Garamond" w:cs="Times New Roman"/>
          <w:b/>
          <w:bCs/>
          <w:sz w:val="24"/>
          <w:szCs w:val="24"/>
        </w:rPr>
      </w:pPr>
      <w:r w:rsidRPr="00C245A2">
        <w:rPr>
          <w:rFonts w:ascii="Garamond" w:hAnsi="Garamond" w:cs="Times New Roman"/>
          <w:b/>
          <w:bCs/>
          <w:sz w:val="24"/>
          <w:szCs w:val="24"/>
        </w:rPr>
        <w:lastRenderedPageBreak/>
        <w:t xml:space="preserve">Appendix </w:t>
      </w:r>
      <w:r w:rsidR="0051205E" w:rsidRPr="00C245A2">
        <w:rPr>
          <w:rFonts w:ascii="Garamond" w:hAnsi="Garamond" w:cs="Times New Roman"/>
          <w:b/>
          <w:bCs/>
          <w:sz w:val="24"/>
          <w:szCs w:val="24"/>
        </w:rPr>
        <w:t xml:space="preserve">4 </w:t>
      </w:r>
      <w:r w:rsidR="00E06B71" w:rsidRPr="00C245A2">
        <w:rPr>
          <w:rFonts w:ascii="Garamond" w:hAnsi="Garamond" w:cs="Times New Roman"/>
          <w:b/>
          <w:bCs/>
          <w:sz w:val="24"/>
          <w:szCs w:val="24"/>
        </w:rPr>
        <w:t>Test for Impact of Monetary Policy Change and Grain Price Movements</w:t>
      </w:r>
      <w:r w:rsidRPr="00C245A2">
        <w:rPr>
          <w:rFonts w:ascii="Garamond" w:hAnsi="Garamond" w:cs="Times New Roman"/>
          <w:b/>
          <w:bCs/>
          <w:sz w:val="24"/>
          <w:szCs w:val="24"/>
        </w:rPr>
        <w:t xml:space="preserve"> </w:t>
      </w:r>
    </w:p>
    <w:p w14:paraId="262A9B1E" w14:textId="1E47CC3D" w:rsidR="003A3A99" w:rsidRPr="00C245A2" w:rsidRDefault="006853D5" w:rsidP="00253D22">
      <w:pPr>
        <w:spacing w:line="480" w:lineRule="auto"/>
        <w:ind w:firstLine="720"/>
        <w:rPr>
          <w:rFonts w:ascii="Garamond" w:hAnsi="Garamond" w:cs="Times New Roman"/>
          <w:sz w:val="24"/>
          <w:szCs w:val="24"/>
        </w:rPr>
      </w:pPr>
      <w:r w:rsidRPr="00C245A2">
        <w:rPr>
          <w:rFonts w:ascii="Garamond" w:hAnsi="Garamond" w:cs="Times New Roman"/>
          <w:sz w:val="24"/>
          <w:szCs w:val="24"/>
        </w:rPr>
        <w:t>To test for possible omitted variables</w:t>
      </w:r>
      <w:r w:rsidR="00EE4E30" w:rsidRPr="00C245A2">
        <w:rPr>
          <w:rFonts w:ascii="Garamond" w:hAnsi="Garamond" w:cs="Times New Roman"/>
          <w:sz w:val="24"/>
          <w:szCs w:val="24"/>
        </w:rPr>
        <w:t xml:space="preserve"> for which the legislative events might proxy, </w:t>
      </w:r>
      <w:r w:rsidR="003A3A99" w:rsidRPr="00C245A2">
        <w:rPr>
          <w:rFonts w:ascii="Garamond" w:hAnsi="Garamond" w:cs="Times New Roman"/>
          <w:sz w:val="24"/>
          <w:szCs w:val="24"/>
        </w:rPr>
        <w:t xml:space="preserve">we assessed two factors that received considerable comment in contemporary media: </w:t>
      </w:r>
    </w:p>
    <w:p w14:paraId="4B8D8CEA" w14:textId="334E8FDD" w:rsidR="003A3A99" w:rsidRPr="00C245A2" w:rsidRDefault="003A3A99" w:rsidP="004A4315">
      <w:pPr>
        <w:numPr>
          <w:ilvl w:val="0"/>
          <w:numId w:val="3"/>
        </w:numPr>
        <w:spacing w:line="480" w:lineRule="auto"/>
        <w:rPr>
          <w:rFonts w:ascii="Garamond" w:hAnsi="Garamond" w:cs="Times New Roman"/>
          <w:b/>
          <w:sz w:val="24"/>
          <w:szCs w:val="24"/>
        </w:rPr>
      </w:pPr>
      <w:r w:rsidRPr="00C245A2">
        <w:rPr>
          <w:rFonts w:ascii="Garamond" w:hAnsi="Garamond" w:cs="Times New Roman"/>
          <w:sz w:val="24"/>
          <w:szCs w:val="24"/>
        </w:rPr>
        <w:t>changes in monetary policy.  Passage of the Bank Charter Act granted the Bank of England a broader mandate for commercial lending.  In advance of passage, the BoE announced that it would substantially lower its base rate, which upon enactment it did, from four percent to 2.5 percent.  The BCA also limited the BoE’s discounting of commercial loans to a formula linked to the bank’s reserves.  Presumably material changes in reserves would influence investor anticipation of credit availability.  Consistent with the research of Bernanke and Kuttner (2005) and Campbell, Quinn, Turner, and Ye (2018), we hypothesized that news of accommodative credit conditions (lower interest rates</w:t>
      </w:r>
      <w:r w:rsidR="00991B68" w:rsidRPr="00C245A2">
        <w:rPr>
          <w:rFonts w:ascii="Garamond" w:hAnsi="Garamond" w:cs="Times New Roman"/>
          <w:sz w:val="24"/>
          <w:szCs w:val="24"/>
        </w:rPr>
        <w:t xml:space="preserve"> and greater credit availability</w:t>
      </w:r>
      <w:r w:rsidR="00D06949" w:rsidRPr="00C245A2">
        <w:rPr>
          <w:rFonts w:ascii="Garamond" w:hAnsi="Garamond" w:cs="Times New Roman"/>
          <w:sz w:val="24"/>
          <w:szCs w:val="24"/>
        </w:rPr>
        <w:t xml:space="preserve"> because of</w:t>
      </w:r>
      <w:r w:rsidRPr="00C245A2">
        <w:rPr>
          <w:rFonts w:ascii="Garamond" w:hAnsi="Garamond" w:cs="Times New Roman"/>
          <w:sz w:val="24"/>
          <w:szCs w:val="24"/>
        </w:rPr>
        <w:t xml:space="preserve"> higher BoE reserves) would be associated with positive returns to shareholders.</w:t>
      </w:r>
    </w:p>
    <w:p w14:paraId="1063BDA2" w14:textId="58FB74BC" w:rsidR="003A3A99" w:rsidRPr="00C245A2" w:rsidRDefault="003A3A99" w:rsidP="004A4315">
      <w:pPr>
        <w:numPr>
          <w:ilvl w:val="0"/>
          <w:numId w:val="3"/>
        </w:numPr>
        <w:spacing w:line="480" w:lineRule="auto"/>
        <w:rPr>
          <w:rFonts w:ascii="Garamond" w:hAnsi="Garamond" w:cs="Times New Roman"/>
          <w:b/>
          <w:sz w:val="24"/>
          <w:szCs w:val="24"/>
        </w:rPr>
      </w:pPr>
      <w:r w:rsidRPr="00C245A2">
        <w:rPr>
          <w:rFonts w:ascii="Garamond" w:hAnsi="Garamond" w:cs="Times New Roman"/>
          <w:sz w:val="24"/>
          <w:szCs w:val="24"/>
        </w:rPr>
        <w:t xml:space="preserve">changes in grain prices, which might affect the demand for grain and the transportation necessary to bring the grain to market.  </w:t>
      </w:r>
      <w:r w:rsidR="00D06949" w:rsidRPr="00C245A2">
        <w:rPr>
          <w:rFonts w:ascii="Garamond" w:hAnsi="Garamond" w:cs="Times New Roman"/>
          <w:sz w:val="24"/>
          <w:szCs w:val="24"/>
        </w:rPr>
        <w:t>We hypothesized that low (high) grain prices</w:t>
      </w:r>
      <w:r w:rsidR="00FE096C" w:rsidRPr="00C245A2">
        <w:rPr>
          <w:rFonts w:ascii="Garamond" w:hAnsi="Garamond" w:cs="Times New Roman"/>
          <w:sz w:val="24"/>
          <w:szCs w:val="24"/>
        </w:rPr>
        <w:t xml:space="preserve"> would stimulate more (less) demand for grain and more (less) transportation necessary to move the grain to market. </w:t>
      </w:r>
      <w:r w:rsidR="00D06949" w:rsidRPr="00C245A2">
        <w:rPr>
          <w:rFonts w:ascii="Garamond" w:hAnsi="Garamond" w:cs="Times New Roman"/>
          <w:sz w:val="24"/>
          <w:szCs w:val="24"/>
        </w:rPr>
        <w:t xml:space="preserve"> </w:t>
      </w:r>
      <w:r w:rsidRPr="00C245A2">
        <w:rPr>
          <w:rFonts w:ascii="Garamond" w:hAnsi="Garamond" w:cs="Times New Roman"/>
          <w:sz w:val="24"/>
          <w:szCs w:val="24"/>
        </w:rPr>
        <w:t>We focused particularly on sharp changes in daily grain prices (greater than two standard deviations).</w:t>
      </w:r>
    </w:p>
    <w:p w14:paraId="413F32D1" w14:textId="64F5E29E" w:rsidR="001076AA" w:rsidRPr="00C245A2" w:rsidRDefault="003A3A99" w:rsidP="00253D22">
      <w:pPr>
        <w:spacing w:line="480" w:lineRule="auto"/>
        <w:ind w:firstLine="720"/>
        <w:rPr>
          <w:rFonts w:ascii="Garamond" w:hAnsi="Garamond" w:cs="Times New Roman"/>
          <w:sz w:val="24"/>
          <w:szCs w:val="24"/>
        </w:rPr>
      </w:pPr>
      <w:r w:rsidRPr="00C245A2">
        <w:rPr>
          <w:rFonts w:ascii="Garamond" w:hAnsi="Garamond" w:cs="Times New Roman"/>
          <w:sz w:val="24"/>
          <w:szCs w:val="24"/>
        </w:rPr>
        <w:t xml:space="preserve">In an </w:t>
      </w:r>
      <w:r w:rsidR="00420E4F" w:rsidRPr="00C245A2">
        <w:rPr>
          <w:rFonts w:ascii="Garamond" w:hAnsi="Garamond" w:cs="Times New Roman"/>
          <w:sz w:val="24"/>
          <w:szCs w:val="24"/>
        </w:rPr>
        <w:t>ARIMA-</w:t>
      </w:r>
      <w:r w:rsidRPr="00C245A2">
        <w:rPr>
          <w:rFonts w:ascii="Garamond" w:hAnsi="Garamond" w:cs="Times New Roman"/>
          <w:sz w:val="24"/>
          <w:szCs w:val="24"/>
        </w:rPr>
        <w:t xml:space="preserve">ARCH-GARCH model, we regressed daily returns against the natural logs of interest rate changes, changes in BoE reserves, and changes in grain prices.  None of the coefficients for independent variables was significant, though the signs were generally consistent with hypotheses and though the </w:t>
      </w:r>
      <w:r w:rsidR="00420E4F" w:rsidRPr="00C245A2">
        <w:rPr>
          <w:rFonts w:ascii="Garamond" w:hAnsi="Garamond" w:cs="Times New Roman"/>
          <w:sz w:val="24"/>
          <w:szCs w:val="24"/>
        </w:rPr>
        <w:t xml:space="preserve">ARIMA, </w:t>
      </w:r>
      <w:r w:rsidRPr="00C245A2">
        <w:rPr>
          <w:rFonts w:ascii="Garamond" w:hAnsi="Garamond" w:cs="Times New Roman"/>
          <w:sz w:val="24"/>
          <w:szCs w:val="24"/>
        </w:rPr>
        <w:t>ARCH</w:t>
      </w:r>
      <w:r w:rsidR="00420E4F" w:rsidRPr="00C245A2">
        <w:rPr>
          <w:rFonts w:ascii="Garamond" w:hAnsi="Garamond" w:cs="Times New Roman"/>
          <w:sz w:val="24"/>
          <w:szCs w:val="24"/>
        </w:rPr>
        <w:t>,</w:t>
      </w:r>
      <w:r w:rsidRPr="00C245A2">
        <w:rPr>
          <w:rFonts w:ascii="Garamond" w:hAnsi="Garamond" w:cs="Times New Roman"/>
          <w:sz w:val="24"/>
          <w:szCs w:val="24"/>
        </w:rPr>
        <w:t xml:space="preserve"> and GARCH factors were significant, indicating strong serial correlation.  </w:t>
      </w:r>
    </w:p>
    <w:p w14:paraId="37D8609E" w14:textId="3945D249" w:rsidR="001076AA" w:rsidRPr="00C245A2" w:rsidRDefault="001076AA" w:rsidP="00253D22">
      <w:pPr>
        <w:spacing w:after="120" w:line="480" w:lineRule="auto"/>
        <w:ind w:firstLine="720"/>
        <w:rPr>
          <w:rFonts w:ascii="Garamond" w:hAnsi="Garamond" w:cs="Times New Roman"/>
          <w:sz w:val="24"/>
          <w:szCs w:val="24"/>
        </w:rPr>
      </w:pPr>
      <w:r w:rsidRPr="00C245A2">
        <w:rPr>
          <w:rFonts w:ascii="Garamond" w:hAnsi="Garamond" w:cs="Times New Roman"/>
          <w:sz w:val="24"/>
          <w:szCs w:val="24"/>
        </w:rPr>
        <w:lastRenderedPageBreak/>
        <w:t>Given the findings of heteroskedasticity and autocorrelation, we fitted an ARIMA-ARCH-GARCH [</w:t>
      </w:r>
      <w:r w:rsidR="006F7BDF" w:rsidRPr="00C245A2">
        <w:rPr>
          <w:rFonts w:ascii="Garamond" w:hAnsi="Garamond" w:cs="Times New Roman"/>
          <w:sz w:val="24"/>
          <w:szCs w:val="24"/>
        </w:rPr>
        <w:t>3</w:t>
      </w:r>
      <w:r w:rsidRPr="00C245A2">
        <w:rPr>
          <w:rFonts w:ascii="Garamond" w:hAnsi="Garamond" w:cs="Times New Roman"/>
          <w:sz w:val="24"/>
          <w:szCs w:val="24"/>
        </w:rPr>
        <w:t>,0,</w:t>
      </w:r>
      <w:r w:rsidR="006F7BDF" w:rsidRPr="00C245A2">
        <w:rPr>
          <w:rFonts w:ascii="Garamond" w:hAnsi="Garamond" w:cs="Times New Roman"/>
          <w:sz w:val="24"/>
          <w:szCs w:val="24"/>
        </w:rPr>
        <w:t>3</w:t>
      </w:r>
      <w:r w:rsidRPr="00C245A2">
        <w:rPr>
          <w:rFonts w:ascii="Garamond" w:hAnsi="Garamond" w:cs="Times New Roman"/>
          <w:sz w:val="24"/>
          <w:szCs w:val="24"/>
        </w:rPr>
        <w:t>] model to the data.  Accordingly, the regression estimates reported here derive from the following model:</w:t>
      </w:r>
    </w:p>
    <w:p w14:paraId="1C815151" w14:textId="7893D7F0" w:rsidR="001076AA" w:rsidRPr="00C245A2" w:rsidRDefault="001076AA" w:rsidP="004A4315">
      <w:pPr>
        <w:spacing w:after="120" w:line="480" w:lineRule="auto"/>
        <w:rPr>
          <w:rFonts w:ascii="Garamond" w:hAnsi="Garamond" w:cs="Times New Roman"/>
          <w:sz w:val="24"/>
          <w:szCs w:val="24"/>
        </w:rPr>
      </w:pPr>
      <w:r w:rsidRPr="00C245A2">
        <w:rPr>
          <w:rFonts w:ascii="Garamond" w:hAnsi="Garamond" w:cs="Times New Roman"/>
          <w:sz w:val="24"/>
          <w:szCs w:val="24"/>
        </w:rPr>
        <w:t xml:space="preserve">(1) </w:t>
      </w:r>
      <w:r w:rsidRPr="00C245A2">
        <w:rPr>
          <w:rFonts w:ascii="Garamond" w:hAnsi="Garamond" w:cs="Times New Roman"/>
          <w:sz w:val="24"/>
          <w:szCs w:val="24"/>
        </w:rPr>
        <w:tab/>
        <w:t>R</w:t>
      </w:r>
      <w:r w:rsidRPr="00C245A2">
        <w:rPr>
          <w:rFonts w:ascii="Garamond" w:hAnsi="Garamond" w:cs="Times New Roman"/>
          <w:sz w:val="24"/>
          <w:szCs w:val="24"/>
          <w:vertAlign w:val="subscript"/>
        </w:rPr>
        <w:t>t</w:t>
      </w:r>
      <w:r w:rsidRPr="00C245A2">
        <w:rPr>
          <w:rFonts w:ascii="Garamond" w:hAnsi="Garamond" w:cs="Times New Roman"/>
          <w:sz w:val="24"/>
          <w:szCs w:val="24"/>
        </w:rPr>
        <w:t xml:space="preserve"> = a + β</w:t>
      </w:r>
      <w:r w:rsidRPr="00C245A2">
        <w:rPr>
          <w:rFonts w:ascii="Garamond" w:hAnsi="Garamond" w:cs="Times New Roman"/>
          <w:sz w:val="24"/>
          <w:szCs w:val="24"/>
          <w:vertAlign w:val="subscript"/>
        </w:rPr>
        <w:t>1</w:t>
      </w:r>
      <w:r w:rsidRPr="00C245A2">
        <w:rPr>
          <w:rFonts w:ascii="Garamond" w:hAnsi="Garamond" w:cs="Times New Roman"/>
          <w:sz w:val="24"/>
          <w:szCs w:val="24"/>
        </w:rPr>
        <w:t>(</w:t>
      </w:r>
      <w:proofErr w:type="spellStart"/>
      <w:r w:rsidRPr="00C245A2">
        <w:rPr>
          <w:rFonts w:ascii="Garamond" w:hAnsi="Garamond" w:cs="Times New Roman"/>
          <w:sz w:val="24"/>
          <w:szCs w:val="24"/>
        </w:rPr>
        <w:t>LNBoERB</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 β</w:t>
      </w:r>
      <w:r w:rsidRPr="00C245A2">
        <w:rPr>
          <w:rFonts w:ascii="Garamond" w:hAnsi="Garamond" w:cs="Times New Roman"/>
          <w:sz w:val="24"/>
          <w:szCs w:val="24"/>
          <w:vertAlign w:val="subscript"/>
        </w:rPr>
        <w:t>2</w:t>
      </w:r>
      <w:r w:rsidRPr="00C245A2">
        <w:rPr>
          <w:rFonts w:ascii="Garamond" w:hAnsi="Garamond" w:cs="Times New Roman"/>
          <w:sz w:val="24"/>
          <w:szCs w:val="24"/>
        </w:rPr>
        <w:t>(</w:t>
      </w:r>
      <w:proofErr w:type="spellStart"/>
      <w:r w:rsidRPr="00C245A2">
        <w:rPr>
          <w:rFonts w:ascii="Garamond" w:hAnsi="Garamond" w:cs="Times New Roman"/>
          <w:sz w:val="24"/>
          <w:szCs w:val="24"/>
        </w:rPr>
        <w:t>BoEint</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 β</w:t>
      </w:r>
      <w:r w:rsidRPr="00C245A2">
        <w:rPr>
          <w:rFonts w:ascii="Garamond" w:hAnsi="Garamond" w:cs="Times New Roman"/>
          <w:sz w:val="24"/>
          <w:szCs w:val="24"/>
          <w:vertAlign w:val="subscript"/>
        </w:rPr>
        <w:t>3</w:t>
      </w:r>
      <w:r w:rsidRPr="00C245A2">
        <w:rPr>
          <w:rFonts w:ascii="Garamond" w:hAnsi="Garamond" w:cs="Times New Roman"/>
          <w:sz w:val="24"/>
          <w:szCs w:val="24"/>
        </w:rPr>
        <w:t>(</w:t>
      </w:r>
      <w:proofErr w:type="spellStart"/>
      <w:r w:rsidRPr="00C245A2">
        <w:rPr>
          <w:rFonts w:ascii="Garamond" w:hAnsi="Garamond" w:cs="Times New Roman"/>
          <w:sz w:val="24"/>
          <w:szCs w:val="24"/>
        </w:rPr>
        <w:t>LNWheat</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 e</w:t>
      </w:r>
      <w:r w:rsidRPr="00C245A2">
        <w:rPr>
          <w:rFonts w:ascii="Garamond" w:hAnsi="Garamond" w:cs="Times New Roman"/>
          <w:sz w:val="24"/>
          <w:szCs w:val="24"/>
          <w:vertAlign w:val="subscript"/>
        </w:rPr>
        <w:t>t</w:t>
      </w:r>
      <w:r w:rsidRPr="00C245A2">
        <w:rPr>
          <w:rFonts w:ascii="Garamond" w:hAnsi="Garamond" w:cs="Times New Roman"/>
          <w:sz w:val="24"/>
          <w:szCs w:val="24"/>
        </w:rPr>
        <w:t xml:space="preserve">  </w:t>
      </w:r>
    </w:p>
    <w:p w14:paraId="7A99E9D7" w14:textId="53F1BEC5" w:rsidR="00CB6674" w:rsidRPr="00C245A2" w:rsidRDefault="001076AA" w:rsidP="004A4315">
      <w:pPr>
        <w:spacing w:after="120" w:line="480" w:lineRule="auto"/>
        <w:ind w:left="1260" w:hanging="1260"/>
        <w:jc w:val="both"/>
        <w:rPr>
          <w:rFonts w:ascii="Garamond" w:hAnsi="Garamond" w:cs="Times New Roman"/>
          <w:sz w:val="24"/>
          <w:szCs w:val="24"/>
        </w:rPr>
      </w:pPr>
      <w:r w:rsidRPr="00C245A2">
        <w:rPr>
          <w:rFonts w:ascii="Garamond" w:hAnsi="Garamond" w:cs="Times New Roman"/>
          <w:sz w:val="24"/>
          <w:szCs w:val="24"/>
        </w:rPr>
        <w:t xml:space="preserve">Where  </w:t>
      </w:r>
      <w:r w:rsidR="00CB6674" w:rsidRPr="00C245A2">
        <w:rPr>
          <w:rFonts w:ascii="Garamond" w:hAnsi="Garamond" w:cs="Times New Roman"/>
          <w:sz w:val="24"/>
          <w:szCs w:val="24"/>
        </w:rPr>
        <w:t>R</w:t>
      </w:r>
      <w:r w:rsidR="00CB6674" w:rsidRPr="00C245A2">
        <w:rPr>
          <w:rFonts w:ascii="Garamond" w:hAnsi="Garamond" w:cs="Times New Roman"/>
          <w:sz w:val="24"/>
          <w:szCs w:val="24"/>
          <w:vertAlign w:val="subscript"/>
        </w:rPr>
        <w:t>t</w:t>
      </w:r>
      <w:r w:rsidR="00CB6674" w:rsidRPr="00C245A2">
        <w:rPr>
          <w:rFonts w:ascii="Garamond" w:hAnsi="Garamond" w:cs="Times New Roman"/>
          <w:sz w:val="24"/>
          <w:szCs w:val="24"/>
        </w:rPr>
        <w:t xml:space="preserve"> = Daily return on the value weighted returns on the portfolios of the market composite, and railways and banks sectors on day t.</w:t>
      </w:r>
    </w:p>
    <w:p w14:paraId="32588F14" w14:textId="7DACDECE" w:rsidR="001076AA" w:rsidRPr="00C245A2" w:rsidRDefault="001076AA" w:rsidP="004A4315">
      <w:pPr>
        <w:spacing w:after="120" w:line="480" w:lineRule="auto"/>
        <w:ind w:left="720"/>
        <w:rPr>
          <w:rFonts w:ascii="Garamond" w:hAnsi="Garamond" w:cs="Times New Roman"/>
          <w:sz w:val="24"/>
          <w:szCs w:val="24"/>
        </w:rPr>
      </w:pPr>
      <w:proofErr w:type="spellStart"/>
      <w:r w:rsidRPr="00C245A2">
        <w:rPr>
          <w:rFonts w:ascii="Garamond" w:hAnsi="Garamond" w:cs="Times New Roman"/>
          <w:sz w:val="24"/>
          <w:szCs w:val="24"/>
        </w:rPr>
        <w:t>LNWheat</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xml:space="preserve"> = Natural logarithm of weekly posted wheat prices at day t.</w:t>
      </w:r>
    </w:p>
    <w:p w14:paraId="0A75ADD6" w14:textId="77777777" w:rsidR="001076AA" w:rsidRPr="00C245A2" w:rsidRDefault="001076AA" w:rsidP="004A4315">
      <w:pPr>
        <w:spacing w:after="120" w:line="480" w:lineRule="auto"/>
        <w:ind w:left="1440" w:hanging="720"/>
        <w:rPr>
          <w:rFonts w:ascii="Garamond" w:hAnsi="Garamond" w:cs="Times New Roman"/>
          <w:sz w:val="24"/>
          <w:szCs w:val="24"/>
        </w:rPr>
      </w:pPr>
      <w:proofErr w:type="spellStart"/>
      <w:r w:rsidRPr="00C245A2">
        <w:rPr>
          <w:rFonts w:ascii="Garamond" w:hAnsi="Garamond" w:cs="Times New Roman"/>
          <w:sz w:val="24"/>
          <w:szCs w:val="24"/>
        </w:rPr>
        <w:t>LNBoERB</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xml:space="preserve"> = Natural logarithm of weekly reserves of the Banking Department of the BoE at day t.</w:t>
      </w:r>
    </w:p>
    <w:p w14:paraId="5F9AADBA" w14:textId="1CE000FA" w:rsidR="001076AA" w:rsidRPr="00C245A2" w:rsidRDefault="001076AA" w:rsidP="004A4315">
      <w:pPr>
        <w:spacing w:after="120" w:line="480" w:lineRule="auto"/>
        <w:ind w:left="1440" w:hanging="720"/>
        <w:rPr>
          <w:rFonts w:ascii="Garamond" w:hAnsi="Garamond" w:cs="Times New Roman"/>
          <w:sz w:val="24"/>
          <w:szCs w:val="24"/>
        </w:rPr>
      </w:pPr>
      <w:proofErr w:type="spellStart"/>
      <w:r w:rsidRPr="00C245A2">
        <w:rPr>
          <w:rFonts w:ascii="Garamond" w:hAnsi="Garamond" w:cs="Times New Roman"/>
          <w:sz w:val="24"/>
          <w:szCs w:val="24"/>
        </w:rPr>
        <w:t>BoEin</w:t>
      </w:r>
      <w:r w:rsidR="00AF2D84" w:rsidRPr="00C245A2">
        <w:rPr>
          <w:rFonts w:ascii="Garamond" w:hAnsi="Garamond" w:cs="Times New Roman"/>
          <w:sz w:val="24"/>
          <w:szCs w:val="24"/>
          <w:vertAlign w:val="subscript"/>
        </w:rPr>
        <w:t>t</w:t>
      </w:r>
      <w:proofErr w:type="spellEnd"/>
      <w:r w:rsidRPr="00C245A2">
        <w:rPr>
          <w:rFonts w:ascii="Garamond" w:hAnsi="Garamond" w:cs="Times New Roman"/>
          <w:sz w:val="24"/>
          <w:szCs w:val="24"/>
          <w:vertAlign w:val="subscript"/>
        </w:rPr>
        <w:t xml:space="preserve">  </w:t>
      </w:r>
      <w:r w:rsidRPr="00C245A2">
        <w:rPr>
          <w:rFonts w:ascii="Garamond" w:hAnsi="Garamond" w:cs="Times New Roman"/>
          <w:sz w:val="24"/>
          <w:szCs w:val="24"/>
        </w:rPr>
        <w:t>=</w:t>
      </w:r>
      <w:r w:rsidR="00E264BD" w:rsidRPr="00C245A2">
        <w:rPr>
          <w:rFonts w:ascii="Garamond" w:hAnsi="Garamond" w:cs="Times New Roman"/>
          <w:sz w:val="24"/>
          <w:szCs w:val="24"/>
        </w:rPr>
        <w:t xml:space="preserve"> </w:t>
      </w:r>
      <w:r w:rsidRPr="00C245A2">
        <w:rPr>
          <w:rFonts w:ascii="Garamond" w:hAnsi="Garamond" w:cs="Times New Roman"/>
          <w:sz w:val="24"/>
          <w:szCs w:val="24"/>
        </w:rPr>
        <w:t>BoE Bank Rate on day t.</w:t>
      </w:r>
    </w:p>
    <w:p w14:paraId="5BC1BE35" w14:textId="77777777" w:rsidR="001076AA" w:rsidRPr="00C245A2" w:rsidRDefault="001076AA" w:rsidP="004A4315">
      <w:pPr>
        <w:spacing w:after="120" w:line="480" w:lineRule="auto"/>
        <w:rPr>
          <w:rFonts w:ascii="Garamond" w:hAnsi="Garamond" w:cs="Times New Roman"/>
          <w:sz w:val="24"/>
          <w:szCs w:val="24"/>
        </w:rPr>
      </w:pPr>
      <w:r w:rsidRPr="00C245A2">
        <w:rPr>
          <w:rFonts w:ascii="Garamond" w:hAnsi="Garamond" w:cs="Times New Roman"/>
          <w:sz w:val="24"/>
          <w:szCs w:val="24"/>
        </w:rPr>
        <w:t>The null hypothesis for all coefficients is:  H</w:t>
      </w:r>
      <w:r w:rsidRPr="00C245A2">
        <w:rPr>
          <w:rFonts w:ascii="Garamond" w:hAnsi="Garamond" w:cs="Times New Roman"/>
          <w:sz w:val="24"/>
          <w:szCs w:val="24"/>
          <w:vertAlign w:val="subscript"/>
        </w:rPr>
        <w:t>0</w:t>
      </w:r>
      <w:r w:rsidRPr="00C245A2">
        <w:rPr>
          <w:rFonts w:ascii="Garamond" w:hAnsi="Garamond" w:cs="Times New Roman"/>
          <w:sz w:val="24"/>
          <w:szCs w:val="24"/>
        </w:rPr>
        <w:t>: β = 0.</w:t>
      </w:r>
    </w:p>
    <w:p w14:paraId="32AAECAB" w14:textId="77777777" w:rsidR="001076AA" w:rsidRPr="00C245A2" w:rsidRDefault="001076AA" w:rsidP="004A4315">
      <w:pPr>
        <w:spacing w:after="120" w:line="480" w:lineRule="auto"/>
        <w:rPr>
          <w:rFonts w:ascii="Garamond" w:hAnsi="Garamond" w:cs="Times New Roman"/>
          <w:sz w:val="24"/>
          <w:szCs w:val="24"/>
        </w:rPr>
      </w:pPr>
      <w:r w:rsidRPr="00C245A2">
        <w:rPr>
          <w:rFonts w:ascii="Garamond" w:hAnsi="Garamond" w:cs="Times New Roman"/>
          <w:sz w:val="24"/>
          <w:szCs w:val="24"/>
        </w:rPr>
        <w:t xml:space="preserve">The alternative hypotheses are:  </w:t>
      </w:r>
    </w:p>
    <w:p w14:paraId="624627CC" w14:textId="77777777" w:rsidR="001076AA" w:rsidRPr="00C245A2" w:rsidRDefault="001076AA" w:rsidP="004A4315">
      <w:pPr>
        <w:spacing w:after="120" w:line="480" w:lineRule="auto"/>
        <w:rPr>
          <w:rFonts w:ascii="Garamond" w:hAnsi="Garamond" w:cs="Times New Roman"/>
          <w:sz w:val="24"/>
          <w:szCs w:val="24"/>
          <w:u w:val="single"/>
        </w:rPr>
      </w:pPr>
      <w:r w:rsidRPr="00C245A2">
        <w:rPr>
          <w:rFonts w:ascii="Garamond" w:hAnsi="Garamond" w:cs="Times New Roman"/>
          <w:sz w:val="24"/>
          <w:szCs w:val="24"/>
        </w:rPr>
        <w:t>H</w:t>
      </w:r>
      <w:r w:rsidRPr="00C245A2">
        <w:rPr>
          <w:rFonts w:ascii="Garamond" w:hAnsi="Garamond" w:cs="Times New Roman"/>
          <w:sz w:val="24"/>
          <w:szCs w:val="24"/>
          <w:vertAlign w:val="subscript"/>
        </w:rPr>
        <w:t>0</w:t>
      </w:r>
      <w:r w:rsidRPr="00C245A2">
        <w:rPr>
          <w:rFonts w:ascii="Garamond" w:hAnsi="Garamond" w:cs="Times New Roman"/>
          <w:sz w:val="24"/>
          <w:szCs w:val="24"/>
        </w:rPr>
        <w:t>: β</w:t>
      </w:r>
      <w:r w:rsidRPr="00C245A2">
        <w:rPr>
          <w:rFonts w:ascii="Garamond" w:hAnsi="Garamond" w:cs="Times New Roman"/>
          <w:sz w:val="24"/>
          <w:szCs w:val="24"/>
          <w:vertAlign w:val="subscript"/>
        </w:rPr>
        <w:t>1</w:t>
      </w:r>
      <w:r w:rsidRPr="00C245A2">
        <w:rPr>
          <w:rFonts w:ascii="Garamond" w:hAnsi="Garamond" w:cs="Times New Roman"/>
          <w:sz w:val="24"/>
          <w:szCs w:val="24"/>
        </w:rPr>
        <w:t xml:space="preserve"> &gt; 0.  This reflects the assumption of a direct relation between BoE reserve changes and returns to equity investors.</w:t>
      </w:r>
    </w:p>
    <w:p w14:paraId="3871A87B" w14:textId="77777777" w:rsidR="001076AA" w:rsidRPr="00C245A2" w:rsidRDefault="001076AA" w:rsidP="004A4315">
      <w:pPr>
        <w:spacing w:after="120" w:line="480" w:lineRule="auto"/>
        <w:rPr>
          <w:rFonts w:ascii="Garamond" w:hAnsi="Garamond" w:cs="Times New Roman"/>
          <w:sz w:val="24"/>
          <w:szCs w:val="24"/>
        </w:rPr>
      </w:pPr>
      <w:r w:rsidRPr="00C245A2">
        <w:rPr>
          <w:rFonts w:ascii="Garamond" w:hAnsi="Garamond" w:cs="Times New Roman"/>
          <w:sz w:val="24"/>
          <w:szCs w:val="24"/>
        </w:rPr>
        <w:t>H</w:t>
      </w:r>
      <w:r w:rsidRPr="00C245A2">
        <w:rPr>
          <w:rFonts w:ascii="Garamond" w:hAnsi="Garamond" w:cs="Times New Roman"/>
          <w:sz w:val="24"/>
          <w:szCs w:val="24"/>
          <w:vertAlign w:val="subscript"/>
        </w:rPr>
        <w:t>0</w:t>
      </w:r>
      <w:r w:rsidRPr="00C245A2">
        <w:rPr>
          <w:rFonts w:ascii="Garamond" w:hAnsi="Garamond" w:cs="Times New Roman"/>
          <w:sz w:val="24"/>
          <w:szCs w:val="24"/>
        </w:rPr>
        <w:t>: β</w:t>
      </w:r>
      <w:r w:rsidRPr="00C245A2">
        <w:rPr>
          <w:rFonts w:ascii="Garamond" w:hAnsi="Garamond" w:cs="Times New Roman"/>
          <w:sz w:val="24"/>
          <w:szCs w:val="24"/>
          <w:vertAlign w:val="subscript"/>
        </w:rPr>
        <w:t>2</w:t>
      </w:r>
      <w:r w:rsidRPr="00C245A2">
        <w:rPr>
          <w:rFonts w:ascii="Garamond" w:hAnsi="Garamond" w:cs="Times New Roman"/>
          <w:sz w:val="24"/>
          <w:szCs w:val="24"/>
        </w:rPr>
        <w:t xml:space="preserve"> &lt; 0.  This reflects the assumption of an inverse relation between BoE interest rate changes and returns to equity investors.</w:t>
      </w:r>
    </w:p>
    <w:p w14:paraId="7B595BAF" w14:textId="77777777" w:rsidR="001076AA" w:rsidRPr="00C245A2" w:rsidRDefault="001076AA" w:rsidP="004A4315">
      <w:pPr>
        <w:spacing w:after="120" w:line="480" w:lineRule="auto"/>
        <w:rPr>
          <w:rFonts w:ascii="Garamond" w:hAnsi="Garamond" w:cs="Times New Roman"/>
          <w:bCs/>
          <w:sz w:val="24"/>
          <w:szCs w:val="24"/>
        </w:rPr>
      </w:pPr>
      <w:r w:rsidRPr="00C245A2">
        <w:rPr>
          <w:rFonts w:ascii="Garamond" w:hAnsi="Garamond" w:cs="Times New Roman"/>
          <w:sz w:val="24"/>
          <w:szCs w:val="24"/>
        </w:rPr>
        <w:t>H</w:t>
      </w:r>
      <w:r w:rsidRPr="00C245A2">
        <w:rPr>
          <w:rFonts w:ascii="Garamond" w:hAnsi="Garamond" w:cs="Times New Roman"/>
          <w:sz w:val="24"/>
          <w:szCs w:val="24"/>
          <w:vertAlign w:val="subscript"/>
        </w:rPr>
        <w:t>0</w:t>
      </w:r>
      <w:r w:rsidRPr="00C245A2">
        <w:rPr>
          <w:rFonts w:ascii="Garamond" w:hAnsi="Garamond" w:cs="Times New Roman"/>
          <w:sz w:val="24"/>
          <w:szCs w:val="24"/>
        </w:rPr>
        <w:t>: β</w:t>
      </w:r>
      <w:r w:rsidRPr="00C245A2">
        <w:rPr>
          <w:rFonts w:ascii="Garamond" w:hAnsi="Garamond" w:cs="Times New Roman"/>
          <w:sz w:val="24"/>
          <w:szCs w:val="24"/>
          <w:vertAlign w:val="subscript"/>
        </w:rPr>
        <w:t>3</w:t>
      </w:r>
      <w:r w:rsidRPr="00C245A2">
        <w:rPr>
          <w:rFonts w:ascii="Garamond" w:hAnsi="Garamond" w:cs="Times New Roman"/>
          <w:sz w:val="24"/>
          <w:szCs w:val="24"/>
        </w:rPr>
        <w:t xml:space="preserve"> &lt; 0.  Higher wheat prices are consistent with smaller quantities traded and thus are a proxy for food insecurity.</w:t>
      </w:r>
    </w:p>
    <w:p w14:paraId="55BA1728" w14:textId="4459E59D" w:rsidR="00303E78" w:rsidRPr="00C245A2" w:rsidRDefault="00303E78" w:rsidP="00253D22">
      <w:pPr>
        <w:spacing w:after="120" w:line="480" w:lineRule="auto"/>
        <w:ind w:firstLine="720"/>
        <w:rPr>
          <w:rFonts w:ascii="Garamond" w:hAnsi="Garamond" w:cs="Times New Roman"/>
          <w:sz w:val="24"/>
          <w:szCs w:val="24"/>
        </w:rPr>
      </w:pPr>
    </w:p>
    <w:p w14:paraId="5F1736BE" w14:textId="37776677" w:rsidR="00303E78" w:rsidRPr="00C245A2" w:rsidRDefault="00303E78" w:rsidP="00253D22">
      <w:pPr>
        <w:spacing w:after="120" w:line="480" w:lineRule="auto"/>
        <w:ind w:firstLine="720"/>
        <w:rPr>
          <w:rFonts w:ascii="Garamond" w:hAnsi="Garamond" w:cs="Times New Roman"/>
          <w:sz w:val="24"/>
          <w:szCs w:val="24"/>
        </w:rPr>
      </w:pPr>
      <w:r w:rsidRPr="00C245A2">
        <w:rPr>
          <w:rFonts w:ascii="Garamond" w:hAnsi="Garamond" w:cs="Times New Roman"/>
          <w:b/>
          <w:sz w:val="24"/>
          <w:szCs w:val="24"/>
        </w:rPr>
        <w:t xml:space="preserve">Table </w:t>
      </w:r>
      <w:r w:rsidR="00764364" w:rsidRPr="00C245A2">
        <w:rPr>
          <w:rFonts w:ascii="Garamond" w:hAnsi="Garamond" w:cs="Times New Roman"/>
          <w:b/>
          <w:sz w:val="24"/>
          <w:szCs w:val="24"/>
        </w:rPr>
        <w:t>A</w:t>
      </w:r>
      <w:r w:rsidR="00936674" w:rsidRPr="00C245A2">
        <w:rPr>
          <w:rFonts w:ascii="Garamond" w:hAnsi="Garamond" w:cs="Times New Roman"/>
          <w:b/>
          <w:sz w:val="24"/>
          <w:szCs w:val="24"/>
        </w:rPr>
        <w:t>4</w:t>
      </w:r>
      <w:r w:rsidRPr="00C245A2">
        <w:rPr>
          <w:rFonts w:ascii="Garamond" w:hAnsi="Garamond" w:cs="Times New Roman"/>
          <w:sz w:val="24"/>
          <w:szCs w:val="24"/>
        </w:rPr>
        <w:t xml:space="preserve"> presents the estimated regression coefficients on Equation 1, where the dependent variables are the daily returns on the market composite sample and </w:t>
      </w:r>
      <w:r w:rsidR="0047203A" w:rsidRPr="00C245A2">
        <w:rPr>
          <w:rFonts w:ascii="Garamond" w:hAnsi="Garamond" w:cs="Times New Roman"/>
          <w:sz w:val="24"/>
          <w:szCs w:val="24"/>
        </w:rPr>
        <w:t xml:space="preserve">on </w:t>
      </w:r>
      <w:r w:rsidRPr="00C245A2">
        <w:rPr>
          <w:rFonts w:ascii="Garamond" w:hAnsi="Garamond" w:cs="Times New Roman"/>
          <w:sz w:val="24"/>
          <w:szCs w:val="24"/>
        </w:rPr>
        <w:t xml:space="preserve">the railways and banks </w:t>
      </w:r>
      <w:r w:rsidRPr="00C245A2">
        <w:rPr>
          <w:rFonts w:ascii="Garamond" w:hAnsi="Garamond" w:cs="Times New Roman"/>
          <w:sz w:val="24"/>
          <w:szCs w:val="24"/>
        </w:rPr>
        <w:lastRenderedPageBreak/>
        <w:t>industry sectors.</w:t>
      </w:r>
      <w:r w:rsidRPr="00C245A2">
        <w:rPr>
          <w:rFonts w:ascii="Garamond" w:hAnsi="Garamond" w:cs="Times New Roman"/>
          <w:sz w:val="24"/>
          <w:szCs w:val="24"/>
          <w:vertAlign w:val="superscript"/>
        </w:rPr>
        <w:footnoteReference w:id="2"/>
      </w:r>
      <w:r w:rsidRPr="00C245A2">
        <w:rPr>
          <w:rFonts w:ascii="Garamond" w:hAnsi="Garamond" w:cs="Times New Roman"/>
          <w:sz w:val="24"/>
          <w:szCs w:val="24"/>
        </w:rPr>
        <w:t xml:space="preserve">  The independent variables are the natural log of wheat prices, natural log of total reserves of the Bank of England, and the percentage bank rate—the correlation among these independent variables was small.  The Wald Chi-square coefficient (line 1</w:t>
      </w:r>
      <w:r w:rsidR="00840ECB" w:rsidRPr="00C245A2">
        <w:rPr>
          <w:rFonts w:ascii="Garamond" w:hAnsi="Garamond" w:cs="Times New Roman"/>
          <w:sz w:val="24"/>
          <w:szCs w:val="24"/>
        </w:rPr>
        <w:t>4</w:t>
      </w:r>
      <w:r w:rsidRPr="00C245A2">
        <w:rPr>
          <w:rFonts w:ascii="Garamond" w:hAnsi="Garamond" w:cs="Times New Roman"/>
          <w:sz w:val="24"/>
          <w:szCs w:val="24"/>
        </w:rPr>
        <w:t xml:space="preserve">) is significant in </w:t>
      </w:r>
      <w:r w:rsidR="00132656" w:rsidRPr="00C245A2">
        <w:rPr>
          <w:rFonts w:ascii="Garamond" w:hAnsi="Garamond" w:cs="Times New Roman"/>
          <w:sz w:val="24"/>
          <w:szCs w:val="24"/>
        </w:rPr>
        <w:t xml:space="preserve">the three </w:t>
      </w:r>
      <w:r w:rsidRPr="00C245A2">
        <w:rPr>
          <w:rFonts w:ascii="Garamond" w:hAnsi="Garamond" w:cs="Times New Roman"/>
          <w:sz w:val="24"/>
          <w:szCs w:val="24"/>
        </w:rPr>
        <w:t>estimate</w:t>
      </w:r>
      <w:r w:rsidR="00132656" w:rsidRPr="00C245A2">
        <w:rPr>
          <w:rFonts w:ascii="Garamond" w:hAnsi="Garamond" w:cs="Times New Roman"/>
          <w:sz w:val="24"/>
          <w:szCs w:val="24"/>
        </w:rPr>
        <w:t>d equations</w:t>
      </w:r>
      <w:r w:rsidR="002410CE" w:rsidRPr="00C245A2">
        <w:rPr>
          <w:rFonts w:ascii="Garamond" w:hAnsi="Garamond" w:cs="Times New Roman"/>
          <w:sz w:val="24"/>
          <w:szCs w:val="24"/>
        </w:rPr>
        <w:t xml:space="preserve">, indicating that the </w:t>
      </w:r>
      <w:r w:rsidR="002D19A7" w:rsidRPr="00C245A2">
        <w:rPr>
          <w:rFonts w:ascii="Garamond" w:hAnsi="Garamond" w:cs="Times New Roman"/>
          <w:sz w:val="24"/>
          <w:szCs w:val="24"/>
        </w:rPr>
        <w:t xml:space="preserve">independent variables are collectively significant—though </w:t>
      </w:r>
      <w:r w:rsidR="00733642" w:rsidRPr="00C245A2">
        <w:rPr>
          <w:rFonts w:ascii="Garamond" w:hAnsi="Garamond" w:cs="Times New Roman"/>
          <w:sz w:val="24"/>
          <w:szCs w:val="24"/>
        </w:rPr>
        <w:t xml:space="preserve">this </w:t>
      </w:r>
      <w:r w:rsidR="00DF2E43" w:rsidRPr="00C245A2">
        <w:rPr>
          <w:rFonts w:ascii="Garamond" w:hAnsi="Garamond" w:cs="Times New Roman"/>
          <w:sz w:val="24"/>
          <w:szCs w:val="24"/>
        </w:rPr>
        <w:t>derives from</w:t>
      </w:r>
      <w:r w:rsidR="00733642" w:rsidRPr="00C245A2">
        <w:rPr>
          <w:rFonts w:ascii="Garamond" w:hAnsi="Garamond" w:cs="Times New Roman"/>
          <w:sz w:val="24"/>
          <w:szCs w:val="24"/>
        </w:rPr>
        <w:t xml:space="preserve"> the </w:t>
      </w:r>
      <w:r w:rsidR="0038126C" w:rsidRPr="00C245A2">
        <w:rPr>
          <w:rFonts w:ascii="Garamond" w:hAnsi="Garamond" w:cs="Times New Roman"/>
          <w:sz w:val="24"/>
          <w:szCs w:val="24"/>
        </w:rPr>
        <w:t>momentum in returns (lines 5-12) rather than the three independent variables of interest</w:t>
      </w:r>
      <w:r w:rsidRPr="00C245A2">
        <w:rPr>
          <w:rFonts w:ascii="Garamond" w:hAnsi="Garamond" w:cs="Times New Roman"/>
          <w:sz w:val="24"/>
          <w:szCs w:val="24"/>
        </w:rPr>
        <w:t>.</w:t>
      </w:r>
    </w:p>
    <w:p w14:paraId="317A8D95" w14:textId="2238FCFB" w:rsidR="00303E78" w:rsidRPr="00C245A2" w:rsidRDefault="00303E78" w:rsidP="00253D22">
      <w:pPr>
        <w:spacing w:after="120" w:line="480" w:lineRule="auto"/>
        <w:ind w:firstLine="720"/>
        <w:rPr>
          <w:rFonts w:ascii="Garamond" w:hAnsi="Garamond" w:cs="Times New Roman"/>
          <w:sz w:val="24"/>
          <w:szCs w:val="24"/>
        </w:rPr>
      </w:pPr>
      <w:r w:rsidRPr="00C245A2">
        <w:rPr>
          <w:rFonts w:ascii="Garamond" w:hAnsi="Garamond" w:cs="Times New Roman"/>
          <w:sz w:val="24"/>
          <w:szCs w:val="24"/>
        </w:rPr>
        <w:t xml:space="preserve">The estimated coefficient for wheat prices (line 1) is </w:t>
      </w:r>
      <w:r w:rsidR="00CB20F0" w:rsidRPr="00C245A2">
        <w:rPr>
          <w:rFonts w:ascii="Garamond" w:hAnsi="Garamond" w:cs="Times New Roman"/>
          <w:sz w:val="24"/>
          <w:szCs w:val="24"/>
        </w:rPr>
        <w:t>positive</w:t>
      </w:r>
      <w:r w:rsidRPr="00C245A2">
        <w:rPr>
          <w:rFonts w:ascii="Garamond" w:hAnsi="Garamond" w:cs="Times New Roman"/>
          <w:sz w:val="24"/>
          <w:szCs w:val="24"/>
        </w:rPr>
        <w:t xml:space="preserve"> in all cases, </w:t>
      </w:r>
      <w:r w:rsidR="006B5903" w:rsidRPr="00C245A2">
        <w:rPr>
          <w:rFonts w:ascii="Garamond" w:hAnsi="Garamond" w:cs="Times New Roman"/>
          <w:sz w:val="24"/>
          <w:szCs w:val="24"/>
        </w:rPr>
        <w:t xml:space="preserve">and significant </w:t>
      </w:r>
      <w:r w:rsidR="00F32359" w:rsidRPr="00C245A2">
        <w:rPr>
          <w:rFonts w:ascii="Garamond" w:hAnsi="Garamond" w:cs="Times New Roman"/>
          <w:sz w:val="24"/>
          <w:szCs w:val="24"/>
        </w:rPr>
        <w:t xml:space="preserve">only </w:t>
      </w:r>
      <w:r w:rsidR="006B5903" w:rsidRPr="00C245A2">
        <w:rPr>
          <w:rFonts w:ascii="Garamond" w:hAnsi="Garamond" w:cs="Times New Roman"/>
          <w:sz w:val="24"/>
          <w:szCs w:val="24"/>
        </w:rPr>
        <w:t>for the market composite portfolio</w:t>
      </w:r>
      <w:r w:rsidR="00E66285" w:rsidRPr="00C245A2">
        <w:rPr>
          <w:rFonts w:ascii="Garamond" w:hAnsi="Garamond" w:cs="Times New Roman"/>
          <w:sz w:val="24"/>
          <w:szCs w:val="24"/>
        </w:rPr>
        <w:t>.</w:t>
      </w:r>
      <w:r w:rsidRPr="00C245A2">
        <w:rPr>
          <w:rFonts w:ascii="Garamond" w:hAnsi="Garamond" w:cs="Times New Roman"/>
          <w:sz w:val="24"/>
          <w:szCs w:val="24"/>
        </w:rPr>
        <w:t xml:space="preserve">  </w:t>
      </w:r>
      <w:r w:rsidR="006E6644" w:rsidRPr="00C245A2">
        <w:rPr>
          <w:rFonts w:ascii="Garamond" w:hAnsi="Garamond" w:cs="Times New Roman"/>
          <w:sz w:val="24"/>
          <w:szCs w:val="24"/>
        </w:rPr>
        <w:t xml:space="preserve"> </w:t>
      </w:r>
      <w:r w:rsidRPr="00C245A2">
        <w:rPr>
          <w:rFonts w:ascii="Garamond" w:hAnsi="Garamond" w:cs="Times New Roman"/>
          <w:sz w:val="24"/>
          <w:szCs w:val="24"/>
        </w:rPr>
        <w:t>The estimated coefficient for the BoE’s Bank Rate</w:t>
      </w:r>
      <w:r w:rsidR="00640D9E" w:rsidRPr="00C245A2">
        <w:rPr>
          <w:rFonts w:ascii="Garamond" w:hAnsi="Garamond" w:cs="Times New Roman"/>
          <w:sz w:val="24"/>
          <w:szCs w:val="24"/>
        </w:rPr>
        <w:t xml:space="preserve"> (</w:t>
      </w:r>
      <w:r w:rsidR="007160BC" w:rsidRPr="00C245A2">
        <w:rPr>
          <w:rFonts w:ascii="Garamond" w:hAnsi="Garamond" w:cs="Times New Roman"/>
          <w:sz w:val="24"/>
          <w:szCs w:val="24"/>
        </w:rPr>
        <w:t>line 2)</w:t>
      </w:r>
      <w:r w:rsidRPr="00C245A2">
        <w:rPr>
          <w:rFonts w:ascii="Garamond" w:hAnsi="Garamond" w:cs="Times New Roman"/>
          <w:sz w:val="24"/>
          <w:szCs w:val="24"/>
        </w:rPr>
        <w:t xml:space="preserve"> </w:t>
      </w:r>
      <w:r w:rsidR="000B2F81" w:rsidRPr="00C245A2">
        <w:rPr>
          <w:rFonts w:ascii="Garamond" w:hAnsi="Garamond" w:cs="Times New Roman"/>
          <w:sz w:val="24"/>
          <w:szCs w:val="24"/>
        </w:rPr>
        <w:t>is</w:t>
      </w:r>
      <w:r w:rsidRPr="00C245A2">
        <w:rPr>
          <w:rFonts w:ascii="Garamond" w:hAnsi="Garamond" w:cs="Times New Roman"/>
          <w:sz w:val="24"/>
          <w:szCs w:val="24"/>
        </w:rPr>
        <w:t xml:space="preserve"> uniformly negative, consistent with the research of Bernanke and Kuttner (2005) and Campbell, Quinn, Turner, and Ye (2018)</w:t>
      </w:r>
      <w:r w:rsidR="000B2F81" w:rsidRPr="00C245A2">
        <w:rPr>
          <w:rFonts w:ascii="Garamond" w:hAnsi="Garamond" w:cs="Times New Roman"/>
          <w:sz w:val="24"/>
          <w:szCs w:val="24"/>
        </w:rPr>
        <w:t>, though none of the estimates is significant</w:t>
      </w:r>
      <w:r w:rsidR="004C1210" w:rsidRPr="00C245A2">
        <w:rPr>
          <w:rFonts w:ascii="Garamond" w:hAnsi="Garamond" w:cs="Times New Roman"/>
          <w:sz w:val="24"/>
          <w:szCs w:val="24"/>
        </w:rPr>
        <w:t xml:space="preserve">.  </w:t>
      </w:r>
      <w:r w:rsidRPr="00C245A2">
        <w:rPr>
          <w:rFonts w:ascii="Garamond" w:hAnsi="Garamond" w:cs="Times New Roman"/>
          <w:sz w:val="24"/>
          <w:szCs w:val="24"/>
        </w:rPr>
        <w:t xml:space="preserve">Finally, the estimated coefficient for the natural log of BoE reserves </w:t>
      </w:r>
      <w:r w:rsidR="007160BC" w:rsidRPr="00C245A2">
        <w:rPr>
          <w:rFonts w:ascii="Garamond" w:hAnsi="Garamond" w:cs="Times New Roman"/>
          <w:sz w:val="24"/>
          <w:szCs w:val="24"/>
        </w:rPr>
        <w:t xml:space="preserve">(line 3) </w:t>
      </w:r>
      <w:r w:rsidRPr="00C245A2">
        <w:rPr>
          <w:rFonts w:ascii="Garamond" w:hAnsi="Garamond" w:cs="Times New Roman"/>
          <w:sz w:val="24"/>
          <w:szCs w:val="24"/>
        </w:rPr>
        <w:t xml:space="preserve">is </w:t>
      </w:r>
      <w:r w:rsidR="004C1210" w:rsidRPr="00C245A2">
        <w:rPr>
          <w:rFonts w:ascii="Garamond" w:hAnsi="Garamond" w:cs="Times New Roman"/>
          <w:sz w:val="24"/>
          <w:szCs w:val="24"/>
        </w:rPr>
        <w:t>nega</w:t>
      </w:r>
      <w:r w:rsidRPr="00C245A2">
        <w:rPr>
          <w:rFonts w:ascii="Garamond" w:hAnsi="Garamond" w:cs="Times New Roman"/>
          <w:sz w:val="24"/>
          <w:szCs w:val="24"/>
        </w:rPr>
        <w:t xml:space="preserve">tive </w:t>
      </w:r>
      <w:r w:rsidR="00B64295" w:rsidRPr="00C245A2">
        <w:rPr>
          <w:rFonts w:ascii="Garamond" w:hAnsi="Garamond" w:cs="Times New Roman"/>
          <w:sz w:val="24"/>
          <w:szCs w:val="24"/>
        </w:rPr>
        <w:t>for th</w:t>
      </w:r>
      <w:r w:rsidR="00242049" w:rsidRPr="00C245A2">
        <w:rPr>
          <w:rFonts w:ascii="Garamond" w:hAnsi="Garamond" w:cs="Times New Roman"/>
          <w:sz w:val="24"/>
          <w:szCs w:val="24"/>
        </w:rPr>
        <w:t xml:space="preserve">e banks sector and positive for railways and the market composite—and in none of the estimates is the coefficient significant.  </w:t>
      </w:r>
      <w:r w:rsidRPr="00C245A2">
        <w:rPr>
          <w:rFonts w:ascii="Garamond" w:hAnsi="Garamond" w:cs="Times New Roman"/>
          <w:sz w:val="24"/>
          <w:szCs w:val="24"/>
        </w:rPr>
        <w:t xml:space="preserve">  </w:t>
      </w:r>
    </w:p>
    <w:p w14:paraId="331C0ABF" w14:textId="7FBE6483" w:rsidR="00303E78" w:rsidRPr="00C245A2" w:rsidRDefault="0025303F" w:rsidP="00253D22">
      <w:pPr>
        <w:spacing w:after="120" w:line="480" w:lineRule="auto"/>
        <w:ind w:firstLine="720"/>
        <w:rPr>
          <w:rFonts w:ascii="Garamond" w:hAnsi="Garamond" w:cs="Times New Roman"/>
          <w:sz w:val="24"/>
          <w:szCs w:val="24"/>
        </w:rPr>
      </w:pPr>
      <w:r w:rsidRPr="00C245A2">
        <w:rPr>
          <w:rFonts w:ascii="Garamond" w:hAnsi="Garamond" w:cs="Times New Roman"/>
          <w:sz w:val="24"/>
          <w:szCs w:val="24"/>
        </w:rPr>
        <w:t>T</w:t>
      </w:r>
      <w:r w:rsidR="00303E78" w:rsidRPr="00C245A2">
        <w:rPr>
          <w:rFonts w:ascii="Garamond" w:hAnsi="Garamond" w:cs="Times New Roman"/>
          <w:sz w:val="24"/>
          <w:szCs w:val="24"/>
        </w:rPr>
        <w:t xml:space="preserve">he general insignificance of estimates in lines 1 to 4 </w:t>
      </w:r>
      <w:r w:rsidR="00A25596" w:rsidRPr="00C245A2">
        <w:rPr>
          <w:rFonts w:ascii="Garamond" w:hAnsi="Garamond" w:cs="Times New Roman"/>
          <w:sz w:val="24"/>
          <w:szCs w:val="24"/>
        </w:rPr>
        <w:t>reject</w:t>
      </w:r>
      <w:r w:rsidR="00640D9E" w:rsidRPr="00C245A2">
        <w:rPr>
          <w:rFonts w:ascii="Garamond" w:hAnsi="Garamond" w:cs="Times New Roman"/>
          <w:sz w:val="24"/>
          <w:szCs w:val="24"/>
        </w:rPr>
        <w:t>s</w:t>
      </w:r>
      <w:r w:rsidR="00A25596" w:rsidRPr="00C245A2">
        <w:rPr>
          <w:rFonts w:ascii="Garamond" w:hAnsi="Garamond" w:cs="Times New Roman"/>
          <w:sz w:val="24"/>
          <w:szCs w:val="24"/>
        </w:rPr>
        <w:t xml:space="preserve"> hypotheses that </w:t>
      </w:r>
      <w:r w:rsidR="003B206F" w:rsidRPr="00C245A2">
        <w:rPr>
          <w:rFonts w:ascii="Garamond" w:hAnsi="Garamond" w:cs="Times New Roman"/>
          <w:sz w:val="24"/>
          <w:szCs w:val="24"/>
        </w:rPr>
        <w:t xml:space="preserve">the run-ups in returns for railways, banks, and the market composite portfolio were affected by </w:t>
      </w:r>
      <w:r w:rsidR="00640D9E" w:rsidRPr="00C245A2">
        <w:rPr>
          <w:rFonts w:ascii="Garamond" w:hAnsi="Garamond" w:cs="Times New Roman"/>
          <w:sz w:val="24"/>
          <w:szCs w:val="24"/>
        </w:rPr>
        <w:t>variations in grain prices and monetary policy</w:t>
      </w:r>
      <w:r w:rsidR="00303E78" w:rsidRPr="00C245A2">
        <w:rPr>
          <w:rFonts w:ascii="Garamond" w:hAnsi="Garamond" w:cs="Times New Roman"/>
          <w:sz w:val="24"/>
          <w:szCs w:val="24"/>
        </w:rPr>
        <w:t xml:space="preserve">.  </w:t>
      </w:r>
    </w:p>
    <w:p w14:paraId="6E53DA06" w14:textId="77777777" w:rsidR="0025303F" w:rsidRPr="00C245A2" w:rsidRDefault="0025303F">
      <w:pPr>
        <w:rPr>
          <w:rFonts w:ascii="Garamond" w:hAnsi="Garamond" w:cs="Times New Roman"/>
          <w:b/>
          <w:sz w:val="24"/>
          <w:szCs w:val="24"/>
        </w:rPr>
      </w:pPr>
      <w:r w:rsidRPr="00C245A2">
        <w:rPr>
          <w:rFonts w:ascii="Garamond" w:hAnsi="Garamond" w:cs="Times New Roman"/>
          <w:b/>
          <w:sz w:val="24"/>
          <w:szCs w:val="24"/>
        </w:rPr>
        <w:br w:type="page"/>
      </w:r>
    </w:p>
    <w:p w14:paraId="5D045F17" w14:textId="6522423C" w:rsidR="0027607B" w:rsidRPr="00C245A2" w:rsidRDefault="0027607B" w:rsidP="00682690">
      <w:pPr>
        <w:rPr>
          <w:rFonts w:ascii="Garamond" w:hAnsi="Garamond" w:cs="Times New Roman"/>
          <w:b/>
          <w:sz w:val="24"/>
          <w:szCs w:val="24"/>
        </w:rPr>
      </w:pPr>
      <w:r w:rsidRPr="00C245A2">
        <w:rPr>
          <w:rFonts w:ascii="Garamond" w:hAnsi="Garamond" w:cs="Times New Roman"/>
          <w:b/>
          <w:sz w:val="24"/>
          <w:szCs w:val="24"/>
        </w:rPr>
        <w:lastRenderedPageBreak/>
        <w:t xml:space="preserve">Table </w:t>
      </w:r>
      <w:r w:rsidR="00C71239" w:rsidRPr="00C245A2">
        <w:rPr>
          <w:rFonts w:ascii="Garamond" w:hAnsi="Garamond" w:cs="Times New Roman"/>
          <w:b/>
          <w:sz w:val="24"/>
          <w:szCs w:val="24"/>
        </w:rPr>
        <w:t>A</w:t>
      </w:r>
      <w:r w:rsidR="006C7A61" w:rsidRPr="00C245A2">
        <w:rPr>
          <w:rFonts w:ascii="Garamond" w:hAnsi="Garamond" w:cs="Times New Roman"/>
          <w:b/>
          <w:sz w:val="24"/>
          <w:szCs w:val="24"/>
        </w:rPr>
        <w:t>4</w:t>
      </w:r>
      <w:r w:rsidRPr="00C245A2">
        <w:rPr>
          <w:rFonts w:ascii="Garamond" w:hAnsi="Garamond" w:cs="Times New Roman"/>
          <w:b/>
          <w:sz w:val="24"/>
          <w:szCs w:val="24"/>
        </w:rPr>
        <w:t xml:space="preserve">: Estimated Regression Coefficients, Daily Returns Against Monetary </w:t>
      </w:r>
      <w:r w:rsidR="00682690" w:rsidRPr="00C245A2">
        <w:rPr>
          <w:rFonts w:ascii="Garamond" w:hAnsi="Garamond" w:cs="Times New Roman"/>
          <w:b/>
          <w:sz w:val="24"/>
          <w:szCs w:val="24"/>
        </w:rPr>
        <w:t xml:space="preserve">and Grain Price </w:t>
      </w:r>
      <w:r w:rsidRPr="00C245A2">
        <w:rPr>
          <w:rFonts w:ascii="Garamond" w:hAnsi="Garamond" w:cs="Times New Roman"/>
          <w:b/>
          <w:sz w:val="24"/>
          <w:szCs w:val="24"/>
        </w:rPr>
        <w:t>Measures</w:t>
      </w:r>
    </w:p>
    <w:p w14:paraId="0BC0EE98" w14:textId="14923705" w:rsidR="0027607B" w:rsidRPr="00C245A2" w:rsidRDefault="0027607B" w:rsidP="00FA2192">
      <w:pPr>
        <w:spacing w:after="0" w:line="240" w:lineRule="auto"/>
        <w:jc w:val="both"/>
        <w:rPr>
          <w:rFonts w:ascii="Garamond" w:hAnsi="Garamond" w:cs="Times New Roman"/>
          <w:sz w:val="24"/>
          <w:szCs w:val="24"/>
        </w:rPr>
      </w:pPr>
      <w:r w:rsidRPr="00C245A2">
        <w:rPr>
          <w:rFonts w:ascii="Garamond" w:hAnsi="Garamond" w:cs="Times New Roman"/>
          <w:sz w:val="24"/>
          <w:szCs w:val="24"/>
        </w:rPr>
        <w:t xml:space="preserve">(1) </w:t>
      </w:r>
      <w:r w:rsidRPr="00C245A2">
        <w:rPr>
          <w:rFonts w:ascii="Garamond" w:hAnsi="Garamond" w:cs="Times New Roman"/>
          <w:sz w:val="24"/>
          <w:szCs w:val="24"/>
        </w:rPr>
        <w:tab/>
        <w:t>R</w:t>
      </w:r>
      <w:r w:rsidRPr="00C245A2">
        <w:rPr>
          <w:rFonts w:ascii="Garamond" w:hAnsi="Garamond" w:cs="Times New Roman"/>
          <w:sz w:val="24"/>
          <w:szCs w:val="24"/>
          <w:vertAlign w:val="subscript"/>
        </w:rPr>
        <w:t>t</w:t>
      </w:r>
      <w:r w:rsidRPr="00C245A2">
        <w:rPr>
          <w:rFonts w:ascii="Garamond" w:hAnsi="Garamond" w:cs="Times New Roman"/>
          <w:sz w:val="24"/>
          <w:szCs w:val="24"/>
        </w:rPr>
        <w:t xml:space="preserve"> = a + β</w:t>
      </w:r>
      <w:r w:rsidRPr="00C245A2">
        <w:rPr>
          <w:rFonts w:ascii="Garamond" w:hAnsi="Garamond" w:cs="Times New Roman"/>
          <w:sz w:val="24"/>
          <w:szCs w:val="24"/>
          <w:vertAlign w:val="subscript"/>
        </w:rPr>
        <w:t>1</w:t>
      </w:r>
      <w:r w:rsidRPr="00C245A2">
        <w:rPr>
          <w:rFonts w:ascii="Garamond" w:hAnsi="Garamond" w:cs="Times New Roman"/>
          <w:sz w:val="24"/>
          <w:szCs w:val="24"/>
        </w:rPr>
        <w:t>(</w:t>
      </w:r>
      <w:proofErr w:type="spellStart"/>
      <w:r w:rsidRPr="00C245A2">
        <w:rPr>
          <w:rFonts w:ascii="Garamond" w:hAnsi="Garamond" w:cs="Times New Roman"/>
          <w:sz w:val="24"/>
          <w:szCs w:val="24"/>
        </w:rPr>
        <w:t>LNBoERB</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 β</w:t>
      </w:r>
      <w:r w:rsidRPr="00C245A2">
        <w:rPr>
          <w:rFonts w:ascii="Garamond" w:hAnsi="Garamond" w:cs="Times New Roman"/>
          <w:sz w:val="24"/>
          <w:szCs w:val="24"/>
          <w:vertAlign w:val="subscript"/>
        </w:rPr>
        <w:t>2</w:t>
      </w:r>
      <w:r w:rsidRPr="00C245A2">
        <w:rPr>
          <w:rFonts w:ascii="Garamond" w:hAnsi="Garamond" w:cs="Times New Roman"/>
          <w:sz w:val="24"/>
          <w:szCs w:val="24"/>
        </w:rPr>
        <w:t>(</w:t>
      </w:r>
      <w:proofErr w:type="spellStart"/>
      <w:r w:rsidRPr="00C245A2">
        <w:rPr>
          <w:rFonts w:ascii="Garamond" w:hAnsi="Garamond" w:cs="Times New Roman"/>
          <w:sz w:val="24"/>
          <w:szCs w:val="24"/>
        </w:rPr>
        <w:t>BoEint</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 β</w:t>
      </w:r>
      <w:r w:rsidRPr="00C245A2">
        <w:rPr>
          <w:rFonts w:ascii="Garamond" w:hAnsi="Garamond" w:cs="Times New Roman"/>
          <w:sz w:val="24"/>
          <w:szCs w:val="24"/>
          <w:vertAlign w:val="subscript"/>
        </w:rPr>
        <w:t>3</w:t>
      </w:r>
      <w:r w:rsidRPr="00C245A2">
        <w:rPr>
          <w:rFonts w:ascii="Garamond" w:hAnsi="Garamond" w:cs="Times New Roman"/>
          <w:sz w:val="24"/>
          <w:szCs w:val="24"/>
        </w:rPr>
        <w:t>(</w:t>
      </w:r>
      <w:proofErr w:type="spellStart"/>
      <w:r w:rsidRPr="00C245A2">
        <w:rPr>
          <w:rFonts w:ascii="Garamond" w:hAnsi="Garamond" w:cs="Times New Roman"/>
          <w:sz w:val="24"/>
          <w:szCs w:val="24"/>
        </w:rPr>
        <w:t>LNWheat</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xml:space="preserve"> ) + e</w:t>
      </w:r>
      <w:r w:rsidRPr="00C245A2">
        <w:rPr>
          <w:rFonts w:ascii="Garamond" w:hAnsi="Garamond" w:cs="Times New Roman"/>
          <w:sz w:val="24"/>
          <w:szCs w:val="24"/>
          <w:vertAlign w:val="subscript"/>
        </w:rPr>
        <w:t>t</w:t>
      </w:r>
      <w:r w:rsidRPr="00C245A2">
        <w:rPr>
          <w:rFonts w:ascii="Garamond" w:hAnsi="Garamond" w:cs="Times New Roman"/>
          <w:sz w:val="24"/>
          <w:szCs w:val="24"/>
        </w:rPr>
        <w:t xml:space="preserve">  </w:t>
      </w:r>
    </w:p>
    <w:p w14:paraId="76BC7551" w14:textId="39BDBBFB" w:rsidR="0027607B" w:rsidRPr="00C245A2" w:rsidRDefault="0027607B" w:rsidP="00CB6674">
      <w:pPr>
        <w:spacing w:after="0" w:line="240" w:lineRule="auto"/>
        <w:ind w:left="1260" w:hanging="1260"/>
        <w:jc w:val="both"/>
        <w:rPr>
          <w:rFonts w:ascii="Garamond" w:hAnsi="Garamond" w:cs="Times New Roman"/>
          <w:sz w:val="24"/>
          <w:szCs w:val="24"/>
        </w:rPr>
      </w:pPr>
      <w:r w:rsidRPr="00C245A2">
        <w:rPr>
          <w:rFonts w:ascii="Garamond" w:hAnsi="Garamond" w:cs="Times New Roman"/>
          <w:sz w:val="24"/>
          <w:szCs w:val="24"/>
        </w:rPr>
        <w:t>Where   R</w:t>
      </w:r>
      <w:r w:rsidRPr="00C245A2">
        <w:rPr>
          <w:rFonts w:ascii="Garamond" w:hAnsi="Garamond" w:cs="Times New Roman"/>
          <w:sz w:val="24"/>
          <w:szCs w:val="24"/>
          <w:vertAlign w:val="subscript"/>
        </w:rPr>
        <w:t>t</w:t>
      </w:r>
      <w:r w:rsidR="006C5FB8" w:rsidRPr="00C245A2">
        <w:rPr>
          <w:rFonts w:ascii="Garamond" w:hAnsi="Garamond" w:cs="Times New Roman"/>
          <w:sz w:val="24"/>
          <w:szCs w:val="24"/>
        </w:rPr>
        <w:t xml:space="preserve"> </w:t>
      </w:r>
      <w:r w:rsidRPr="00C245A2">
        <w:rPr>
          <w:rFonts w:ascii="Garamond" w:hAnsi="Garamond" w:cs="Times New Roman"/>
          <w:sz w:val="24"/>
          <w:szCs w:val="24"/>
        </w:rPr>
        <w:t>= Daily return on the</w:t>
      </w:r>
      <w:r w:rsidR="00DB43A8" w:rsidRPr="00C245A2">
        <w:rPr>
          <w:rFonts w:ascii="Garamond" w:hAnsi="Garamond" w:cs="Times New Roman"/>
          <w:sz w:val="24"/>
          <w:szCs w:val="24"/>
        </w:rPr>
        <w:t xml:space="preserve"> value weighted returns on the portfolios of the market composite, and railways and banks sectors</w:t>
      </w:r>
      <w:r w:rsidR="00CB6674" w:rsidRPr="00C245A2">
        <w:rPr>
          <w:rFonts w:ascii="Garamond" w:hAnsi="Garamond" w:cs="Times New Roman"/>
          <w:sz w:val="24"/>
          <w:szCs w:val="24"/>
        </w:rPr>
        <w:t xml:space="preserve"> </w:t>
      </w:r>
      <w:r w:rsidRPr="00C245A2">
        <w:rPr>
          <w:rFonts w:ascii="Garamond" w:hAnsi="Garamond" w:cs="Times New Roman"/>
          <w:sz w:val="24"/>
          <w:szCs w:val="24"/>
        </w:rPr>
        <w:t>on day t.</w:t>
      </w:r>
    </w:p>
    <w:p w14:paraId="36ED9C89" w14:textId="77777777" w:rsidR="0027607B" w:rsidRPr="00C245A2" w:rsidRDefault="0027607B" w:rsidP="00FA2192">
      <w:pPr>
        <w:spacing w:after="0" w:line="240" w:lineRule="auto"/>
        <w:ind w:left="720"/>
        <w:jc w:val="both"/>
        <w:rPr>
          <w:rFonts w:ascii="Garamond" w:hAnsi="Garamond" w:cs="Times New Roman"/>
          <w:sz w:val="24"/>
          <w:szCs w:val="24"/>
        </w:rPr>
      </w:pPr>
      <w:proofErr w:type="spellStart"/>
      <w:r w:rsidRPr="00C245A2">
        <w:rPr>
          <w:rFonts w:ascii="Garamond" w:hAnsi="Garamond" w:cs="Times New Roman"/>
          <w:sz w:val="24"/>
          <w:szCs w:val="24"/>
        </w:rPr>
        <w:t>LNWheat</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xml:space="preserve"> = Natural logarithm of weekly posted wheat prices at day t.</w:t>
      </w:r>
    </w:p>
    <w:p w14:paraId="549B1434" w14:textId="2C84C953" w:rsidR="0027607B" w:rsidRPr="00C245A2" w:rsidRDefault="0027607B" w:rsidP="00FA2192">
      <w:pPr>
        <w:spacing w:after="0" w:line="240" w:lineRule="auto"/>
        <w:ind w:left="720"/>
        <w:jc w:val="both"/>
        <w:rPr>
          <w:rFonts w:ascii="Garamond" w:hAnsi="Garamond" w:cs="Times New Roman"/>
          <w:sz w:val="24"/>
          <w:szCs w:val="24"/>
        </w:rPr>
      </w:pPr>
      <w:proofErr w:type="spellStart"/>
      <w:r w:rsidRPr="00C245A2">
        <w:rPr>
          <w:rFonts w:ascii="Garamond" w:hAnsi="Garamond" w:cs="Times New Roman"/>
          <w:sz w:val="24"/>
          <w:szCs w:val="24"/>
        </w:rPr>
        <w:t>LNBoERB</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rPr>
        <w:t xml:space="preserve">  = Natural logarithm of weekly total reserves of the BoE at day t.</w:t>
      </w:r>
    </w:p>
    <w:p w14:paraId="5C62DFF6" w14:textId="03083BC3" w:rsidR="0027607B" w:rsidRPr="00C245A2" w:rsidRDefault="0027607B" w:rsidP="00FA2192">
      <w:pPr>
        <w:spacing w:after="0" w:line="240" w:lineRule="auto"/>
        <w:ind w:left="720"/>
        <w:jc w:val="both"/>
        <w:rPr>
          <w:rFonts w:ascii="Garamond" w:hAnsi="Garamond" w:cs="Times New Roman"/>
          <w:sz w:val="24"/>
          <w:szCs w:val="24"/>
        </w:rPr>
      </w:pPr>
      <w:proofErr w:type="spellStart"/>
      <w:r w:rsidRPr="00C245A2">
        <w:rPr>
          <w:rFonts w:ascii="Garamond" w:hAnsi="Garamond" w:cs="Times New Roman"/>
          <w:sz w:val="24"/>
          <w:szCs w:val="24"/>
        </w:rPr>
        <w:t>BoEint</w:t>
      </w:r>
      <w:r w:rsidRPr="00C245A2">
        <w:rPr>
          <w:rFonts w:ascii="Garamond" w:hAnsi="Garamond" w:cs="Times New Roman"/>
          <w:sz w:val="24"/>
          <w:szCs w:val="24"/>
          <w:vertAlign w:val="subscript"/>
        </w:rPr>
        <w:t>t</w:t>
      </w:r>
      <w:proofErr w:type="spellEnd"/>
      <w:r w:rsidRPr="00C245A2">
        <w:rPr>
          <w:rFonts w:ascii="Garamond" w:hAnsi="Garamond" w:cs="Times New Roman"/>
          <w:sz w:val="24"/>
          <w:szCs w:val="24"/>
          <w:vertAlign w:val="subscript"/>
        </w:rPr>
        <w:t xml:space="preserve">  </w:t>
      </w:r>
      <w:r w:rsidRPr="00C245A2">
        <w:rPr>
          <w:rFonts w:ascii="Garamond" w:hAnsi="Garamond" w:cs="Times New Roman"/>
          <w:sz w:val="24"/>
          <w:szCs w:val="24"/>
        </w:rPr>
        <w:t>= BoE Bank Rate on day t.</w:t>
      </w:r>
    </w:p>
    <w:p w14:paraId="5836CEBC" w14:textId="77777777" w:rsidR="0027607B" w:rsidRPr="00C245A2" w:rsidRDefault="0027607B" w:rsidP="006C5FB8">
      <w:pPr>
        <w:ind w:left="720"/>
        <w:jc w:val="both"/>
        <w:rPr>
          <w:rFonts w:ascii="Garamond" w:hAnsi="Garamond" w:cs="Times New Roman"/>
          <w:sz w:val="24"/>
          <w:szCs w:val="24"/>
        </w:rPr>
      </w:pPr>
    </w:p>
    <w:p w14:paraId="49A5F17D" w14:textId="39F4188C" w:rsidR="0027607B" w:rsidRPr="00C245A2" w:rsidRDefault="009F11F3" w:rsidP="009F11F3">
      <w:pPr>
        <w:jc w:val="center"/>
        <w:rPr>
          <w:rFonts w:ascii="Garamond" w:hAnsi="Garamond" w:cs="Times New Roman"/>
          <w:b/>
          <w:sz w:val="24"/>
          <w:szCs w:val="24"/>
        </w:rPr>
      </w:pPr>
      <w:r w:rsidRPr="00C245A2">
        <w:rPr>
          <w:rFonts w:ascii="Garamond" w:hAnsi="Garamond"/>
          <w:noProof/>
          <w:sz w:val="24"/>
          <w:szCs w:val="24"/>
        </w:rPr>
        <w:drawing>
          <wp:inline distT="0" distB="0" distL="0" distR="0" wp14:anchorId="484F1351" wp14:editId="1F9F3655">
            <wp:extent cx="4619625" cy="4648200"/>
            <wp:effectExtent l="0" t="0" r="9525" b="0"/>
            <wp:docPr id="206838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4648200"/>
                    </a:xfrm>
                    <a:prstGeom prst="rect">
                      <a:avLst/>
                    </a:prstGeom>
                    <a:noFill/>
                    <a:ln>
                      <a:noFill/>
                    </a:ln>
                  </pic:spPr>
                </pic:pic>
              </a:graphicData>
            </a:graphic>
          </wp:inline>
        </w:drawing>
      </w:r>
    </w:p>
    <w:p w14:paraId="7E2E3786" w14:textId="77777777" w:rsidR="0027607B" w:rsidRPr="00C245A2" w:rsidRDefault="0027607B" w:rsidP="0027607B">
      <w:pPr>
        <w:jc w:val="both"/>
        <w:rPr>
          <w:rFonts w:ascii="Garamond" w:hAnsi="Garamond" w:cs="Times New Roman"/>
          <w:b/>
          <w:sz w:val="24"/>
          <w:szCs w:val="24"/>
        </w:rPr>
      </w:pPr>
    </w:p>
    <w:p w14:paraId="43F2E374" w14:textId="2E6A6C8C" w:rsidR="00D54DE7" w:rsidRPr="00C245A2" w:rsidRDefault="00D54DE7">
      <w:pPr>
        <w:rPr>
          <w:rFonts w:ascii="Garamond" w:hAnsi="Garamond" w:cs="Times New Roman"/>
          <w:b/>
          <w:sz w:val="24"/>
          <w:szCs w:val="24"/>
        </w:rPr>
      </w:pPr>
      <w:r w:rsidRPr="00C245A2">
        <w:rPr>
          <w:rFonts w:ascii="Garamond" w:hAnsi="Garamond" w:cs="Times New Roman"/>
          <w:b/>
          <w:sz w:val="24"/>
          <w:szCs w:val="24"/>
        </w:rPr>
        <w:br w:type="page"/>
      </w:r>
    </w:p>
    <w:p w14:paraId="49E667FE" w14:textId="2FD8B1D6" w:rsidR="00D54DE7" w:rsidRPr="00C245A2" w:rsidRDefault="00D54DE7" w:rsidP="00A269C1">
      <w:pPr>
        <w:jc w:val="both"/>
        <w:rPr>
          <w:rFonts w:ascii="Garamond" w:hAnsi="Garamond" w:cs="Times New Roman"/>
          <w:b/>
          <w:sz w:val="24"/>
          <w:szCs w:val="24"/>
        </w:rPr>
      </w:pPr>
      <w:r w:rsidRPr="00C245A2">
        <w:rPr>
          <w:rFonts w:ascii="Garamond" w:hAnsi="Garamond" w:cs="Times New Roman"/>
          <w:b/>
          <w:sz w:val="24"/>
          <w:szCs w:val="24"/>
        </w:rPr>
        <w:lastRenderedPageBreak/>
        <w:t xml:space="preserve">Appendix 5 </w:t>
      </w:r>
      <w:r w:rsidR="007B19FC" w:rsidRPr="00C245A2">
        <w:rPr>
          <w:rFonts w:ascii="Garamond" w:hAnsi="Garamond" w:cs="Times New Roman"/>
          <w:b/>
          <w:sz w:val="24"/>
          <w:szCs w:val="24"/>
        </w:rPr>
        <w:t xml:space="preserve">Test of Robustness of the Bootstrap Test.  </w:t>
      </w:r>
    </w:p>
    <w:p w14:paraId="6F672075" w14:textId="34C6EE55" w:rsidR="00520782" w:rsidRPr="00C245A2" w:rsidRDefault="00ED463C" w:rsidP="00BE04BD">
      <w:pPr>
        <w:spacing w:line="480" w:lineRule="auto"/>
        <w:ind w:firstLine="720"/>
        <w:jc w:val="both"/>
        <w:rPr>
          <w:rFonts w:ascii="Garamond" w:hAnsi="Garamond" w:cs="Times New Roman"/>
          <w:bCs/>
          <w:sz w:val="24"/>
          <w:szCs w:val="24"/>
        </w:rPr>
      </w:pPr>
      <w:r w:rsidRPr="00C245A2">
        <w:rPr>
          <w:rFonts w:ascii="Garamond" w:hAnsi="Garamond" w:cs="Times New Roman"/>
          <w:bCs/>
          <w:sz w:val="24"/>
          <w:szCs w:val="24"/>
        </w:rPr>
        <w:t>In the base</w:t>
      </w:r>
      <w:r w:rsidR="000D6404" w:rsidRPr="00C245A2">
        <w:rPr>
          <w:rFonts w:ascii="Garamond" w:hAnsi="Garamond" w:cs="Times New Roman"/>
          <w:bCs/>
          <w:sz w:val="24"/>
          <w:szCs w:val="24"/>
        </w:rPr>
        <w:t>line</w:t>
      </w:r>
      <w:r w:rsidRPr="00C245A2">
        <w:rPr>
          <w:rFonts w:ascii="Garamond" w:hAnsi="Garamond" w:cs="Times New Roman"/>
          <w:bCs/>
          <w:sz w:val="24"/>
          <w:szCs w:val="24"/>
        </w:rPr>
        <w:t xml:space="preserve"> Bootstrap test for the significance of </w:t>
      </w:r>
      <w:r w:rsidR="00520782" w:rsidRPr="00C245A2">
        <w:rPr>
          <w:rFonts w:ascii="Garamond" w:hAnsi="Garamond" w:cs="Times New Roman"/>
          <w:bCs/>
          <w:sz w:val="24"/>
          <w:szCs w:val="24"/>
        </w:rPr>
        <w:t xml:space="preserve">all </w:t>
      </w:r>
      <w:r w:rsidRPr="00C245A2">
        <w:rPr>
          <w:rFonts w:ascii="Garamond" w:hAnsi="Garamond" w:cs="Times New Roman"/>
          <w:bCs/>
          <w:sz w:val="24"/>
          <w:szCs w:val="24"/>
        </w:rPr>
        <w:t xml:space="preserve">event </w:t>
      </w:r>
      <w:r w:rsidR="00520782" w:rsidRPr="00C245A2">
        <w:rPr>
          <w:rFonts w:ascii="Garamond" w:hAnsi="Garamond" w:cs="Times New Roman"/>
          <w:bCs/>
          <w:sz w:val="24"/>
          <w:szCs w:val="24"/>
        </w:rPr>
        <w:t>episodes</w:t>
      </w:r>
      <w:r w:rsidRPr="00C245A2">
        <w:rPr>
          <w:rFonts w:ascii="Garamond" w:hAnsi="Garamond" w:cs="Times New Roman"/>
          <w:bCs/>
          <w:sz w:val="24"/>
          <w:szCs w:val="24"/>
        </w:rPr>
        <w:t xml:space="preserve"> </w:t>
      </w:r>
      <w:r w:rsidR="00520782" w:rsidRPr="00C245A2">
        <w:rPr>
          <w:rFonts w:ascii="Garamond" w:hAnsi="Garamond" w:cs="Times New Roman"/>
          <w:bCs/>
          <w:sz w:val="24"/>
          <w:szCs w:val="24"/>
        </w:rPr>
        <w:t xml:space="preserve">together </w:t>
      </w:r>
      <w:r w:rsidRPr="00C245A2">
        <w:rPr>
          <w:rFonts w:ascii="Garamond" w:hAnsi="Garamond" w:cs="Times New Roman"/>
          <w:bCs/>
          <w:sz w:val="24"/>
          <w:szCs w:val="24"/>
        </w:rPr>
        <w:t>(Table 1, line 38)</w:t>
      </w:r>
      <w:r w:rsidR="00520782" w:rsidRPr="00C245A2">
        <w:rPr>
          <w:rFonts w:ascii="Garamond" w:hAnsi="Garamond" w:cs="Times New Roman"/>
          <w:bCs/>
          <w:sz w:val="24"/>
          <w:szCs w:val="24"/>
        </w:rPr>
        <w:t xml:space="preserve">, we randomly position event and non-event period windows inside the full runup timeline. In </w:t>
      </w:r>
      <w:r w:rsidR="000D6404" w:rsidRPr="00C245A2">
        <w:rPr>
          <w:rFonts w:ascii="Garamond" w:hAnsi="Garamond" w:cs="Times New Roman"/>
          <w:bCs/>
          <w:sz w:val="24"/>
          <w:szCs w:val="24"/>
        </w:rPr>
        <w:t xml:space="preserve">the </w:t>
      </w:r>
      <w:r w:rsidR="00520782" w:rsidRPr="00C245A2">
        <w:rPr>
          <w:rFonts w:ascii="Garamond" w:hAnsi="Garamond" w:cs="Times New Roman"/>
          <w:bCs/>
          <w:sz w:val="24"/>
          <w:szCs w:val="24"/>
        </w:rPr>
        <w:t>100,000 simulations</w:t>
      </w:r>
      <w:r w:rsidR="000D6404" w:rsidRPr="00C245A2">
        <w:rPr>
          <w:rFonts w:ascii="Garamond" w:hAnsi="Garamond" w:cs="Times New Roman"/>
          <w:bCs/>
          <w:sz w:val="24"/>
          <w:szCs w:val="24"/>
        </w:rPr>
        <w:t xml:space="preserve"> that comprise the test</w:t>
      </w:r>
      <w:r w:rsidR="00520782" w:rsidRPr="00C245A2">
        <w:rPr>
          <w:rFonts w:ascii="Garamond" w:hAnsi="Garamond" w:cs="Times New Roman"/>
          <w:bCs/>
          <w:sz w:val="24"/>
          <w:szCs w:val="24"/>
        </w:rPr>
        <w:t xml:space="preserve">, we preserve the length of each event and non-event window that we observe in the data </w:t>
      </w:r>
      <w:r w:rsidR="00006812" w:rsidRPr="00C245A2">
        <w:rPr>
          <w:rFonts w:ascii="Garamond" w:hAnsi="Garamond" w:cs="Times New Roman"/>
          <w:bCs/>
          <w:sz w:val="24"/>
          <w:szCs w:val="24"/>
        </w:rPr>
        <w:t>and</w:t>
      </w:r>
      <w:r w:rsidR="00520782" w:rsidRPr="00C245A2">
        <w:rPr>
          <w:rFonts w:ascii="Garamond" w:hAnsi="Garamond" w:cs="Times New Roman"/>
          <w:bCs/>
          <w:sz w:val="24"/>
          <w:szCs w:val="24"/>
        </w:rPr>
        <w:t xml:space="preserve"> place them randomly across the full runup period. We avoid placing event (non-event) episodes directly next to one another, as that would result in a higher</w:t>
      </w:r>
      <w:r w:rsidR="00006812" w:rsidRPr="00C245A2">
        <w:rPr>
          <w:rFonts w:ascii="Garamond" w:hAnsi="Garamond" w:cs="Times New Roman"/>
          <w:bCs/>
          <w:sz w:val="24"/>
          <w:szCs w:val="24"/>
        </w:rPr>
        <w:t>-</w:t>
      </w:r>
      <w:r w:rsidR="00520782" w:rsidRPr="00C245A2">
        <w:rPr>
          <w:rFonts w:ascii="Garamond" w:hAnsi="Garamond" w:cs="Times New Roman"/>
          <w:bCs/>
          <w:sz w:val="24"/>
          <w:szCs w:val="24"/>
        </w:rPr>
        <w:t xml:space="preserve">length continuous event (non-event) period and could potentially bias the test results due to </w:t>
      </w:r>
      <w:r w:rsidR="006678A4" w:rsidRPr="00C245A2">
        <w:rPr>
          <w:rFonts w:ascii="Garamond" w:hAnsi="Garamond" w:cs="Times New Roman"/>
          <w:bCs/>
          <w:sz w:val="24"/>
          <w:szCs w:val="24"/>
        </w:rPr>
        <w:t xml:space="preserve">the </w:t>
      </w:r>
      <w:r w:rsidR="00520782" w:rsidRPr="00C245A2">
        <w:rPr>
          <w:rFonts w:ascii="Garamond" w:hAnsi="Garamond" w:cs="Times New Roman"/>
          <w:bCs/>
          <w:sz w:val="24"/>
          <w:szCs w:val="24"/>
        </w:rPr>
        <w:t>serial correlation</w:t>
      </w:r>
      <w:r w:rsidR="006678A4" w:rsidRPr="00C245A2">
        <w:rPr>
          <w:rFonts w:ascii="Garamond" w:hAnsi="Garamond" w:cs="Times New Roman"/>
          <w:bCs/>
          <w:sz w:val="24"/>
          <w:szCs w:val="24"/>
        </w:rPr>
        <w:t>s</w:t>
      </w:r>
      <w:r w:rsidR="00520782" w:rsidRPr="00C245A2">
        <w:rPr>
          <w:rFonts w:ascii="Garamond" w:hAnsi="Garamond" w:cs="Times New Roman"/>
          <w:bCs/>
          <w:sz w:val="24"/>
          <w:szCs w:val="24"/>
        </w:rPr>
        <w:t xml:space="preserve"> among returns in the runup. </w:t>
      </w:r>
    </w:p>
    <w:p w14:paraId="5701F839" w14:textId="4075620B" w:rsidR="00BB4204" w:rsidRPr="00C245A2" w:rsidRDefault="00520782" w:rsidP="00BE04BD">
      <w:pPr>
        <w:spacing w:line="480" w:lineRule="auto"/>
        <w:ind w:firstLine="720"/>
        <w:jc w:val="both"/>
        <w:rPr>
          <w:rFonts w:ascii="Garamond" w:hAnsi="Garamond" w:cs="Times New Roman"/>
          <w:bCs/>
          <w:sz w:val="24"/>
          <w:szCs w:val="24"/>
        </w:rPr>
      </w:pPr>
      <w:r w:rsidRPr="00C245A2">
        <w:rPr>
          <w:rFonts w:ascii="Garamond" w:hAnsi="Garamond" w:cs="Times New Roman"/>
          <w:bCs/>
          <w:sz w:val="24"/>
          <w:szCs w:val="24"/>
        </w:rPr>
        <w:t xml:space="preserve">In Table A5 </w:t>
      </w:r>
      <w:r w:rsidR="0018510F" w:rsidRPr="00C245A2">
        <w:rPr>
          <w:rFonts w:ascii="Garamond" w:hAnsi="Garamond" w:cs="Times New Roman"/>
          <w:bCs/>
          <w:sz w:val="24"/>
          <w:szCs w:val="24"/>
        </w:rPr>
        <w:t xml:space="preserve">(line 2) </w:t>
      </w:r>
      <w:r w:rsidRPr="00C245A2">
        <w:rPr>
          <w:rFonts w:ascii="Garamond" w:hAnsi="Garamond" w:cs="Times New Roman"/>
          <w:bCs/>
          <w:sz w:val="24"/>
          <w:szCs w:val="24"/>
        </w:rPr>
        <w:t xml:space="preserve">we test the practical </w:t>
      </w:r>
      <w:r w:rsidR="006678A4" w:rsidRPr="00C245A2">
        <w:rPr>
          <w:rFonts w:ascii="Garamond" w:hAnsi="Garamond" w:cs="Times New Roman"/>
          <w:bCs/>
          <w:sz w:val="24"/>
          <w:szCs w:val="24"/>
        </w:rPr>
        <w:t>impact</w:t>
      </w:r>
      <w:r w:rsidRPr="00C245A2">
        <w:rPr>
          <w:rFonts w:ascii="Garamond" w:hAnsi="Garamond" w:cs="Times New Roman"/>
          <w:bCs/>
          <w:sz w:val="24"/>
          <w:szCs w:val="24"/>
        </w:rPr>
        <w:t xml:space="preserve"> of this limitation, by </w:t>
      </w:r>
      <w:r w:rsidR="006678A4" w:rsidRPr="00C245A2">
        <w:rPr>
          <w:rFonts w:ascii="Garamond" w:hAnsi="Garamond" w:cs="Times New Roman"/>
          <w:bCs/>
          <w:sz w:val="24"/>
          <w:szCs w:val="24"/>
        </w:rPr>
        <w:t>having</w:t>
      </w:r>
      <w:r w:rsidRPr="00C245A2">
        <w:rPr>
          <w:rFonts w:ascii="Garamond" w:hAnsi="Garamond" w:cs="Times New Roman"/>
          <w:bCs/>
          <w:sz w:val="24"/>
          <w:szCs w:val="24"/>
        </w:rPr>
        <w:t xml:space="preserve"> </w:t>
      </w:r>
      <w:r w:rsidR="0018510F" w:rsidRPr="00C245A2">
        <w:rPr>
          <w:rFonts w:ascii="Garamond" w:hAnsi="Garamond" w:cs="Times New Roman"/>
          <w:bCs/>
          <w:sz w:val="24"/>
          <w:szCs w:val="24"/>
        </w:rPr>
        <w:t xml:space="preserve">a </w:t>
      </w:r>
      <w:r w:rsidRPr="00C245A2">
        <w:rPr>
          <w:rFonts w:ascii="Garamond" w:hAnsi="Garamond" w:cs="Times New Roman"/>
          <w:bCs/>
          <w:sz w:val="24"/>
          <w:szCs w:val="24"/>
        </w:rPr>
        <w:t xml:space="preserve">completely random positioning of event and non-event periods among the runup timeline, including </w:t>
      </w:r>
      <w:r w:rsidR="0018510F" w:rsidRPr="00C245A2">
        <w:rPr>
          <w:rFonts w:ascii="Garamond" w:hAnsi="Garamond" w:cs="Times New Roman"/>
          <w:bCs/>
          <w:sz w:val="24"/>
          <w:szCs w:val="24"/>
        </w:rPr>
        <w:t>allowing for</w:t>
      </w:r>
      <w:r w:rsidRPr="00C245A2">
        <w:rPr>
          <w:rFonts w:ascii="Garamond" w:hAnsi="Garamond" w:cs="Times New Roman"/>
          <w:bCs/>
          <w:sz w:val="24"/>
          <w:szCs w:val="24"/>
        </w:rPr>
        <w:t xml:space="preserve"> event (non-event) periods </w:t>
      </w:r>
      <w:r w:rsidR="00407F81" w:rsidRPr="00C245A2">
        <w:rPr>
          <w:rFonts w:ascii="Garamond" w:hAnsi="Garamond" w:cs="Times New Roman"/>
          <w:bCs/>
          <w:sz w:val="24"/>
          <w:szCs w:val="24"/>
        </w:rPr>
        <w:t xml:space="preserve">placed </w:t>
      </w:r>
      <w:r w:rsidRPr="00C245A2">
        <w:rPr>
          <w:rFonts w:ascii="Garamond" w:hAnsi="Garamond" w:cs="Times New Roman"/>
          <w:bCs/>
          <w:sz w:val="24"/>
          <w:szCs w:val="24"/>
        </w:rPr>
        <w:t>directly next to one anothe</w:t>
      </w:r>
      <w:r w:rsidR="006678A4" w:rsidRPr="00C245A2">
        <w:rPr>
          <w:rFonts w:ascii="Garamond" w:hAnsi="Garamond" w:cs="Times New Roman"/>
          <w:bCs/>
          <w:sz w:val="24"/>
          <w:szCs w:val="24"/>
        </w:rPr>
        <w:t>r. T</w:t>
      </w:r>
      <w:r w:rsidRPr="00C245A2">
        <w:rPr>
          <w:rFonts w:ascii="Garamond" w:hAnsi="Garamond" w:cs="Times New Roman"/>
          <w:bCs/>
          <w:sz w:val="24"/>
          <w:szCs w:val="24"/>
        </w:rPr>
        <w:t>h</w:t>
      </w:r>
      <w:r w:rsidR="006678A4" w:rsidRPr="00C245A2">
        <w:rPr>
          <w:rFonts w:ascii="Garamond" w:hAnsi="Garamond" w:cs="Times New Roman"/>
          <w:bCs/>
          <w:sz w:val="24"/>
          <w:szCs w:val="24"/>
        </w:rPr>
        <w:t>i</w:t>
      </w:r>
      <w:r w:rsidRPr="00C245A2">
        <w:rPr>
          <w:rFonts w:ascii="Garamond" w:hAnsi="Garamond" w:cs="Times New Roman"/>
          <w:bCs/>
          <w:sz w:val="24"/>
          <w:szCs w:val="24"/>
        </w:rPr>
        <w:t xml:space="preserve">s </w:t>
      </w:r>
      <w:r w:rsidR="006678A4" w:rsidRPr="00C245A2">
        <w:rPr>
          <w:rFonts w:ascii="Garamond" w:hAnsi="Garamond" w:cs="Times New Roman"/>
          <w:bCs/>
          <w:sz w:val="24"/>
          <w:szCs w:val="24"/>
        </w:rPr>
        <w:t xml:space="preserve">approach </w:t>
      </w:r>
      <w:r w:rsidR="0018510F" w:rsidRPr="00C245A2">
        <w:rPr>
          <w:rFonts w:ascii="Garamond" w:hAnsi="Garamond" w:cs="Times New Roman"/>
          <w:bCs/>
          <w:sz w:val="24"/>
          <w:szCs w:val="24"/>
        </w:rPr>
        <w:t>can result in</w:t>
      </w:r>
      <w:r w:rsidR="006678A4" w:rsidRPr="00C245A2">
        <w:rPr>
          <w:rFonts w:ascii="Garamond" w:hAnsi="Garamond" w:cs="Times New Roman"/>
          <w:bCs/>
          <w:sz w:val="24"/>
          <w:szCs w:val="24"/>
        </w:rPr>
        <w:t xml:space="preserve"> the potential formation of </w:t>
      </w:r>
      <w:proofErr w:type="gramStart"/>
      <w:r w:rsidRPr="00C245A2">
        <w:rPr>
          <w:rFonts w:ascii="Garamond" w:hAnsi="Garamond" w:cs="Times New Roman"/>
          <w:bCs/>
          <w:sz w:val="24"/>
          <w:szCs w:val="24"/>
        </w:rPr>
        <w:t>higher</w:t>
      </w:r>
      <w:r w:rsidR="00006812" w:rsidRPr="00C245A2">
        <w:rPr>
          <w:rFonts w:ascii="Garamond" w:hAnsi="Garamond" w:cs="Times New Roman"/>
          <w:bCs/>
          <w:sz w:val="24"/>
          <w:szCs w:val="24"/>
        </w:rPr>
        <w:t>-</w:t>
      </w:r>
      <w:r w:rsidRPr="00C245A2">
        <w:rPr>
          <w:rFonts w:ascii="Garamond" w:hAnsi="Garamond" w:cs="Times New Roman"/>
          <w:bCs/>
          <w:sz w:val="24"/>
          <w:szCs w:val="24"/>
        </w:rPr>
        <w:t>length</w:t>
      </w:r>
      <w:proofErr w:type="gramEnd"/>
      <w:r w:rsidRPr="00C245A2">
        <w:rPr>
          <w:rFonts w:ascii="Garamond" w:hAnsi="Garamond" w:cs="Times New Roman"/>
          <w:bCs/>
          <w:sz w:val="24"/>
          <w:szCs w:val="24"/>
        </w:rPr>
        <w:t xml:space="preserve"> “joint” event or non-event periods. The one-sided p-value </w:t>
      </w:r>
      <w:r w:rsidR="0018510F" w:rsidRPr="00C245A2">
        <w:rPr>
          <w:rFonts w:ascii="Garamond" w:hAnsi="Garamond" w:cs="Times New Roman"/>
          <w:bCs/>
          <w:sz w:val="24"/>
          <w:szCs w:val="24"/>
        </w:rPr>
        <w:t>of</w:t>
      </w:r>
      <w:r w:rsidRPr="00C245A2">
        <w:rPr>
          <w:rFonts w:ascii="Garamond" w:hAnsi="Garamond" w:cs="Times New Roman"/>
          <w:bCs/>
          <w:sz w:val="24"/>
          <w:szCs w:val="24"/>
        </w:rPr>
        <w:t xml:space="preserve"> </w:t>
      </w:r>
      <w:r w:rsidR="006678A4" w:rsidRPr="00C245A2">
        <w:rPr>
          <w:rFonts w:ascii="Garamond" w:hAnsi="Garamond" w:cs="Times New Roman"/>
          <w:bCs/>
          <w:sz w:val="24"/>
          <w:szCs w:val="24"/>
        </w:rPr>
        <w:t xml:space="preserve">the </w:t>
      </w:r>
      <w:r w:rsidR="0018510F" w:rsidRPr="00C245A2">
        <w:rPr>
          <w:rFonts w:ascii="Garamond" w:hAnsi="Garamond" w:cs="Times New Roman"/>
          <w:bCs/>
          <w:sz w:val="24"/>
          <w:szCs w:val="24"/>
        </w:rPr>
        <w:t xml:space="preserve">bootstrap test for the </w:t>
      </w:r>
      <w:r w:rsidRPr="00C245A2">
        <w:rPr>
          <w:rFonts w:ascii="Garamond" w:hAnsi="Garamond" w:cs="Times New Roman"/>
          <w:bCs/>
          <w:sz w:val="24"/>
          <w:szCs w:val="24"/>
        </w:rPr>
        <w:t>Railways</w:t>
      </w:r>
      <w:r w:rsidR="006678A4" w:rsidRPr="00C245A2">
        <w:rPr>
          <w:rFonts w:ascii="Garamond" w:hAnsi="Garamond" w:cs="Times New Roman"/>
          <w:bCs/>
          <w:sz w:val="24"/>
          <w:szCs w:val="24"/>
        </w:rPr>
        <w:t xml:space="preserve"> series</w:t>
      </w:r>
      <w:r w:rsidRPr="00C245A2">
        <w:rPr>
          <w:rFonts w:ascii="Garamond" w:hAnsi="Garamond" w:cs="Times New Roman"/>
          <w:bCs/>
          <w:sz w:val="24"/>
          <w:szCs w:val="24"/>
        </w:rPr>
        <w:t xml:space="preserve">, the only significant </w:t>
      </w:r>
      <w:r w:rsidR="006678A4" w:rsidRPr="00C245A2">
        <w:rPr>
          <w:rFonts w:ascii="Garamond" w:hAnsi="Garamond" w:cs="Times New Roman"/>
          <w:bCs/>
          <w:sz w:val="24"/>
          <w:szCs w:val="24"/>
        </w:rPr>
        <w:t>indu</w:t>
      </w:r>
      <w:r w:rsidR="00006812" w:rsidRPr="00C245A2">
        <w:rPr>
          <w:rFonts w:ascii="Garamond" w:hAnsi="Garamond" w:cs="Times New Roman"/>
          <w:bCs/>
          <w:sz w:val="24"/>
          <w:szCs w:val="24"/>
        </w:rPr>
        <w:t>s</w:t>
      </w:r>
      <w:r w:rsidR="006678A4" w:rsidRPr="00C245A2">
        <w:rPr>
          <w:rFonts w:ascii="Garamond" w:hAnsi="Garamond" w:cs="Times New Roman"/>
          <w:bCs/>
          <w:sz w:val="24"/>
          <w:szCs w:val="24"/>
        </w:rPr>
        <w:t>try</w:t>
      </w:r>
      <w:r w:rsidRPr="00C245A2">
        <w:rPr>
          <w:rFonts w:ascii="Garamond" w:hAnsi="Garamond" w:cs="Times New Roman"/>
          <w:bCs/>
          <w:sz w:val="24"/>
          <w:szCs w:val="24"/>
        </w:rPr>
        <w:t>, increas</w:t>
      </w:r>
      <w:r w:rsidR="00006812" w:rsidRPr="00C245A2">
        <w:rPr>
          <w:rFonts w:ascii="Garamond" w:hAnsi="Garamond" w:cs="Times New Roman"/>
          <w:bCs/>
          <w:sz w:val="24"/>
          <w:szCs w:val="24"/>
        </w:rPr>
        <w:t>es</w:t>
      </w:r>
      <w:r w:rsidRPr="00C245A2">
        <w:rPr>
          <w:rFonts w:ascii="Garamond" w:hAnsi="Garamond" w:cs="Times New Roman"/>
          <w:bCs/>
          <w:sz w:val="24"/>
          <w:szCs w:val="24"/>
        </w:rPr>
        <w:t xml:space="preserve"> only modestly from 0.009 to 0.015</w:t>
      </w:r>
      <w:r w:rsidR="006678A4" w:rsidRPr="00C245A2">
        <w:rPr>
          <w:rFonts w:ascii="Garamond" w:hAnsi="Garamond" w:cs="Times New Roman"/>
          <w:bCs/>
          <w:sz w:val="24"/>
          <w:szCs w:val="24"/>
        </w:rPr>
        <w:t xml:space="preserve">. This suggests that the “forced” flip restriction between event and non-event periods in the base Bootstrap test does not meaningfully affect our results. </w:t>
      </w:r>
    </w:p>
    <w:p w14:paraId="09AFB391" w14:textId="77777777" w:rsidR="006678A4" w:rsidRPr="00C245A2" w:rsidRDefault="006678A4" w:rsidP="00A269C1">
      <w:pPr>
        <w:jc w:val="both"/>
        <w:rPr>
          <w:rFonts w:ascii="Garamond" w:hAnsi="Garamond" w:cs="Times New Roman"/>
          <w:bCs/>
          <w:sz w:val="24"/>
          <w:szCs w:val="24"/>
        </w:rPr>
      </w:pPr>
    </w:p>
    <w:p w14:paraId="33528BB0" w14:textId="1D8C20B8" w:rsidR="00BB4204" w:rsidRPr="00C245A2" w:rsidRDefault="00BB4204" w:rsidP="00A269C1">
      <w:pPr>
        <w:jc w:val="both"/>
        <w:rPr>
          <w:rFonts w:ascii="Garamond" w:hAnsi="Garamond" w:cs="Times New Roman"/>
          <w:b/>
          <w:sz w:val="24"/>
          <w:szCs w:val="24"/>
        </w:rPr>
      </w:pPr>
      <w:r w:rsidRPr="00C245A2">
        <w:rPr>
          <w:rFonts w:ascii="Garamond" w:hAnsi="Garamond" w:cs="Times New Roman"/>
          <w:b/>
          <w:sz w:val="24"/>
          <w:szCs w:val="24"/>
        </w:rPr>
        <w:t xml:space="preserve">Table A5: </w:t>
      </w:r>
      <w:r w:rsidR="00CD5DC5" w:rsidRPr="00C245A2">
        <w:rPr>
          <w:rFonts w:ascii="Garamond" w:hAnsi="Garamond" w:cs="Times New Roman"/>
          <w:b/>
          <w:sz w:val="24"/>
          <w:szCs w:val="24"/>
        </w:rPr>
        <w:t xml:space="preserve">Robustness test of the Bootstrap Test for Difference of All </w:t>
      </w:r>
      <w:r w:rsidR="009552D4" w:rsidRPr="00C245A2">
        <w:rPr>
          <w:rFonts w:ascii="Garamond" w:hAnsi="Garamond" w:cs="Times New Roman"/>
          <w:b/>
          <w:sz w:val="24"/>
          <w:szCs w:val="24"/>
        </w:rPr>
        <w:t xml:space="preserve">Event </w:t>
      </w:r>
      <w:r w:rsidR="00CD5DC5" w:rsidRPr="00C245A2">
        <w:rPr>
          <w:rFonts w:ascii="Garamond" w:hAnsi="Garamond" w:cs="Times New Roman"/>
          <w:b/>
          <w:sz w:val="24"/>
          <w:szCs w:val="24"/>
        </w:rPr>
        <w:t>Period Returns Versus Cumulative Returns for the Run-Up</w:t>
      </w:r>
    </w:p>
    <w:p w14:paraId="2719FB54" w14:textId="2A42A1DA" w:rsidR="00CD5DC5" w:rsidRPr="00C245A2" w:rsidRDefault="00E25C5B" w:rsidP="00A269C1">
      <w:pPr>
        <w:jc w:val="both"/>
        <w:rPr>
          <w:rFonts w:ascii="Garamond" w:hAnsi="Garamond" w:cs="Times New Roman"/>
          <w:bCs/>
          <w:sz w:val="24"/>
          <w:szCs w:val="24"/>
        </w:rPr>
      </w:pPr>
      <w:r w:rsidRPr="00C245A2">
        <w:rPr>
          <w:rFonts w:ascii="Garamond" w:hAnsi="Garamond" w:cs="Times New Roman"/>
          <w:bCs/>
          <w:noProof/>
          <w:sz w:val="24"/>
          <w:szCs w:val="24"/>
        </w:rPr>
        <w:drawing>
          <wp:inline distT="0" distB="0" distL="0" distR="0" wp14:anchorId="5947FD3D" wp14:editId="7259BF6D">
            <wp:extent cx="5943600" cy="798195"/>
            <wp:effectExtent l="0" t="0" r="0" b="1905"/>
            <wp:docPr id="128096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6772" name=""/>
                    <pic:cNvPicPr/>
                  </pic:nvPicPr>
                  <pic:blipFill>
                    <a:blip r:embed="rId13"/>
                    <a:stretch>
                      <a:fillRect/>
                    </a:stretch>
                  </pic:blipFill>
                  <pic:spPr>
                    <a:xfrm>
                      <a:off x="0" y="0"/>
                      <a:ext cx="5943600" cy="798195"/>
                    </a:xfrm>
                    <a:prstGeom prst="rect">
                      <a:avLst/>
                    </a:prstGeom>
                  </pic:spPr>
                </pic:pic>
              </a:graphicData>
            </a:graphic>
          </wp:inline>
        </w:drawing>
      </w:r>
    </w:p>
    <w:p w14:paraId="3E86BAD1" w14:textId="6FD7C555" w:rsidR="00BE04BD" w:rsidRPr="00C245A2" w:rsidRDefault="00BE04BD" w:rsidP="00A269C1">
      <w:pPr>
        <w:jc w:val="both"/>
        <w:rPr>
          <w:rFonts w:ascii="Garamond" w:hAnsi="Garamond" w:cs="Times New Roman"/>
          <w:bCs/>
          <w:sz w:val="24"/>
          <w:szCs w:val="24"/>
        </w:rPr>
      </w:pPr>
      <w:r w:rsidRPr="00C245A2">
        <w:rPr>
          <w:rFonts w:ascii="Garamond" w:hAnsi="Garamond" w:cs="Times New Roman"/>
          <w:bCs/>
          <w:sz w:val="24"/>
          <w:szCs w:val="24"/>
        </w:rPr>
        <w:t>Source: Authors’ analysis.</w:t>
      </w:r>
    </w:p>
    <w:sectPr w:rsidR="00BE04BD" w:rsidRPr="00C245A2" w:rsidSect="00062D95">
      <w:headerReference w:type="default" r:id="rId14"/>
      <w:headerReference w:type="first" r:id="rId15"/>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6651" w14:textId="77777777" w:rsidR="00062D95" w:rsidRDefault="00062D95" w:rsidP="00F44B3D">
      <w:pPr>
        <w:spacing w:after="0" w:line="240" w:lineRule="auto"/>
      </w:pPr>
      <w:r>
        <w:separator/>
      </w:r>
    </w:p>
  </w:endnote>
  <w:endnote w:type="continuationSeparator" w:id="0">
    <w:p w14:paraId="169AEB98" w14:textId="77777777" w:rsidR="00062D95" w:rsidRDefault="00062D95" w:rsidP="00F4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330D" w14:textId="77777777" w:rsidR="00062D95" w:rsidRDefault="00062D95" w:rsidP="00F44B3D">
      <w:pPr>
        <w:spacing w:after="0" w:line="240" w:lineRule="auto"/>
      </w:pPr>
      <w:r>
        <w:separator/>
      </w:r>
    </w:p>
  </w:footnote>
  <w:footnote w:type="continuationSeparator" w:id="0">
    <w:p w14:paraId="1CACF183" w14:textId="77777777" w:rsidR="00062D95" w:rsidRDefault="00062D95" w:rsidP="00F44B3D">
      <w:pPr>
        <w:spacing w:after="0" w:line="240" w:lineRule="auto"/>
      </w:pPr>
      <w:r>
        <w:continuationSeparator/>
      </w:r>
    </w:p>
  </w:footnote>
  <w:footnote w:id="1">
    <w:p w14:paraId="02AECA1E" w14:textId="2FAA7C6C" w:rsidR="007C3890" w:rsidRDefault="007C3890">
      <w:pPr>
        <w:pStyle w:val="FootnoteText"/>
      </w:pPr>
      <w:r>
        <w:rPr>
          <w:rStyle w:val="FootnoteReference"/>
        </w:rPr>
        <w:footnoteRef/>
      </w:r>
      <w:r>
        <w:t xml:space="preserve"> Please see bibliographical </w:t>
      </w:r>
      <w:r w:rsidR="00C634CE">
        <w:t>references</w:t>
      </w:r>
      <w:r w:rsidR="0026734A">
        <w:t xml:space="preserve"> listed in the paper.</w:t>
      </w:r>
    </w:p>
  </w:footnote>
  <w:footnote w:id="2">
    <w:p w14:paraId="67F31ABD" w14:textId="171A3247" w:rsidR="00303E78" w:rsidRPr="004A4315" w:rsidRDefault="00303E78" w:rsidP="00303E78">
      <w:pPr>
        <w:pStyle w:val="FootnoteText"/>
        <w:rPr>
          <w:rFonts w:ascii="Times New Roman" w:hAnsi="Times New Roman" w:cs="Times New Roman"/>
        </w:rPr>
      </w:pPr>
      <w:r w:rsidRPr="004A4315">
        <w:rPr>
          <w:rStyle w:val="FootnoteReference"/>
          <w:rFonts w:ascii="Times New Roman" w:hAnsi="Times New Roman" w:cs="Times New Roman"/>
        </w:rPr>
        <w:footnoteRef/>
      </w:r>
      <w:r w:rsidRPr="004A4315">
        <w:rPr>
          <w:rFonts w:ascii="Times New Roman" w:hAnsi="Times New Roman" w:cs="Times New Roman"/>
        </w:rPr>
        <w:t xml:space="preserve"> For brevity, we do not report the estimated coefficients for the insurance, metals, and shipping and trade sectors, for which coefficients were insignificant.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25873"/>
      <w:docPartObj>
        <w:docPartGallery w:val="Page Numbers (Top of Page)"/>
        <w:docPartUnique/>
      </w:docPartObj>
    </w:sdtPr>
    <w:sdtEndPr>
      <w:rPr>
        <w:noProof/>
      </w:rPr>
    </w:sdtEndPr>
    <w:sdtContent>
      <w:p w14:paraId="20DA1353" w14:textId="569F3F4E" w:rsidR="00316297" w:rsidRDefault="003162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72CBC3" w14:textId="77777777" w:rsidR="00F44B3D" w:rsidRDefault="00F44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CA1A" w14:textId="77777777" w:rsidR="00316297" w:rsidRPr="00027B3D" w:rsidRDefault="00316297" w:rsidP="00316297">
    <w:pPr>
      <w:pStyle w:val="CaseParagraph"/>
      <w:spacing w:before="0"/>
      <w:ind w:firstLine="0"/>
      <w:jc w:val="right"/>
      <w:rPr>
        <w:b/>
        <w:sz w:val="20"/>
        <w:szCs w:val="20"/>
      </w:rPr>
    </w:pPr>
    <w:r w:rsidRPr="00027B3D">
      <w:rPr>
        <w:b/>
        <w:sz w:val="20"/>
        <w:szCs w:val="20"/>
      </w:rPr>
      <w:t>Investor Reactions to Legislative Liberalization</w:t>
    </w:r>
  </w:p>
  <w:p w14:paraId="779D3E6E" w14:textId="3E7C712F" w:rsidR="00316297" w:rsidRPr="00027B3D" w:rsidRDefault="00316297" w:rsidP="00316297">
    <w:pPr>
      <w:pStyle w:val="Header"/>
      <w:jc w:val="right"/>
      <w:rPr>
        <w:rFonts w:ascii="Garamond" w:hAnsi="Garamond"/>
        <w:sz w:val="20"/>
        <w:szCs w:val="20"/>
      </w:rPr>
    </w:pPr>
    <w:r w:rsidRPr="00027B3D">
      <w:rPr>
        <w:rFonts w:ascii="Garamond" w:hAnsi="Garamond"/>
        <w:b/>
        <w:sz w:val="20"/>
        <w:szCs w:val="20"/>
      </w:rPr>
      <w:t>And the Run</w:t>
    </w:r>
    <w:r w:rsidR="000001A8" w:rsidRPr="00027B3D">
      <w:rPr>
        <w:rFonts w:ascii="Garamond" w:hAnsi="Garamond"/>
        <w:b/>
        <w:sz w:val="20"/>
        <w:szCs w:val="20"/>
      </w:rPr>
      <w:t>-</w:t>
    </w:r>
    <w:r w:rsidRPr="00027B3D">
      <w:rPr>
        <w:rFonts w:ascii="Garamond" w:hAnsi="Garamond"/>
        <w:b/>
        <w:sz w:val="20"/>
        <w:szCs w:val="20"/>
      </w:rPr>
      <w:t>up in British Share Prices, 1844 to 1845</w:t>
    </w:r>
  </w:p>
  <w:p w14:paraId="443DFECD" w14:textId="77777777" w:rsidR="00F44B3D" w:rsidRDefault="00F44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C60"/>
    <w:multiLevelType w:val="hybridMultilevel"/>
    <w:tmpl w:val="AC802E22"/>
    <w:lvl w:ilvl="0" w:tplc="AC0279F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1030B"/>
    <w:multiLevelType w:val="multilevel"/>
    <w:tmpl w:val="BC721952"/>
    <w:lvl w:ilvl="0">
      <w:start w:val="4"/>
      <w:numFmt w:val="decimal"/>
      <w:lvlText w:val="%1"/>
      <w:lvlJc w:val="left"/>
      <w:pPr>
        <w:ind w:left="390" w:hanging="390"/>
      </w:pPr>
      <w:rPr>
        <w:rFonts w:ascii="Verdana" w:hAnsi="Verdana" w:cstheme="minorBidi" w:hint="default"/>
        <w:b w:val="0"/>
      </w:rPr>
    </w:lvl>
    <w:lvl w:ilvl="1">
      <w:start w:val="2"/>
      <w:numFmt w:val="decimal"/>
      <w:lvlText w:val="%1.%2"/>
      <w:lvlJc w:val="left"/>
      <w:pPr>
        <w:ind w:left="390" w:hanging="390"/>
      </w:pPr>
      <w:rPr>
        <w:rFonts w:asciiTheme="minorHAnsi" w:hAnsiTheme="minorHAnsi" w:cstheme="minorHAnsi" w:hint="default"/>
        <w:b/>
      </w:rPr>
    </w:lvl>
    <w:lvl w:ilvl="2">
      <w:start w:val="1"/>
      <w:numFmt w:val="decimal"/>
      <w:lvlText w:val="%1.%2.%3"/>
      <w:lvlJc w:val="left"/>
      <w:pPr>
        <w:ind w:left="720" w:hanging="720"/>
      </w:pPr>
      <w:rPr>
        <w:rFonts w:ascii="Verdana" w:hAnsi="Verdana" w:cstheme="minorBidi" w:hint="default"/>
        <w:b w:val="0"/>
      </w:rPr>
    </w:lvl>
    <w:lvl w:ilvl="3">
      <w:start w:val="1"/>
      <w:numFmt w:val="decimal"/>
      <w:lvlText w:val="%1.%2.%3.%4"/>
      <w:lvlJc w:val="left"/>
      <w:pPr>
        <w:ind w:left="720" w:hanging="720"/>
      </w:pPr>
      <w:rPr>
        <w:rFonts w:ascii="Verdana" w:hAnsi="Verdana" w:cstheme="minorBidi" w:hint="default"/>
        <w:b w:val="0"/>
      </w:rPr>
    </w:lvl>
    <w:lvl w:ilvl="4">
      <w:start w:val="1"/>
      <w:numFmt w:val="decimal"/>
      <w:lvlText w:val="%1.%2.%3.%4.%5"/>
      <w:lvlJc w:val="left"/>
      <w:pPr>
        <w:ind w:left="1080" w:hanging="1080"/>
      </w:pPr>
      <w:rPr>
        <w:rFonts w:ascii="Verdana" w:hAnsi="Verdana" w:cstheme="minorBidi" w:hint="default"/>
        <w:b w:val="0"/>
      </w:rPr>
    </w:lvl>
    <w:lvl w:ilvl="5">
      <w:start w:val="1"/>
      <w:numFmt w:val="decimal"/>
      <w:lvlText w:val="%1.%2.%3.%4.%5.%6"/>
      <w:lvlJc w:val="left"/>
      <w:pPr>
        <w:ind w:left="1080" w:hanging="1080"/>
      </w:pPr>
      <w:rPr>
        <w:rFonts w:ascii="Verdana" w:hAnsi="Verdana" w:cstheme="minorBidi" w:hint="default"/>
        <w:b w:val="0"/>
      </w:rPr>
    </w:lvl>
    <w:lvl w:ilvl="6">
      <w:start w:val="1"/>
      <w:numFmt w:val="decimal"/>
      <w:lvlText w:val="%1.%2.%3.%4.%5.%6.%7"/>
      <w:lvlJc w:val="left"/>
      <w:pPr>
        <w:ind w:left="1440" w:hanging="1440"/>
      </w:pPr>
      <w:rPr>
        <w:rFonts w:ascii="Verdana" w:hAnsi="Verdana" w:cstheme="minorBidi" w:hint="default"/>
        <w:b w:val="0"/>
      </w:rPr>
    </w:lvl>
    <w:lvl w:ilvl="7">
      <w:start w:val="1"/>
      <w:numFmt w:val="decimal"/>
      <w:lvlText w:val="%1.%2.%3.%4.%5.%6.%7.%8"/>
      <w:lvlJc w:val="left"/>
      <w:pPr>
        <w:ind w:left="1440" w:hanging="1440"/>
      </w:pPr>
      <w:rPr>
        <w:rFonts w:ascii="Verdana" w:hAnsi="Verdana" w:cstheme="minorBidi" w:hint="default"/>
        <w:b w:val="0"/>
      </w:rPr>
    </w:lvl>
    <w:lvl w:ilvl="8">
      <w:start w:val="1"/>
      <w:numFmt w:val="decimal"/>
      <w:lvlText w:val="%1.%2.%3.%4.%5.%6.%7.%8.%9"/>
      <w:lvlJc w:val="left"/>
      <w:pPr>
        <w:ind w:left="1800" w:hanging="1800"/>
      </w:pPr>
      <w:rPr>
        <w:rFonts w:ascii="Verdana" w:hAnsi="Verdana" w:cstheme="minorBidi" w:hint="default"/>
        <w:b w:val="0"/>
      </w:rPr>
    </w:lvl>
  </w:abstractNum>
  <w:abstractNum w:abstractNumId="2" w15:restartNumberingAfterBreak="0">
    <w:nsid w:val="568A2279"/>
    <w:multiLevelType w:val="hybridMultilevel"/>
    <w:tmpl w:val="9662A482"/>
    <w:lvl w:ilvl="0" w:tplc="98EC2050">
      <w:start w:val="1"/>
      <w:numFmt w:val="bullet"/>
      <w:pStyle w:val="CaseBullets1"/>
      <w:lvlText w:val=""/>
      <w:lvlJc w:val="left"/>
      <w:pPr>
        <w:tabs>
          <w:tab w:val="num" w:pos="720"/>
        </w:tabs>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9B1A32"/>
    <w:multiLevelType w:val="hybridMultilevel"/>
    <w:tmpl w:val="4150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013416">
    <w:abstractNumId w:val="2"/>
  </w:num>
  <w:num w:numId="2" w16cid:durableId="522473158">
    <w:abstractNumId w:val="0"/>
  </w:num>
  <w:num w:numId="3" w16cid:durableId="1172405573">
    <w:abstractNumId w:val="3"/>
  </w:num>
  <w:num w:numId="4" w16cid:durableId="305819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8F"/>
    <w:rsid w:val="000001A8"/>
    <w:rsid w:val="00000846"/>
    <w:rsid w:val="00006420"/>
    <w:rsid w:val="00006812"/>
    <w:rsid w:val="00007420"/>
    <w:rsid w:val="0001620C"/>
    <w:rsid w:val="00021063"/>
    <w:rsid w:val="00027B3D"/>
    <w:rsid w:val="000361EE"/>
    <w:rsid w:val="00047854"/>
    <w:rsid w:val="0005590B"/>
    <w:rsid w:val="00062D95"/>
    <w:rsid w:val="00072C8F"/>
    <w:rsid w:val="00075F43"/>
    <w:rsid w:val="00082367"/>
    <w:rsid w:val="00087D07"/>
    <w:rsid w:val="00090C22"/>
    <w:rsid w:val="000978A3"/>
    <w:rsid w:val="000A0E74"/>
    <w:rsid w:val="000A3BF7"/>
    <w:rsid w:val="000B29D5"/>
    <w:rsid w:val="000B2F81"/>
    <w:rsid w:val="000C4988"/>
    <w:rsid w:val="000C52DF"/>
    <w:rsid w:val="000D1B22"/>
    <w:rsid w:val="000D4FC0"/>
    <w:rsid w:val="000D5943"/>
    <w:rsid w:val="000D5B7B"/>
    <w:rsid w:val="000D6404"/>
    <w:rsid w:val="000E595E"/>
    <w:rsid w:val="000F1480"/>
    <w:rsid w:val="000F5173"/>
    <w:rsid w:val="00106E05"/>
    <w:rsid w:val="001076AA"/>
    <w:rsid w:val="00113CD5"/>
    <w:rsid w:val="00114CB8"/>
    <w:rsid w:val="00121A7B"/>
    <w:rsid w:val="001244D1"/>
    <w:rsid w:val="00125EBA"/>
    <w:rsid w:val="00132656"/>
    <w:rsid w:val="00136642"/>
    <w:rsid w:val="0013793F"/>
    <w:rsid w:val="001433E9"/>
    <w:rsid w:val="00145E57"/>
    <w:rsid w:val="00146FF4"/>
    <w:rsid w:val="00157B3C"/>
    <w:rsid w:val="00160669"/>
    <w:rsid w:val="00182ADA"/>
    <w:rsid w:val="0018510F"/>
    <w:rsid w:val="00191953"/>
    <w:rsid w:val="00195978"/>
    <w:rsid w:val="00195D38"/>
    <w:rsid w:val="001A4250"/>
    <w:rsid w:val="001A5ADD"/>
    <w:rsid w:val="001D4AD3"/>
    <w:rsid w:val="001E7510"/>
    <w:rsid w:val="00206832"/>
    <w:rsid w:val="002252B8"/>
    <w:rsid w:val="002410CE"/>
    <w:rsid w:val="00242049"/>
    <w:rsid w:val="00244355"/>
    <w:rsid w:val="0025303F"/>
    <w:rsid w:val="00253D22"/>
    <w:rsid w:val="00257B40"/>
    <w:rsid w:val="002632D4"/>
    <w:rsid w:val="0026734A"/>
    <w:rsid w:val="00271F83"/>
    <w:rsid w:val="00274C8C"/>
    <w:rsid w:val="0027552B"/>
    <w:rsid w:val="0027607B"/>
    <w:rsid w:val="00285859"/>
    <w:rsid w:val="002861F0"/>
    <w:rsid w:val="00297197"/>
    <w:rsid w:val="002A58B4"/>
    <w:rsid w:val="002B5642"/>
    <w:rsid w:val="002C56F3"/>
    <w:rsid w:val="002D0A4C"/>
    <w:rsid w:val="002D19A7"/>
    <w:rsid w:val="002D2D89"/>
    <w:rsid w:val="002F366E"/>
    <w:rsid w:val="0030121E"/>
    <w:rsid w:val="00303E78"/>
    <w:rsid w:val="00312453"/>
    <w:rsid w:val="0031572E"/>
    <w:rsid w:val="00316297"/>
    <w:rsid w:val="003168E1"/>
    <w:rsid w:val="0033067C"/>
    <w:rsid w:val="00341E00"/>
    <w:rsid w:val="00344923"/>
    <w:rsid w:val="00350253"/>
    <w:rsid w:val="0035074A"/>
    <w:rsid w:val="003637F2"/>
    <w:rsid w:val="00376A40"/>
    <w:rsid w:val="00377BA1"/>
    <w:rsid w:val="0038126C"/>
    <w:rsid w:val="00393E43"/>
    <w:rsid w:val="00394205"/>
    <w:rsid w:val="00395E37"/>
    <w:rsid w:val="003962D2"/>
    <w:rsid w:val="0039791A"/>
    <w:rsid w:val="003A3A99"/>
    <w:rsid w:val="003A403C"/>
    <w:rsid w:val="003A5A6E"/>
    <w:rsid w:val="003B206F"/>
    <w:rsid w:val="003B626D"/>
    <w:rsid w:val="003C5369"/>
    <w:rsid w:val="003C5413"/>
    <w:rsid w:val="003C716C"/>
    <w:rsid w:val="003D00A8"/>
    <w:rsid w:val="003D2CD4"/>
    <w:rsid w:val="003D3AE3"/>
    <w:rsid w:val="003D7F30"/>
    <w:rsid w:val="003E3130"/>
    <w:rsid w:val="003F31E9"/>
    <w:rsid w:val="003F4C53"/>
    <w:rsid w:val="00406717"/>
    <w:rsid w:val="00407F81"/>
    <w:rsid w:val="00420E4F"/>
    <w:rsid w:val="004231AE"/>
    <w:rsid w:val="004270DD"/>
    <w:rsid w:val="00437075"/>
    <w:rsid w:val="00450D71"/>
    <w:rsid w:val="004636C1"/>
    <w:rsid w:val="0047203A"/>
    <w:rsid w:val="00481204"/>
    <w:rsid w:val="0048312D"/>
    <w:rsid w:val="00485DA9"/>
    <w:rsid w:val="004956FD"/>
    <w:rsid w:val="004A4315"/>
    <w:rsid w:val="004B223B"/>
    <w:rsid w:val="004B6A4C"/>
    <w:rsid w:val="004C1210"/>
    <w:rsid w:val="004C2BC6"/>
    <w:rsid w:val="004E5C03"/>
    <w:rsid w:val="0051205E"/>
    <w:rsid w:val="005136CE"/>
    <w:rsid w:val="00520782"/>
    <w:rsid w:val="00543435"/>
    <w:rsid w:val="0054497A"/>
    <w:rsid w:val="00553CBD"/>
    <w:rsid w:val="00566627"/>
    <w:rsid w:val="00570338"/>
    <w:rsid w:val="0057131C"/>
    <w:rsid w:val="00575893"/>
    <w:rsid w:val="00583ED7"/>
    <w:rsid w:val="0058648A"/>
    <w:rsid w:val="005A0C6F"/>
    <w:rsid w:val="005B0473"/>
    <w:rsid w:val="005B372D"/>
    <w:rsid w:val="005B38B4"/>
    <w:rsid w:val="005B7DC4"/>
    <w:rsid w:val="005C51BF"/>
    <w:rsid w:val="005E139B"/>
    <w:rsid w:val="006027E9"/>
    <w:rsid w:val="00633DE1"/>
    <w:rsid w:val="00635A78"/>
    <w:rsid w:val="0063691D"/>
    <w:rsid w:val="00640D9E"/>
    <w:rsid w:val="00645F8F"/>
    <w:rsid w:val="00655BD7"/>
    <w:rsid w:val="006572FC"/>
    <w:rsid w:val="006678A4"/>
    <w:rsid w:val="00682690"/>
    <w:rsid w:val="006853D5"/>
    <w:rsid w:val="006B5903"/>
    <w:rsid w:val="006C3465"/>
    <w:rsid w:val="006C5FB8"/>
    <w:rsid w:val="006C7A61"/>
    <w:rsid w:val="006E09F8"/>
    <w:rsid w:val="006E6644"/>
    <w:rsid w:val="006E7010"/>
    <w:rsid w:val="006F7BDF"/>
    <w:rsid w:val="0071165C"/>
    <w:rsid w:val="00715A96"/>
    <w:rsid w:val="007160BC"/>
    <w:rsid w:val="00733642"/>
    <w:rsid w:val="00741843"/>
    <w:rsid w:val="00745ACE"/>
    <w:rsid w:val="00764364"/>
    <w:rsid w:val="00764AD9"/>
    <w:rsid w:val="00780F44"/>
    <w:rsid w:val="00786D78"/>
    <w:rsid w:val="00794F3D"/>
    <w:rsid w:val="007A5E2E"/>
    <w:rsid w:val="007A70F0"/>
    <w:rsid w:val="007B19FC"/>
    <w:rsid w:val="007C3412"/>
    <w:rsid w:val="007C3890"/>
    <w:rsid w:val="007C5EC2"/>
    <w:rsid w:val="007C6927"/>
    <w:rsid w:val="007E46E2"/>
    <w:rsid w:val="007F531B"/>
    <w:rsid w:val="007F54A3"/>
    <w:rsid w:val="008156DE"/>
    <w:rsid w:val="00823BC3"/>
    <w:rsid w:val="00833FF6"/>
    <w:rsid w:val="00840ECB"/>
    <w:rsid w:val="0084351E"/>
    <w:rsid w:val="00846DD1"/>
    <w:rsid w:val="00852222"/>
    <w:rsid w:val="008525D3"/>
    <w:rsid w:val="008546B7"/>
    <w:rsid w:val="00860599"/>
    <w:rsid w:val="00864E0B"/>
    <w:rsid w:val="0087381E"/>
    <w:rsid w:val="008816F7"/>
    <w:rsid w:val="00891022"/>
    <w:rsid w:val="008A0593"/>
    <w:rsid w:val="008A2970"/>
    <w:rsid w:val="008A79CE"/>
    <w:rsid w:val="008B4530"/>
    <w:rsid w:val="008B5A87"/>
    <w:rsid w:val="008B6AD6"/>
    <w:rsid w:val="008C1D69"/>
    <w:rsid w:val="009038D7"/>
    <w:rsid w:val="00923E9E"/>
    <w:rsid w:val="00933125"/>
    <w:rsid w:val="009358BD"/>
    <w:rsid w:val="00936674"/>
    <w:rsid w:val="00953762"/>
    <w:rsid w:val="0095472F"/>
    <w:rsid w:val="009552D4"/>
    <w:rsid w:val="0098081B"/>
    <w:rsid w:val="00981A01"/>
    <w:rsid w:val="00991B68"/>
    <w:rsid w:val="00996656"/>
    <w:rsid w:val="009C4F44"/>
    <w:rsid w:val="009D4AE5"/>
    <w:rsid w:val="009E3208"/>
    <w:rsid w:val="009F11F3"/>
    <w:rsid w:val="009F34C0"/>
    <w:rsid w:val="00A06688"/>
    <w:rsid w:val="00A1450A"/>
    <w:rsid w:val="00A24C89"/>
    <w:rsid w:val="00A25596"/>
    <w:rsid w:val="00A269C1"/>
    <w:rsid w:val="00A37838"/>
    <w:rsid w:val="00A42C63"/>
    <w:rsid w:val="00A51C5C"/>
    <w:rsid w:val="00A54FBA"/>
    <w:rsid w:val="00A615CA"/>
    <w:rsid w:val="00A65738"/>
    <w:rsid w:val="00A823AE"/>
    <w:rsid w:val="00A95D50"/>
    <w:rsid w:val="00AA4FED"/>
    <w:rsid w:val="00AB4FBF"/>
    <w:rsid w:val="00AB6CA9"/>
    <w:rsid w:val="00AC0BDE"/>
    <w:rsid w:val="00AE0EBB"/>
    <w:rsid w:val="00AE68BC"/>
    <w:rsid w:val="00AF2217"/>
    <w:rsid w:val="00AF2D84"/>
    <w:rsid w:val="00AF52E1"/>
    <w:rsid w:val="00B1232C"/>
    <w:rsid w:val="00B14450"/>
    <w:rsid w:val="00B16F48"/>
    <w:rsid w:val="00B2076A"/>
    <w:rsid w:val="00B244DA"/>
    <w:rsid w:val="00B26DB0"/>
    <w:rsid w:val="00B3013C"/>
    <w:rsid w:val="00B316F7"/>
    <w:rsid w:val="00B32AF6"/>
    <w:rsid w:val="00B37423"/>
    <w:rsid w:val="00B44BFF"/>
    <w:rsid w:val="00B57288"/>
    <w:rsid w:val="00B60FBC"/>
    <w:rsid w:val="00B625F7"/>
    <w:rsid w:val="00B64295"/>
    <w:rsid w:val="00B70535"/>
    <w:rsid w:val="00B70754"/>
    <w:rsid w:val="00B70F61"/>
    <w:rsid w:val="00B71B40"/>
    <w:rsid w:val="00B7359E"/>
    <w:rsid w:val="00BA3006"/>
    <w:rsid w:val="00BB4204"/>
    <w:rsid w:val="00BB5748"/>
    <w:rsid w:val="00BD6415"/>
    <w:rsid w:val="00BD695B"/>
    <w:rsid w:val="00BD7697"/>
    <w:rsid w:val="00BE04BD"/>
    <w:rsid w:val="00BF793A"/>
    <w:rsid w:val="00C050EF"/>
    <w:rsid w:val="00C13260"/>
    <w:rsid w:val="00C137CC"/>
    <w:rsid w:val="00C13D82"/>
    <w:rsid w:val="00C17123"/>
    <w:rsid w:val="00C21E02"/>
    <w:rsid w:val="00C245A2"/>
    <w:rsid w:val="00C24689"/>
    <w:rsid w:val="00C323C5"/>
    <w:rsid w:val="00C37549"/>
    <w:rsid w:val="00C43AA1"/>
    <w:rsid w:val="00C530AB"/>
    <w:rsid w:val="00C629DA"/>
    <w:rsid w:val="00C634CE"/>
    <w:rsid w:val="00C638BF"/>
    <w:rsid w:val="00C655C3"/>
    <w:rsid w:val="00C71239"/>
    <w:rsid w:val="00C76711"/>
    <w:rsid w:val="00C769EE"/>
    <w:rsid w:val="00C94CB1"/>
    <w:rsid w:val="00CA1949"/>
    <w:rsid w:val="00CA75C5"/>
    <w:rsid w:val="00CB20F0"/>
    <w:rsid w:val="00CB361D"/>
    <w:rsid w:val="00CB6674"/>
    <w:rsid w:val="00CB74CA"/>
    <w:rsid w:val="00CC1B11"/>
    <w:rsid w:val="00CC681F"/>
    <w:rsid w:val="00CD5644"/>
    <w:rsid w:val="00CD5DC5"/>
    <w:rsid w:val="00CF283E"/>
    <w:rsid w:val="00CF2B39"/>
    <w:rsid w:val="00CF3481"/>
    <w:rsid w:val="00D0448F"/>
    <w:rsid w:val="00D06949"/>
    <w:rsid w:val="00D406B6"/>
    <w:rsid w:val="00D43917"/>
    <w:rsid w:val="00D4454F"/>
    <w:rsid w:val="00D50FDE"/>
    <w:rsid w:val="00D54DE7"/>
    <w:rsid w:val="00D552A9"/>
    <w:rsid w:val="00D563C3"/>
    <w:rsid w:val="00D72E73"/>
    <w:rsid w:val="00D76D20"/>
    <w:rsid w:val="00D92564"/>
    <w:rsid w:val="00D951D5"/>
    <w:rsid w:val="00DA3B26"/>
    <w:rsid w:val="00DA51D4"/>
    <w:rsid w:val="00DA7519"/>
    <w:rsid w:val="00DB43A8"/>
    <w:rsid w:val="00DD785F"/>
    <w:rsid w:val="00DD7EF2"/>
    <w:rsid w:val="00DE1301"/>
    <w:rsid w:val="00DF2E43"/>
    <w:rsid w:val="00E0003F"/>
    <w:rsid w:val="00E06B71"/>
    <w:rsid w:val="00E15AA6"/>
    <w:rsid w:val="00E15E1D"/>
    <w:rsid w:val="00E230A3"/>
    <w:rsid w:val="00E25C5B"/>
    <w:rsid w:val="00E264BD"/>
    <w:rsid w:val="00E300AE"/>
    <w:rsid w:val="00E36141"/>
    <w:rsid w:val="00E433DC"/>
    <w:rsid w:val="00E46803"/>
    <w:rsid w:val="00E532C6"/>
    <w:rsid w:val="00E56531"/>
    <w:rsid w:val="00E66285"/>
    <w:rsid w:val="00E720D8"/>
    <w:rsid w:val="00E73777"/>
    <w:rsid w:val="00E82F37"/>
    <w:rsid w:val="00EA5874"/>
    <w:rsid w:val="00EB1C1F"/>
    <w:rsid w:val="00EB3F12"/>
    <w:rsid w:val="00ED3797"/>
    <w:rsid w:val="00ED463C"/>
    <w:rsid w:val="00ED4689"/>
    <w:rsid w:val="00EE4E30"/>
    <w:rsid w:val="00EE78CE"/>
    <w:rsid w:val="00EF4206"/>
    <w:rsid w:val="00F06523"/>
    <w:rsid w:val="00F1415D"/>
    <w:rsid w:val="00F24144"/>
    <w:rsid w:val="00F24414"/>
    <w:rsid w:val="00F32359"/>
    <w:rsid w:val="00F44B3D"/>
    <w:rsid w:val="00F45314"/>
    <w:rsid w:val="00F54340"/>
    <w:rsid w:val="00F617FD"/>
    <w:rsid w:val="00F71F05"/>
    <w:rsid w:val="00F72898"/>
    <w:rsid w:val="00F810ED"/>
    <w:rsid w:val="00F90DD6"/>
    <w:rsid w:val="00F93D82"/>
    <w:rsid w:val="00FA03E1"/>
    <w:rsid w:val="00FA2192"/>
    <w:rsid w:val="00FA3E84"/>
    <w:rsid w:val="00FA596A"/>
    <w:rsid w:val="00FB166B"/>
    <w:rsid w:val="00FB3F09"/>
    <w:rsid w:val="00FB48D2"/>
    <w:rsid w:val="00FB544D"/>
    <w:rsid w:val="00FC68CB"/>
    <w:rsid w:val="00FD4AD5"/>
    <w:rsid w:val="00FE096C"/>
    <w:rsid w:val="00FE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1F4D"/>
  <w15:chartTrackingRefBased/>
  <w15:docId w15:val="{EE750345-4061-4A0D-8E88-24A97777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Paragraph">
    <w:name w:val="CaseParagraph"/>
    <w:basedOn w:val="Normal"/>
    <w:qFormat/>
    <w:rsid w:val="00D0448F"/>
    <w:pPr>
      <w:spacing w:before="220" w:after="0" w:line="240" w:lineRule="auto"/>
      <w:ind w:firstLine="360"/>
      <w:jc w:val="both"/>
    </w:pPr>
    <w:rPr>
      <w:rFonts w:ascii="Garamond" w:hAnsi="Garamond" w:cs="Times New Roman"/>
      <w:kern w:val="0"/>
      <w14:ligatures w14:val="none"/>
    </w:rPr>
  </w:style>
  <w:style w:type="paragraph" w:customStyle="1" w:styleId="CaseBullets1">
    <w:name w:val="CaseBullets1"/>
    <w:basedOn w:val="ListParagraph"/>
    <w:qFormat/>
    <w:rsid w:val="00D0448F"/>
    <w:pPr>
      <w:numPr>
        <w:numId w:val="1"/>
      </w:numPr>
      <w:tabs>
        <w:tab w:val="clear" w:pos="720"/>
      </w:tabs>
      <w:spacing w:before="120" w:after="120" w:line="240" w:lineRule="auto"/>
      <w:contextualSpacing w:val="0"/>
      <w:jc w:val="both"/>
    </w:pPr>
    <w:rPr>
      <w:rFonts w:ascii="Garamond" w:hAnsi="Garamond" w:cs="Times New Roman"/>
      <w:kern w:val="0"/>
      <w14:ligatures w14:val="none"/>
    </w:rPr>
  </w:style>
  <w:style w:type="paragraph" w:styleId="ListParagraph">
    <w:name w:val="List Paragraph"/>
    <w:basedOn w:val="Normal"/>
    <w:uiPriority w:val="34"/>
    <w:qFormat/>
    <w:rsid w:val="00D0448F"/>
    <w:pPr>
      <w:ind w:left="720"/>
      <w:contextualSpacing/>
    </w:pPr>
  </w:style>
  <w:style w:type="paragraph" w:customStyle="1" w:styleId="CaseParaNoIdent">
    <w:name w:val="CaseParaNoIdent"/>
    <w:basedOn w:val="CaseParagraph"/>
    <w:qFormat/>
    <w:rsid w:val="000C4988"/>
    <w:pPr>
      <w:ind w:firstLine="0"/>
    </w:pPr>
    <w:rPr>
      <w:rFonts w:eastAsia="Times New Roman"/>
    </w:rPr>
  </w:style>
  <w:style w:type="paragraph" w:styleId="Header">
    <w:name w:val="header"/>
    <w:basedOn w:val="Normal"/>
    <w:link w:val="HeaderChar"/>
    <w:uiPriority w:val="99"/>
    <w:unhideWhenUsed/>
    <w:rsid w:val="00F44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B3D"/>
  </w:style>
  <w:style w:type="paragraph" w:styleId="Footer">
    <w:name w:val="footer"/>
    <w:basedOn w:val="Normal"/>
    <w:link w:val="FooterChar"/>
    <w:uiPriority w:val="99"/>
    <w:unhideWhenUsed/>
    <w:rsid w:val="00F44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B3D"/>
  </w:style>
  <w:style w:type="paragraph" w:styleId="FootnoteText">
    <w:name w:val="footnote text"/>
    <w:basedOn w:val="Normal"/>
    <w:link w:val="FootnoteTextChar"/>
    <w:uiPriority w:val="99"/>
    <w:semiHidden/>
    <w:unhideWhenUsed/>
    <w:rsid w:val="007C3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890"/>
    <w:rPr>
      <w:sz w:val="20"/>
      <w:szCs w:val="20"/>
    </w:rPr>
  </w:style>
  <w:style w:type="character" w:styleId="FootnoteReference">
    <w:name w:val="footnote reference"/>
    <w:basedOn w:val="DefaultParagraphFont"/>
    <w:uiPriority w:val="99"/>
    <w:semiHidden/>
    <w:unhideWhenUsed/>
    <w:rsid w:val="007C3890"/>
    <w:rPr>
      <w:vertAlign w:val="superscript"/>
    </w:rPr>
  </w:style>
  <w:style w:type="character" w:styleId="CommentReference">
    <w:name w:val="annotation reference"/>
    <w:basedOn w:val="DefaultParagraphFont"/>
    <w:uiPriority w:val="99"/>
    <w:semiHidden/>
    <w:unhideWhenUsed/>
    <w:rsid w:val="000F1480"/>
    <w:rPr>
      <w:sz w:val="16"/>
      <w:szCs w:val="16"/>
    </w:rPr>
  </w:style>
  <w:style w:type="paragraph" w:styleId="Revision">
    <w:name w:val="Revision"/>
    <w:hidden/>
    <w:uiPriority w:val="99"/>
    <w:semiHidden/>
    <w:rsid w:val="006F7BDF"/>
    <w:pPr>
      <w:spacing w:after="0" w:line="240" w:lineRule="auto"/>
    </w:pPr>
  </w:style>
  <w:style w:type="paragraph" w:styleId="CommentText">
    <w:name w:val="annotation text"/>
    <w:basedOn w:val="Normal"/>
    <w:link w:val="CommentTextChar"/>
    <w:uiPriority w:val="99"/>
    <w:unhideWhenUsed/>
    <w:rsid w:val="006F7BDF"/>
    <w:pPr>
      <w:spacing w:line="240" w:lineRule="auto"/>
    </w:pPr>
    <w:rPr>
      <w:sz w:val="20"/>
      <w:szCs w:val="20"/>
    </w:rPr>
  </w:style>
  <w:style w:type="character" w:customStyle="1" w:styleId="CommentTextChar">
    <w:name w:val="Comment Text Char"/>
    <w:basedOn w:val="DefaultParagraphFont"/>
    <w:link w:val="CommentText"/>
    <w:uiPriority w:val="99"/>
    <w:rsid w:val="006F7BDF"/>
    <w:rPr>
      <w:sz w:val="20"/>
      <w:szCs w:val="20"/>
    </w:rPr>
  </w:style>
  <w:style w:type="paragraph" w:styleId="CommentSubject">
    <w:name w:val="annotation subject"/>
    <w:basedOn w:val="CommentText"/>
    <w:next w:val="CommentText"/>
    <w:link w:val="CommentSubjectChar"/>
    <w:uiPriority w:val="99"/>
    <w:semiHidden/>
    <w:unhideWhenUsed/>
    <w:rsid w:val="006F7BDF"/>
    <w:rPr>
      <w:b/>
      <w:bCs/>
    </w:rPr>
  </w:style>
  <w:style w:type="character" w:customStyle="1" w:styleId="CommentSubjectChar">
    <w:name w:val="Comment Subject Char"/>
    <w:basedOn w:val="CommentTextChar"/>
    <w:link w:val="CommentSubject"/>
    <w:uiPriority w:val="99"/>
    <w:semiHidden/>
    <w:rsid w:val="006F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667">
      <w:bodyDiv w:val="1"/>
      <w:marLeft w:val="0"/>
      <w:marRight w:val="0"/>
      <w:marTop w:val="0"/>
      <w:marBottom w:val="0"/>
      <w:divBdr>
        <w:top w:val="none" w:sz="0" w:space="0" w:color="auto"/>
        <w:left w:val="none" w:sz="0" w:space="0" w:color="auto"/>
        <w:bottom w:val="none" w:sz="0" w:space="0" w:color="auto"/>
        <w:right w:val="none" w:sz="0" w:space="0" w:color="auto"/>
      </w:divBdr>
    </w:div>
    <w:div w:id="891309173">
      <w:bodyDiv w:val="1"/>
      <w:marLeft w:val="0"/>
      <w:marRight w:val="0"/>
      <w:marTop w:val="0"/>
      <w:marBottom w:val="0"/>
      <w:divBdr>
        <w:top w:val="none" w:sz="0" w:space="0" w:color="auto"/>
        <w:left w:val="none" w:sz="0" w:space="0" w:color="auto"/>
        <w:bottom w:val="none" w:sz="0" w:space="0" w:color="auto"/>
        <w:right w:val="none" w:sz="0" w:space="0" w:color="auto"/>
      </w:divBdr>
    </w:div>
    <w:div w:id="927618582">
      <w:bodyDiv w:val="1"/>
      <w:marLeft w:val="0"/>
      <w:marRight w:val="0"/>
      <w:marTop w:val="0"/>
      <w:marBottom w:val="0"/>
      <w:divBdr>
        <w:top w:val="none" w:sz="0" w:space="0" w:color="auto"/>
        <w:left w:val="none" w:sz="0" w:space="0" w:color="auto"/>
        <w:bottom w:val="none" w:sz="0" w:space="0" w:color="auto"/>
        <w:right w:val="none" w:sz="0" w:space="0" w:color="auto"/>
      </w:divBdr>
    </w:div>
    <w:div w:id="1327786805">
      <w:bodyDiv w:val="1"/>
      <w:marLeft w:val="0"/>
      <w:marRight w:val="0"/>
      <w:marTop w:val="0"/>
      <w:marBottom w:val="0"/>
      <w:divBdr>
        <w:top w:val="none" w:sz="0" w:space="0" w:color="auto"/>
        <w:left w:val="none" w:sz="0" w:space="0" w:color="auto"/>
        <w:bottom w:val="none" w:sz="0" w:space="0" w:color="auto"/>
        <w:right w:val="none" w:sz="0" w:space="0" w:color="auto"/>
      </w:divBdr>
    </w:div>
    <w:div w:id="1942179147">
      <w:bodyDiv w:val="1"/>
      <w:marLeft w:val="0"/>
      <w:marRight w:val="0"/>
      <w:marTop w:val="0"/>
      <w:marBottom w:val="0"/>
      <w:divBdr>
        <w:top w:val="none" w:sz="0" w:space="0" w:color="auto"/>
        <w:left w:val="none" w:sz="0" w:space="0" w:color="auto"/>
        <w:bottom w:val="none" w:sz="0" w:space="0" w:color="auto"/>
        <w:right w:val="none" w:sz="0" w:space="0" w:color="auto"/>
      </w:divBdr>
    </w:div>
    <w:div w:id="21171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04BC-44AB-43AD-A25A-91EBAF7D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Bruner, Robert</dc:creator>
  <cp:keywords/>
  <dc:description/>
  <cp:lastModifiedBy>Miller, Scott</cp:lastModifiedBy>
  <cp:revision>3</cp:revision>
  <cp:lastPrinted>2023-11-04T20:33:00Z</cp:lastPrinted>
  <dcterms:created xsi:type="dcterms:W3CDTF">2024-03-05T20:48:00Z</dcterms:created>
  <dcterms:modified xsi:type="dcterms:W3CDTF">2024-03-05T20:50:00Z</dcterms:modified>
</cp:coreProperties>
</file>