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80" w:lineRule="auto"/>
        <w:rPr>
          <w:rFonts w:hint="default"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</w:rPr>
        <w:t>Study Design and Participants</w:t>
      </w:r>
      <w:bookmarkStart w:id="5" w:name="_GoBack"/>
      <w:bookmarkEnd w:id="5"/>
    </w:p>
    <w:p>
      <w:pPr>
        <w:pStyle w:val="2"/>
        <w:widowControl/>
        <w:spacing w:beforeAutospacing="0" w:afterAutospacing="0" w:line="480" w:lineRule="auto"/>
        <w:ind w:firstLine="440" w:firstLineChars="200"/>
        <w:rPr>
          <w:rFonts w:hint="default" w:ascii="Arial" w:hAnsi="Arial" w:cs="Arial"/>
          <w:sz w:val="22"/>
          <w:szCs w:val="22"/>
          <w:highlight w:val="yellow"/>
        </w:rPr>
      </w:pPr>
      <w:r>
        <w:rPr>
          <w:rFonts w:hint="default" w:ascii="Arial" w:hAnsi="Arial" w:cs="Arial"/>
          <w:sz w:val="22"/>
          <w:szCs w:val="22"/>
        </w:rPr>
        <w:t xml:space="preserve"> Data were obtained from the latest round of the Shandong Rural Elderly Health Cohort (SREHC). SREHC is an ongoing population-based longitudinal study in Shandong rural areas </w:t>
      </w:r>
      <w:r>
        <w:rPr>
          <w:rFonts w:hint="default" w:ascii="Arial" w:hAnsi="Arial" w:cs="Arial"/>
          <w:sz w:val="22"/>
          <w:szCs w:val="22"/>
        </w:rPr>
        <w:t>since 2019</w:t>
      </w:r>
      <w:r>
        <w:rPr>
          <w:rFonts w:hint="default" w:ascii="Arial" w:hAnsi="Arial" w:cs="Arial"/>
          <w:sz w:val="22"/>
          <w:szCs w:val="22"/>
        </w:rPr>
        <w:t xml:space="preserve"> (approval number, 20181228). </w:t>
      </w:r>
      <w:r>
        <w:rPr>
          <w:rFonts w:hint="default" w:ascii="Arial" w:hAnsi="Arial" w:cs="Arial"/>
          <w:sz w:val="22"/>
          <w:szCs w:val="22"/>
        </w:rPr>
        <w:t>SREHC aims to collect socio-demographics, lifestyles, physical and psychological health data, and community-level information among rural older adults every one or two years.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>SREHC employed a multistage stratified cluster design for sampling, and more details can be found in our previous publication</w:t>
      </w:r>
      <w:r>
        <w:rPr>
          <w:rFonts w:hint="default" w:ascii="Arial" w:hAnsi="Arial" w:cs="Arial"/>
          <w:sz w:val="22"/>
          <w:szCs w:val="22"/>
        </w:rPr>
        <w:fldChar w:fldCharType="begin"/>
      </w:r>
      <w:r>
        <w:rPr>
          <w:rFonts w:hint="default" w:ascii="Arial" w:hAnsi="Arial" w:cs="Arial"/>
          <w:sz w:val="22"/>
          <w:szCs w:val="22"/>
        </w:rPr>
        <w:instrText xml:space="preserve"> ADDIN EN.CITE &lt;EndNote&gt;&lt;Cite&gt;&lt;Author&gt;Wang&lt;/Author&gt;&lt;Year&gt;2021&lt;/Year&gt;&lt;RecNum&gt;30&lt;/RecNum&gt;&lt;DisplayText&gt;(Wang et al., 2021)&lt;/DisplayText&gt;&lt;record&gt;&lt;rec-number&gt;30&lt;/rec-number&gt;&lt;foreign-keys&gt;&lt;key app="EN" db-id="dravapevcr5w0eea22r55axjtzezezepas52" timestamp="1710396377"&gt;30&lt;/key&gt;&lt;/foreign-keys&gt;&lt;ref-type name="Journal Article"&gt;17&lt;/ref-type&gt;&lt;contributors&gt;&lt;authors&gt;&lt;author&gt;Wang, Y.&lt;/author&gt;&lt;author&gt;Fu, P.&lt;/author&gt;&lt;author&gt;Li, J.&lt;/author&gt;&lt;author&gt;Jing, Z.&lt;/author&gt;&lt;author&gt;Wang, Q.&lt;/author&gt;&lt;author&gt;Zhao, D.&lt;/author&gt;&lt;author&gt;Zhou, C.&lt;/author&gt;&lt;/authors&gt;&lt;/contributors&gt;&lt;auth-address&gt;Shandong Univ, Cheeloo Coll Med, Ctr Hlth Management &amp;amp; Policy, Sch Publ Hlth, 44 Wen Hua Xi Rd, Jinan 250012, Shandong, Peoples R China&amp;#xD;Shandong Univ, NHC Key Lab Hlth Econ &amp;amp; Policy Res, 44 Wen Hua Xi Rd, Jinan 250012, Shandong, Peoples R China&lt;/auth-address&gt;&lt;titles&gt;&lt;title&gt;Changes in psychological distress before and during the COVID-19 pandemic among older adults: the contribution of frailty transitions and multimorbidity&lt;/title&gt;&lt;secondary-title&gt;Age and Ageing&lt;/secondary-title&gt;&lt;alt-title&gt;Age Ageing&lt;/alt-title&gt;&lt;/titles&gt;&lt;periodical&gt;&lt;full-title&gt;Age and Ageing&lt;/full-title&gt;&lt;abbr-1&gt;Age Ageing&lt;/abbr-1&gt;&lt;/periodical&gt;&lt;alt-periodical&gt;&lt;full-title&gt;Age and Ageing&lt;/full-title&gt;&lt;abbr-1&gt;Age Ageing&lt;/abbr-1&gt;&lt;/alt-periodical&gt;&lt;pages&gt;1011-1018&lt;/pages&gt;&lt;volume&gt;50&lt;/volume&gt;&lt;number&gt;4&lt;/number&gt;&lt;keywords&gt;&lt;keyword&gt;covid-19&lt;/keyword&gt;&lt;keyword&gt;older people&lt;/keyword&gt;&lt;keyword&gt;psychological distress&lt;/keyword&gt;&lt;keyword&gt;frailty transition&lt;/keyword&gt;&lt;keyword&gt;multimorbidity&lt;/keyword&gt;&lt;keyword&gt;health&lt;/keyword&gt;&lt;keyword&gt;depression&lt;/keyword&gt;&lt;/keywords&gt;&lt;dates&gt;&lt;year&gt;2021&lt;/year&gt;&lt;pub-dates&gt;&lt;date&gt;Jul&lt;/date&gt;&lt;/pub-dates&gt;&lt;/dates&gt;&lt;isbn&gt;0002-0729&lt;/isbn&gt;&lt;accession-num&gt;WOS:000693167500003&lt;/accession-num&gt;&lt;urls&gt;&lt;related-urls&gt;&lt;url&gt;&amp;lt;Go to ISI&amp;gt;://WOS:000693167500003&lt;/url&gt;&lt;/related-urls&gt;&lt;/urls&gt;&lt;electronic-resource-num&gt;10.1093/ageing/afab061&lt;/electronic-resource-num&gt;&lt;language&gt;English&lt;/language&gt;&lt;/record&gt;&lt;/Cite&gt;&lt;/EndNote&gt;</w:instrText>
      </w:r>
      <w:r>
        <w:rPr>
          <w:rFonts w:hint="default" w:ascii="Arial" w:hAnsi="Arial" w:cs="Arial"/>
          <w:sz w:val="22"/>
          <w:szCs w:val="22"/>
        </w:rPr>
        <w:fldChar w:fldCharType="separate"/>
      </w:r>
      <w:r>
        <w:rPr>
          <w:rFonts w:hint="default" w:ascii="Arial" w:hAnsi="Arial" w:cs="Arial"/>
          <w:sz w:val="22"/>
          <w:szCs w:val="22"/>
        </w:rPr>
        <w:t>(Wang et al., 2021)</w:t>
      </w:r>
      <w:r>
        <w:rPr>
          <w:rFonts w:hint="default" w:ascii="Arial" w:hAnsi="Arial" w:cs="Arial"/>
          <w:sz w:val="22"/>
          <w:szCs w:val="22"/>
        </w:rPr>
        <w:fldChar w:fldCharType="end"/>
      </w:r>
      <w:r>
        <w:rPr>
          <w:rFonts w:hint="default" w:ascii="Arial" w:hAnsi="Arial" w:cs="Arial"/>
          <w:sz w:val="22"/>
          <w:szCs w:val="22"/>
        </w:rPr>
        <w:t xml:space="preserve">. </w:t>
      </w:r>
      <w:r>
        <w:rPr>
          <w:rFonts w:hint="default" w:ascii="Arial" w:hAnsi="Arial" w:cs="Arial"/>
          <w:sz w:val="22"/>
          <w:szCs w:val="22"/>
        </w:rPr>
        <w:t xml:space="preserve">There were 3,243 participants in the baseline survey, with a response rate of 90.05%. </w:t>
      </w:r>
      <w:r>
        <w:rPr>
          <w:rFonts w:hint="default" w:ascii="Arial" w:hAnsi="Arial" w:cs="Arial"/>
          <w:sz w:val="22"/>
          <w:szCs w:val="22"/>
        </w:rPr>
        <w:t>Among them, a total of 2,395 respondents participated in the latest round of survey in 2022.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After excluding </w:t>
      </w:r>
      <w:r>
        <w:rPr>
          <w:rFonts w:hint="default" w:ascii="Arial" w:hAnsi="Arial" w:cs="Arial"/>
          <w:sz w:val="22"/>
          <w:szCs w:val="22"/>
          <w:lang w:val="en-US" w:eastAsia="zh-CN"/>
        </w:rPr>
        <w:t>missing data on the main variables</w:t>
      </w:r>
      <w:r>
        <w:rPr>
          <w:rFonts w:hint="default" w:ascii="Arial" w:hAnsi="Arial" w:cs="Arial"/>
          <w:sz w:val="22"/>
          <w:szCs w:val="22"/>
        </w:rPr>
        <w:t>,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2,204</w:t>
      </w:r>
      <w:r>
        <w:rPr>
          <w:rFonts w:hint="default" w:ascii="Arial" w:hAnsi="Arial" w:cs="Arial"/>
          <w:sz w:val="22"/>
          <w:szCs w:val="22"/>
          <w:highlight w:val="none"/>
        </w:rPr>
        <w:t xml:space="preserve"> Chinese rural older adults aged ≥ 6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0</w:t>
      </w:r>
      <w:r>
        <w:rPr>
          <w:rFonts w:hint="default" w:ascii="Arial" w:hAnsi="Arial" w:cs="Arial"/>
          <w:sz w:val="22"/>
          <w:szCs w:val="22"/>
          <w:highlight w:val="none"/>
        </w:rPr>
        <w:t xml:space="preserve"> years were included in the analysis.</w:t>
      </w:r>
      <w:r>
        <w:rPr>
          <w:rFonts w:hint="default" w:ascii="Arial" w:hAnsi="Arial" w:cs="Arial"/>
          <w:sz w:val="22"/>
          <w:szCs w:val="22"/>
        </w:rPr>
        <w:t xml:space="preserve"> </w:t>
      </w:r>
    </w:p>
    <w:p>
      <w:pPr>
        <w:pStyle w:val="2"/>
        <w:widowControl/>
        <w:spacing w:beforeAutospacing="0" w:afterAutospacing="0" w:line="480" w:lineRule="auto"/>
        <w:rPr>
          <w:rFonts w:hint="default" w:ascii="Arial" w:hAnsi="Arial" w:cs="Arial"/>
          <w:i/>
          <w:iCs/>
          <w:sz w:val="22"/>
          <w:szCs w:val="22"/>
          <w:lang w:val="en-US" w:eastAsia="zh-CN"/>
        </w:rPr>
      </w:pPr>
      <w:r>
        <w:rPr>
          <w:rFonts w:hint="default" w:ascii="Arial" w:hAnsi="Arial" w:cs="Arial"/>
          <w:i/>
          <w:iCs/>
          <w:sz w:val="22"/>
          <w:szCs w:val="22"/>
          <w:lang w:val="en-US" w:eastAsia="zh-CN"/>
        </w:rPr>
        <w:t>Measures</w:t>
      </w:r>
    </w:p>
    <w:p>
      <w:pPr>
        <w:pStyle w:val="2"/>
        <w:widowControl/>
        <w:spacing w:beforeAutospacing="0" w:afterAutospacing="0" w:line="480" w:lineRule="auto"/>
        <w:rPr>
          <w:rFonts w:hint="default" w:ascii="Arial" w:hAnsi="Arial" w:cs="Arial"/>
          <w:i/>
          <w:iCs/>
          <w:sz w:val="22"/>
          <w:szCs w:val="22"/>
          <w:lang w:val="en-US" w:eastAsia="zh-CN"/>
        </w:rPr>
      </w:pPr>
      <w:r>
        <w:rPr>
          <w:rFonts w:hint="default" w:ascii="Arial" w:hAnsi="Arial" w:cs="Arial"/>
          <w:i/>
          <w:iCs/>
          <w:sz w:val="22"/>
          <w:szCs w:val="22"/>
        </w:rPr>
        <w:t>Suicidal ideation</w:t>
      </w:r>
    </w:p>
    <w:p>
      <w:pPr>
        <w:spacing w:line="480" w:lineRule="auto"/>
        <w:ind w:firstLine="440" w:firstLineChars="200"/>
        <w:jc w:val="left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default" w:ascii="Arial" w:hAnsi="Arial" w:cs="Arial"/>
          <w:sz w:val="22"/>
          <w:szCs w:val="22"/>
        </w:rPr>
        <w:t>Suicidal ideation was evaluated by a single item: “Have you ever seriously considered committing suicide?”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>This single-item question has been shown to be valid and feasible in large-scale surveys due to its simplicity and efficiency</w:t>
      </w:r>
      <w:r>
        <w:rPr>
          <w:rFonts w:hint="default" w:ascii="Arial" w:hAnsi="Arial" w:cs="Arial"/>
          <w:sz w:val="22"/>
          <w:szCs w:val="22"/>
          <w:lang w:val="en-US" w:eastAsia="zh-CN"/>
        </w:rPr>
        <w:t>.</w:t>
      </w:r>
    </w:p>
    <w:p>
      <w:pPr>
        <w:spacing w:line="480" w:lineRule="auto"/>
        <w:jc w:val="left"/>
        <w:rPr>
          <w:rFonts w:hint="default" w:ascii="Arial" w:hAnsi="Arial" w:cs="Arial"/>
          <w:b w:val="0"/>
          <w:bCs w:val="0"/>
          <w:i/>
          <w:iCs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lang w:val="en-US" w:eastAsia="zh-CN"/>
        </w:rPr>
        <w:t>I</w:t>
      </w:r>
      <w:r>
        <w:rPr>
          <w:rFonts w:hint="default" w:ascii="Arial" w:hAnsi="Arial" w:cs="Arial"/>
          <w:b w:val="0"/>
          <w:bCs w:val="0"/>
          <w:i/>
          <w:iCs/>
          <w:sz w:val="22"/>
          <w:szCs w:val="22"/>
        </w:rPr>
        <w:t>ntimate partner violence</w:t>
      </w:r>
    </w:p>
    <w:p>
      <w:pPr>
        <w:spacing w:line="480" w:lineRule="auto"/>
        <w:ind w:firstLine="440" w:firstLineChars="200"/>
        <w:jc w:val="left"/>
        <w:rPr>
          <w:rFonts w:hint="default" w:ascii="Arial" w:hAnsi="Arial" w:cs="Arial"/>
          <w:sz w:val="22"/>
          <w:szCs w:val="22"/>
          <w:highlight w:val="none"/>
          <w:lang w:val="en-US" w:eastAsia="zh-CN"/>
        </w:rPr>
      </w:pP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IPV is categorized into</w:t>
      </w:r>
      <w:r>
        <w:rPr>
          <w:rFonts w:hint="default" w:ascii="Arial" w:hAnsi="Arial" w:cs="Arial"/>
          <w:sz w:val="22"/>
          <w:szCs w:val="22"/>
          <w:highlight w:val="none"/>
        </w:rPr>
        <w:t xml:space="preserve"> </w:t>
      </w:r>
      <w:bookmarkStart w:id="0" w:name="OLE_LINK8"/>
      <w:r>
        <w:rPr>
          <w:rFonts w:hint="default" w:ascii="Arial" w:hAnsi="Arial" w:cs="Arial"/>
          <w:sz w:val="22"/>
          <w:szCs w:val="22"/>
          <w:highlight w:val="none"/>
        </w:rPr>
        <w:t>physical IPV</w:t>
      </w:r>
      <w:bookmarkEnd w:id="0"/>
      <w:r>
        <w:rPr>
          <w:rFonts w:hint="default" w:ascii="Arial" w:hAnsi="Arial" w:cs="Arial"/>
          <w:sz w:val="22"/>
          <w:szCs w:val="22"/>
          <w:highlight w:val="none"/>
        </w:rPr>
        <w:t xml:space="preserve"> 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and</w:t>
      </w:r>
      <w:r>
        <w:rPr>
          <w:rFonts w:hint="default" w:ascii="Arial" w:hAnsi="Arial" w:cs="Arial"/>
          <w:sz w:val="22"/>
          <w:szCs w:val="22"/>
          <w:highlight w:val="none"/>
        </w:rPr>
        <w:t xml:space="preserve"> </w:t>
      </w:r>
      <w:bookmarkStart w:id="1" w:name="OLE_LINK9"/>
      <w:r>
        <w:rPr>
          <w:rFonts w:hint="default" w:ascii="Arial" w:hAnsi="Arial" w:cs="Arial"/>
          <w:sz w:val="22"/>
          <w:szCs w:val="22"/>
          <w:highlight w:val="none"/>
        </w:rPr>
        <w:t>emotional IPV</w:t>
      </w:r>
      <w:bookmarkEnd w:id="1"/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 xml:space="preserve">. </w:t>
      </w:r>
      <w:bookmarkStart w:id="2" w:name="OLE_LINK15"/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Physical IPV was assessed with a questio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n: “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Has your partner ever intentionally hit, shoved, held down or used some other physical force against you?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 xml:space="preserve">” 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E</w:t>
      </w:r>
      <w:r>
        <w:rPr>
          <w:rFonts w:hint="default" w:ascii="Arial" w:hAnsi="Arial" w:cs="Arial"/>
          <w:sz w:val="22"/>
          <w:szCs w:val="22"/>
          <w:highlight w:val="none"/>
        </w:rPr>
        <w:t>motional IPV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 xml:space="preserve"> refers to participants being asked: 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“Has your partner ever humiliated, threatened or insulted you, making you feel worthless?”</w:t>
      </w:r>
    </w:p>
    <w:p>
      <w:pPr>
        <w:spacing w:line="480" w:lineRule="auto"/>
        <w:jc w:val="left"/>
        <w:rPr>
          <w:rFonts w:hint="default" w:ascii="Arial" w:hAnsi="Arial" w:cs="Arial"/>
          <w:i/>
          <w:iCs/>
          <w:sz w:val="22"/>
          <w:szCs w:val="22"/>
          <w:highlight w:val="none"/>
          <w:lang w:val="en-US" w:eastAsia="zh-CN"/>
        </w:rPr>
      </w:pPr>
      <w:r>
        <w:rPr>
          <w:rFonts w:hint="default" w:ascii="Arial" w:hAnsi="Arial" w:cs="Arial"/>
          <w:i/>
          <w:iCs/>
          <w:sz w:val="22"/>
          <w:szCs w:val="22"/>
          <w:highlight w:val="none"/>
          <w:lang w:val="en-US" w:eastAsia="zh-CN"/>
        </w:rPr>
        <w:t xml:space="preserve">Social support reciprocity </w:t>
      </w:r>
    </w:p>
    <w:p>
      <w:pPr>
        <w:spacing w:line="480" w:lineRule="auto"/>
        <w:ind w:firstLine="440" w:firstLineChars="200"/>
        <w:jc w:val="left"/>
        <w:rPr>
          <w:rFonts w:hint="default" w:ascii="Arial" w:hAnsi="Arial" w:cs="Arial"/>
          <w:sz w:val="22"/>
          <w:szCs w:val="22"/>
          <w:highlight w:val="none"/>
          <w:lang w:val="en-US" w:eastAsia="zh-CN"/>
        </w:rPr>
      </w:pP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Social support reciprocity is a combination of participants receiving and providing different levels of social support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 xml:space="preserve">: 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“high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receipt/high provision,” “high receipt/low provision,” “low receipt/high provision,” and “low receipt/low provision.”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 xml:space="preserve"> Receiving social support includes 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instrumental support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(support with shopping, cleaning and cooking, and running errands)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 xml:space="preserve"> and 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receipt of emotional support (reassurance and being taken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care of)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. P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rovision of support to others (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volunteering or charity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, housework, unpaid help, taking care of grandchildren). We divided the categories of high and low levels based on the median score for each type of social support received or provided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fldChar w:fldCharType="begin"/>
      </w:r>
      <w:r>
        <w:rPr>
          <w:rFonts w:hint="default" w:ascii="Arial" w:hAnsi="Arial" w:cs="Arial"/>
          <w:sz w:val="22"/>
          <w:szCs w:val="22"/>
        </w:rPr>
        <w:instrText xml:space="preserve"> ADDIN EN.CITE &lt;EndNote&gt;&lt;Cite&gt;&lt;Author&gt;Mizuno&lt;/Author&gt;&lt;Year&gt;2019&lt;/Year&gt;&lt;RecNum&gt;55&lt;/RecNum&gt;&lt;DisplayText&gt;(Mizuno et al., 2019)&lt;/DisplayText&gt;&lt;record&gt;&lt;rec-number&gt;55&lt;/rec-number&gt;&lt;foreign-keys&gt;&lt;key app="EN" db-id="dravapevcr5w0eea22r55axjtzezezepas52" timestamp="1711688017"&gt;55&lt;/key&gt;&lt;/foreign-keys&gt;&lt;ref-type name="Journal Article"&gt;17&lt;/ref-type&gt;&lt;contributors&gt;&lt;authors&gt;&lt;author&gt;Mizuno, Y.&lt;/author&gt;&lt;author&gt;Hikichi, H.&lt;/author&gt;&lt;author&gt;Noguchi, M.&lt;/author&gt;&lt;author&gt;Kawachi, I.&lt;/author&gt;&lt;author&gt;Takao, S.&lt;/author&gt;&lt;/authors&gt;&lt;/contributors&gt;&lt;titles&gt;&lt;title&gt;Reciprocity of social support is associated with psychological distress and suicidal ideation in older Japanese people: A population-based study&lt;/title&gt;&lt;secondary-title&gt;Social Science &amp;amp; Medicine&lt;/secondary-title&gt;&lt;/titles&gt;&lt;periodical&gt;&lt;full-title&gt;Social Science &amp;amp; Medicine&lt;/full-title&gt;&lt;abbr-1&gt;Soc Sci Med&lt;/abbr-1&gt;&lt;/periodical&gt;&lt;pages&gt;131-137&lt;/pages&gt;&lt;volume&gt;230&lt;/volume&gt;&lt;dates&gt;&lt;year&gt;2019&lt;/year&gt;&lt;/dates&gt;&lt;urls&gt;&lt;/urls&gt;&lt;/record&gt;&lt;/Cite&gt;&lt;/EndNote&gt;</w:instrText>
      </w:r>
      <w:r>
        <w:rPr>
          <w:rFonts w:hint="default" w:ascii="Arial" w:hAnsi="Arial" w:cs="Arial"/>
          <w:sz w:val="22"/>
          <w:szCs w:val="22"/>
        </w:rPr>
        <w:fldChar w:fldCharType="separate"/>
      </w:r>
      <w:r>
        <w:rPr>
          <w:rFonts w:hint="default" w:ascii="Arial" w:hAnsi="Arial" w:cs="Arial"/>
          <w:sz w:val="22"/>
          <w:szCs w:val="22"/>
        </w:rPr>
        <w:t>(Mizuno et al., 2019)</w:t>
      </w:r>
      <w:r>
        <w:rPr>
          <w:rFonts w:hint="default" w:ascii="Arial" w:hAnsi="Arial" w:cs="Arial"/>
          <w:sz w:val="22"/>
          <w:szCs w:val="22"/>
        </w:rPr>
        <w:fldChar w:fldCharType="end"/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.</w:t>
      </w:r>
    </w:p>
    <w:p>
      <w:pPr>
        <w:spacing w:line="480" w:lineRule="auto"/>
        <w:jc w:val="left"/>
        <w:rPr>
          <w:rFonts w:hint="default" w:ascii="Arial" w:hAnsi="Arial" w:cs="Arial"/>
          <w:i/>
          <w:iCs/>
          <w:sz w:val="22"/>
          <w:szCs w:val="22"/>
          <w:highlight w:val="none"/>
          <w:lang w:val="en-US" w:eastAsia="zh-CN"/>
        </w:rPr>
      </w:pPr>
      <w:r>
        <w:rPr>
          <w:rFonts w:hint="default" w:ascii="Arial" w:hAnsi="Arial" w:cs="Arial"/>
          <w:i/>
          <w:iCs/>
          <w:sz w:val="22"/>
          <w:szCs w:val="22"/>
        </w:rPr>
        <w:t>Covariates</w:t>
      </w:r>
    </w:p>
    <w:p>
      <w:pPr>
        <w:spacing w:line="480" w:lineRule="auto"/>
        <w:ind w:firstLine="440" w:firstLineChars="200"/>
        <w:jc w:val="left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default" w:ascii="Arial" w:hAnsi="Arial" w:cs="Arial"/>
          <w:sz w:val="22"/>
          <w:szCs w:val="22"/>
        </w:rPr>
        <w:t xml:space="preserve">Covariates were selected based on previous literature on </w:t>
      </w:r>
      <w:r>
        <w:rPr>
          <w:rFonts w:hint="default" w:ascii="Arial" w:hAnsi="Arial" w:cs="Arial"/>
          <w:sz w:val="22"/>
          <w:szCs w:val="22"/>
          <w:lang w:val="en-US" w:eastAsia="zh-CN"/>
        </w:rPr>
        <w:t>IPV</w:t>
      </w:r>
      <w:r>
        <w:rPr>
          <w:rFonts w:hint="default" w:ascii="Arial" w:hAnsi="Arial" w:cs="Arial"/>
          <w:sz w:val="22"/>
          <w:szCs w:val="22"/>
        </w:rPr>
        <w:t xml:space="preserve"> and suicidal ideation:</w:t>
      </w:r>
      <w:bookmarkEnd w:id="2"/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>age (years),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sex (1= male, 2= female), m</w:t>
      </w:r>
      <w:r>
        <w:rPr>
          <w:rFonts w:hint="default" w:ascii="Arial" w:hAnsi="Arial" w:cs="Arial"/>
          <w:sz w:val="22"/>
          <w:szCs w:val="22"/>
        </w:rPr>
        <w:t>arital status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(0= unmarried/ divorced/ widowed , 1= m</w:t>
      </w:r>
      <w:r>
        <w:rPr>
          <w:rFonts w:hint="default" w:ascii="Arial" w:hAnsi="Arial" w:cs="Arial"/>
          <w:sz w:val="22"/>
          <w:szCs w:val="22"/>
          <w:lang w:val="en-US" w:eastAsia="zh-CN"/>
        </w:rPr>
        <w:t>arried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), education (0= illiteracy, 1= primary school, 2= middle school or higher), household income per capita (RMB), </w:t>
      </w:r>
      <w:r>
        <w:rPr>
          <w:rFonts w:hint="default" w:ascii="Arial" w:hAnsi="Arial" w:cs="Arial"/>
          <w:sz w:val="22"/>
          <w:szCs w:val="22"/>
        </w:rPr>
        <w:t>smoking status (0= never/past, 1= current)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, </w:t>
      </w:r>
      <w:r>
        <w:rPr>
          <w:rFonts w:hint="default" w:ascii="Arial" w:hAnsi="Arial" w:cs="Arial"/>
          <w:sz w:val="22"/>
          <w:szCs w:val="22"/>
        </w:rPr>
        <w:t>alcohol consumption (0= never/past, 1= current)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, </w:t>
      </w:r>
      <w:r>
        <w:rPr>
          <w:rFonts w:hint="default" w:ascii="Arial" w:hAnsi="Arial" w:cs="Arial"/>
          <w:sz w:val="22"/>
          <w:szCs w:val="22"/>
        </w:rPr>
        <w:t>chronic disease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(0= </w:t>
      </w:r>
      <w:r>
        <w:rPr>
          <w:rFonts w:hint="default" w:ascii="Arial" w:hAnsi="Arial" w:cs="Arial"/>
          <w:sz w:val="22"/>
          <w:szCs w:val="22"/>
        </w:rPr>
        <w:t>no chronic condition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, 1= </w:t>
      </w:r>
      <w:r>
        <w:rPr>
          <w:rFonts w:hint="default" w:ascii="Arial" w:hAnsi="Arial" w:cs="Arial"/>
          <w:sz w:val="22"/>
          <w:szCs w:val="22"/>
        </w:rPr>
        <w:t>one chronic condition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, 2= </w:t>
      </w:r>
      <w:r>
        <w:rPr>
          <w:rFonts w:hint="default" w:ascii="Arial" w:hAnsi="Arial" w:cs="Arial"/>
          <w:sz w:val="22"/>
          <w:szCs w:val="22"/>
        </w:rPr>
        <w:t>multimorbidity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), </w:t>
      </w:r>
      <w:bookmarkStart w:id="3" w:name="OLE_LINK29"/>
      <w:r>
        <w:rPr>
          <w:rFonts w:hint="default" w:ascii="Arial" w:hAnsi="Arial" w:cs="Arial"/>
          <w:sz w:val="22"/>
          <w:szCs w:val="22"/>
          <w:lang w:val="en-US" w:eastAsia="zh-CN"/>
        </w:rPr>
        <w:t>activity engagement</w:t>
      </w:r>
      <w:bookmarkEnd w:id="3"/>
      <w:r>
        <w:rPr>
          <w:rFonts w:hint="default" w:ascii="Arial" w:hAnsi="Arial" w:cs="Arial"/>
          <w:sz w:val="22"/>
          <w:szCs w:val="22"/>
          <w:lang w:val="en-US" w:eastAsia="zh-CN"/>
        </w:rPr>
        <w:t xml:space="preserve">, </w:t>
      </w:r>
      <w:r>
        <w:rPr>
          <w:rFonts w:hint="default" w:ascii="Arial" w:hAnsi="Arial" w:cs="Arial"/>
          <w:sz w:val="22"/>
          <w:szCs w:val="22"/>
        </w:rPr>
        <w:t>physical disability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(</w:t>
      </w:r>
      <w:r>
        <w:rPr>
          <w:rFonts w:hint="default" w:ascii="Arial" w:hAnsi="Arial" w:cs="Arial"/>
          <w:sz w:val="22"/>
          <w:szCs w:val="22"/>
        </w:rPr>
        <w:t>Activity of Daily Living Scale</w:t>
      </w:r>
      <w:r>
        <w:rPr>
          <w:rFonts w:hint="default" w:ascii="Arial" w:hAnsi="Arial" w:cs="Arial"/>
          <w:sz w:val="22"/>
          <w:szCs w:val="22"/>
          <w:lang w:val="en-US" w:eastAsia="zh-CN"/>
        </w:rPr>
        <w:t>) and p</w:t>
      </w:r>
      <w:r>
        <w:rPr>
          <w:rFonts w:hint="default" w:ascii="Arial" w:hAnsi="Arial" w:cs="Arial"/>
          <w:sz w:val="22"/>
          <w:szCs w:val="22"/>
          <w:lang w:val="en-US" w:eastAsia="zh-CN"/>
        </w:rPr>
        <w:t>sychological distress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(</w:t>
      </w:r>
      <w:r>
        <w:rPr>
          <w:rFonts w:hint="default" w:ascii="Arial" w:hAnsi="Arial" w:cs="Arial"/>
          <w:sz w:val="22"/>
          <w:szCs w:val="22"/>
        </w:rPr>
        <w:t>Kessler Psychological Distress Scale</w:t>
      </w:r>
      <w:r>
        <w:rPr>
          <w:rFonts w:hint="default" w:ascii="Arial" w:hAnsi="Arial" w:cs="Arial"/>
          <w:sz w:val="22"/>
          <w:szCs w:val="22"/>
          <w:lang w:val="en-US" w:eastAsia="zh-CN"/>
        </w:rPr>
        <w:t>)</w:t>
      </w:r>
      <w:r>
        <w:rPr>
          <w:rFonts w:hint="default" w:ascii="Arial" w:hAnsi="Arial" w:cs="Arial"/>
          <w:sz w:val="22"/>
          <w:szCs w:val="22"/>
          <w:lang w:val="en-US" w:eastAsia="zh-CN"/>
        </w:rPr>
        <w:t>.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</w:p>
    <w:p>
      <w:pPr>
        <w:pStyle w:val="2"/>
        <w:widowControl/>
        <w:spacing w:beforeAutospacing="0" w:afterAutospacing="0" w:line="480" w:lineRule="auto"/>
        <w:rPr>
          <w:rFonts w:hint="default" w:ascii="Arial" w:hAnsi="Arial" w:cs="Arial"/>
          <w:i/>
          <w:iCs/>
          <w:sz w:val="22"/>
          <w:szCs w:val="22"/>
          <w:lang w:val="en-US" w:eastAsia="zh-CN"/>
        </w:rPr>
      </w:pPr>
      <w:r>
        <w:rPr>
          <w:rFonts w:hint="default" w:ascii="Arial" w:hAnsi="Arial" w:cs="Arial"/>
          <w:i/>
          <w:iCs/>
          <w:sz w:val="22"/>
          <w:szCs w:val="22"/>
          <w:lang w:val="en-US" w:eastAsia="zh-CN"/>
        </w:rPr>
        <w:t>Statistical analyses</w:t>
      </w:r>
    </w:p>
    <w:p>
      <w:pPr>
        <w:pStyle w:val="2"/>
        <w:widowControl/>
        <w:spacing w:beforeAutospacing="0" w:afterAutospacing="0" w:line="480" w:lineRule="auto"/>
        <w:ind w:firstLine="440" w:firstLineChars="200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default" w:ascii="Arial" w:hAnsi="Arial" w:cs="Arial"/>
          <w:sz w:val="22"/>
          <w:szCs w:val="22"/>
        </w:rPr>
        <w:t>All statistical analyses were performed using Stata MP version 17.0 (Stata Corp LLC, College Station, TX, USA).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  <w:lang w:val="en-US" w:eastAsia="zh-CN"/>
        </w:rPr>
        <w:t>We used descriptive analyses to describe the sociodemographics. Student’s t test and the χ</w:t>
      </w:r>
      <w:r>
        <w:rPr>
          <w:rFonts w:hint="default" w:ascii="Arial" w:hAnsi="Arial" w:cs="Arial"/>
          <w:sz w:val="22"/>
          <w:szCs w:val="22"/>
          <w:vertAlign w:val="superscript"/>
          <w:lang w:val="en-US" w:eastAsia="zh-CN"/>
        </w:rPr>
        <w:t>2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test were used to compare </w:t>
      </w:r>
      <w:r>
        <w:rPr>
          <w:rFonts w:hint="default" w:ascii="Arial" w:hAnsi="Arial" w:cs="Arial"/>
          <w:sz w:val="22"/>
          <w:szCs w:val="22"/>
          <w:highlight w:val="none"/>
        </w:rPr>
        <w:t>suicidal ideation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between different subgroups among older males and females. </w:t>
      </w:r>
      <w:r>
        <w:rPr>
          <w:rFonts w:hint="default" w:ascii="Arial" w:hAnsi="Arial" w:cs="Arial"/>
          <w:sz w:val="22"/>
          <w:szCs w:val="22"/>
        </w:rPr>
        <w:t xml:space="preserve">Logistic regression models were used to examine associations between </w:t>
      </w:r>
      <w:r>
        <w:rPr>
          <w:rFonts w:hint="default" w:ascii="Arial" w:hAnsi="Arial" w:cs="Arial"/>
          <w:sz w:val="22"/>
          <w:szCs w:val="22"/>
          <w:lang w:val="en-US" w:eastAsia="zh-CN"/>
        </w:rPr>
        <w:t>IPV</w:t>
      </w:r>
      <w:r>
        <w:rPr>
          <w:rFonts w:hint="default" w:ascii="Arial" w:hAnsi="Arial" w:cs="Arial"/>
          <w:sz w:val="22"/>
          <w:szCs w:val="22"/>
        </w:rPr>
        <w:t xml:space="preserve"> and suicidal ideation, as well as the moderating role of </w:t>
      </w:r>
      <w:r>
        <w:rPr>
          <w:rFonts w:hint="default" w:ascii="Arial" w:hAnsi="Arial" w:cs="Arial"/>
          <w:sz w:val="22"/>
          <w:szCs w:val="22"/>
        </w:rPr>
        <w:t>social support reciprocity</w:t>
      </w:r>
      <w:r>
        <w:rPr>
          <w:rFonts w:hint="default" w:ascii="Arial" w:hAnsi="Arial" w:cs="Arial"/>
          <w:sz w:val="22"/>
          <w:szCs w:val="22"/>
        </w:rPr>
        <w:t>.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>The reported confidence intervals were calculated at the 95% level, and</w:t>
      </w:r>
      <w:r>
        <w:rPr>
          <w:rFonts w:hint="default" w:ascii="Arial" w:hAnsi="Arial" w:cs="Arial"/>
          <w:i/>
          <w:iCs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2-sided</w:t>
      </w:r>
      <w:r>
        <w:rPr>
          <w:rFonts w:hint="default" w:ascii="Arial" w:hAnsi="Arial" w:cs="Arial"/>
          <w:i/>
          <w:iCs/>
          <w:sz w:val="22"/>
          <w:szCs w:val="22"/>
        </w:rPr>
        <w:t xml:space="preserve"> </w:t>
      </w:r>
      <w:bookmarkStart w:id="4" w:name="OLE_LINK68"/>
      <w:r>
        <w:rPr>
          <w:rFonts w:hint="default" w:ascii="Arial" w:hAnsi="Arial" w:cs="Arial"/>
          <w:i/>
          <w:iCs/>
          <w:sz w:val="22"/>
          <w:szCs w:val="22"/>
        </w:rPr>
        <w:t>P-</w:t>
      </w:r>
      <w:r>
        <w:rPr>
          <w:rFonts w:hint="default" w:ascii="Arial" w:hAnsi="Arial" w:cs="Arial"/>
          <w:sz w:val="22"/>
          <w:szCs w:val="22"/>
        </w:rPr>
        <w:t>values &lt; 0.05</w:t>
      </w:r>
      <w:bookmarkEnd w:id="4"/>
      <w:r>
        <w:rPr>
          <w:rFonts w:hint="default" w:ascii="Arial" w:hAnsi="Arial" w:cs="Arial"/>
          <w:sz w:val="22"/>
          <w:szCs w:val="22"/>
        </w:rPr>
        <w:t xml:space="preserve"> were considered statistically significant.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</w:p>
    <w:p>
      <w:pPr>
        <w:pStyle w:val="2"/>
        <w:widowControl/>
        <w:spacing w:beforeAutospacing="0" w:afterAutospacing="0" w:line="480" w:lineRule="auto"/>
        <w:ind w:firstLine="440" w:firstLineChars="200"/>
        <w:rPr>
          <w:rFonts w:hint="default" w:ascii="Arial" w:hAnsi="Arial" w:cs="Arial"/>
          <w:sz w:val="22"/>
          <w:szCs w:val="22"/>
          <w:lang w:val="en-US" w:eastAsia="zh-CN"/>
        </w:rPr>
      </w:pPr>
    </w:p>
    <w:p>
      <w:pPr>
        <w:autoSpaceDE w:val="0"/>
        <w:spacing w:line="480" w:lineRule="auto"/>
        <w:jc w:val="left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default" w:ascii="Arial" w:hAnsi="Arial" w:cs="Arial"/>
          <w:b/>
          <w:bCs/>
          <w:sz w:val="22"/>
          <w:szCs w:val="22"/>
        </w:rPr>
        <w:t>References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Wang, Y., Fu, P., Li, J., Jing, Z., Wang, Q., Zhao, D., Zhou, C., 2021. Changes in psychological distress before and during the COVID-19 pandemic among older adults: the contribution of frailty transitions and multimorbidity. Age and Ageing. 50 (4), 1011-1018.</w:t>
      </w:r>
    </w:p>
    <w:p>
      <w:pPr>
        <w:rPr>
          <w:rFonts w:hint="default" w:ascii="Arial" w:hAnsi="Arial" w:cs="Arial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MjgxNTdhM2Q5YjdjZjE2MmE3YmFhNDA5YzdmMDkifQ=="/>
  </w:docVars>
  <w:rsids>
    <w:rsidRoot w:val="68351DDD"/>
    <w:rsid w:val="2BEF2623"/>
    <w:rsid w:val="46E12E64"/>
    <w:rsid w:val="68351DDD"/>
    <w:rsid w:val="7615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EndNote Bibliography"/>
    <w:basedOn w:val="1"/>
    <w:autoRedefine/>
    <w:qFormat/>
    <w:uiPriority w:val="0"/>
    <w:rPr>
      <w:rFonts w:ascii="Calibri" w:hAnsi="Calibri" w:cs="Calibri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2024-05-08T23:19:00Z</dcterms:created>
  <dc:creator>Dan Zhao</dc:creator>
  <cp:lastModifiedBy>Dan Zhao</cp:lastModifiedBy>
  <dcterms:modified xsi:type="dcterms:W3CDTF">2024-05-08T23:53:35Z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03B564FFEE214D4AA59E9B3F51FB1ED9_11</vt:lpwstr>
  </property>
</Properties>
</file>