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F5D" w:rsidRDefault="000056B3">
      <w:pPr>
        <w:pStyle w:val="LO-normal3"/>
        <w:widowControl/>
        <w:spacing w:after="120" w:line="480" w:lineRule="auto"/>
        <w:jc w:val="center"/>
        <w:rPr>
          <w:rFonts w:ascii="Times New Roman" w:eastAsia="Times New Roman" w:hAnsi="Times New Roman" w:cs="Times New Roman"/>
        </w:rPr>
      </w:pPr>
      <w:r>
        <w:rPr>
          <w:rFonts w:ascii="Times New Roman" w:eastAsia="Times New Roman" w:hAnsi="Times New Roman" w:cs="Times New Roman"/>
          <w:b/>
        </w:rPr>
        <w:t>Supplementa</w:t>
      </w:r>
      <w:r w:rsidR="00EE58A0">
        <w:rPr>
          <w:rFonts w:ascii="Times New Roman" w:eastAsia="Times New Roman" w:hAnsi="Times New Roman" w:cs="Times New Roman"/>
          <w:b/>
        </w:rPr>
        <w:t>l</w:t>
      </w:r>
      <w:bookmarkStart w:id="0" w:name="_GoBack"/>
      <w:bookmarkEnd w:id="0"/>
      <w:r>
        <w:rPr>
          <w:rFonts w:ascii="Times New Roman" w:eastAsia="Times New Roman" w:hAnsi="Times New Roman" w:cs="Times New Roman"/>
          <w:b/>
        </w:rPr>
        <w:t xml:space="preserve"> Material</w:t>
      </w:r>
      <w:r w:rsidR="004B78E6">
        <w:rPr>
          <w:rFonts w:ascii="Times New Roman" w:eastAsia="Times New Roman" w:hAnsi="Times New Roman" w:cs="Times New Roman"/>
          <w:b/>
        </w:rPr>
        <w:t xml:space="preserve"> 1</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b/>
        </w:rPr>
        <w:t xml:space="preserve">Materials and methods: Analyzed individual </w:t>
      </w:r>
    </w:p>
    <w:p w:rsidR="00AD6F5D" w:rsidRDefault="000056B3">
      <w:pPr>
        <w:pStyle w:val="LO-normal3"/>
        <w:widowControl/>
        <w:spacing w:after="120" w:line="480" w:lineRule="auto"/>
        <w:jc w:val="both"/>
        <w:rPr>
          <w:rFonts w:ascii="Times New Roman" w:eastAsia="Times New Roman" w:hAnsi="Times New Roman" w:cs="Times New Roman"/>
        </w:rPr>
      </w:pPr>
      <w:proofErr w:type="spellStart"/>
      <w:r>
        <w:rPr>
          <w:rFonts w:ascii="Times New Roman" w:eastAsia="Times New Roman" w:hAnsi="Times New Roman" w:cs="Times New Roman"/>
        </w:rPr>
        <w:t>Paiashauaia</w:t>
      </w:r>
      <w:proofErr w:type="spellEnd"/>
      <w:r>
        <w:rPr>
          <w:rFonts w:ascii="Times New Roman" w:eastAsia="Times New Roman" w:hAnsi="Times New Roman" w:cs="Times New Roman"/>
        </w:rPr>
        <w:t xml:space="preserve"> I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a primary mortuary context located in a rocky outcrop next to the mouth of the Paraná River, a few meters away from the Beagle Channel coast (</w:t>
      </w:r>
      <w:r>
        <w:rPr>
          <w:rFonts w:ascii="Times New Roman" w:eastAsia="Times New Roman" w:hAnsi="Times New Roman" w:cs="Times New Roman"/>
          <w:b/>
        </w:rPr>
        <w:t>Figure 1</w:t>
      </w:r>
      <w:r>
        <w:rPr>
          <w:rFonts w:ascii="Times New Roman" w:eastAsia="Times New Roman" w:hAnsi="Times New Roman" w:cs="Times New Roman"/>
        </w:rPr>
        <w:t xml:space="preserve">). The finding was </w:t>
      </w:r>
      <w:r>
        <w:rPr>
          <w:rFonts w:ascii="Times New Roman" w:eastAsia="Times New Roman" w:hAnsi="Times New Roman" w:cs="Times New Roman"/>
        </w:rPr>
        <w:t>the result of a prospect of human remains with a search directed at rock cracks and cavities (</w:t>
      </w:r>
      <w:proofErr w:type="spellStart"/>
      <w:r>
        <w:rPr>
          <w:rFonts w:ascii="Times New Roman" w:eastAsia="Times New Roman" w:hAnsi="Times New Roman" w:cs="Times New Roman"/>
        </w:rPr>
        <w:t>Piana</w:t>
      </w:r>
      <w:proofErr w:type="spellEnd"/>
      <w:r>
        <w:rPr>
          <w:rFonts w:ascii="Times New Roman" w:eastAsia="Times New Roman" w:hAnsi="Times New Roman" w:cs="Times New Roman"/>
        </w:rPr>
        <w:t xml:space="preserve"> et al., 2006). The excavation took place in January 2003 as part of the Beagle Channel Archaeological Project. The human bone remains were recovered below a</w:t>
      </w:r>
      <w:r>
        <w:rPr>
          <w:rFonts w:ascii="Times New Roman" w:eastAsia="Times New Roman" w:hAnsi="Times New Roman" w:cs="Times New Roman"/>
        </w:rPr>
        <w:t xml:space="preserve"> layer of rocks and fine sediment, which in turn was covered by a thin shell matrix level with </w:t>
      </w:r>
      <w:proofErr w:type="spellStart"/>
      <w:r>
        <w:rPr>
          <w:rFonts w:ascii="Times New Roman" w:eastAsia="Times New Roman" w:hAnsi="Times New Roman" w:cs="Times New Roman"/>
        </w:rPr>
        <w:t>archaeofauna</w:t>
      </w:r>
      <w:proofErr w:type="spellEnd"/>
      <w:r>
        <w:rPr>
          <w:rFonts w:ascii="Times New Roman" w:eastAsia="Times New Roman" w:hAnsi="Times New Roman" w:cs="Times New Roman"/>
        </w:rPr>
        <w:t xml:space="preserve"> and lithic remains (</w:t>
      </w:r>
      <w:proofErr w:type="spellStart"/>
      <w:r>
        <w:rPr>
          <w:rFonts w:ascii="Times New Roman" w:eastAsia="Times New Roman" w:hAnsi="Times New Roman" w:cs="Times New Roman"/>
        </w:rPr>
        <w:t>Piana</w:t>
      </w:r>
      <w:proofErr w:type="spellEnd"/>
      <w:r>
        <w:rPr>
          <w:rFonts w:ascii="Times New Roman" w:eastAsia="Times New Roman" w:hAnsi="Times New Roman" w:cs="Times New Roman"/>
        </w:rPr>
        <w:t xml:space="preserve"> et al., 2006). Currently the remains of this individual are being preserved in the repository of the Museo del Fin del Mun</w:t>
      </w:r>
      <w:r>
        <w:rPr>
          <w:rFonts w:ascii="Times New Roman" w:eastAsia="Times New Roman" w:hAnsi="Times New Roman" w:cs="Times New Roman"/>
        </w:rPr>
        <w:t xml:space="preserve">do, Tierra del Fuego, Argentina. </w:t>
      </w:r>
      <w:r w:rsidRPr="004B78E6">
        <w:rPr>
          <w:rFonts w:ascii="Times New Roman" w:eastAsia="Times New Roman" w:hAnsi="Times New Roman" w:cs="Times New Roman"/>
          <w:lang w:val="es-CL"/>
        </w:rPr>
        <w:t>Permits for sample transportation and analysis were obtained from Secretaría de Cultura in 2016 (Dirección Provincial de Museos y Patrimonio Cultural de la Provincia de Tierra del Fuego, Antártida e Islas del Atlántico Sur)</w:t>
      </w:r>
      <w:r w:rsidRPr="004B78E6">
        <w:rPr>
          <w:rFonts w:ascii="Times New Roman" w:eastAsia="Times New Roman" w:hAnsi="Times New Roman" w:cs="Times New Roman"/>
          <w:lang w:val="es-CL"/>
        </w:rPr>
        <w:t xml:space="preserve">. </w:t>
      </w:r>
      <w:r>
        <w:rPr>
          <w:rFonts w:ascii="Times New Roman" w:eastAsia="Times New Roman" w:hAnsi="Times New Roman" w:cs="Times New Roman"/>
        </w:rPr>
        <w:t>In addition, the sample was treated with respect and scientific rigor as established by the code of ethics for the study of human remains of the Association of Biological Anthropology of Argentina (AABA 2007 and Aranda et al. 2014).</w:t>
      </w:r>
    </w:p>
    <w:p w:rsidR="00AD6F5D" w:rsidRDefault="000056B3">
      <w:pPr>
        <w:pStyle w:val="LO-normal3"/>
        <w:widowControl/>
        <w:spacing w:after="120" w:line="480" w:lineRule="auto"/>
        <w:jc w:val="both"/>
        <w:rPr>
          <w:rFonts w:ascii="Times New Roman" w:eastAsia="Times New Roman" w:hAnsi="Times New Roman" w:cs="Times New Roman"/>
        </w:rPr>
      </w:pPr>
      <w:proofErr w:type="spellStart"/>
      <w:r>
        <w:rPr>
          <w:rFonts w:ascii="Times New Roman" w:eastAsia="Times New Roman" w:hAnsi="Times New Roman" w:cs="Times New Roman"/>
        </w:rPr>
        <w:t>Bioarchaeological</w:t>
      </w:r>
      <w:proofErr w:type="spellEnd"/>
      <w:r>
        <w:rPr>
          <w:rFonts w:ascii="Times New Roman" w:eastAsia="Times New Roman" w:hAnsi="Times New Roman" w:cs="Times New Roman"/>
        </w:rPr>
        <w:t xml:space="preserve"> ana</w:t>
      </w:r>
      <w:r>
        <w:rPr>
          <w:rFonts w:ascii="Times New Roman" w:eastAsia="Times New Roman" w:hAnsi="Times New Roman" w:cs="Times New Roman"/>
        </w:rPr>
        <w:t>lysis determined that the individual was a female whose age was estimated between 35 and 45 years (</w:t>
      </w:r>
      <w:proofErr w:type="spellStart"/>
      <w:r>
        <w:rPr>
          <w:rFonts w:ascii="Times New Roman" w:eastAsia="Times New Roman" w:hAnsi="Times New Roman" w:cs="Times New Roman"/>
        </w:rPr>
        <w:t>Suby</w:t>
      </w:r>
      <w:proofErr w:type="spellEnd"/>
      <w:r>
        <w:rPr>
          <w:rFonts w:ascii="Times New Roman" w:eastAsia="Times New Roman" w:hAnsi="Times New Roman" w:cs="Times New Roman"/>
        </w:rPr>
        <w:t xml:space="preserve"> et al., 2011). The skeleton was well preserved and anatomically articulated in an extended position with the hands superposed on the pelvis and the lowe</w:t>
      </w:r>
      <w:r>
        <w:rPr>
          <w:rFonts w:ascii="Times New Roman" w:eastAsia="Times New Roman" w:hAnsi="Times New Roman" w:cs="Times New Roman"/>
        </w:rPr>
        <w:t>r extremities together from the knees to the feet (</w:t>
      </w:r>
      <w:proofErr w:type="spellStart"/>
      <w:r>
        <w:rPr>
          <w:rFonts w:ascii="Times New Roman" w:eastAsia="Times New Roman" w:hAnsi="Times New Roman" w:cs="Times New Roman"/>
        </w:rPr>
        <w:t>Piana</w:t>
      </w:r>
      <w:proofErr w:type="spellEnd"/>
      <w:r>
        <w:rPr>
          <w:rFonts w:ascii="Times New Roman" w:eastAsia="Times New Roman" w:hAnsi="Times New Roman" w:cs="Times New Roman"/>
        </w:rPr>
        <w:t xml:space="preserve"> et al., 2006). The paleopathological analysis of the remains suggests the development of a systemic disease, probably related to metabolic deficiencies; hyperparathyroidism could explain the observed</w:t>
      </w:r>
      <w:r>
        <w:rPr>
          <w:rFonts w:ascii="Times New Roman" w:eastAsia="Times New Roman" w:hAnsi="Times New Roman" w:cs="Times New Roman"/>
        </w:rPr>
        <w:t xml:space="preserve"> lesions (</w:t>
      </w:r>
      <w:proofErr w:type="spellStart"/>
      <w:r>
        <w:rPr>
          <w:rFonts w:ascii="Times New Roman" w:eastAsia="Times New Roman" w:hAnsi="Times New Roman" w:cs="Times New Roman"/>
        </w:rPr>
        <w:t>Suby</w:t>
      </w:r>
      <w:proofErr w:type="spellEnd"/>
      <w:r>
        <w:rPr>
          <w:rFonts w:ascii="Times New Roman" w:eastAsia="Times New Roman" w:hAnsi="Times New Roman" w:cs="Times New Roman"/>
        </w:rPr>
        <w:t xml:space="preserve"> et al., 2011). An AMS radiocarbon dating of 1504 ± 46 years BP was obtained (</w:t>
      </w:r>
      <w:proofErr w:type="spellStart"/>
      <w:r>
        <w:rPr>
          <w:rFonts w:ascii="Times New Roman" w:eastAsia="Times New Roman" w:hAnsi="Times New Roman" w:cs="Times New Roman"/>
        </w:rPr>
        <w:t>Suby</w:t>
      </w:r>
      <w:proofErr w:type="spellEnd"/>
      <w:r>
        <w:rPr>
          <w:rFonts w:ascii="Times New Roman" w:eastAsia="Times New Roman" w:hAnsi="Times New Roman" w:cs="Times New Roman"/>
        </w:rPr>
        <w:t xml:space="preserve"> et al., 2011). Finally, based on the analysis of stable isotopes (δ13Ccol, δ15N y δ13Capa) and Bayesian dietary models, it was inferred that the individual had</w:t>
      </w:r>
      <w:r>
        <w:rPr>
          <w:rFonts w:ascii="Times New Roman" w:eastAsia="Times New Roman" w:hAnsi="Times New Roman" w:cs="Times New Roman"/>
        </w:rPr>
        <w:t xml:space="preserve"> a diet with a predominance of marine resources (&gt;65%), supplemented with guanacos and plants (ca. 30%; Kochi, 2017). This paleodietary reconstruction </w:t>
      </w:r>
      <w:r>
        <w:rPr>
          <w:rFonts w:ascii="Times New Roman" w:eastAsia="Times New Roman" w:hAnsi="Times New Roman" w:cs="Times New Roman"/>
        </w:rPr>
        <w:lastRenderedPageBreak/>
        <w:t xml:space="preserve">was used to calibrate radiocarbon dating, yielding a result of AD 681- 890 (2 σ; </w:t>
      </w:r>
      <w:proofErr w:type="spellStart"/>
      <w:r>
        <w:rPr>
          <w:rFonts w:ascii="Times New Roman" w:eastAsia="Times New Roman" w:hAnsi="Times New Roman" w:cs="Times New Roman"/>
        </w:rPr>
        <w:t>Calib</w:t>
      </w:r>
      <w:proofErr w:type="spellEnd"/>
      <w:r>
        <w:rPr>
          <w:rFonts w:ascii="Times New Roman" w:eastAsia="Times New Roman" w:hAnsi="Times New Roman" w:cs="Times New Roman"/>
        </w:rPr>
        <w:t xml:space="preserve"> 7.0.4; Hogg et al.</w:t>
      </w:r>
      <w:r>
        <w:rPr>
          <w:rFonts w:ascii="Times New Roman" w:eastAsia="Times New Roman" w:hAnsi="Times New Roman" w:cs="Times New Roman"/>
        </w:rPr>
        <w:t>, 2013).</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An upper left incisor was taken from the human remains recovered from the burial (laboratory code: PZ3). The hypervariable region 1 and 2 of this individual's mitochondrial DNA was successfully recovered, amplified, and sequenced by Sanger in (Cre</w:t>
      </w:r>
      <w:r>
        <w:rPr>
          <w:rFonts w:ascii="Times New Roman" w:eastAsia="Times New Roman" w:hAnsi="Times New Roman" w:cs="Times New Roman"/>
        </w:rPr>
        <w:t>spo et al., 2020). According to this study, PZ3's mitochondrial lineage was a distinctive D1g exclusively found in the Beagle Channel area.</w:t>
      </w:r>
    </w:p>
    <w:p w:rsidR="00AD6F5D" w:rsidRDefault="00AD6F5D">
      <w:pPr>
        <w:pStyle w:val="LO-normal3"/>
        <w:widowControl/>
        <w:spacing w:after="120" w:line="480" w:lineRule="auto"/>
        <w:rPr>
          <w:rFonts w:ascii="Times New Roman" w:eastAsia="Times New Roman" w:hAnsi="Times New Roman" w:cs="Times New Roman"/>
          <w:u w:val="single"/>
        </w:rPr>
      </w:pPr>
    </w:p>
    <w:p w:rsidR="00AD6F5D" w:rsidRDefault="000056B3">
      <w:pPr>
        <w:pStyle w:val="LO-normal3"/>
        <w:widowControl/>
        <w:spacing w:after="120" w:line="480" w:lineRule="auto"/>
        <w:rPr>
          <w:rFonts w:ascii="Times New Roman" w:eastAsia="Times New Roman" w:hAnsi="Times New Roman" w:cs="Times New Roman"/>
          <w:u w:val="single"/>
        </w:rPr>
      </w:pPr>
      <w:r>
        <w:rPr>
          <w:rFonts w:ascii="Times New Roman" w:eastAsia="Times New Roman" w:hAnsi="Times New Roman" w:cs="Times New Roman"/>
          <w:u w:val="single"/>
        </w:rPr>
        <w:t>Argentinian legislation on the analysis of human remains and particular situation for the human remains used in thi</w:t>
      </w:r>
      <w:r>
        <w:rPr>
          <w:rFonts w:ascii="Times New Roman" w:eastAsia="Times New Roman" w:hAnsi="Times New Roman" w:cs="Times New Roman"/>
          <w:u w:val="single"/>
        </w:rPr>
        <w:t>s work</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Currently, scientific projects in Argentina that aim to analyze human remains coming from native communities are regulated by National Law n° 25.517. This law allows the communities to claim the human remains that are in museums and/or collections, </w:t>
      </w:r>
      <w:r>
        <w:rPr>
          <w:rFonts w:ascii="Times New Roman" w:eastAsia="Times New Roman" w:hAnsi="Times New Roman" w:cs="Times New Roman"/>
        </w:rPr>
        <w:t xml:space="preserve">while those that are not claimed can remain at the disposal of the different institutions that house them. Meanwhile, the regulatory decree 710/2010 creates the INAI (Instituto Nacional de </w:t>
      </w:r>
      <w:proofErr w:type="spellStart"/>
      <w:r>
        <w:rPr>
          <w:rFonts w:ascii="Times New Roman" w:eastAsia="Times New Roman" w:hAnsi="Times New Roman" w:cs="Times New Roman"/>
        </w:rPr>
        <w:t>Asuntos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Indígenas</w:t>
      </w:r>
      <w:proofErr w:type="spellEnd"/>
      <w:r>
        <w:rPr>
          <w:rFonts w:ascii="Times New Roman" w:eastAsia="Times New Roman" w:hAnsi="Times New Roman" w:cs="Times New Roman"/>
        </w:rPr>
        <w:t>) and establishes that this institution is respons</w:t>
      </w:r>
      <w:r>
        <w:rPr>
          <w:rFonts w:ascii="Times New Roman" w:eastAsia="Times New Roman" w:hAnsi="Times New Roman" w:cs="Times New Roman"/>
        </w:rPr>
        <w:t>ible for coordinating, articulating and assisting in the monitoring and study of compliance with the directives and actions of the aforementioned law</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Regarding human remains in possession of different governmental or private organizations, the INAI togethe</w:t>
      </w:r>
      <w:r>
        <w:rPr>
          <w:rFonts w:ascii="Times New Roman" w:eastAsia="Times New Roman" w:hAnsi="Times New Roman" w:cs="Times New Roman"/>
        </w:rPr>
        <w:t xml:space="preserve">r with the INAPL (Instituto Nacional de </w:t>
      </w:r>
      <w:proofErr w:type="spellStart"/>
      <w:r>
        <w:rPr>
          <w:rFonts w:ascii="Times New Roman" w:eastAsia="Times New Roman" w:hAnsi="Times New Roman" w:cs="Times New Roman"/>
        </w:rPr>
        <w:t>Antropología</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Pensamiento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Latinoamericano</w:t>
      </w:r>
      <w:proofErr w:type="spellEnd"/>
      <w:r>
        <w:rPr>
          <w:rFonts w:ascii="Times New Roman" w:eastAsia="Times New Roman" w:hAnsi="Times New Roman" w:cs="Times New Roman"/>
        </w:rPr>
        <w:t>) are in charge of carrying out the necessary surveys in order to identify such remains as native and propose their effective restitution to their community of origin, beside</w:t>
      </w:r>
      <w:r>
        <w:rPr>
          <w:rFonts w:ascii="Times New Roman" w:eastAsia="Times New Roman" w:hAnsi="Times New Roman" w:cs="Times New Roman"/>
        </w:rPr>
        <w:t>s mediating in case of possible conflicts of interest and verifying the different scientific projects involving native communities.</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Argentine native communities that wish to make the pertinent claims and possible restitutions of human remains found in </w:t>
      </w:r>
      <w:r>
        <w:rPr>
          <w:rFonts w:ascii="Times New Roman" w:eastAsia="Times New Roman" w:hAnsi="Times New Roman" w:cs="Times New Roman"/>
        </w:rPr>
        <w:t xml:space="preserve">different scientific institutions have the requirement to have their legal </w:t>
      </w:r>
      <w:r>
        <w:rPr>
          <w:rFonts w:ascii="Times New Roman" w:eastAsia="Times New Roman" w:hAnsi="Times New Roman" w:cs="Times New Roman"/>
        </w:rPr>
        <w:lastRenderedPageBreak/>
        <w:t>status recognized by the state through INAI according to the National Law n° 23.302 and its regulatory decree 155/89.</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The individual analyzed in the present paper was obtained in an</w:t>
      </w:r>
      <w:r>
        <w:rPr>
          <w:rFonts w:ascii="Times New Roman" w:eastAsia="Times New Roman" w:hAnsi="Times New Roman" w:cs="Times New Roman"/>
        </w:rPr>
        <w:t xml:space="preserve"> archaeological campaign in 2003 in Estancia </w:t>
      </w:r>
      <w:proofErr w:type="spellStart"/>
      <w:r>
        <w:rPr>
          <w:rFonts w:ascii="Times New Roman" w:eastAsia="Times New Roman" w:hAnsi="Times New Roman" w:cs="Times New Roman"/>
        </w:rPr>
        <w:t>Remolino</w:t>
      </w:r>
      <w:proofErr w:type="spellEnd"/>
      <w:r>
        <w:rPr>
          <w:rFonts w:ascii="Times New Roman" w:eastAsia="Times New Roman" w:hAnsi="Times New Roman" w:cs="Times New Roman"/>
        </w:rPr>
        <w:t xml:space="preserve"> (Beagle Channel, Tierra del Fuego, Argentina) and ancient DNA analysis was started in 2016. At that time there was no Native community in the Beagle Channel recognized by INAI or the Argentinian Nationa</w:t>
      </w:r>
      <w:r>
        <w:rPr>
          <w:rFonts w:ascii="Times New Roman" w:eastAsia="Times New Roman" w:hAnsi="Times New Roman" w:cs="Times New Roman"/>
        </w:rPr>
        <w:t xml:space="preserve">l State. In the year 2021, the Yaghan </w:t>
      </w:r>
      <w:proofErr w:type="spellStart"/>
      <w:r>
        <w:rPr>
          <w:rFonts w:ascii="Times New Roman" w:eastAsia="Times New Roman" w:hAnsi="Times New Roman" w:cs="Times New Roman"/>
        </w:rPr>
        <w:t>Paiakoala</w:t>
      </w:r>
      <w:proofErr w:type="spellEnd"/>
      <w:r>
        <w:rPr>
          <w:rFonts w:ascii="Times New Roman" w:eastAsia="Times New Roman" w:hAnsi="Times New Roman" w:cs="Times New Roman"/>
        </w:rPr>
        <w:t xml:space="preserve"> Community was accepted as a legal entity and formally recognized by the National State, so it is not possible to present an express consent of a community to perform the analysis.</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However, in the year 2021, t</w:t>
      </w:r>
      <w:r>
        <w:rPr>
          <w:rFonts w:ascii="Times New Roman" w:eastAsia="Times New Roman" w:hAnsi="Times New Roman" w:cs="Times New Roman"/>
        </w:rPr>
        <w:t xml:space="preserve">wo of the members of this manuscript (Dr. Cristian Marcelo Crespo and Dr. Francisco </w:t>
      </w:r>
      <w:proofErr w:type="spellStart"/>
      <w:r>
        <w:rPr>
          <w:rFonts w:ascii="Times New Roman" w:eastAsia="Times New Roman" w:hAnsi="Times New Roman" w:cs="Times New Roman"/>
        </w:rPr>
        <w:t>Zangrando</w:t>
      </w:r>
      <w:proofErr w:type="spellEnd"/>
      <w:r>
        <w:rPr>
          <w:rFonts w:ascii="Times New Roman" w:eastAsia="Times New Roman" w:hAnsi="Times New Roman" w:cs="Times New Roman"/>
        </w:rPr>
        <w:t>) had several approaches that culminated in a meeting with 3 community representatives, where the objectives of the project, the scope and limitations of the molec</w:t>
      </w:r>
      <w:r>
        <w:rPr>
          <w:rFonts w:ascii="Times New Roman" w:eastAsia="Times New Roman" w:hAnsi="Times New Roman" w:cs="Times New Roman"/>
        </w:rPr>
        <w:t>ular markers and studies carried out and the molecular information available in the area in terms of current and pre-Hispanic populations were explained to them. The 3 representatives were very pleased and with the intention of continuing with the work car</w:t>
      </w:r>
      <w:r>
        <w:rPr>
          <w:rFonts w:ascii="Times New Roman" w:eastAsia="Times New Roman" w:hAnsi="Times New Roman" w:cs="Times New Roman"/>
        </w:rPr>
        <w:t>ried out, since they expressed that the information provided by the ancient DNA studies is very valuable in terms of the possibility of giving identity to human remains from different archaeological contexts in the Beagle Channel area.</w:t>
      </w:r>
    </w:p>
    <w:p w:rsidR="00AD6F5D" w:rsidRDefault="00AD6F5D">
      <w:pPr>
        <w:pStyle w:val="LO-normal3"/>
        <w:widowControl/>
        <w:spacing w:after="120" w:line="480" w:lineRule="auto"/>
        <w:jc w:val="both"/>
        <w:rPr>
          <w:rFonts w:ascii="Times New Roman" w:eastAsia="Times New Roman" w:hAnsi="Times New Roman" w:cs="Times New Roman"/>
        </w:rPr>
      </w:pPr>
    </w:p>
    <w:p w:rsidR="00AD6F5D" w:rsidRDefault="000056B3">
      <w:pPr>
        <w:pStyle w:val="LO-normal3"/>
        <w:widowControl/>
        <w:spacing w:after="120" w:line="480" w:lineRule="auto"/>
        <w:rPr>
          <w:rFonts w:ascii="Times New Roman" w:eastAsia="Times New Roman" w:hAnsi="Times New Roman" w:cs="Times New Roman"/>
        </w:rPr>
      </w:pPr>
      <w:r>
        <w:rPr>
          <w:rFonts w:ascii="Times New Roman" w:eastAsia="Times New Roman" w:hAnsi="Times New Roman" w:cs="Times New Roman"/>
          <w:b/>
        </w:rPr>
        <w:t>Laboratory protocol</w:t>
      </w:r>
    </w:p>
    <w:p w:rsidR="00AD6F5D" w:rsidRDefault="000056B3">
      <w:pPr>
        <w:pStyle w:val="LO-normal3"/>
        <w:widowControl/>
        <w:spacing w:after="120" w:line="480"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u w:val="single"/>
        </w:rPr>
        <w:t>Contamination Prevention</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To avoid the potential contamination of ancient DNA samples, DNA extraction and the ancient DNA library preparation were carried out in the ancient DNA laboratory clean room facility (Universidad Maimonides, Ciudad de Buenos Aire</w:t>
      </w:r>
      <w:r>
        <w:rPr>
          <w:rFonts w:ascii="Times New Roman" w:eastAsia="Times New Roman" w:hAnsi="Times New Roman" w:cs="Times New Roman"/>
        </w:rPr>
        <w:t xml:space="preserve">s, Argentina). This laboratory has physically separated rooms for the different stages of the analysis of archaeological samples. The cleaning and powder of the sample was carried out in a special area, while DNA extraction and the library </w:t>
      </w:r>
      <w:r>
        <w:rPr>
          <w:rFonts w:ascii="Times New Roman" w:eastAsia="Times New Roman" w:hAnsi="Times New Roman" w:cs="Times New Roman"/>
        </w:rPr>
        <w:lastRenderedPageBreak/>
        <w:t>preparation were</w:t>
      </w:r>
      <w:r>
        <w:rPr>
          <w:rFonts w:ascii="Times New Roman" w:eastAsia="Times New Roman" w:hAnsi="Times New Roman" w:cs="Times New Roman"/>
        </w:rPr>
        <w:t xml:space="preserve"> carried out in another area which is physically isolated. All surfaces and non-disposable working materials used for working with </w:t>
      </w:r>
      <w:proofErr w:type="spellStart"/>
      <w:r>
        <w:rPr>
          <w:rFonts w:ascii="Times New Roman" w:eastAsia="Times New Roman" w:hAnsi="Times New Roman" w:cs="Times New Roman"/>
          <w:i/>
        </w:rPr>
        <w:t>aDNA</w:t>
      </w:r>
      <w:proofErr w:type="spellEnd"/>
      <w:r>
        <w:rPr>
          <w:rFonts w:ascii="Times New Roman" w:eastAsia="Times New Roman" w:hAnsi="Times New Roman" w:cs="Times New Roman"/>
        </w:rPr>
        <w:t xml:space="preserve"> were cleaned with a 10% commercial bleach solution (approximately 0.55 p/v sodium hypochlorite) and/or 70% ethanol. In a</w:t>
      </w:r>
      <w:r>
        <w:rPr>
          <w:rFonts w:ascii="Times New Roman" w:eastAsia="Times New Roman" w:hAnsi="Times New Roman" w:cs="Times New Roman"/>
        </w:rPr>
        <w:t>ddition, all rooms and equipment used were irradiated with UV light for 45 minutes prior to use in order to crosslink organic molecules (such as nucleic acids and proteins) and reduce the risk of contamination. All procedures were carried out using appropr</w:t>
      </w:r>
      <w:r>
        <w:rPr>
          <w:rFonts w:ascii="Times New Roman" w:eastAsia="Times New Roman" w:hAnsi="Times New Roman" w:cs="Times New Roman"/>
        </w:rPr>
        <w:t>iate clothing previously irradiated with UV light: dust coat to cover the body, cap to cover the hair, mask to cover the nose and mouth, and double pair of disposable gloves.</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The subsequent steps, the library amplification, bait preparation and capture, we</w:t>
      </w:r>
      <w:r>
        <w:rPr>
          <w:rFonts w:ascii="Times New Roman" w:eastAsia="Times New Roman" w:hAnsi="Times New Roman" w:cs="Times New Roman"/>
        </w:rPr>
        <w:t xml:space="preserve">re carried out at the Instituto Nacional de </w:t>
      </w:r>
      <w:proofErr w:type="spellStart"/>
      <w:r>
        <w:rPr>
          <w:rFonts w:ascii="Times New Roman" w:eastAsia="Times New Roman" w:hAnsi="Times New Roman" w:cs="Times New Roman"/>
        </w:rPr>
        <w:t>Tecnología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Agropecuaria</w:t>
      </w:r>
      <w:proofErr w:type="spellEnd"/>
      <w:r>
        <w:rPr>
          <w:rFonts w:ascii="Times New Roman" w:eastAsia="Times New Roman" w:hAnsi="Times New Roman" w:cs="Times New Roman"/>
        </w:rPr>
        <w:t xml:space="preserve"> (INTA, Argentina) laboratories. The laboratory has equipment for exclusive use, with appropriate facilities for the construction of libraries, including DNA-free hood for PCR mixtures. All</w:t>
      </w:r>
      <w:r>
        <w:rPr>
          <w:rFonts w:ascii="Times New Roman" w:eastAsia="Times New Roman" w:hAnsi="Times New Roman" w:cs="Times New Roman"/>
        </w:rPr>
        <w:t xml:space="preserve"> surfaces and non-disposable working materials used for working with </w:t>
      </w:r>
      <w:proofErr w:type="spellStart"/>
      <w:r>
        <w:rPr>
          <w:rFonts w:ascii="Times New Roman" w:eastAsia="Times New Roman" w:hAnsi="Times New Roman" w:cs="Times New Roman"/>
          <w:i/>
        </w:rPr>
        <w:t>aDNA</w:t>
      </w:r>
      <w:proofErr w:type="spellEnd"/>
      <w:r>
        <w:rPr>
          <w:rFonts w:ascii="Times New Roman" w:eastAsia="Times New Roman" w:hAnsi="Times New Roman" w:cs="Times New Roman"/>
        </w:rPr>
        <w:t xml:space="preserve"> were cleaned with a 10% commercial bleach solution (approximately 0.55 p/v sodium hypochlorite). All procedures were carried out using appropriate clothing: dust cover, chinstrap and</w:t>
      </w:r>
      <w:r>
        <w:rPr>
          <w:rFonts w:ascii="Times New Roman" w:eastAsia="Times New Roman" w:hAnsi="Times New Roman" w:cs="Times New Roman"/>
        </w:rPr>
        <w:t xml:space="preserve"> disposable gloves.</w:t>
      </w:r>
    </w:p>
    <w:p w:rsidR="00AD6F5D" w:rsidRDefault="00AD6F5D">
      <w:pPr>
        <w:pStyle w:val="LO-normal3"/>
        <w:widowControl/>
        <w:spacing w:after="120" w:line="480" w:lineRule="auto"/>
        <w:jc w:val="both"/>
        <w:rPr>
          <w:rFonts w:ascii="Times New Roman" w:eastAsia="Times New Roman" w:hAnsi="Times New Roman" w:cs="Times New Roman"/>
          <w:u w:val="single"/>
        </w:rPr>
      </w:pP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u w:val="single"/>
        </w:rPr>
        <w:t>Sample preparation and DNA extraction</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In order to remove possible sample surface contamination, we followed a strict decontamination protocol according to previous recommendations (</w:t>
      </w:r>
      <w:proofErr w:type="spellStart"/>
      <w:r>
        <w:rPr>
          <w:rFonts w:ascii="Times New Roman" w:eastAsia="Times New Roman" w:hAnsi="Times New Roman" w:cs="Times New Roman"/>
        </w:rPr>
        <w:t>Barta</w:t>
      </w:r>
      <w:proofErr w:type="spellEnd"/>
      <w:r>
        <w:rPr>
          <w:rFonts w:ascii="Times New Roman" w:eastAsia="Times New Roman" w:hAnsi="Times New Roman" w:cs="Times New Roman"/>
        </w:rPr>
        <w:t xml:space="preserve"> et al., 2013; Dissing et al., 2008; Kemp and</w:t>
      </w:r>
      <w:r>
        <w:rPr>
          <w:rFonts w:ascii="Times New Roman" w:eastAsia="Times New Roman" w:hAnsi="Times New Roman" w:cs="Times New Roman"/>
        </w:rPr>
        <w:t xml:space="preserve"> Smith, 2005; Malmström et al., 2007). The tooth was washed with 6% sodium hypochlorite in a sterile Falcon tube for 15 minutes. Sample was then rinsed three times with molecular biology quality water and irradiated with UV light for a minimum time of 45' </w:t>
      </w:r>
      <w:r>
        <w:rPr>
          <w:rFonts w:ascii="Times New Roman" w:eastAsia="Times New Roman" w:hAnsi="Times New Roman" w:cs="Times New Roman"/>
        </w:rPr>
        <w:t xml:space="preserve">on each side. </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The sample was powdered by mechanical grinding as previously reported by (</w:t>
      </w:r>
      <w:proofErr w:type="spellStart"/>
      <w:r>
        <w:rPr>
          <w:rFonts w:ascii="Times New Roman" w:eastAsia="Times New Roman" w:hAnsi="Times New Roman" w:cs="Times New Roman"/>
        </w:rPr>
        <w:t>Carnese</w:t>
      </w:r>
      <w:proofErr w:type="spellEnd"/>
      <w:r>
        <w:rPr>
          <w:rFonts w:ascii="Times New Roman" w:eastAsia="Times New Roman" w:hAnsi="Times New Roman" w:cs="Times New Roman"/>
        </w:rPr>
        <w:t xml:space="preserve"> et al., 2010). About 70-80mg of powder were decalcified and the proteins digested with Proteinase K (Crespo et al., 2020). An organic extraction with </w:t>
      </w:r>
      <w:proofErr w:type="spellStart"/>
      <w:proofErr w:type="gramStart"/>
      <w:r>
        <w:rPr>
          <w:rFonts w:ascii="Times New Roman" w:eastAsia="Times New Roman" w:hAnsi="Times New Roman" w:cs="Times New Roman"/>
        </w:rPr>
        <w:t>phenol:ch</w:t>
      </w:r>
      <w:r>
        <w:rPr>
          <w:rFonts w:ascii="Times New Roman" w:eastAsia="Times New Roman" w:hAnsi="Times New Roman" w:cs="Times New Roman"/>
        </w:rPr>
        <w:t>loroform</w:t>
      </w:r>
      <w:proofErr w:type="gramEnd"/>
      <w:r>
        <w:rPr>
          <w:rFonts w:ascii="Times New Roman" w:eastAsia="Times New Roman" w:hAnsi="Times New Roman" w:cs="Times New Roman"/>
        </w:rPr>
        <w:t>:isoamyl</w:t>
      </w:r>
      <w:proofErr w:type="spellEnd"/>
      <w:r>
        <w:rPr>
          <w:rFonts w:ascii="Times New Roman" w:eastAsia="Times New Roman" w:hAnsi="Times New Roman" w:cs="Times New Roman"/>
        </w:rPr>
        <w:t xml:space="preserve"> alcohol (25:24:1) </w:t>
      </w:r>
      <w:r>
        <w:rPr>
          <w:rFonts w:ascii="Times New Roman" w:eastAsia="Times New Roman" w:hAnsi="Times New Roman" w:cs="Times New Roman"/>
        </w:rPr>
        <w:lastRenderedPageBreak/>
        <w:t>was then performed on the digested solution following recommendations of (Hummel, 2003) and (</w:t>
      </w:r>
      <w:proofErr w:type="spellStart"/>
      <w:r>
        <w:rPr>
          <w:rFonts w:ascii="Times New Roman" w:eastAsia="Times New Roman" w:hAnsi="Times New Roman" w:cs="Times New Roman"/>
        </w:rPr>
        <w:t>Carnese</w:t>
      </w:r>
      <w:proofErr w:type="spellEnd"/>
      <w:r>
        <w:rPr>
          <w:rFonts w:ascii="Times New Roman" w:eastAsia="Times New Roman" w:hAnsi="Times New Roman" w:cs="Times New Roman"/>
        </w:rPr>
        <w:t xml:space="preserve"> et al., 2010). Supernatant was transferred to a new tube and DNA was purified with </w:t>
      </w:r>
      <w:proofErr w:type="spellStart"/>
      <w:r>
        <w:rPr>
          <w:rFonts w:ascii="Times New Roman" w:eastAsia="Times New Roman" w:hAnsi="Times New Roman" w:cs="Times New Roman"/>
        </w:rPr>
        <w:t>AccuPrep</w:t>
      </w:r>
      <w:proofErr w:type="spellEnd"/>
      <w:r>
        <w:rPr>
          <w:rFonts w:ascii="Times New Roman" w:eastAsia="Times New Roman" w:hAnsi="Times New Roman" w:cs="Times New Roman"/>
          <w:vertAlign w:val="superscript"/>
        </w:rPr>
        <w:t>®</w:t>
      </w:r>
      <w:r>
        <w:rPr>
          <w:rFonts w:ascii="Times New Roman" w:eastAsia="Times New Roman" w:hAnsi="Times New Roman" w:cs="Times New Roman"/>
        </w:rPr>
        <w:t xml:space="preserve"> PCR Purification kit (</w:t>
      </w:r>
      <w:proofErr w:type="spellStart"/>
      <w:r>
        <w:rPr>
          <w:rFonts w:ascii="Times New Roman" w:eastAsia="Times New Roman" w:hAnsi="Times New Roman" w:cs="Times New Roman"/>
        </w:rPr>
        <w:t>Bione</w:t>
      </w:r>
      <w:r>
        <w:rPr>
          <w:rFonts w:ascii="Times New Roman" w:eastAsia="Times New Roman" w:hAnsi="Times New Roman" w:cs="Times New Roman"/>
        </w:rPr>
        <w:t>er</w:t>
      </w:r>
      <w:proofErr w:type="spellEnd"/>
      <w:r>
        <w:rPr>
          <w:rFonts w:ascii="Times New Roman" w:eastAsia="Times New Roman" w:hAnsi="Times New Roman" w:cs="Times New Roman"/>
        </w:rPr>
        <w:t>) and concentrated using AMICON</w:t>
      </w:r>
      <w:r>
        <w:rPr>
          <w:rFonts w:ascii="Times New Roman" w:eastAsia="Times New Roman" w:hAnsi="Times New Roman" w:cs="Times New Roman"/>
          <w:vertAlign w:val="superscript"/>
        </w:rPr>
        <w:t>®</w:t>
      </w:r>
      <w:r>
        <w:rPr>
          <w:rFonts w:ascii="Times New Roman" w:eastAsia="Times New Roman" w:hAnsi="Times New Roman" w:cs="Times New Roman"/>
        </w:rPr>
        <w:t xml:space="preserve"> Ultra Centrifugal Filters30K (Millipore), following manufacturer's instructions. </w:t>
      </w:r>
    </w:p>
    <w:p w:rsidR="00AD6F5D" w:rsidRDefault="00AD6F5D">
      <w:pPr>
        <w:pStyle w:val="LO-normal3"/>
        <w:widowControl/>
        <w:spacing w:after="120" w:line="480" w:lineRule="auto"/>
        <w:rPr>
          <w:rFonts w:ascii="Times New Roman" w:eastAsia="Times New Roman" w:hAnsi="Times New Roman" w:cs="Times New Roman"/>
          <w:u w:val="single"/>
        </w:rPr>
      </w:pPr>
    </w:p>
    <w:p w:rsidR="00AD6F5D" w:rsidRDefault="000056B3">
      <w:pPr>
        <w:pStyle w:val="LO-normal3"/>
        <w:widowControl/>
        <w:spacing w:after="120" w:line="480" w:lineRule="auto"/>
        <w:rPr>
          <w:rFonts w:ascii="Times New Roman" w:eastAsia="Times New Roman" w:hAnsi="Times New Roman" w:cs="Times New Roman"/>
        </w:rPr>
      </w:pPr>
      <w:r>
        <w:rPr>
          <w:rFonts w:ascii="Times New Roman" w:eastAsia="Times New Roman" w:hAnsi="Times New Roman" w:cs="Times New Roman"/>
          <w:u w:val="single"/>
        </w:rPr>
        <w:t>Library preparation</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The ancient DNA library was constructed in the ancient DNA laboratory clean room facility (Universidad Maimonides) usi</w:t>
      </w:r>
      <w:r>
        <w:rPr>
          <w:rFonts w:ascii="Times New Roman" w:eastAsia="Times New Roman" w:hAnsi="Times New Roman" w:cs="Times New Roman"/>
        </w:rPr>
        <w:t xml:space="preserve">ng the NEBNEX Ultra II DNA Library Prep Kit for Illumina (#E7645S) according to manufacturer’s instructions. DNA fragmentation was not performed. </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Ancient DNA was end repaired and </w:t>
      </w:r>
      <w:proofErr w:type="spellStart"/>
      <w:r>
        <w:rPr>
          <w:rFonts w:ascii="Times New Roman" w:eastAsia="Times New Roman" w:hAnsi="Times New Roman" w:cs="Times New Roman"/>
        </w:rPr>
        <w:t>dAtailed</w:t>
      </w:r>
      <w:proofErr w:type="spellEnd"/>
      <w:r>
        <w:rPr>
          <w:rFonts w:ascii="Times New Roman" w:eastAsia="Times New Roman" w:hAnsi="Times New Roman" w:cs="Times New Roman"/>
        </w:rPr>
        <w:t xml:space="preserve"> using the Ultra II end repair module (NEB). </w:t>
      </w:r>
      <w:proofErr w:type="spellStart"/>
      <w:r>
        <w:rPr>
          <w:rFonts w:ascii="Times New Roman" w:eastAsia="Times New Roman" w:hAnsi="Times New Roman" w:cs="Times New Roman"/>
        </w:rPr>
        <w:t>NEBNext</w:t>
      </w:r>
      <w:proofErr w:type="spellEnd"/>
      <w:r>
        <w:rPr>
          <w:rFonts w:ascii="Times New Roman" w:eastAsia="Times New Roman" w:hAnsi="Times New Roman" w:cs="Times New Roman"/>
        </w:rPr>
        <w:t xml:space="preserve"> adaptors for Il</w:t>
      </w:r>
      <w:r>
        <w:rPr>
          <w:rFonts w:ascii="Times New Roman" w:eastAsia="Times New Roman" w:hAnsi="Times New Roman" w:cs="Times New Roman"/>
        </w:rPr>
        <w:t xml:space="preserve">lumina were ligated using the </w:t>
      </w:r>
      <w:proofErr w:type="spellStart"/>
      <w:r>
        <w:rPr>
          <w:rFonts w:ascii="Times New Roman" w:eastAsia="Times New Roman" w:hAnsi="Times New Roman" w:cs="Times New Roman"/>
        </w:rPr>
        <w:t>NEBNext</w:t>
      </w:r>
      <w:proofErr w:type="spellEnd"/>
      <w:r>
        <w:rPr>
          <w:rFonts w:ascii="Times New Roman" w:eastAsia="Times New Roman" w:hAnsi="Times New Roman" w:cs="Times New Roman"/>
        </w:rPr>
        <w:t xml:space="preserve"> Ultra II Ligation Master Mix (</w:t>
      </w:r>
      <w:r>
        <w:rPr>
          <w:rFonts w:ascii="Times New Roman" w:eastAsia="Times New Roman" w:hAnsi="Times New Roman" w:cs="Times New Roman"/>
          <w:b/>
        </w:rPr>
        <w:t>Table S1</w:t>
      </w:r>
      <w:r>
        <w:rPr>
          <w:rFonts w:ascii="Times New Roman" w:eastAsia="Times New Roman" w:hAnsi="Times New Roman" w:cs="Times New Roman"/>
        </w:rPr>
        <w:t xml:space="preserve">). The sample was treated with USER enzyme (NEB) and the adaptor-ligated DNA was purified with </w:t>
      </w:r>
      <w:proofErr w:type="spellStart"/>
      <w:r>
        <w:rPr>
          <w:rFonts w:ascii="Times New Roman" w:eastAsia="Times New Roman" w:hAnsi="Times New Roman" w:cs="Times New Roman"/>
        </w:rPr>
        <w:t>AMPureXP</w:t>
      </w:r>
      <w:proofErr w:type="spellEnd"/>
      <w:r>
        <w:rPr>
          <w:rFonts w:ascii="Times New Roman" w:eastAsia="Times New Roman" w:hAnsi="Times New Roman" w:cs="Times New Roman"/>
        </w:rPr>
        <w:t xml:space="preserve"> Beads (Beckman Coulter) without size selection. The adaptor-ligated DNA was </w:t>
      </w:r>
      <w:r>
        <w:rPr>
          <w:rFonts w:ascii="Times New Roman" w:eastAsia="Times New Roman" w:hAnsi="Times New Roman" w:cs="Times New Roman"/>
        </w:rPr>
        <w:t xml:space="preserve">enriched by 15 cycles of PCR using the </w:t>
      </w:r>
      <w:proofErr w:type="spellStart"/>
      <w:r>
        <w:rPr>
          <w:rFonts w:ascii="Times New Roman" w:eastAsia="Times New Roman" w:hAnsi="Times New Roman" w:cs="Times New Roman"/>
        </w:rPr>
        <w:t>NEBNext</w:t>
      </w:r>
      <w:proofErr w:type="spellEnd"/>
      <w:r>
        <w:rPr>
          <w:rFonts w:ascii="Times New Roman" w:eastAsia="Times New Roman" w:hAnsi="Times New Roman" w:cs="Times New Roman"/>
        </w:rPr>
        <w:t xml:space="preserve"> Ultra II Q5 Master Mix and </w:t>
      </w:r>
      <w:proofErr w:type="spellStart"/>
      <w:r>
        <w:rPr>
          <w:rFonts w:ascii="Times New Roman" w:eastAsia="Times New Roman" w:hAnsi="Times New Roman" w:cs="Times New Roman"/>
        </w:rPr>
        <w:t>NEBNext</w:t>
      </w:r>
      <w:proofErr w:type="spellEnd"/>
      <w:r>
        <w:rPr>
          <w:rFonts w:ascii="Times New Roman" w:eastAsia="Times New Roman" w:hAnsi="Times New Roman" w:cs="Times New Roman"/>
        </w:rPr>
        <w:t xml:space="preserve"> primers for Illumina, followed by a cleanup with </w:t>
      </w:r>
      <w:proofErr w:type="spellStart"/>
      <w:r>
        <w:rPr>
          <w:rFonts w:ascii="Times New Roman" w:eastAsia="Times New Roman" w:hAnsi="Times New Roman" w:cs="Times New Roman"/>
        </w:rPr>
        <w:t>AMPureXP</w:t>
      </w:r>
      <w:proofErr w:type="spellEnd"/>
      <w:r>
        <w:rPr>
          <w:rFonts w:ascii="Times New Roman" w:eastAsia="Times New Roman" w:hAnsi="Times New Roman" w:cs="Times New Roman"/>
        </w:rPr>
        <w:t xml:space="preserve"> Beads.</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Library concentration was measured using Qubit 2.0 Fluorometer in combination with Qubit dsDNA HS Assay Kit (</w:t>
      </w:r>
      <w:r>
        <w:rPr>
          <w:rFonts w:ascii="Times New Roman" w:eastAsia="Times New Roman" w:hAnsi="Times New Roman" w:cs="Times New Roman"/>
        </w:rPr>
        <w:t xml:space="preserve">both Invitrogen), and were </w:t>
      </w:r>
      <w:proofErr w:type="spellStart"/>
      <w:r>
        <w:rPr>
          <w:rFonts w:ascii="Times New Roman" w:eastAsia="Times New Roman" w:hAnsi="Times New Roman" w:cs="Times New Roman"/>
        </w:rPr>
        <w:t>analysed</w:t>
      </w:r>
      <w:proofErr w:type="spellEnd"/>
      <w:r>
        <w:rPr>
          <w:rFonts w:ascii="Times New Roman" w:eastAsia="Times New Roman" w:hAnsi="Times New Roman" w:cs="Times New Roman"/>
        </w:rPr>
        <w:t xml:space="preserve"> on Fragment Analyzer using High Sensitivity NGS Fragment Analysis Kit (both Agilent Technologies).</w:t>
      </w:r>
    </w:p>
    <w:p w:rsidR="00AD6F5D" w:rsidRDefault="00AD6F5D">
      <w:pPr>
        <w:pStyle w:val="LO-normal3"/>
        <w:widowControl/>
        <w:spacing w:after="120" w:line="480" w:lineRule="auto"/>
        <w:rPr>
          <w:rFonts w:ascii="Times New Roman" w:eastAsia="Times New Roman" w:hAnsi="Times New Roman" w:cs="Times New Roman"/>
          <w:u w:val="single"/>
        </w:rPr>
      </w:pPr>
    </w:p>
    <w:p w:rsidR="00AD6F5D" w:rsidRDefault="000056B3">
      <w:pPr>
        <w:pStyle w:val="LO-normal3"/>
        <w:widowControl/>
        <w:spacing w:after="120" w:line="480" w:lineRule="auto"/>
        <w:rPr>
          <w:rFonts w:ascii="Times New Roman" w:eastAsia="Times New Roman" w:hAnsi="Times New Roman" w:cs="Times New Roman"/>
        </w:rPr>
      </w:pPr>
      <w:r>
        <w:rPr>
          <w:rFonts w:ascii="Times New Roman" w:eastAsia="Times New Roman" w:hAnsi="Times New Roman" w:cs="Times New Roman"/>
          <w:u w:val="single"/>
        </w:rPr>
        <w:t>Bait preparation</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DNA was extracted from the blood of an H haplogroup donor and the complete mitochondrial DNA was amplified in two separate PCR reactions with two primer pairs (L13232/H5230 and L5120/H13393, </w:t>
      </w:r>
      <w:r>
        <w:rPr>
          <w:rFonts w:ascii="Times New Roman" w:eastAsia="Times New Roman" w:hAnsi="Times New Roman" w:cs="Times New Roman"/>
          <w:b/>
        </w:rPr>
        <w:t>Table S1</w:t>
      </w:r>
      <w:r>
        <w:rPr>
          <w:rFonts w:ascii="Times New Roman" w:eastAsia="Times New Roman" w:hAnsi="Times New Roman" w:cs="Times New Roman"/>
        </w:rPr>
        <w:t>) using Long Amp DNA Polymerase (NEB #M0323) according to</w:t>
      </w:r>
      <w:r>
        <w:rPr>
          <w:rFonts w:ascii="Times New Roman" w:eastAsia="Times New Roman" w:hAnsi="Times New Roman" w:cs="Times New Roman"/>
        </w:rPr>
        <w:t xml:space="preserve"> the manufacturer's protocol. PCR products were purified from gel (</w:t>
      </w:r>
      <w:proofErr w:type="spellStart"/>
      <w:r>
        <w:rPr>
          <w:rFonts w:ascii="Times New Roman" w:eastAsia="Times New Roman" w:hAnsi="Times New Roman" w:cs="Times New Roman"/>
        </w:rPr>
        <w:t>QIAquick</w:t>
      </w:r>
      <w:proofErr w:type="spellEnd"/>
      <w:r>
        <w:rPr>
          <w:rFonts w:ascii="Times New Roman" w:eastAsia="Times New Roman" w:hAnsi="Times New Roman" w:cs="Times New Roman"/>
        </w:rPr>
        <w:t xml:space="preserve">, gel extraction kit, </w:t>
      </w:r>
      <w:r>
        <w:rPr>
          <w:rFonts w:ascii="Times New Roman" w:eastAsia="Times New Roman" w:hAnsi="Times New Roman" w:cs="Times New Roman"/>
        </w:rPr>
        <w:lastRenderedPageBreak/>
        <w:t>QIAGEN) and DNA concentration was measured using Qubit 2.0 Fluorometer in combination with Qubit dsDNA HS Assay Kit.</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In order to obtain fragments around 500 </w:t>
      </w:r>
      <w:proofErr w:type="spellStart"/>
      <w:r>
        <w:rPr>
          <w:rFonts w:ascii="Times New Roman" w:eastAsia="Times New Roman" w:hAnsi="Times New Roman" w:cs="Times New Roman"/>
        </w:rPr>
        <w:t>bp</w:t>
      </w:r>
      <w:proofErr w:type="spellEnd"/>
      <w:r>
        <w:rPr>
          <w:rFonts w:ascii="Times New Roman" w:eastAsia="Times New Roman" w:hAnsi="Times New Roman" w:cs="Times New Roman"/>
        </w:rPr>
        <w:t xml:space="preserve"> size, the PCR products were sheared using the </w:t>
      </w:r>
      <w:proofErr w:type="spellStart"/>
      <w:r>
        <w:rPr>
          <w:rFonts w:ascii="Times New Roman" w:eastAsia="Times New Roman" w:hAnsi="Times New Roman" w:cs="Times New Roman"/>
        </w:rPr>
        <w:t>Bioruptor</w:t>
      </w:r>
      <w:proofErr w:type="spellEnd"/>
      <w:r>
        <w:rPr>
          <w:rFonts w:ascii="Times New Roman" w:eastAsia="Times New Roman" w:hAnsi="Times New Roman" w:cs="Times New Roman"/>
        </w:rPr>
        <w:t xml:space="preserve"> sonication system (</w:t>
      </w:r>
      <w:proofErr w:type="spellStart"/>
      <w:r>
        <w:rPr>
          <w:rFonts w:ascii="Times New Roman" w:eastAsia="Times New Roman" w:hAnsi="Times New Roman" w:cs="Times New Roman"/>
        </w:rPr>
        <w:t>Diagenode</w:t>
      </w:r>
      <w:proofErr w:type="spellEnd"/>
      <w:r>
        <w:rPr>
          <w:rFonts w:ascii="Times New Roman" w:eastAsia="Times New Roman" w:hAnsi="Times New Roman" w:cs="Times New Roman"/>
        </w:rPr>
        <w:t>). The sample was diluted to recommended DNA concentration following the manufacturer’s instructions and sonicated by 12 cycles of 15 seconds sonicated / 90 seconds rest a</w:t>
      </w:r>
      <w:r>
        <w:rPr>
          <w:rFonts w:ascii="Times New Roman" w:eastAsia="Times New Roman" w:hAnsi="Times New Roman" w:cs="Times New Roman"/>
        </w:rPr>
        <w:t>t low intensity. The DNA fragmentation was checked by agarose gel electrophoresis.</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fragmented DNA was pooled at equimolar concentration, concentrated by vacuum, and purified with </w:t>
      </w:r>
      <w:proofErr w:type="spellStart"/>
      <w:r>
        <w:rPr>
          <w:rFonts w:ascii="Times New Roman" w:eastAsia="Times New Roman" w:hAnsi="Times New Roman" w:cs="Times New Roman"/>
        </w:rPr>
        <w:t>AMPure</w:t>
      </w:r>
      <w:proofErr w:type="spellEnd"/>
      <w:r>
        <w:rPr>
          <w:rFonts w:ascii="Times New Roman" w:eastAsia="Times New Roman" w:hAnsi="Times New Roman" w:cs="Times New Roman"/>
        </w:rPr>
        <w:t xml:space="preserve"> XP Beads. The DNA concentration was measured using Qubit 2.0 Fluor</w:t>
      </w:r>
      <w:r>
        <w:rPr>
          <w:rFonts w:ascii="Times New Roman" w:eastAsia="Times New Roman" w:hAnsi="Times New Roman" w:cs="Times New Roman"/>
        </w:rPr>
        <w:t>ometer in combination with Qubit dsDNA HS Assay Kit.</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The fragmented DNA was denatured and 3’ labelled with Biotin-</w:t>
      </w:r>
      <w:proofErr w:type="spellStart"/>
      <w:r>
        <w:rPr>
          <w:rFonts w:ascii="Times New Roman" w:eastAsia="Times New Roman" w:hAnsi="Times New Roman" w:cs="Times New Roman"/>
        </w:rPr>
        <w:t>dUTP</w:t>
      </w:r>
      <w:proofErr w:type="spellEnd"/>
      <w:r>
        <w:rPr>
          <w:rFonts w:ascii="Times New Roman" w:eastAsia="Times New Roman" w:hAnsi="Times New Roman" w:cs="Times New Roman"/>
        </w:rPr>
        <w:t xml:space="preserve"> (SIGMA) and the enzyme Terminal Transferase (</w:t>
      </w:r>
      <w:proofErr w:type="spellStart"/>
      <w:r>
        <w:rPr>
          <w:rFonts w:ascii="Times New Roman" w:eastAsia="Times New Roman" w:hAnsi="Times New Roman" w:cs="Times New Roman"/>
        </w:rPr>
        <w:t>TdT</w:t>
      </w:r>
      <w:proofErr w:type="spellEnd"/>
      <w:r>
        <w:rPr>
          <w:rFonts w:ascii="Times New Roman" w:eastAsia="Times New Roman" w:hAnsi="Times New Roman" w:cs="Times New Roman"/>
        </w:rPr>
        <w:t xml:space="preserve">, NEB; Templeton et al., 2013). Reactions were performed at 50uL final volumes according </w:t>
      </w:r>
      <w:r>
        <w:rPr>
          <w:rFonts w:ascii="Times New Roman" w:eastAsia="Times New Roman" w:hAnsi="Times New Roman" w:cs="Times New Roman"/>
        </w:rPr>
        <w:t xml:space="preserve">to the manufacturer’s instructions: 10pmol of 3’ ssDNA ends of sonicated mitochondrial probe DNA, 0.1mM Biotin-16-dUTP (SIGMA), and 40U Terminal Transferase enzyme (New England Biolabs). The reaction was performed at 37°C for 60min followed by 70°C for 10 </w:t>
      </w:r>
      <w:r>
        <w:rPr>
          <w:rFonts w:ascii="Times New Roman" w:eastAsia="Times New Roman" w:hAnsi="Times New Roman" w:cs="Times New Roman"/>
        </w:rPr>
        <w:t xml:space="preserve">min. The labelled probe was purified with </w:t>
      </w:r>
      <w:proofErr w:type="spellStart"/>
      <w:r>
        <w:rPr>
          <w:rFonts w:ascii="Times New Roman" w:eastAsia="Times New Roman" w:hAnsi="Times New Roman" w:cs="Times New Roman"/>
        </w:rPr>
        <w:t>AMPure</w:t>
      </w:r>
      <w:proofErr w:type="spellEnd"/>
      <w:r>
        <w:rPr>
          <w:rFonts w:ascii="Times New Roman" w:eastAsia="Times New Roman" w:hAnsi="Times New Roman" w:cs="Times New Roman"/>
        </w:rPr>
        <w:t xml:space="preserve"> XP beads and the concentration was measured using Qubit 2.0 Fluorometer in combination with Qubit dsDNA HS Assay Kit.</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purified 3’ biotin labelled probes were incubated in solution with </w:t>
      </w:r>
      <w:r>
        <w:rPr>
          <w:rFonts w:ascii="Times New Roman" w:eastAsia="Times New Roman" w:hAnsi="Times New Roman" w:cs="Times New Roman"/>
        </w:rPr>
        <w:t xml:space="preserve">Streptavidin-coupled </w:t>
      </w:r>
      <w:proofErr w:type="spellStart"/>
      <w:r>
        <w:rPr>
          <w:rFonts w:ascii="Times New Roman" w:eastAsia="Times New Roman" w:hAnsi="Times New Roman" w:cs="Times New Roman"/>
        </w:rPr>
        <w:t>Dynabeads</w:t>
      </w:r>
      <w:proofErr w:type="spellEnd"/>
      <w:r>
        <w:rPr>
          <w:rFonts w:ascii="Times New Roman" w:eastAsia="Times New Roman" w:hAnsi="Times New Roman" w:cs="Times New Roman"/>
        </w:rPr>
        <w:t xml:space="preserve">® Magnetic Beads M-280 (Invitrogen; </w:t>
      </w:r>
      <w:proofErr w:type="spellStart"/>
      <w:r>
        <w:rPr>
          <w:rFonts w:ascii="Times New Roman" w:eastAsia="Times New Roman" w:hAnsi="Times New Roman" w:cs="Times New Roman"/>
        </w:rPr>
        <w:t>Maricic</w:t>
      </w:r>
      <w:proofErr w:type="spellEnd"/>
      <w:r>
        <w:rPr>
          <w:rFonts w:ascii="Times New Roman" w:eastAsia="Times New Roman" w:hAnsi="Times New Roman" w:cs="Times New Roman"/>
        </w:rPr>
        <w:t xml:space="preserve"> et al., 2010): 500 ng of denatured 3’ labelled probe was combined with 5 </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of M-280 magnetic beads, according to the manufacturer’s instructions. The mix was incubated under rotatio</w:t>
      </w:r>
      <w:r>
        <w:rPr>
          <w:rFonts w:ascii="Times New Roman" w:eastAsia="Times New Roman" w:hAnsi="Times New Roman" w:cs="Times New Roman"/>
        </w:rPr>
        <w:t>n in BWT buffer (1x) at room temperature for 20 minutes, then was washed 2 times with BWT buffer (5mM Tris-</w:t>
      </w:r>
      <w:proofErr w:type="spellStart"/>
      <w:r>
        <w:rPr>
          <w:rFonts w:ascii="Times New Roman" w:eastAsia="Times New Roman" w:hAnsi="Times New Roman" w:cs="Times New Roman"/>
        </w:rPr>
        <w:t>HCl</w:t>
      </w:r>
      <w:proofErr w:type="spellEnd"/>
      <w:r>
        <w:rPr>
          <w:rFonts w:ascii="Times New Roman" w:eastAsia="Times New Roman" w:hAnsi="Times New Roman" w:cs="Times New Roman"/>
        </w:rPr>
        <w:t xml:space="preserve"> pH8.0; 1M </w:t>
      </w:r>
      <w:proofErr w:type="spellStart"/>
      <w:r>
        <w:rPr>
          <w:rFonts w:ascii="Times New Roman" w:eastAsia="Times New Roman" w:hAnsi="Times New Roman" w:cs="Times New Roman"/>
        </w:rPr>
        <w:t>NaCl</w:t>
      </w:r>
      <w:proofErr w:type="spellEnd"/>
      <w:r>
        <w:rPr>
          <w:rFonts w:ascii="Times New Roman" w:eastAsia="Times New Roman" w:hAnsi="Times New Roman" w:cs="Times New Roman"/>
        </w:rPr>
        <w:t>; 0.5mM EDTA pH 8.0; 0.05% Tween-20) and finally suspended in TET (10mM Tris-</w:t>
      </w:r>
      <w:proofErr w:type="spellStart"/>
      <w:r>
        <w:rPr>
          <w:rFonts w:ascii="Times New Roman" w:eastAsia="Times New Roman" w:hAnsi="Times New Roman" w:cs="Times New Roman"/>
        </w:rPr>
        <w:t>HCl</w:t>
      </w:r>
      <w:proofErr w:type="spellEnd"/>
      <w:r>
        <w:rPr>
          <w:rFonts w:ascii="Times New Roman" w:eastAsia="Times New Roman" w:hAnsi="Times New Roman" w:cs="Times New Roman"/>
        </w:rPr>
        <w:t xml:space="preserve"> pH8.0; 1mM EDTA pH 8.0; 0.05% Tween-20) buffer unt</w:t>
      </w:r>
      <w:r>
        <w:rPr>
          <w:rFonts w:ascii="Times New Roman" w:eastAsia="Times New Roman" w:hAnsi="Times New Roman" w:cs="Times New Roman"/>
        </w:rPr>
        <w:t>il the hybridization mix was prepared.</w:t>
      </w:r>
    </w:p>
    <w:p w:rsidR="00AD6F5D" w:rsidRDefault="00AD6F5D">
      <w:pPr>
        <w:pStyle w:val="LO-normal3"/>
        <w:widowControl/>
        <w:spacing w:after="120" w:line="480" w:lineRule="auto"/>
        <w:rPr>
          <w:rFonts w:ascii="Times New Roman" w:eastAsia="Times New Roman" w:hAnsi="Times New Roman" w:cs="Times New Roman"/>
          <w:u w:val="single"/>
        </w:rPr>
      </w:pPr>
    </w:p>
    <w:p w:rsidR="00AD6F5D" w:rsidRDefault="000056B3">
      <w:pPr>
        <w:pStyle w:val="LO-normal3"/>
        <w:widowControl/>
        <w:spacing w:after="120" w:line="480" w:lineRule="auto"/>
        <w:rPr>
          <w:rFonts w:ascii="Times New Roman" w:eastAsia="Times New Roman" w:hAnsi="Times New Roman" w:cs="Times New Roman"/>
        </w:rPr>
      </w:pPr>
      <w:r>
        <w:rPr>
          <w:rFonts w:ascii="Times New Roman" w:eastAsia="Times New Roman" w:hAnsi="Times New Roman" w:cs="Times New Roman"/>
          <w:u w:val="single"/>
        </w:rPr>
        <w:t>Mitochondrial DNA capture</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Capture was performed in solution by incubating the </w:t>
      </w:r>
      <w:proofErr w:type="spellStart"/>
      <w:r>
        <w:rPr>
          <w:rFonts w:ascii="Times New Roman" w:eastAsia="Times New Roman" w:hAnsi="Times New Roman" w:cs="Times New Roman"/>
          <w:i/>
        </w:rPr>
        <w:t>aDNA</w:t>
      </w:r>
      <w:proofErr w:type="spellEnd"/>
      <w:r>
        <w:rPr>
          <w:rFonts w:ascii="Times New Roman" w:eastAsia="Times New Roman" w:hAnsi="Times New Roman" w:cs="Times New Roman"/>
        </w:rPr>
        <w:t xml:space="preserve"> library with the bait-coated beads.</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Two micrograms of the indexed library were denatured in the hybridization mix (2xSSC; 0.5% SDS; 1</w:t>
      </w:r>
      <w:r>
        <w:rPr>
          <w:rFonts w:ascii="Times New Roman" w:eastAsia="Times New Roman" w:hAnsi="Times New Roman" w:cs="Times New Roman"/>
        </w:rPr>
        <w:t>3ng/</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BSA; 2uM blocking oligo mix), added to the washed bait-coated beads and then incubated at 55°C in a hybridization oven (following </w:t>
      </w:r>
      <w:proofErr w:type="spellStart"/>
      <w:r>
        <w:rPr>
          <w:rFonts w:ascii="Times New Roman" w:eastAsia="Times New Roman" w:hAnsi="Times New Roman" w:cs="Times New Roman"/>
        </w:rPr>
        <w:t>Maricic</w:t>
      </w:r>
      <w:proofErr w:type="spellEnd"/>
      <w:r>
        <w:rPr>
          <w:rFonts w:ascii="Times New Roman" w:eastAsia="Times New Roman" w:hAnsi="Times New Roman" w:cs="Times New Roman"/>
        </w:rPr>
        <w:t xml:space="preserve"> et al., 2010 with minor changes).</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After 48 hours, the bead complex (Library-probe-beads) was subjected to succe</w:t>
      </w:r>
      <w:r>
        <w:rPr>
          <w:rFonts w:ascii="Times New Roman" w:eastAsia="Times New Roman" w:hAnsi="Times New Roman" w:cs="Times New Roman"/>
        </w:rPr>
        <w:t>ssively increasing stringency washed using decreased salt and increased temperature: 2x saline sodium citrate (SSC)/0.1% sodium dodecyl sulphate (SDS) at 37°C for 1 min; 2x SSC/0.1% SDS at 42°C for 10 min; 1x SSC/0.1% SDS at 42°C for 10 min and 0.5x SSC/0.</w:t>
      </w:r>
      <w:r>
        <w:rPr>
          <w:rFonts w:ascii="Times New Roman" w:eastAsia="Times New Roman" w:hAnsi="Times New Roman" w:cs="Times New Roman"/>
        </w:rPr>
        <w:t>1% SDS at 42°C for 10 min.</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captured library was eluted by heating at 80°C for 15 min, purified with </w:t>
      </w:r>
      <w:proofErr w:type="spellStart"/>
      <w:r>
        <w:rPr>
          <w:rFonts w:ascii="Times New Roman" w:eastAsia="Times New Roman" w:hAnsi="Times New Roman" w:cs="Times New Roman"/>
        </w:rPr>
        <w:t>AMPure</w:t>
      </w:r>
      <w:proofErr w:type="spellEnd"/>
      <w:r>
        <w:rPr>
          <w:rFonts w:ascii="Times New Roman" w:eastAsia="Times New Roman" w:hAnsi="Times New Roman" w:cs="Times New Roman"/>
        </w:rPr>
        <w:t xml:space="preserve"> XP beads and DNA concentration was measured using Qubit 2.0 Fluorometer in combination with Qubit dsDNA HS Assay Kit.</w:t>
      </w:r>
    </w:p>
    <w:p w:rsidR="00AD6F5D" w:rsidRDefault="00AD6F5D">
      <w:pPr>
        <w:pStyle w:val="LO-normal3"/>
        <w:widowControl/>
        <w:spacing w:after="120" w:line="480" w:lineRule="auto"/>
        <w:rPr>
          <w:rFonts w:ascii="Times New Roman" w:eastAsia="Times New Roman" w:hAnsi="Times New Roman" w:cs="Times New Roman"/>
          <w:u w:val="single"/>
        </w:rPr>
      </w:pPr>
    </w:p>
    <w:p w:rsidR="00AD6F5D" w:rsidRDefault="000056B3">
      <w:pPr>
        <w:pStyle w:val="LO-normal3"/>
        <w:widowControl/>
        <w:spacing w:after="120" w:line="480" w:lineRule="auto"/>
        <w:rPr>
          <w:rFonts w:ascii="Times New Roman" w:eastAsia="Times New Roman" w:hAnsi="Times New Roman" w:cs="Times New Roman"/>
        </w:rPr>
      </w:pPr>
      <w:r>
        <w:rPr>
          <w:rFonts w:ascii="Times New Roman" w:eastAsia="Times New Roman" w:hAnsi="Times New Roman" w:cs="Times New Roman"/>
          <w:u w:val="single"/>
        </w:rPr>
        <w:t>Sequencing</w:t>
      </w: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rPr>
        <w:t>The captured li</w:t>
      </w:r>
      <w:r>
        <w:rPr>
          <w:rFonts w:ascii="Times New Roman" w:eastAsia="Times New Roman" w:hAnsi="Times New Roman" w:cs="Times New Roman"/>
        </w:rPr>
        <w:t xml:space="preserve">brary was diluted and sequenced by synthesis with </w:t>
      </w:r>
      <w:proofErr w:type="spellStart"/>
      <w:r>
        <w:rPr>
          <w:rFonts w:ascii="Times New Roman" w:eastAsia="Times New Roman" w:hAnsi="Times New Roman" w:cs="Times New Roman"/>
        </w:rPr>
        <w:t>MiSeq</w:t>
      </w:r>
      <w:proofErr w:type="spellEnd"/>
      <w:r>
        <w:rPr>
          <w:rFonts w:ascii="Times New Roman" w:eastAsia="Times New Roman" w:hAnsi="Times New Roman" w:cs="Times New Roman"/>
        </w:rPr>
        <w:t xml:space="preserve"> Reagent Kit v2 (2x150). Sequencing services using </w:t>
      </w:r>
      <w:proofErr w:type="spellStart"/>
      <w:r>
        <w:rPr>
          <w:rFonts w:ascii="Times New Roman" w:eastAsia="Times New Roman" w:hAnsi="Times New Roman" w:cs="Times New Roman"/>
        </w:rPr>
        <w:t>MiSeq</w:t>
      </w:r>
      <w:proofErr w:type="spellEnd"/>
      <w:r>
        <w:rPr>
          <w:rFonts w:ascii="Times New Roman" w:eastAsia="Times New Roman" w:hAnsi="Times New Roman" w:cs="Times New Roman"/>
        </w:rPr>
        <w:t xml:space="preserve"> (Illumina) were performed at INTA, </w:t>
      </w:r>
      <w:proofErr w:type="spellStart"/>
      <w:r>
        <w:rPr>
          <w:rFonts w:ascii="Times New Roman" w:eastAsia="Times New Roman" w:hAnsi="Times New Roman" w:cs="Times New Roman"/>
        </w:rPr>
        <w:t>Consorcio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Argentino</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Tecnología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Genómica</w:t>
      </w:r>
      <w:proofErr w:type="spellEnd"/>
      <w:r>
        <w:rPr>
          <w:rFonts w:ascii="Times New Roman" w:eastAsia="Times New Roman" w:hAnsi="Times New Roman" w:cs="Times New Roman"/>
        </w:rPr>
        <w:t xml:space="preserve"> (CATG) funded by grant </w:t>
      </w:r>
      <w:proofErr w:type="spellStart"/>
      <w:r>
        <w:rPr>
          <w:rFonts w:ascii="Times New Roman" w:eastAsia="Times New Roman" w:hAnsi="Times New Roman" w:cs="Times New Roman"/>
        </w:rPr>
        <w:t>MinCyT</w:t>
      </w:r>
      <w:proofErr w:type="spellEnd"/>
      <w:r>
        <w:rPr>
          <w:rFonts w:ascii="Times New Roman" w:eastAsia="Times New Roman" w:hAnsi="Times New Roman" w:cs="Times New Roman"/>
        </w:rPr>
        <w:t xml:space="preserve"> PPL 2011 004 </w:t>
      </w:r>
      <w:proofErr w:type="spellStart"/>
      <w:r>
        <w:rPr>
          <w:rFonts w:ascii="Times New Roman" w:eastAsia="Times New Roman" w:hAnsi="Times New Roman" w:cs="Times New Roman"/>
        </w:rPr>
        <w:t>Genómica</w:t>
      </w:r>
      <w:proofErr w:type="spellEnd"/>
      <w:r>
        <w:rPr>
          <w:rFonts w:ascii="Times New Roman" w:eastAsia="Times New Roman" w:hAnsi="Times New Roman" w:cs="Times New Roman"/>
        </w:rPr>
        <w:t>, AECID PCI_ARG</w:t>
      </w:r>
      <w:r>
        <w:rPr>
          <w:rFonts w:ascii="Times New Roman" w:eastAsia="Times New Roman" w:hAnsi="Times New Roman" w:cs="Times New Roman"/>
        </w:rPr>
        <w:t>109 A1/041041/11 and INTA.</w:t>
      </w:r>
    </w:p>
    <w:p w:rsidR="00AD6F5D" w:rsidRDefault="00AD6F5D">
      <w:pPr>
        <w:pStyle w:val="LO-normal3"/>
        <w:widowControl/>
        <w:spacing w:after="120" w:line="480" w:lineRule="auto"/>
        <w:jc w:val="both"/>
        <w:rPr>
          <w:rFonts w:ascii="Times New Roman" w:eastAsia="Times New Roman" w:hAnsi="Times New Roman" w:cs="Times New Roman"/>
        </w:rPr>
      </w:pPr>
    </w:p>
    <w:p w:rsidR="00AD6F5D" w:rsidRDefault="000056B3">
      <w:pPr>
        <w:pStyle w:val="LO-normal3"/>
        <w:widowControl/>
        <w:spacing w:after="120" w:line="480" w:lineRule="auto"/>
        <w:jc w:val="both"/>
        <w:rPr>
          <w:rFonts w:ascii="Times New Roman" w:eastAsia="Times New Roman" w:hAnsi="Times New Roman" w:cs="Times New Roman"/>
        </w:rPr>
      </w:pPr>
      <w:r>
        <w:rPr>
          <w:rFonts w:ascii="Times New Roman" w:eastAsia="Times New Roman" w:hAnsi="Times New Roman" w:cs="Times New Roman"/>
          <w:b/>
        </w:rPr>
        <w:t xml:space="preserve">Bioinformatic Analysis </w:t>
      </w:r>
      <w:r>
        <w:rPr>
          <w:rFonts w:ascii="Times New Roman" w:eastAsia="Times New Roman" w:hAnsi="Times New Roman" w:cs="Times New Roman"/>
        </w:rPr>
        <w:t>(</w:t>
      </w:r>
      <w:r>
        <w:rPr>
          <w:rFonts w:ascii="Courier New" w:eastAsia="Courier New" w:hAnsi="Courier New" w:cs="Courier New"/>
          <w:sz w:val="18"/>
          <w:szCs w:val="18"/>
        </w:rPr>
        <w:t>in this section, the options and parameters used are detailed with this typography</w:t>
      </w:r>
      <w:r>
        <w:rPr>
          <w:rFonts w:ascii="Times New Roman" w:eastAsia="Times New Roman" w:hAnsi="Times New Roman" w:cs="Times New Roman"/>
        </w:rPr>
        <w:t>)</w:t>
      </w:r>
    </w:p>
    <w:p w:rsidR="00AD6F5D" w:rsidRDefault="000056B3">
      <w:pPr>
        <w:pStyle w:val="LO-normal3"/>
        <w:widowControl/>
        <w:spacing w:after="120" w:line="480" w:lineRule="auto"/>
        <w:jc w:val="both"/>
      </w:pPr>
      <w:r>
        <w:rPr>
          <w:rFonts w:ascii="Times New Roman" w:eastAsia="Times New Roman" w:hAnsi="Times New Roman" w:cs="Times New Roman"/>
          <w:u w:val="single"/>
        </w:rPr>
        <w:t>Processing and mapping of sequenced reads and variant calling</w:t>
      </w:r>
    </w:p>
    <w:p w:rsidR="00AD6F5D" w:rsidRDefault="000056B3">
      <w:pPr>
        <w:pStyle w:val="LO-normal3"/>
        <w:widowControl/>
        <w:spacing w:after="120" w:line="480" w:lineRule="auto"/>
        <w:jc w:val="both"/>
      </w:pPr>
      <w:r>
        <w:rPr>
          <w:rFonts w:ascii="Times New Roman" w:eastAsia="Times New Roman" w:hAnsi="Times New Roman" w:cs="Times New Roman"/>
        </w:rPr>
        <w:lastRenderedPageBreak/>
        <w:t xml:space="preserve">The quality of the Illumina reads was evaluated with </w:t>
      </w:r>
      <w:proofErr w:type="spellStart"/>
      <w:r>
        <w:rPr>
          <w:rFonts w:ascii="Times New Roman" w:eastAsia="Times New Roman" w:hAnsi="Times New Roman" w:cs="Times New Roman"/>
        </w:rPr>
        <w:t>FastQ</w:t>
      </w:r>
      <w:r>
        <w:rPr>
          <w:rFonts w:ascii="Times New Roman" w:eastAsia="Times New Roman" w:hAnsi="Times New Roman" w:cs="Times New Roman"/>
        </w:rPr>
        <w:t>C</w:t>
      </w:r>
      <w:proofErr w:type="spellEnd"/>
      <w:r>
        <w:rPr>
          <w:rFonts w:ascii="Times New Roman" w:eastAsia="Times New Roman" w:hAnsi="Times New Roman" w:cs="Times New Roman"/>
        </w:rPr>
        <w:t xml:space="preserve"> (v0.10.1). Reads were trimmed and end-clipped to a PHRED score of 30 using </w:t>
      </w:r>
      <w:proofErr w:type="spellStart"/>
      <w:r>
        <w:rPr>
          <w:rFonts w:ascii="Times New Roman" w:eastAsia="Times New Roman" w:hAnsi="Times New Roman" w:cs="Times New Roman"/>
        </w:rPr>
        <w:t>Cutadapt</w:t>
      </w:r>
      <w:proofErr w:type="spellEnd"/>
      <w:r>
        <w:rPr>
          <w:rFonts w:ascii="Times New Roman" w:eastAsia="Times New Roman" w:hAnsi="Times New Roman" w:cs="Times New Roman"/>
        </w:rPr>
        <w:t xml:space="preserve"> (v1.16; Martin 2011), setting 24 bases for quality cutoff from 5’ and 3’ ends (</w:t>
      </w:r>
      <w:r>
        <w:rPr>
          <w:rFonts w:ascii="Courier New" w:eastAsia="Courier New" w:hAnsi="Courier New" w:cs="Courier New"/>
          <w:sz w:val="18"/>
          <w:szCs w:val="18"/>
        </w:rPr>
        <w:t>-q 24,24</w:t>
      </w:r>
      <w:r>
        <w:rPr>
          <w:rFonts w:ascii="Times New Roman" w:eastAsia="Times New Roman" w:hAnsi="Times New Roman" w:cs="Times New Roman"/>
        </w:rPr>
        <w:t>) and discarding reads shorter than 36 bases (</w:t>
      </w:r>
      <w:r>
        <w:rPr>
          <w:rFonts w:ascii="Courier New" w:eastAsia="Courier New" w:hAnsi="Courier New" w:cs="Courier New"/>
          <w:sz w:val="18"/>
          <w:szCs w:val="18"/>
        </w:rPr>
        <w:t>-m 36</w:t>
      </w:r>
      <w:r>
        <w:rPr>
          <w:rFonts w:ascii="Times New Roman" w:eastAsia="Times New Roman" w:hAnsi="Times New Roman" w:cs="Times New Roman"/>
        </w:rPr>
        <w:t>). The parameters for each optio</w:t>
      </w:r>
      <w:r>
        <w:rPr>
          <w:rFonts w:ascii="Times New Roman" w:eastAsia="Times New Roman" w:hAnsi="Times New Roman" w:cs="Times New Roman"/>
        </w:rPr>
        <w:t>n were chosen based on the characteristics of the readings obtained from the sequencing.</w:t>
      </w:r>
    </w:p>
    <w:p w:rsidR="00AD6F5D" w:rsidRDefault="000056B3">
      <w:pPr>
        <w:pStyle w:val="LO-normal3"/>
        <w:widowControl/>
        <w:spacing w:after="120" w:line="480" w:lineRule="auto"/>
        <w:jc w:val="both"/>
        <w:rPr>
          <w:highlight w:val="yellow"/>
        </w:rPr>
      </w:pPr>
      <w:r>
        <w:rPr>
          <w:rFonts w:ascii="Times New Roman" w:eastAsia="Times New Roman" w:hAnsi="Times New Roman" w:cs="Times New Roman"/>
        </w:rPr>
        <w:t xml:space="preserve">The paired-end reads were then merged using </w:t>
      </w:r>
      <w:proofErr w:type="spellStart"/>
      <w:r>
        <w:rPr>
          <w:rFonts w:ascii="Times New Roman" w:eastAsia="Times New Roman" w:hAnsi="Times New Roman" w:cs="Times New Roman"/>
        </w:rPr>
        <w:t>AdapterRemoval</w:t>
      </w:r>
      <w:proofErr w:type="spellEnd"/>
      <w:r>
        <w:rPr>
          <w:rFonts w:ascii="Times New Roman" w:eastAsia="Times New Roman" w:hAnsi="Times New Roman" w:cs="Times New Roman"/>
        </w:rPr>
        <w:t xml:space="preserve"> (v2.3.3; Schubert et al. 2016) when </w:t>
      </w:r>
      <w:proofErr w:type="spellStart"/>
      <w:r>
        <w:rPr>
          <w:rFonts w:ascii="Times New Roman" w:eastAsia="Times New Roman" w:hAnsi="Times New Roman" w:cs="Times New Roman"/>
        </w:rPr>
        <w:t>overlaping</w:t>
      </w:r>
      <w:proofErr w:type="spellEnd"/>
      <w:r>
        <w:rPr>
          <w:rFonts w:ascii="Times New Roman" w:eastAsia="Times New Roman" w:hAnsi="Times New Roman" w:cs="Times New Roman"/>
        </w:rPr>
        <w:t xml:space="preserve"> at least 23 bases (</w:t>
      </w:r>
      <w:r>
        <w:rPr>
          <w:rFonts w:ascii="Courier New" w:eastAsia="Courier New" w:hAnsi="Courier New" w:cs="Courier New"/>
          <w:sz w:val="18"/>
          <w:szCs w:val="18"/>
        </w:rPr>
        <w:t>--</w:t>
      </w:r>
      <w:proofErr w:type="spellStart"/>
      <w:r>
        <w:rPr>
          <w:rFonts w:ascii="Courier New" w:eastAsia="Courier New" w:hAnsi="Courier New" w:cs="Courier New"/>
          <w:sz w:val="18"/>
          <w:szCs w:val="18"/>
        </w:rPr>
        <w:t>minalignmentlength</w:t>
      </w:r>
      <w:proofErr w:type="spellEnd"/>
      <w:r>
        <w:rPr>
          <w:rFonts w:ascii="Courier New" w:eastAsia="Courier New" w:hAnsi="Courier New" w:cs="Courier New"/>
          <w:sz w:val="18"/>
          <w:szCs w:val="18"/>
        </w:rPr>
        <w:t xml:space="preserve"> 23</w:t>
      </w:r>
      <w:r>
        <w:rPr>
          <w:rFonts w:ascii="Times New Roman" w:eastAsia="Times New Roman" w:hAnsi="Times New Roman" w:cs="Times New Roman"/>
        </w:rPr>
        <w:t>) and using a conse</w:t>
      </w:r>
      <w:r>
        <w:rPr>
          <w:rFonts w:ascii="Times New Roman" w:eastAsia="Times New Roman" w:hAnsi="Times New Roman" w:cs="Times New Roman"/>
        </w:rPr>
        <w:t>rvative merging algorithm (</w:t>
      </w:r>
      <w:r>
        <w:rPr>
          <w:rFonts w:ascii="Courier New" w:eastAsia="Courier New" w:hAnsi="Courier New" w:cs="Courier New"/>
          <w:sz w:val="18"/>
          <w:szCs w:val="18"/>
        </w:rPr>
        <w:t>--collapse-conservatively</w:t>
      </w:r>
      <w:r>
        <w:rPr>
          <w:rFonts w:ascii="Times New Roman" w:eastAsia="Times New Roman" w:hAnsi="Times New Roman" w:cs="Times New Roman"/>
        </w:rPr>
        <w:t>).</w:t>
      </w:r>
    </w:p>
    <w:p w:rsidR="00AD6F5D" w:rsidRDefault="000056B3">
      <w:pPr>
        <w:pStyle w:val="LO-normal3"/>
        <w:widowControl/>
        <w:spacing w:after="120" w:line="480" w:lineRule="auto"/>
        <w:jc w:val="both"/>
      </w:pPr>
      <w:r>
        <w:rPr>
          <w:rFonts w:ascii="Times New Roman" w:eastAsia="Times New Roman" w:hAnsi="Times New Roman" w:cs="Times New Roman"/>
        </w:rPr>
        <w:t>The reads were then mapped to the revised Cambridge Reference Sequence (</w:t>
      </w:r>
      <w:proofErr w:type="spellStart"/>
      <w:r>
        <w:rPr>
          <w:rFonts w:ascii="Times New Roman" w:eastAsia="Times New Roman" w:hAnsi="Times New Roman" w:cs="Times New Roman"/>
        </w:rPr>
        <w:t>rCRS</w:t>
      </w:r>
      <w:proofErr w:type="spellEnd"/>
      <w:r>
        <w:rPr>
          <w:rFonts w:ascii="Times New Roman" w:eastAsia="Times New Roman" w:hAnsi="Times New Roman" w:cs="Times New Roman"/>
        </w:rPr>
        <w:t>; Andrews et al. 1999) using Burrows Wheeler Aligner (BWA; v0.7.10; Li and Durbin 2009). BWA-</w:t>
      </w:r>
      <w:proofErr w:type="gramStart"/>
      <w:r>
        <w:rPr>
          <w:rFonts w:ascii="Times New Roman" w:eastAsia="Times New Roman" w:hAnsi="Times New Roman" w:cs="Times New Roman"/>
        </w:rPr>
        <w:t>MEM  (</w:t>
      </w:r>
      <w:proofErr w:type="gramEnd"/>
      <w:r>
        <w:rPr>
          <w:rFonts w:ascii="Courier New" w:eastAsia="Courier New" w:hAnsi="Courier New" w:cs="Courier New"/>
          <w:sz w:val="18"/>
          <w:szCs w:val="18"/>
        </w:rPr>
        <w:t>mem</w:t>
      </w:r>
      <w:r>
        <w:rPr>
          <w:rFonts w:ascii="Times New Roman" w:eastAsia="Times New Roman" w:hAnsi="Times New Roman" w:cs="Times New Roman"/>
        </w:rPr>
        <w:t xml:space="preserve">) algorithm was chosen </w:t>
      </w:r>
      <w:r>
        <w:rPr>
          <w:rFonts w:ascii="Times New Roman" w:eastAsia="Times New Roman" w:hAnsi="Times New Roman" w:cs="Times New Roman"/>
        </w:rPr>
        <w:t xml:space="preserve">since it is optimized for reads between 70bp to 1Mbp. </w:t>
      </w:r>
      <w:proofErr w:type="spellStart"/>
      <w:r>
        <w:rPr>
          <w:rFonts w:ascii="Times New Roman" w:eastAsia="Times New Roman" w:hAnsi="Times New Roman" w:cs="Times New Roman"/>
        </w:rPr>
        <w:t>Uncollapsed</w:t>
      </w:r>
      <w:proofErr w:type="spellEnd"/>
      <w:r>
        <w:rPr>
          <w:rFonts w:ascii="Times New Roman" w:eastAsia="Times New Roman" w:hAnsi="Times New Roman" w:cs="Times New Roman"/>
        </w:rPr>
        <w:t xml:space="preserve"> reads were mapped as paired-end, and then collapsed reads were mapped as single end.</w:t>
      </w:r>
    </w:p>
    <w:p w:rsidR="00AD6F5D" w:rsidRDefault="000056B3">
      <w:pPr>
        <w:pStyle w:val="LO-normal3"/>
        <w:widowControl/>
        <w:spacing w:after="120" w:line="480" w:lineRule="auto"/>
        <w:jc w:val="both"/>
      </w:pPr>
      <w:r>
        <w:rPr>
          <w:rFonts w:ascii="Times New Roman" w:eastAsia="Times New Roman" w:hAnsi="Times New Roman" w:cs="Times New Roman"/>
        </w:rPr>
        <w:t>The outputs were converted to BAM files (</w:t>
      </w:r>
      <w:r>
        <w:rPr>
          <w:rFonts w:ascii="Liberation Mono" w:eastAsia="Liberation Mono" w:hAnsi="Liberation Mono" w:cs="Liberation Mono"/>
          <w:sz w:val="18"/>
          <w:szCs w:val="18"/>
        </w:rPr>
        <w:t>view</w:t>
      </w:r>
      <w:r>
        <w:rPr>
          <w:rFonts w:ascii="Times New Roman" w:eastAsia="Times New Roman" w:hAnsi="Times New Roman" w:cs="Times New Roman"/>
        </w:rPr>
        <w:t>), sorted (</w:t>
      </w:r>
      <w:r>
        <w:rPr>
          <w:rFonts w:ascii="Liberation Mono" w:eastAsia="Liberation Mono" w:hAnsi="Liberation Mono" w:cs="Liberation Mono"/>
          <w:sz w:val="18"/>
          <w:szCs w:val="18"/>
        </w:rPr>
        <w:t>sort</w:t>
      </w:r>
      <w:r>
        <w:rPr>
          <w:rFonts w:ascii="Times New Roman" w:eastAsia="Times New Roman" w:hAnsi="Times New Roman" w:cs="Times New Roman"/>
        </w:rPr>
        <w:t>) and then merged to a single bam file (</w:t>
      </w:r>
      <w:r>
        <w:rPr>
          <w:rFonts w:ascii="Liberation Mono" w:eastAsia="Liberation Mono" w:hAnsi="Liberation Mono" w:cs="Liberation Mono"/>
          <w:sz w:val="18"/>
          <w:szCs w:val="18"/>
        </w:rPr>
        <w:t>merge</w:t>
      </w:r>
      <w:r>
        <w:rPr>
          <w:rFonts w:ascii="Times New Roman" w:eastAsia="Times New Roman" w:hAnsi="Times New Roman" w:cs="Times New Roman"/>
        </w:rPr>
        <w:t xml:space="preserve">) using </w:t>
      </w:r>
      <w:proofErr w:type="spellStart"/>
      <w:r>
        <w:rPr>
          <w:rFonts w:ascii="Times New Roman" w:eastAsia="Times New Roman" w:hAnsi="Times New Roman" w:cs="Times New Roman"/>
        </w:rPr>
        <w:t>Samtools</w:t>
      </w:r>
      <w:proofErr w:type="spellEnd"/>
      <w:r>
        <w:rPr>
          <w:rFonts w:ascii="Times New Roman" w:eastAsia="Times New Roman" w:hAnsi="Times New Roman" w:cs="Times New Roman"/>
        </w:rPr>
        <w:t xml:space="preserve"> (v1.7; Li and Durbin 2009). In addition, one 3' nucleotide was trimmed in the bam file with </w:t>
      </w:r>
      <w:proofErr w:type="spellStart"/>
      <w:r>
        <w:rPr>
          <w:rFonts w:ascii="Times New Roman" w:eastAsia="Times New Roman" w:hAnsi="Times New Roman" w:cs="Times New Roman"/>
        </w:rPr>
        <w:t>bamUtil</w:t>
      </w:r>
      <w:proofErr w:type="spellEnd"/>
      <w:r>
        <w:rPr>
          <w:rFonts w:ascii="Times New Roman" w:eastAsia="Times New Roman" w:hAnsi="Times New Roman" w:cs="Times New Roman"/>
        </w:rPr>
        <w:t xml:space="preserve"> (v1.0.15; Jun et al. 2015; </w:t>
      </w:r>
      <w:proofErr w:type="spellStart"/>
      <w:r>
        <w:rPr>
          <w:rFonts w:ascii="Liberation Mono" w:eastAsia="Liberation Mono" w:hAnsi="Liberation Mono" w:cs="Liberation Mono"/>
          <w:sz w:val="18"/>
          <w:szCs w:val="18"/>
        </w:rPr>
        <w:t>trimBam</w:t>
      </w:r>
      <w:proofErr w:type="spellEnd"/>
      <w:r>
        <w:rPr>
          <w:rFonts w:ascii="Liberation Mono" w:eastAsia="Liberation Mono" w:hAnsi="Liberation Mono" w:cs="Liberation Mono"/>
          <w:sz w:val="18"/>
          <w:szCs w:val="18"/>
        </w:rPr>
        <w:t xml:space="preserve"> -R 1 -c</w:t>
      </w:r>
      <w:r>
        <w:rPr>
          <w:rFonts w:ascii="Times New Roman" w:eastAsia="Times New Roman" w:hAnsi="Times New Roman" w:cs="Times New Roman"/>
        </w:rPr>
        <w:t>).</w:t>
      </w:r>
    </w:p>
    <w:p w:rsidR="00AD6F5D" w:rsidRDefault="000056B3">
      <w:pPr>
        <w:pStyle w:val="LO-normal3"/>
        <w:widowControl/>
        <w:spacing w:after="120" w:line="480" w:lineRule="auto"/>
        <w:jc w:val="both"/>
      </w:pPr>
      <w:r>
        <w:rPr>
          <w:rFonts w:ascii="Times New Roman" w:eastAsia="Times New Roman" w:hAnsi="Times New Roman" w:cs="Times New Roman"/>
        </w:rPr>
        <w:t xml:space="preserve">Mapping statistics were calculated with </w:t>
      </w:r>
      <w:proofErr w:type="spellStart"/>
      <w:r>
        <w:rPr>
          <w:rFonts w:ascii="Times New Roman" w:eastAsia="Times New Roman" w:hAnsi="Times New Roman" w:cs="Times New Roman"/>
        </w:rPr>
        <w:t>Bamtools</w:t>
      </w:r>
      <w:proofErr w:type="spellEnd"/>
      <w:r>
        <w:rPr>
          <w:rFonts w:ascii="Times New Roman" w:eastAsia="Times New Roman" w:hAnsi="Times New Roman" w:cs="Times New Roman"/>
        </w:rPr>
        <w:t xml:space="preserve"> (v2.5.1; Barnett et al. 2011; </w:t>
      </w:r>
      <w:r>
        <w:rPr>
          <w:rFonts w:ascii="Liberation Mono" w:eastAsia="Liberation Mono" w:hAnsi="Liberation Mono" w:cs="Liberation Mono"/>
          <w:sz w:val="18"/>
          <w:szCs w:val="18"/>
        </w:rPr>
        <w:t>stats</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and  </w:t>
      </w:r>
      <w:proofErr w:type="spellStart"/>
      <w:r>
        <w:rPr>
          <w:rFonts w:ascii="Times New Roman" w:eastAsia="Times New Roman" w:hAnsi="Times New Roman" w:cs="Times New Roman"/>
        </w:rPr>
        <w:t>Sam</w:t>
      </w:r>
      <w:r>
        <w:rPr>
          <w:rFonts w:ascii="Times New Roman" w:eastAsia="Times New Roman" w:hAnsi="Times New Roman" w:cs="Times New Roman"/>
        </w:rPr>
        <w:t>tools</w:t>
      </w:r>
      <w:proofErr w:type="spellEnd"/>
      <w:proofErr w:type="gramEnd"/>
      <w:r>
        <w:rPr>
          <w:rFonts w:ascii="Times New Roman" w:eastAsia="Times New Roman" w:hAnsi="Times New Roman" w:cs="Times New Roman"/>
        </w:rPr>
        <w:t xml:space="preserve"> (</w:t>
      </w:r>
      <w:r>
        <w:rPr>
          <w:rFonts w:ascii="Liberation Mono" w:eastAsia="Liberation Mono" w:hAnsi="Liberation Mono" w:cs="Liberation Mono"/>
          <w:sz w:val="18"/>
          <w:szCs w:val="18"/>
        </w:rPr>
        <w:t>depth</w:t>
      </w:r>
      <w:r>
        <w:rPr>
          <w:rFonts w:ascii="Times New Roman" w:eastAsia="Times New Roman" w:hAnsi="Times New Roman" w:cs="Times New Roman"/>
        </w:rPr>
        <w:t xml:space="preserve">).  </w:t>
      </w:r>
    </w:p>
    <w:p w:rsidR="00AD6F5D" w:rsidRDefault="000056B3">
      <w:pPr>
        <w:pStyle w:val="LO-normal3"/>
        <w:widowControl/>
        <w:spacing w:after="120" w:line="480" w:lineRule="auto"/>
        <w:jc w:val="both"/>
      </w:pPr>
      <w:r>
        <w:rPr>
          <w:rFonts w:ascii="Times New Roman" w:eastAsia="Times New Roman" w:hAnsi="Times New Roman" w:cs="Times New Roman"/>
        </w:rPr>
        <w:t xml:space="preserve">Duplicates were marked and discarded using Picard-tools (v2.18; </w:t>
      </w:r>
      <w:hyperlink r:id="rId7">
        <w:r>
          <w:rPr>
            <w:rFonts w:ascii="Times New Roman" w:eastAsia="Times New Roman" w:hAnsi="Times New Roman" w:cs="Times New Roman"/>
            <w:u w:val="single"/>
          </w:rPr>
          <w:t>http://broadinstitute.github.io/picard/</w:t>
        </w:r>
      </w:hyperlink>
      <w:r>
        <w:rPr>
          <w:rFonts w:ascii="Times New Roman" w:eastAsia="Times New Roman" w:hAnsi="Times New Roman" w:cs="Times New Roman"/>
          <w:u w:val="single"/>
        </w:rPr>
        <w:t>;</w:t>
      </w:r>
      <w:r>
        <w:rPr>
          <w:rFonts w:ascii="Liberation Mono" w:eastAsia="Liberation Mono" w:hAnsi="Liberation Mono" w:cs="Liberation Mono"/>
          <w:sz w:val="18"/>
          <w:szCs w:val="18"/>
        </w:rPr>
        <w:t xml:space="preserve"> </w:t>
      </w:r>
      <w:proofErr w:type="spellStart"/>
      <w:r>
        <w:rPr>
          <w:rFonts w:ascii="Courier New" w:eastAsia="Courier New" w:hAnsi="Courier New" w:cs="Courier New"/>
          <w:sz w:val="18"/>
          <w:szCs w:val="18"/>
        </w:rPr>
        <w:t>MarkDuplicates</w:t>
      </w:r>
      <w:proofErr w:type="spellEnd"/>
      <w:r>
        <w:rPr>
          <w:rFonts w:ascii="Courier New" w:eastAsia="Courier New" w:hAnsi="Courier New" w:cs="Courier New"/>
          <w:sz w:val="18"/>
          <w:szCs w:val="18"/>
        </w:rPr>
        <w:t xml:space="preserve"> VALIDATION_STRINGENCY=LENIENT</w:t>
      </w:r>
      <w:r>
        <w:rPr>
          <w:rFonts w:ascii="Times New Roman" w:eastAsia="Times New Roman" w:hAnsi="Times New Roman" w:cs="Times New Roman"/>
        </w:rPr>
        <w:t>), and a bam file was generated</w:t>
      </w:r>
      <w:r>
        <w:rPr>
          <w:rFonts w:ascii="Times New Roman" w:eastAsia="Times New Roman" w:hAnsi="Times New Roman" w:cs="Times New Roman"/>
        </w:rPr>
        <w:t xml:space="preserve"> with mapped reads only using </w:t>
      </w:r>
      <w:proofErr w:type="spellStart"/>
      <w:r>
        <w:rPr>
          <w:rFonts w:ascii="Times New Roman" w:eastAsia="Times New Roman" w:hAnsi="Times New Roman" w:cs="Times New Roman"/>
        </w:rPr>
        <w:t>Bamtools</w:t>
      </w:r>
      <w:proofErr w:type="spellEnd"/>
      <w:r>
        <w:rPr>
          <w:rFonts w:ascii="Times New Roman" w:eastAsia="Times New Roman" w:hAnsi="Times New Roman" w:cs="Times New Roman"/>
        </w:rPr>
        <w:t xml:space="preserve"> (</w:t>
      </w:r>
      <w:r>
        <w:rPr>
          <w:rFonts w:ascii="Courier New" w:eastAsia="Courier New" w:hAnsi="Courier New" w:cs="Courier New"/>
          <w:sz w:val="18"/>
          <w:szCs w:val="18"/>
        </w:rPr>
        <w:t>split -mapped</w:t>
      </w:r>
      <w:r>
        <w:rPr>
          <w:rFonts w:ascii="Times New Roman" w:eastAsia="Times New Roman" w:hAnsi="Times New Roman" w:cs="Times New Roman"/>
        </w:rPr>
        <w:t xml:space="preserve">). The </w:t>
      </w:r>
      <w:proofErr w:type="spellStart"/>
      <w:r>
        <w:rPr>
          <w:rFonts w:ascii="Times New Roman" w:eastAsia="Times New Roman" w:hAnsi="Times New Roman" w:cs="Times New Roman"/>
          <w:i/>
        </w:rPr>
        <w:t>aDNA</w:t>
      </w:r>
      <w:proofErr w:type="spellEnd"/>
      <w:r>
        <w:rPr>
          <w:rFonts w:ascii="Times New Roman" w:eastAsia="Times New Roman" w:hAnsi="Times New Roman" w:cs="Times New Roman"/>
        </w:rPr>
        <w:t xml:space="preserve"> damage patterns were assessed using MapDamage2 (v2.0; </w:t>
      </w:r>
      <w:proofErr w:type="spellStart"/>
      <w:r>
        <w:rPr>
          <w:rFonts w:ascii="Times New Roman" w:eastAsia="Times New Roman" w:hAnsi="Times New Roman" w:cs="Times New Roman"/>
        </w:rPr>
        <w:t>Jónsson</w:t>
      </w:r>
      <w:proofErr w:type="spellEnd"/>
      <w:r>
        <w:rPr>
          <w:rFonts w:ascii="Times New Roman" w:eastAsia="Times New Roman" w:hAnsi="Times New Roman" w:cs="Times New Roman"/>
        </w:rPr>
        <w:t xml:space="preserve"> et al. 2013).</w:t>
      </w:r>
    </w:p>
    <w:p w:rsidR="00AD6F5D" w:rsidRDefault="000056B3">
      <w:pPr>
        <w:pStyle w:val="LO-normal3"/>
        <w:widowControl/>
        <w:spacing w:after="120" w:line="480" w:lineRule="auto"/>
        <w:jc w:val="both"/>
      </w:pPr>
      <w:r>
        <w:rPr>
          <w:rFonts w:ascii="Times New Roman" w:eastAsia="Times New Roman" w:hAnsi="Times New Roman" w:cs="Times New Roman"/>
        </w:rPr>
        <w:t xml:space="preserve">Variant calling was performed using </w:t>
      </w:r>
      <w:proofErr w:type="spellStart"/>
      <w:r>
        <w:rPr>
          <w:rFonts w:ascii="Times New Roman" w:eastAsia="Times New Roman" w:hAnsi="Times New Roman" w:cs="Times New Roman"/>
        </w:rPr>
        <w:t>BCFtools</w:t>
      </w:r>
      <w:proofErr w:type="spellEnd"/>
      <w:r>
        <w:rPr>
          <w:rFonts w:ascii="Times New Roman" w:eastAsia="Times New Roman" w:hAnsi="Times New Roman" w:cs="Times New Roman"/>
        </w:rPr>
        <w:t xml:space="preserve"> (v1.9; </w:t>
      </w:r>
      <w:proofErr w:type="spellStart"/>
      <w:r>
        <w:rPr>
          <w:rFonts w:ascii="Times New Roman" w:eastAsia="Times New Roman" w:hAnsi="Times New Roman" w:cs="Times New Roman"/>
        </w:rPr>
        <w:t>Danecek</w:t>
      </w:r>
      <w:proofErr w:type="spellEnd"/>
      <w:r>
        <w:rPr>
          <w:rFonts w:ascii="Times New Roman" w:eastAsia="Times New Roman" w:hAnsi="Times New Roman" w:cs="Times New Roman"/>
        </w:rPr>
        <w:t xml:space="preserve"> and McCarthy 2017; Narasimhan et al. 2016; </w:t>
      </w:r>
      <w:proofErr w:type="spellStart"/>
      <w:r>
        <w:rPr>
          <w:rFonts w:ascii="Courier New" w:eastAsia="Courier New" w:hAnsi="Courier New" w:cs="Courier New"/>
          <w:sz w:val="18"/>
          <w:szCs w:val="18"/>
        </w:rPr>
        <w:t>mpileup</w:t>
      </w:r>
      <w:proofErr w:type="spellEnd"/>
      <w:r>
        <w:rPr>
          <w:rFonts w:ascii="Times New Roman" w:eastAsia="Times New Roman" w:hAnsi="Times New Roman" w:cs="Times New Roman"/>
        </w:rPr>
        <w:t>, and</w:t>
      </w:r>
      <w:r>
        <w:rPr>
          <w:rFonts w:ascii="Times New Roman" w:eastAsia="Times New Roman" w:hAnsi="Times New Roman" w:cs="Times New Roman"/>
        </w:rPr>
        <w:t xml:space="preserve"> then</w:t>
      </w:r>
      <w:r>
        <w:rPr>
          <w:rFonts w:ascii="Courier New" w:eastAsia="Courier New" w:hAnsi="Courier New" w:cs="Courier New"/>
          <w:sz w:val="18"/>
          <w:szCs w:val="18"/>
        </w:rPr>
        <w:t xml:space="preserve"> call -mv --ploidy 1 -Ob</w:t>
      </w:r>
      <w:r>
        <w:rPr>
          <w:rFonts w:ascii="Times New Roman" w:eastAsia="Times New Roman" w:hAnsi="Times New Roman" w:cs="Times New Roman"/>
        </w:rPr>
        <w:t xml:space="preserve">). The information yielded by the Sanger sequences and obtained for HVR1 in Crespo et al. 2020 was incorporated into variant </w:t>
      </w:r>
      <w:r>
        <w:rPr>
          <w:rFonts w:ascii="Times New Roman" w:eastAsia="Times New Roman" w:hAnsi="Times New Roman" w:cs="Times New Roman"/>
        </w:rPr>
        <w:lastRenderedPageBreak/>
        <w:t xml:space="preserve">calling by manually increasing the variant depth by two units or increasing the base </w:t>
      </w:r>
      <w:proofErr w:type="spellStart"/>
      <w:r>
        <w:rPr>
          <w:rFonts w:ascii="Times New Roman" w:eastAsia="Times New Roman" w:hAnsi="Times New Roman" w:cs="Times New Roman"/>
        </w:rPr>
        <w:t>quiality</w:t>
      </w:r>
      <w:proofErr w:type="spellEnd"/>
      <w:r>
        <w:rPr>
          <w:rFonts w:ascii="Times New Roman" w:eastAsia="Times New Roman" w:hAnsi="Times New Roman" w:cs="Times New Roman"/>
        </w:rPr>
        <w:t xml:space="preserve"> to 30.</w:t>
      </w:r>
    </w:p>
    <w:p w:rsidR="00AD6F5D" w:rsidRDefault="000056B3">
      <w:pPr>
        <w:pStyle w:val="LO-normal3"/>
        <w:widowControl/>
        <w:spacing w:after="120" w:line="480" w:lineRule="auto"/>
        <w:jc w:val="both"/>
      </w:pPr>
      <w:r>
        <w:rPr>
          <w:rFonts w:ascii="Times New Roman" w:eastAsia="Times New Roman" w:hAnsi="Times New Roman" w:cs="Times New Roman"/>
        </w:rPr>
        <w:t>F</w:t>
      </w:r>
      <w:r>
        <w:rPr>
          <w:rFonts w:ascii="Times New Roman" w:eastAsia="Times New Roman" w:hAnsi="Times New Roman" w:cs="Times New Roman"/>
        </w:rPr>
        <w:t xml:space="preserve">inally, variant filtering was made also using </w:t>
      </w:r>
      <w:proofErr w:type="spellStart"/>
      <w:r>
        <w:rPr>
          <w:rFonts w:ascii="Times New Roman" w:eastAsia="Times New Roman" w:hAnsi="Times New Roman" w:cs="Times New Roman"/>
        </w:rPr>
        <w:t>BCFtools</w:t>
      </w:r>
      <w:proofErr w:type="spellEnd"/>
      <w:r>
        <w:rPr>
          <w:rFonts w:ascii="Times New Roman" w:eastAsia="Times New Roman" w:hAnsi="Times New Roman" w:cs="Times New Roman"/>
        </w:rPr>
        <w:t xml:space="preserve"> with the following parameters: for both reference site and variation site, base quality was set to &gt;=30 with at least two reads covering the variation site (</w:t>
      </w:r>
      <w:r>
        <w:rPr>
          <w:rFonts w:ascii="Courier New" w:eastAsia="Courier New" w:hAnsi="Courier New" w:cs="Courier New"/>
          <w:sz w:val="18"/>
          <w:szCs w:val="18"/>
        </w:rPr>
        <w:t>filter -</w:t>
      </w:r>
      <w:proofErr w:type="spellStart"/>
      <w:r>
        <w:rPr>
          <w:rFonts w:ascii="Courier New" w:eastAsia="Courier New" w:hAnsi="Courier New" w:cs="Courier New"/>
          <w:sz w:val="18"/>
          <w:szCs w:val="18"/>
        </w:rPr>
        <w:t>i</w:t>
      </w:r>
      <w:proofErr w:type="spellEnd"/>
      <w:r>
        <w:rPr>
          <w:rFonts w:ascii="Courier New" w:eastAsia="Courier New" w:hAnsi="Courier New" w:cs="Courier New"/>
          <w:sz w:val="18"/>
          <w:szCs w:val="18"/>
        </w:rPr>
        <w:t xml:space="preserve"> 'DP&gt;=2 &amp;&amp; MQ&gt;=40 &amp;&amp; QUAL&gt;=30'</w:t>
      </w:r>
      <w:r>
        <w:rPr>
          <w:rFonts w:ascii="Times New Roman" w:eastAsia="Times New Roman" w:hAnsi="Times New Roman" w:cs="Times New Roman"/>
        </w:rPr>
        <w:t>). SN</w:t>
      </w:r>
      <w:r>
        <w:rPr>
          <w:rFonts w:ascii="Times New Roman" w:eastAsia="Times New Roman" w:hAnsi="Times New Roman" w:cs="Times New Roman"/>
        </w:rPr>
        <w:t xml:space="preserve">Ps located less than 10 </w:t>
      </w:r>
      <w:proofErr w:type="spellStart"/>
      <w:r>
        <w:rPr>
          <w:rFonts w:ascii="Times New Roman" w:eastAsia="Times New Roman" w:hAnsi="Times New Roman" w:cs="Times New Roman"/>
        </w:rPr>
        <w:t>bp</w:t>
      </w:r>
      <w:proofErr w:type="spellEnd"/>
      <w:r>
        <w:rPr>
          <w:rFonts w:ascii="Times New Roman" w:eastAsia="Times New Roman" w:hAnsi="Times New Roman" w:cs="Times New Roman"/>
        </w:rPr>
        <w:t xml:space="preserve"> away from indels were removed to avoid false positive SNP. </w:t>
      </w:r>
    </w:p>
    <w:p w:rsidR="00AD6F5D" w:rsidRDefault="00AD6F5D">
      <w:pPr>
        <w:pStyle w:val="LO-normal3"/>
        <w:widowControl/>
        <w:spacing w:after="120" w:line="480" w:lineRule="auto"/>
        <w:ind w:right="140"/>
        <w:jc w:val="both"/>
        <w:rPr>
          <w:rFonts w:ascii="Liberation Mono" w:eastAsia="Liberation Mono" w:hAnsi="Liberation Mono" w:cs="Liberation Mono"/>
        </w:rPr>
      </w:pPr>
    </w:p>
    <w:p w:rsidR="00AD6F5D" w:rsidRDefault="000056B3">
      <w:pPr>
        <w:pStyle w:val="LO-normal3"/>
        <w:widowControl/>
        <w:spacing w:after="120" w:line="480" w:lineRule="auto"/>
        <w:jc w:val="both"/>
        <w:rPr>
          <w:rFonts w:ascii="Times New Roman" w:eastAsia="Times New Roman" w:hAnsi="Times New Roman" w:cs="Times New Roman"/>
          <w:u w:val="single"/>
        </w:rPr>
      </w:pPr>
      <w:r>
        <w:rPr>
          <w:rFonts w:ascii="Times New Roman" w:eastAsia="Times New Roman" w:hAnsi="Times New Roman" w:cs="Times New Roman"/>
          <w:u w:val="single"/>
        </w:rPr>
        <w:t>Construction of the consensus mitogenome</w:t>
      </w:r>
    </w:p>
    <w:p w:rsidR="00AD6F5D" w:rsidRDefault="000056B3">
      <w:pPr>
        <w:pStyle w:val="LO-normal3"/>
        <w:widowControl/>
        <w:spacing w:after="120" w:line="480" w:lineRule="auto"/>
        <w:jc w:val="both"/>
      </w:pPr>
      <w:r>
        <w:rPr>
          <w:rFonts w:ascii="Times New Roman" w:eastAsia="Times New Roman" w:hAnsi="Times New Roman" w:cs="Times New Roman"/>
        </w:rPr>
        <w:t xml:space="preserve">To identify positions with depth &lt;2, </w:t>
      </w:r>
      <w:proofErr w:type="spellStart"/>
      <w:r>
        <w:rPr>
          <w:rFonts w:ascii="Courier New" w:eastAsia="Courier New" w:hAnsi="Courier New" w:cs="Courier New"/>
          <w:sz w:val="18"/>
          <w:szCs w:val="18"/>
        </w:rPr>
        <w:t>awk</w:t>
      </w:r>
      <w:proofErr w:type="spellEnd"/>
      <w:r>
        <w:rPr>
          <w:rFonts w:ascii="Times New Roman" w:eastAsia="Times New Roman" w:hAnsi="Times New Roman" w:cs="Times New Roman"/>
        </w:rPr>
        <w:t xml:space="preserve"> was used to filter the file generated with </w:t>
      </w:r>
      <w:proofErr w:type="spellStart"/>
      <w:r>
        <w:rPr>
          <w:rFonts w:ascii="Times New Roman" w:eastAsia="Times New Roman" w:hAnsi="Times New Roman" w:cs="Times New Roman"/>
        </w:rPr>
        <w:t>Samtools</w:t>
      </w:r>
      <w:proofErr w:type="spellEnd"/>
      <w:r>
        <w:rPr>
          <w:rFonts w:ascii="Times New Roman" w:eastAsia="Times New Roman" w:hAnsi="Times New Roman" w:cs="Times New Roman"/>
        </w:rPr>
        <w:t xml:space="preserve"> (</w:t>
      </w:r>
      <w:r>
        <w:rPr>
          <w:rFonts w:ascii="Liberation Mono" w:eastAsia="Liberation Mono" w:hAnsi="Liberation Mono" w:cs="Liberation Mono"/>
          <w:sz w:val="18"/>
          <w:szCs w:val="18"/>
        </w:rPr>
        <w:t>depth -a</w:t>
      </w:r>
      <w:r>
        <w:rPr>
          <w:rFonts w:ascii="Times New Roman" w:eastAsia="Times New Roman" w:hAnsi="Times New Roman" w:cs="Times New Roman"/>
        </w:rPr>
        <w:t xml:space="preserve">). Those positions were </w:t>
      </w:r>
      <w:r>
        <w:rPr>
          <w:rFonts w:ascii="Times New Roman" w:eastAsia="Times New Roman" w:hAnsi="Times New Roman" w:cs="Times New Roman"/>
        </w:rPr>
        <w:t xml:space="preserve">treated as missing data ("N"). The latter file together with the final VCF were used to construct a consensus genome of the individual PZ3 using </w:t>
      </w:r>
      <w:proofErr w:type="spellStart"/>
      <w:r>
        <w:rPr>
          <w:rFonts w:ascii="Times New Roman" w:eastAsia="Times New Roman" w:hAnsi="Times New Roman" w:cs="Times New Roman"/>
        </w:rPr>
        <w:t>BCFtools</w:t>
      </w:r>
      <w:proofErr w:type="spellEnd"/>
      <w:r>
        <w:rPr>
          <w:rFonts w:ascii="Times New Roman" w:eastAsia="Times New Roman" w:hAnsi="Times New Roman" w:cs="Times New Roman"/>
        </w:rPr>
        <w:t xml:space="preserve"> (</w:t>
      </w:r>
      <w:r>
        <w:rPr>
          <w:rFonts w:ascii="Liberation Mono" w:eastAsia="Liberation Mono" w:hAnsi="Liberation Mono" w:cs="Liberation Mono"/>
          <w:sz w:val="18"/>
          <w:szCs w:val="18"/>
        </w:rPr>
        <w:t>consensus -m</w:t>
      </w:r>
      <w:r>
        <w:rPr>
          <w:rFonts w:ascii="Times New Roman" w:eastAsia="Times New Roman" w:hAnsi="Times New Roman" w:cs="Times New Roman"/>
        </w:rPr>
        <w:t xml:space="preserve">). The mitochondrial haplogroup was determined by using HaploGrep2 (v2.2; </w:t>
      </w:r>
      <w:proofErr w:type="spellStart"/>
      <w:r>
        <w:rPr>
          <w:rFonts w:ascii="Times New Roman" w:eastAsia="Times New Roman" w:hAnsi="Times New Roman" w:cs="Times New Roman"/>
        </w:rPr>
        <w:t>Weissensteiner</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et al. 2016). </w:t>
      </w:r>
      <w:bookmarkStart w:id="1" w:name="bookmark=id.gjdgxs"/>
      <w:bookmarkEnd w:id="1"/>
    </w:p>
    <w:p w:rsidR="00AD6F5D" w:rsidRDefault="000056B3">
      <w:pPr>
        <w:pStyle w:val="LO-normal3"/>
      </w:pPr>
      <w:r>
        <w:br w:type="page"/>
      </w:r>
    </w:p>
    <w:p w:rsidR="00AD6F5D" w:rsidRPr="004B78E6" w:rsidRDefault="000056B3">
      <w:pPr>
        <w:pStyle w:val="LO-normal3"/>
        <w:widowControl/>
        <w:spacing w:line="480" w:lineRule="auto"/>
        <w:jc w:val="both"/>
        <w:rPr>
          <w:rFonts w:ascii="Times New Roman" w:eastAsia="Times New Roman" w:hAnsi="Times New Roman" w:cs="Times New Roman"/>
          <w:lang w:val="es-CL"/>
        </w:rPr>
      </w:pPr>
      <w:r w:rsidRPr="004B78E6">
        <w:rPr>
          <w:rFonts w:ascii="Times New Roman" w:eastAsia="Times New Roman" w:hAnsi="Times New Roman" w:cs="Times New Roman"/>
          <w:b/>
          <w:lang w:val="es-CL"/>
        </w:rPr>
        <w:lastRenderedPageBreak/>
        <w:t>References cited</w:t>
      </w:r>
    </w:p>
    <w:p w:rsidR="00AD6F5D" w:rsidRPr="004B78E6" w:rsidRDefault="000056B3">
      <w:pPr>
        <w:pStyle w:val="LO-normal3"/>
        <w:spacing w:after="120" w:line="276" w:lineRule="auto"/>
        <w:ind w:left="480" w:hanging="480"/>
        <w:rPr>
          <w:rFonts w:ascii="Times New Roman" w:eastAsia="Times New Roman" w:hAnsi="Times New Roman" w:cs="Times New Roman"/>
          <w:lang w:val="es-CL"/>
        </w:rPr>
      </w:pPr>
      <w:r w:rsidRPr="004B78E6">
        <w:rPr>
          <w:rFonts w:ascii="Times New Roman" w:eastAsia="Times New Roman" w:hAnsi="Times New Roman" w:cs="Times New Roman"/>
          <w:lang w:val="es-CL"/>
        </w:rPr>
        <w:t xml:space="preserve">AABA (2007). Declaración de la Asociación de Antropología Biológica Argentina en relación con la ética del estudio de restos humanos. Available at: </w:t>
      </w:r>
      <w:r>
        <w:fldChar w:fldCharType="begin"/>
      </w:r>
      <w:r w:rsidRPr="004B78E6">
        <w:rPr>
          <w:lang w:val="es-CL"/>
        </w:rPr>
        <w:instrText xml:space="preserve"> HYPERLINK "http://www.fcnym.unlp.edu.ar/aaba" \h </w:instrText>
      </w:r>
      <w:r>
        <w:fldChar w:fldCharType="separate"/>
      </w:r>
      <w:r w:rsidRPr="004B78E6">
        <w:rPr>
          <w:rFonts w:ascii="Times New Roman" w:eastAsia="Times New Roman" w:hAnsi="Times New Roman" w:cs="Times New Roman"/>
          <w:lang w:val="es-CL"/>
        </w:rPr>
        <w:t>www.fcnym.unlp.edu.ar</w:t>
      </w:r>
      <w:r w:rsidRPr="004B78E6">
        <w:rPr>
          <w:rFonts w:ascii="Times New Roman" w:eastAsia="Times New Roman" w:hAnsi="Times New Roman" w:cs="Times New Roman"/>
          <w:lang w:val="es-CL"/>
        </w:rPr>
        <w:t>/aaba</w:t>
      </w:r>
      <w:r>
        <w:rPr>
          <w:rFonts w:ascii="Times New Roman" w:eastAsia="Times New Roman" w:hAnsi="Times New Roman" w:cs="Times New Roman"/>
        </w:rPr>
        <w:fldChar w:fldCharType="end"/>
      </w:r>
      <w:r w:rsidRPr="004B78E6">
        <w:rPr>
          <w:rFonts w:ascii="Times New Roman" w:eastAsia="Times New Roman" w:hAnsi="Times New Roman" w:cs="Times New Roman"/>
          <w:lang w:val="es-CL"/>
        </w:rPr>
        <w:t>.</w:t>
      </w:r>
    </w:p>
    <w:p w:rsidR="00AD6F5D" w:rsidRPr="004B78E6" w:rsidRDefault="000056B3">
      <w:pPr>
        <w:pStyle w:val="LO-normal3"/>
        <w:spacing w:after="120" w:line="276" w:lineRule="auto"/>
        <w:ind w:left="480" w:hanging="480"/>
        <w:rPr>
          <w:rFonts w:ascii="Times New Roman" w:eastAsia="Times New Roman" w:hAnsi="Times New Roman" w:cs="Times New Roman"/>
          <w:lang w:val="es-CL"/>
        </w:rPr>
      </w:pPr>
      <w:r w:rsidRPr="004B78E6">
        <w:rPr>
          <w:rFonts w:ascii="Times New Roman" w:eastAsia="Times New Roman" w:hAnsi="Times New Roman" w:cs="Times New Roman"/>
          <w:lang w:val="es-CL"/>
        </w:rPr>
        <w:t xml:space="preserve">Aranda, C., Barrientos, G., &amp; Del Papa, M. C. (2014). Código deontológico para el estudio, conservación y gestión de restos humanos de poblaciones del pasado. </w:t>
      </w:r>
      <w:r w:rsidRPr="004B78E6">
        <w:rPr>
          <w:rFonts w:ascii="Times New Roman" w:eastAsia="Times New Roman" w:hAnsi="Times New Roman" w:cs="Times New Roman"/>
          <w:i/>
          <w:lang w:val="es-CL"/>
        </w:rPr>
        <w:t>Revista Argentina de Antropología Biológica, 16</w:t>
      </w:r>
      <w:r w:rsidRPr="004B78E6">
        <w:rPr>
          <w:rFonts w:ascii="Times New Roman" w:eastAsia="Times New Roman" w:hAnsi="Times New Roman" w:cs="Times New Roman"/>
          <w:lang w:val="es-CL"/>
        </w:rPr>
        <w:t>(2), 111-113.</w:t>
      </w:r>
    </w:p>
    <w:p w:rsidR="00AD6F5D" w:rsidRDefault="000056B3">
      <w:pPr>
        <w:pStyle w:val="LO-normal3"/>
        <w:spacing w:after="120" w:line="276" w:lineRule="auto"/>
        <w:ind w:left="480" w:hanging="480"/>
        <w:rPr>
          <w:rFonts w:ascii="Times New Roman" w:eastAsia="Times New Roman" w:hAnsi="Times New Roman" w:cs="Times New Roman"/>
        </w:rPr>
      </w:pPr>
      <w:r w:rsidRPr="004B78E6">
        <w:rPr>
          <w:rFonts w:ascii="Times New Roman" w:eastAsia="Times New Roman" w:hAnsi="Times New Roman" w:cs="Times New Roman"/>
          <w:lang w:val="es-CL"/>
        </w:rPr>
        <w:t>Barta, J. L., Monroe, C., &amp; K</w:t>
      </w:r>
      <w:r w:rsidRPr="004B78E6">
        <w:rPr>
          <w:rFonts w:ascii="Times New Roman" w:eastAsia="Times New Roman" w:hAnsi="Times New Roman" w:cs="Times New Roman"/>
          <w:lang w:val="es-CL"/>
        </w:rPr>
        <w:t xml:space="preserve">emp, B. M. (2013). </w:t>
      </w:r>
      <w:r>
        <w:rPr>
          <w:rFonts w:ascii="Times New Roman" w:eastAsia="Times New Roman" w:hAnsi="Times New Roman" w:cs="Times New Roman"/>
        </w:rPr>
        <w:t xml:space="preserve">Further evaluation of the efficacy of contamination removal from bone surfaces. </w:t>
      </w:r>
      <w:r>
        <w:rPr>
          <w:rFonts w:ascii="Times New Roman" w:eastAsia="Times New Roman" w:hAnsi="Times New Roman" w:cs="Times New Roman"/>
          <w:i/>
        </w:rPr>
        <w:t>Forensic Science International</w:t>
      </w:r>
      <w:r>
        <w:rPr>
          <w:rFonts w:ascii="Times New Roman" w:eastAsia="Times New Roman" w:hAnsi="Times New Roman" w:cs="Times New Roman"/>
        </w:rPr>
        <w:t xml:space="preserve">, </w:t>
      </w:r>
      <w:r>
        <w:rPr>
          <w:rFonts w:ascii="Times New Roman" w:eastAsia="Times New Roman" w:hAnsi="Times New Roman" w:cs="Times New Roman"/>
          <w:i/>
        </w:rPr>
        <w:t>231</w:t>
      </w:r>
      <w:r>
        <w:rPr>
          <w:rFonts w:ascii="Times New Roman" w:eastAsia="Times New Roman" w:hAnsi="Times New Roman" w:cs="Times New Roman"/>
        </w:rPr>
        <w:t>(1–3), 340–348.</w:t>
      </w:r>
    </w:p>
    <w:p w:rsidR="00AD6F5D" w:rsidRDefault="000056B3">
      <w:pPr>
        <w:pStyle w:val="LO-normal3"/>
        <w:spacing w:after="120" w:line="276" w:lineRule="auto"/>
        <w:ind w:left="480" w:hanging="480"/>
        <w:rPr>
          <w:rFonts w:ascii="Times New Roman" w:eastAsia="Times New Roman" w:hAnsi="Times New Roman" w:cs="Times New Roman"/>
        </w:rPr>
      </w:pPr>
      <w:proofErr w:type="spellStart"/>
      <w:r>
        <w:rPr>
          <w:rFonts w:ascii="Times New Roman" w:eastAsia="Times New Roman" w:hAnsi="Times New Roman" w:cs="Times New Roman"/>
        </w:rPr>
        <w:t>Carnese</w:t>
      </w:r>
      <w:proofErr w:type="spellEnd"/>
      <w:r>
        <w:rPr>
          <w:rFonts w:ascii="Times New Roman" w:eastAsia="Times New Roman" w:hAnsi="Times New Roman" w:cs="Times New Roman"/>
        </w:rPr>
        <w:t xml:space="preserve">, F. R., </w:t>
      </w:r>
      <w:proofErr w:type="spellStart"/>
      <w:r>
        <w:rPr>
          <w:rFonts w:ascii="Times New Roman" w:eastAsia="Times New Roman" w:hAnsi="Times New Roman" w:cs="Times New Roman"/>
        </w:rPr>
        <w:t>Mendisco</w:t>
      </w:r>
      <w:proofErr w:type="spellEnd"/>
      <w:r>
        <w:rPr>
          <w:rFonts w:ascii="Times New Roman" w:eastAsia="Times New Roman" w:hAnsi="Times New Roman" w:cs="Times New Roman"/>
        </w:rPr>
        <w:t xml:space="preserve">, F., Keyser, C., </w:t>
      </w:r>
      <w:proofErr w:type="spellStart"/>
      <w:r>
        <w:rPr>
          <w:rFonts w:ascii="Times New Roman" w:eastAsia="Times New Roman" w:hAnsi="Times New Roman" w:cs="Times New Roman"/>
        </w:rPr>
        <w:t>Dejean</w:t>
      </w:r>
      <w:proofErr w:type="spellEnd"/>
      <w:r>
        <w:rPr>
          <w:rFonts w:ascii="Times New Roman" w:eastAsia="Times New Roman" w:hAnsi="Times New Roman" w:cs="Times New Roman"/>
        </w:rPr>
        <w:t xml:space="preserve">, C. B., </w:t>
      </w:r>
      <w:proofErr w:type="spellStart"/>
      <w:r>
        <w:rPr>
          <w:rFonts w:ascii="Times New Roman" w:eastAsia="Times New Roman" w:hAnsi="Times New Roman" w:cs="Times New Roman"/>
        </w:rPr>
        <w:t>Dugoujon</w:t>
      </w:r>
      <w:proofErr w:type="spellEnd"/>
      <w:r>
        <w:rPr>
          <w:rFonts w:ascii="Times New Roman" w:eastAsia="Times New Roman" w:hAnsi="Times New Roman" w:cs="Times New Roman"/>
        </w:rPr>
        <w:t xml:space="preserve">, J. M., </w:t>
      </w:r>
      <w:proofErr w:type="spellStart"/>
      <w:r>
        <w:rPr>
          <w:rFonts w:ascii="Times New Roman" w:eastAsia="Times New Roman" w:hAnsi="Times New Roman" w:cs="Times New Roman"/>
        </w:rPr>
        <w:t>Bravi</w:t>
      </w:r>
      <w:proofErr w:type="spellEnd"/>
      <w:r>
        <w:rPr>
          <w:rFonts w:ascii="Times New Roman" w:eastAsia="Times New Roman" w:hAnsi="Times New Roman" w:cs="Times New Roman"/>
        </w:rPr>
        <w:t xml:space="preserve">, C. M., Ludes, B., &amp; </w:t>
      </w:r>
      <w:proofErr w:type="spellStart"/>
      <w:r>
        <w:rPr>
          <w:rFonts w:ascii="Times New Roman" w:eastAsia="Times New Roman" w:hAnsi="Times New Roman" w:cs="Times New Roman"/>
        </w:rPr>
        <w:t>Crubé</w:t>
      </w:r>
      <w:r>
        <w:rPr>
          <w:rFonts w:ascii="Times New Roman" w:eastAsia="Times New Roman" w:hAnsi="Times New Roman" w:cs="Times New Roman"/>
        </w:rPr>
        <w:t>zy</w:t>
      </w:r>
      <w:proofErr w:type="spellEnd"/>
      <w:r>
        <w:rPr>
          <w:rFonts w:ascii="Times New Roman" w:eastAsia="Times New Roman" w:hAnsi="Times New Roman" w:cs="Times New Roman"/>
        </w:rPr>
        <w:t xml:space="preserve">, E. (2010). </w:t>
      </w:r>
      <w:proofErr w:type="spellStart"/>
      <w:r>
        <w:rPr>
          <w:rFonts w:ascii="Times New Roman" w:eastAsia="Times New Roman" w:hAnsi="Times New Roman" w:cs="Times New Roman"/>
        </w:rPr>
        <w:t>Paleogenetical</w:t>
      </w:r>
      <w:proofErr w:type="spellEnd"/>
      <w:r>
        <w:rPr>
          <w:rFonts w:ascii="Times New Roman" w:eastAsia="Times New Roman" w:hAnsi="Times New Roman" w:cs="Times New Roman"/>
        </w:rPr>
        <w:t xml:space="preserve"> study of pre-Columbian samples from Pampa Grande (Salta, Argentina). </w:t>
      </w:r>
      <w:r>
        <w:rPr>
          <w:rFonts w:ascii="Times New Roman" w:eastAsia="Times New Roman" w:hAnsi="Times New Roman" w:cs="Times New Roman"/>
          <w:i/>
        </w:rPr>
        <w:t>American Journal of Physical Anthropology</w:t>
      </w:r>
      <w:r>
        <w:rPr>
          <w:rFonts w:ascii="Times New Roman" w:eastAsia="Times New Roman" w:hAnsi="Times New Roman" w:cs="Times New Roman"/>
        </w:rPr>
        <w:t xml:space="preserve">, </w:t>
      </w:r>
      <w:r>
        <w:rPr>
          <w:rFonts w:ascii="Times New Roman" w:eastAsia="Times New Roman" w:hAnsi="Times New Roman" w:cs="Times New Roman"/>
          <w:i/>
        </w:rPr>
        <w:t>141</w:t>
      </w:r>
      <w:r>
        <w:rPr>
          <w:rFonts w:ascii="Times New Roman" w:eastAsia="Times New Roman" w:hAnsi="Times New Roman" w:cs="Times New Roman"/>
        </w:rPr>
        <w:t>(3), 452–462. https://doi.org/10.1002/ajpa.21165</w:t>
      </w:r>
    </w:p>
    <w:p w:rsidR="00AD6F5D" w:rsidRDefault="000056B3">
      <w:pPr>
        <w:pStyle w:val="LO-normal3"/>
        <w:spacing w:after="120" w:line="276"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Crespo, C. M., Cardozo, D. G., </w:t>
      </w:r>
      <w:proofErr w:type="spellStart"/>
      <w:r>
        <w:rPr>
          <w:rFonts w:ascii="Times New Roman" w:eastAsia="Times New Roman" w:hAnsi="Times New Roman" w:cs="Times New Roman"/>
        </w:rPr>
        <w:t>Tessone</w:t>
      </w:r>
      <w:proofErr w:type="spellEnd"/>
      <w:r>
        <w:rPr>
          <w:rFonts w:ascii="Times New Roman" w:eastAsia="Times New Roman" w:hAnsi="Times New Roman" w:cs="Times New Roman"/>
        </w:rPr>
        <w:t xml:space="preserve">, A., Vázquez, M., </w:t>
      </w:r>
      <w:proofErr w:type="spellStart"/>
      <w:r>
        <w:rPr>
          <w:rFonts w:ascii="Times New Roman" w:eastAsia="Times New Roman" w:hAnsi="Times New Roman" w:cs="Times New Roman"/>
        </w:rPr>
        <w:t>Kisielinski</w:t>
      </w:r>
      <w:proofErr w:type="spellEnd"/>
      <w:r>
        <w:rPr>
          <w:rFonts w:ascii="Times New Roman" w:eastAsia="Times New Roman" w:hAnsi="Times New Roman" w:cs="Times New Roman"/>
        </w:rPr>
        <w:t xml:space="preserve">, C., </w:t>
      </w:r>
      <w:proofErr w:type="spellStart"/>
      <w:r>
        <w:rPr>
          <w:rFonts w:ascii="Times New Roman" w:eastAsia="Times New Roman" w:hAnsi="Times New Roman" w:cs="Times New Roman"/>
        </w:rPr>
        <w:t>Arencibia</w:t>
      </w:r>
      <w:proofErr w:type="spellEnd"/>
      <w:r>
        <w:rPr>
          <w:rFonts w:ascii="Times New Roman" w:eastAsia="Times New Roman" w:hAnsi="Times New Roman" w:cs="Times New Roman"/>
        </w:rPr>
        <w:t xml:space="preserve">, V., </w:t>
      </w:r>
      <w:proofErr w:type="spellStart"/>
      <w:r>
        <w:rPr>
          <w:rFonts w:ascii="Times New Roman" w:eastAsia="Times New Roman" w:hAnsi="Times New Roman" w:cs="Times New Roman"/>
        </w:rPr>
        <w:t>Tackney</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Zangrando</w:t>
      </w:r>
      <w:proofErr w:type="spellEnd"/>
      <w:r>
        <w:rPr>
          <w:rFonts w:ascii="Times New Roman" w:eastAsia="Times New Roman" w:hAnsi="Times New Roman" w:cs="Times New Roman"/>
        </w:rPr>
        <w:t xml:space="preserve">, A. F., &amp; </w:t>
      </w:r>
      <w:proofErr w:type="spellStart"/>
      <w:r>
        <w:rPr>
          <w:rFonts w:ascii="Times New Roman" w:eastAsia="Times New Roman" w:hAnsi="Times New Roman" w:cs="Times New Roman"/>
        </w:rPr>
        <w:t>Dejean</w:t>
      </w:r>
      <w:proofErr w:type="spellEnd"/>
      <w:r>
        <w:rPr>
          <w:rFonts w:ascii="Times New Roman" w:eastAsia="Times New Roman" w:hAnsi="Times New Roman" w:cs="Times New Roman"/>
        </w:rPr>
        <w:t>, C. B. (2020). Distribution of maternal lineages in hunter-gatherer societies of the southern coast of Tierra del Fuego, Argent</w:t>
      </w:r>
      <w:r>
        <w:rPr>
          <w:rFonts w:ascii="Times New Roman" w:eastAsia="Times New Roman" w:hAnsi="Times New Roman" w:cs="Times New Roman"/>
        </w:rPr>
        <w:t xml:space="preserve">ina. </w:t>
      </w:r>
      <w:r>
        <w:rPr>
          <w:rFonts w:ascii="Times New Roman" w:eastAsia="Times New Roman" w:hAnsi="Times New Roman" w:cs="Times New Roman"/>
          <w:i/>
        </w:rPr>
        <w:t>American Journal of Physical Anthropology</w:t>
      </w:r>
      <w:r>
        <w:rPr>
          <w:rFonts w:ascii="Times New Roman" w:eastAsia="Times New Roman" w:hAnsi="Times New Roman" w:cs="Times New Roman"/>
        </w:rPr>
        <w:t xml:space="preserve">, </w:t>
      </w:r>
      <w:r>
        <w:rPr>
          <w:rFonts w:ascii="Times New Roman" w:eastAsia="Times New Roman" w:hAnsi="Times New Roman" w:cs="Times New Roman"/>
          <w:i/>
        </w:rPr>
        <w:t>March</w:t>
      </w:r>
      <w:r>
        <w:rPr>
          <w:rFonts w:ascii="Times New Roman" w:eastAsia="Times New Roman" w:hAnsi="Times New Roman" w:cs="Times New Roman"/>
        </w:rPr>
        <w:t>, 1–12. https://doi.org/10.1002/ajpa.24107</w:t>
      </w:r>
    </w:p>
    <w:p w:rsidR="00AD6F5D" w:rsidRDefault="000056B3">
      <w:pPr>
        <w:pStyle w:val="LO-normal3"/>
        <w:spacing w:after="120" w:line="276"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Dissing, J., </w:t>
      </w:r>
      <w:proofErr w:type="spellStart"/>
      <w:r>
        <w:rPr>
          <w:rFonts w:ascii="Times New Roman" w:eastAsia="Times New Roman" w:hAnsi="Times New Roman" w:cs="Times New Roman"/>
        </w:rPr>
        <w:t>Kristinsdottir</w:t>
      </w:r>
      <w:proofErr w:type="spellEnd"/>
      <w:r>
        <w:rPr>
          <w:rFonts w:ascii="Times New Roman" w:eastAsia="Times New Roman" w:hAnsi="Times New Roman" w:cs="Times New Roman"/>
        </w:rPr>
        <w:t xml:space="preserve">, M. A., &amp; </w:t>
      </w:r>
      <w:proofErr w:type="spellStart"/>
      <w:r>
        <w:rPr>
          <w:rFonts w:ascii="Times New Roman" w:eastAsia="Times New Roman" w:hAnsi="Times New Roman" w:cs="Times New Roman"/>
        </w:rPr>
        <w:t>Friis</w:t>
      </w:r>
      <w:proofErr w:type="spellEnd"/>
      <w:r>
        <w:rPr>
          <w:rFonts w:ascii="Times New Roman" w:eastAsia="Times New Roman" w:hAnsi="Times New Roman" w:cs="Times New Roman"/>
        </w:rPr>
        <w:t xml:space="preserve">, C. (2008). On the elimination of extraneous DNA in fossil human teeth with hypochlorite. </w:t>
      </w:r>
      <w:r>
        <w:rPr>
          <w:rFonts w:ascii="Times New Roman" w:eastAsia="Times New Roman" w:hAnsi="Times New Roman" w:cs="Times New Roman"/>
          <w:i/>
        </w:rPr>
        <w:t xml:space="preserve">Journal of Archaeological </w:t>
      </w:r>
      <w:r>
        <w:rPr>
          <w:rFonts w:ascii="Times New Roman" w:eastAsia="Times New Roman" w:hAnsi="Times New Roman" w:cs="Times New Roman"/>
          <w:i/>
        </w:rPr>
        <w:t>Science</w:t>
      </w:r>
      <w:r>
        <w:rPr>
          <w:rFonts w:ascii="Times New Roman" w:eastAsia="Times New Roman" w:hAnsi="Times New Roman" w:cs="Times New Roman"/>
        </w:rPr>
        <w:t xml:space="preserve">, </w:t>
      </w:r>
      <w:r>
        <w:rPr>
          <w:rFonts w:ascii="Times New Roman" w:eastAsia="Times New Roman" w:hAnsi="Times New Roman" w:cs="Times New Roman"/>
          <w:i/>
        </w:rPr>
        <w:t>35</w:t>
      </w:r>
      <w:r>
        <w:rPr>
          <w:rFonts w:ascii="Times New Roman" w:eastAsia="Times New Roman" w:hAnsi="Times New Roman" w:cs="Times New Roman"/>
        </w:rPr>
        <w:t>(6), 1445–1452.</w:t>
      </w:r>
    </w:p>
    <w:p w:rsidR="00AD6F5D" w:rsidRDefault="000056B3">
      <w:pPr>
        <w:pStyle w:val="LO-normal3"/>
        <w:spacing w:after="120" w:line="276"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Hogg, A. G., Hua, Q., Blackwell, P., </w:t>
      </w:r>
      <w:proofErr w:type="spellStart"/>
      <w:r>
        <w:rPr>
          <w:rFonts w:ascii="Times New Roman" w:eastAsia="Times New Roman" w:hAnsi="Times New Roman" w:cs="Times New Roman"/>
        </w:rPr>
        <w:t>Niu</w:t>
      </w:r>
      <w:proofErr w:type="spellEnd"/>
      <w:r>
        <w:rPr>
          <w:rFonts w:ascii="Times New Roman" w:eastAsia="Times New Roman" w:hAnsi="Times New Roman" w:cs="Times New Roman"/>
        </w:rPr>
        <w:t xml:space="preserve">, M., Buck, C., </w:t>
      </w:r>
      <w:proofErr w:type="spellStart"/>
      <w:r>
        <w:rPr>
          <w:rFonts w:ascii="Times New Roman" w:eastAsia="Times New Roman" w:hAnsi="Times New Roman" w:cs="Times New Roman"/>
        </w:rPr>
        <w:t>Grilderson</w:t>
      </w:r>
      <w:proofErr w:type="spellEnd"/>
      <w:r>
        <w:rPr>
          <w:rFonts w:ascii="Times New Roman" w:eastAsia="Times New Roman" w:hAnsi="Times New Roman" w:cs="Times New Roman"/>
        </w:rPr>
        <w:t xml:space="preserve">, T., Heaton, T., </w:t>
      </w:r>
      <w:proofErr w:type="spellStart"/>
      <w:r>
        <w:rPr>
          <w:rFonts w:ascii="Times New Roman" w:eastAsia="Times New Roman" w:hAnsi="Times New Roman" w:cs="Times New Roman"/>
        </w:rPr>
        <w:t>Paalmer</w:t>
      </w:r>
      <w:proofErr w:type="spellEnd"/>
      <w:r>
        <w:rPr>
          <w:rFonts w:ascii="Times New Roman" w:eastAsia="Times New Roman" w:hAnsi="Times New Roman" w:cs="Times New Roman"/>
        </w:rPr>
        <w:t xml:space="preserve">, J., Reimer, P., Reimer, R., Turney, C., &amp; Zimmermann, S. (2013). SHCal13 Southern Hemisphere calibration, 0-50,000 years cal. BP. </w:t>
      </w:r>
      <w:r>
        <w:rPr>
          <w:rFonts w:ascii="Times New Roman" w:eastAsia="Times New Roman" w:hAnsi="Times New Roman" w:cs="Times New Roman"/>
          <w:i/>
        </w:rPr>
        <w:t>Radioc</w:t>
      </w:r>
      <w:r>
        <w:rPr>
          <w:rFonts w:ascii="Times New Roman" w:eastAsia="Times New Roman" w:hAnsi="Times New Roman" w:cs="Times New Roman"/>
          <w:i/>
        </w:rPr>
        <w:t>arbon</w:t>
      </w:r>
      <w:r>
        <w:rPr>
          <w:rFonts w:ascii="Times New Roman" w:eastAsia="Times New Roman" w:hAnsi="Times New Roman" w:cs="Times New Roman"/>
        </w:rPr>
        <w:t xml:space="preserve">, </w:t>
      </w:r>
      <w:r>
        <w:rPr>
          <w:rFonts w:ascii="Times New Roman" w:eastAsia="Times New Roman" w:hAnsi="Times New Roman" w:cs="Times New Roman"/>
          <w:i/>
        </w:rPr>
        <w:t>55</w:t>
      </w:r>
      <w:r>
        <w:rPr>
          <w:rFonts w:ascii="Times New Roman" w:eastAsia="Times New Roman" w:hAnsi="Times New Roman" w:cs="Times New Roman"/>
        </w:rPr>
        <w:t>(4), 1889–1903.</w:t>
      </w:r>
    </w:p>
    <w:p w:rsidR="00AD6F5D" w:rsidRDefault="000056B3">
      <w:pPr>
        <w:pStyle w:val="LO-normal3"/>
        <w:spacing w:after="120" w:line="276"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Hummel, S. (2003). </w:t>
      </w:r>
      <w:r>
        <w:rPr>
          <w:rFonts w:ascii="Times New Roman" w:eastAsia="Times New Roman" w:hAnsi="Times New Roman" w:cs="Times New Roman"/>
          <w:i/>
        </w:rPr>
        <w:t>Ancient DNA Typing. Methods, strategies and applications</w:t>
      </w:r>
      <w:r>
        <w:rPr>
          <w:rFonts w:ascii="Times New Roman" w:eastAsia="Times New Roman" w:hAnsi="Times New Roman" w:cs="Times New Roman"/>
        </w:rPr>
        <w:t xml:space="preserve"> (New York). Springer.</w:t>
      </w:r>
    </w:p>
    <w:p w:rsidR="00AD6F5D" w:rsidRDefault="000056B3">
      <w:pPr>
        <w:pStyle w:val="LO-normal3"/>
        <w:spacing w:after="120" w:line="276" w:lineRule="auto"/>
        <w:ind w:left="480" w:hanging="480"/>
      </w:pPr>
      <w:r>
        <w:rPr>
          <w:rFonts w:ascii="Times New Roman" w:eastAsia="Times New Roman" w:hAnsi="Times New Roman" w:cs="Times New Roman"/>
        </w:rPr>
        <w:t xml:space="preserve">Jun, G., Wing, M. K., </w:t>
      </w:r>
      <w:proofErr w:type="spellStart"/>
      <w:r>
        <w:rPr>
          <w:rFonts w:ascii="Times New Roman" w:eastAsia="Times New Roman" w:hAnsi="Times New Roman" w:cs="Times New Roman"/>
        </w:rPr>
        <w:t>Abecasis</w:t>
      </w:r>
      <w:proofErr w:type="spellEnd"/>
      <w:r>
        <w:rPr>
          <w:rFonts w:ascii="Times New Roman" w:eastAsia="Times New Roman" w:hAnsi="Times New Roman" w:cs="Times New Roman"/>
        </w:rPr>
        <w:t xml:space="preserve">, G. R., &amp; Kang, H. M. (2015). An efficient and scalable analysis framework for variant extraction and </w:t>
      </w:r>
      <w:r>
        <w:rPr>
          <w:rFonts w:ascii="Times New Roman" w:eastAsia="Times New Roman" w:hAnsi="Times New Roman" w:cs="Times New Roman"/>
        </w:rPr>
        <w:t xml:space="preserve">refinement from population-scale DNA sequence data. </w:t>
      </w:r>
      <w:r>
        <w:rPr>
          <w:rFonts w:ascii="Times New Roman" w:eastAsia="Times New Roman" w:hAnsi="Times New Roman" w:cs="Times New Roman"/>
          <w:i/>
        </w:rPr>
        <w:t>Genome research</w:t>
      </w:r>
      <w:r>
        <w:rPr>
          <w:rFonts w:ascii="Times New Roman" w:eastAsia="Times New Roman" w:hAnsi="Times New Roman" w:cs="Times New Roman"/>
        </w:rPr>
        <w:t xml:space="preserve">, </w:t>
      </w:r>
      <w:r>
        <w:rPr>
          <w:rFonts w:ascii="Times New Roman" w:eastAsia="Times New Roman" w:hAnsi="Times New Roman" w:cs="Times New Roman"/>
          <w:i/>
        </w:rPr>
        <w:t>25</w:t>
      </w:r>
      <w:r>
        <w:rPr>
          <w:rFonts w:ascii="Times New Roman" w:eastAsia="Times New Roman" w:hAnsi="Times New Roman" w:cs="Times New Roman"/>
        </w:rPr>
        <w:t>(6), 918-925.</w:t>
      </w:r>
    </w:p>
    <w:p w:rsidR="00AD6F5D" w:rsidRPr="004B78E6" w:rsidRDefault="000056B3">
      <w:pPr>
        <w:pStyle w:val="LO-normal3"/>
        <w:spacing w:after="120" w:line="276" w:lineRule="auto"/>
        <w:ind w:left="480" w:hanging="480"/>
        <w:rPr>
          <w:rFonts w:ascii="Times New Roman" w:eastAsia="Times New Roman" w:hAnsi="Times New Roman" w:cs="Times New Roman"/>
          <w:lang w:val="es-CL"/>
        </w:rPr>
      </w:pPr>
      <w:r>
        <w:rPr>
          <w:rFonts w:ascii="Times New Roman" w:eastAsia="Times New Roman" w:hAnsi="Times New Roman" w:cs="Times New Roman"/>
        </w:rPr>
        <w:t xml:space="preserve">Kemp, B. M., &amp; Smith, D. G. (2005). Use of bleach to eliminate contaminating DNA from the surface of bones and teeth. </w:t>
      </w:r>
      <w:r w:rsidRPr="004B78E6">
        <w:rPr>
          <w:rFonts w:ascii="Times New Roman" w:eastAsia="Times New Roman" w:hAnsi="Times New Roman" w:cs="Times New Roman"/>
          <w:i/>
          <w:lang w:val="es-CL"/>
        </w:rPr>
        <w:t>Forensic Science International</w:t>
      </w:r>
      <w:r w:rsidRPr="004B78E6">
        <w:rPr>
          <w:rFonts w:ascii="Times New Roman" w:eastAsia="Times New Roman" w:hAnsi="Times New Roman" w:cs="Times New Roman"/>
          <w:lang w:val="es-CL"/>
        </w:rPr>
        <w:t xml:space="preserve">, </w:t>
      </w:r>
      <w:r w:rsidRPr="004B78E6">
        <w:rPr>
          <w:rFonts w:ascii="Times New Roman" w:eastAsia="Times New Roman" w:hAnsi="Times New Roman" w:cs="Times New Roman"/>
          <w:i/>
          <w:lang w:val="es-CL"/>
        </w:rPr>
        <w:t>154</w:t>
      </w:r>
      <w:r w:rsidRPr="004B78E6">
        <w:rPr>
          <w:rFonts w:ascii="Times New Roman" w:eastAsia="Times New Roman" w:hAnsi="Times New Roman" w:cs="Times New Roman"/>
          <w:lang w:val="es-CL"/>
        </w:rPr>
        <w:t>(1), 53–61.</w:t>
      </w:r>
    </w:p>
    <w:p w:rsidR="00AD6F5D" w:rsidRDefault="000056B3">
      <w:pPr>
        <w:pStyle w:val="LO-normal3"/>
        <w:spacing w:after="120" w:line="276" w:lineRule="auto"/>
        <w:ind w:left="480" w:hanging="480"/>
        <w:rPr>
          <w:rFonts w:ascii="Times New Roman" w:eastAsia="Times New Roman" w:hAnsi="Times New Roman" w:cs="Times New Roman"/>
        </w:rPr>
      </w:pPr>
      <w:r w:rsidRPr="004B78E6">
        <w:rPr>
          <w:rFonts w:ascii="Times New Roman" w:eastAsia="Times New Roman" w:hAnsi="Times New Roman" w:cs="Times New Roman"/>
          <w:lang w:val="es-CL"/>
        </w:rPr>
        <w:t>Kochi,</w:t>
      </w:r>
      <w:r w:rsidRPr="004B78E6">
        <w:rPr>
          <w:rFonts w:ascii="Times New Roman" w:eastAsia="Times New Roman" w:hAnsi="Times New Roman" w:cs="Times New Roman"/>
          <w:lang w:val="es-CL"/>
        </w:rPr>
        <w:t xml:space="preserve"> S. (2017). Paleodietas en cazadores-recolectores del canal Beagle durante el Holoceno tardío. </w:t>
      </w:r>
      <w:proofErr w:type="spellStart"/>
      <w:r>
        <w:rPr>
          <w:rFonts w:ascii="Times New Roman" w:eastAsia="Times New Roman" w:hAnsi="Times New Roman" w:cs="Times New Roman"/>
          <w:i/>
        </w:rPr>
        <w:t>Intersecciones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Antropología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18</w:t>
      </w:r>
      <w:r>
        <w:rPr>
          <w:rFonts w:ascii="Times New Roman" w:eastAsia="Times New Roman" w:hAnsi="Times New Roman" w:cs="Times New Roman"/>
        </w:rPr>
        <w:t>(3), 329–340.</w:t>
      </w:r>
    </w:p>
    <w:p w:rsidR="00AD6F5D" w:rsidRDefault="000056B3">
      <w:pPr>
        <w:pStyle w:val="LO-normal3"/>
        <w:spacing w:after="120" w:line="276"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Malmström, H., </w:t>
      </w:r>
      <w:proofErr w:type="spellStart"/>
      <w:r>
        <w:rPr>
          <w:rFonts w:ascii="Times New Roman" w:eastAsia="Times New Roman" w:hAnsi="Times New Roman" w:cs="Times New Roman"/>
        </w:rPr>
        <w:t>Svensson</w:t>
      </w:r>
      <w:proofErr w:type="spellEnd"/>
      <w:r>
        <w:rPr>
          <w:rFonts w:ascii="Times New Roman" w:eastAsia="Times New Roman" w:hAnsi="Times New Roman" w:cs="Times New Roman"/>
        </w:rPr>
        <w:t xml:space="preserve">, E. M., Gilbert, M. T. P., </w:t>
      </w:r>
      <w:proofErr w:type="spellStart"/>
      <w:r>
        <w:rPr>
          <w:rFonts w:ascii="Times New Roman" w:eastAsia="Times New Roman" w:hAnsi="Times New Roman" w:cs="Times New Roman"/>
        </w:rPr>
        <w:t>Willerslev</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Götherström</w:t>
      </w:r>
      <w:proofErr w:type="spellEnd"/>
      <w:r>
        <w:rPr>
          <w:rFonts w:ascii="Times New Roman" w:eastAsia="Times New Roman" w:hAnsi="Times New Roman" w:cs="Times New Roman"/>
        </w:rPr>
        <w:t xml:space="preserve">, A., &amp; </w:t>
      </w:r>
      <w:proofErr w:type="spellStart"/>
      <w:r>
        <w:rPr>
          <w:rFonts w:ascii="Times New Roman" w:eastAsia="Times New Roman" w:hAnsi="Times New Roman" w:cs="Times New Roman"/>
        </w:rPr>
        <w:t>Holmlund</w:t>
      </w:r>
      <w:proofErr w:type="spellEnd"/>
      <w:r>
        <w:rPr>
          <w:rFonts w:ascii="Times New Roman" w:eastAsia="Times New Roman" w:hAnsi="Times New Roman" w:cs="Times New Roman"/>
        </w:rPr>
        <w:t>, G. (2007). More o</w:t>
      </w:r>
      <w:r>
        <w:rPr>
          <w:rFonts w:ascii="Times New Roman" w:eastAsia="Times New Roman" w:hAnsi="Times New Roman" w:cs="Times New Roman"/>
        </w:rPr>
        <w:t xml:space="preserve">n contamination: the use of asymmetric molecular behavior to identify authentic ancient human DNA. </w:t>
      </w:r>
      <w:r>
        <w:rPr>
          <w:rFonts w:ascii="Times New Roman" w:eastAsia="Times New Roman" w:hAnsi="Times New Roman" w:cs="Times New Roman"/>
          <w:i/>
        </w:rPr>
        <w:t>Molecular Biology and Evolution</w:t>
      </w:r>
      <w:r>
        <w:rPr>
          <w:rFonts w:ascii="Times New Roman" w:eastAsia="Times New Roman" w:hAnsi="Times New Roman" w:cs="Times New Roman"/>
        </w:rPr>
        <w:t xml:space="preserve">, </w:t>
      </w:r>
      <w:r>
        <w:rPr>
          <w:rFonts w:ascii="Times New Roman" w:eastAsia="Times New Roman" w:hAnsi="Times New Roman" w:cs="Times New Roman"/>
          <w:i/>
        </w:rPr>
        <w:t>24</w:t>
      </w:r>
      <w:r>
        <w:rPr>
          <w:rFonts w:ascii="Times New Roman" w:eastAsia="Times New Roman" w:hAnsi="Times New Roman" w:cs="Times New Roman"/>
        </w:rPr>
        <w:t>(4), 998–1004.</w:t>
      </w:r>
    </w:p>
    <w:p w:rsidR="00AD6F5D" w:rsidRDefault="000056B3">
      <w:pPr>
        <w:pStyle w:val="LO-normal3"/>
        <w:widowControl/>
        <w:spacing w:after="120" w:line="276" w:lineRule="auto"/>
        <w:ind w:left="480" w:hanging="480"/>
      </w:pPr>
      <w:proofErr w:type="spellStart"/>
      <w:r>
        <w:rPr>
          <w:rFonts w:ascii="Times New Roman" w:eastAsia="Times New Roman" w:hAnsi="Times New Roman" w:cs="Times New Roman"/>
        </w:rPr>
        <w:t>Maricic</w:t>
      </w:r>
      <w:proofErr w:type="spellEnd"/>
      <w:r>
        <w:rPr>
          <w:rFonts w:ascii="Times New Roman" w:eastAsia="Times New Roman" w:hAnsi="Times New Roman" w:cs="Times New Roman"/>
        </w:rPr>
        <w:t xml:space="preserve">, Tomislav, Mark Whitten, and Svante </w:t>
      </w:r>
      <w:proofErr w:type="spellStart"/>
      <w:r>
        <w:rPr>
          <w:rFonts w:ascii="Times New Roman" w:eastAsia="Times New Roman" w:hAnsi="Times New Roman" w:cs="Times New Roman"/>
        </w:rPr>
        <w:t>Pääbo</w:t>
      </w:r>
      <w:proofErr w:type="spellEnd"/>
      <w:r>
        <w:rPr>
          <w:rFonts w:ascii="Times New Roman" w:eastAsia="Times New Roman" w:hAnsi="Times New Roman" w:cs="Times New Roman"/>
        </w:rPr>
        <w:tab/>
        <w:t>(2010).</w:t>
      </w:r>
      <w:r>
        <w:rPr>
          <w:rFonts w:ascii="Times New Roman" w:eastAsia="Times New Roman" w:hAnsi="Times New Roman" w:cs="Times New Roman"/>
        </w:rPr>
        <w:tab/>
        <w:t>Multiplexed DNA Sequence Capture of Mitochondrial</w:t>
      </w:r>
      <w:r>
        <w:rPr>
          <w:rFonts w:ascii="Times New Roman" w:eastAsia="Times New Roman" w:hAnsi="Times New Roman" w:cs="Times New Roman"/>
        </w:rPr>
        <w:t xml:space="preserve"> Genomes Using PCR Products. </w:t>
      </w:r>
      <w:proofErr w:type="spellStart"/>
      <w:r>
        <w:rPr>
          <w:rFonts w:ascii="Times New Roman" w:eastAsia="Times New Roman" w:hAnsi="Times New Roman" w:cs="Times New Roman"/>
          <w:i/>
        </w:rPr>
        <w:t>PLoS</w:t>
      </w:r>
      <w:proofErr w:type="spellEnd"/>
      <w:r>
        <w:rPr>
          <w:rFonts w:ascii="Times New Roman" w:eastAsia="Times New Roman" w:hAnsi="Times New Roman" w:cs="Times New Roman"/>
          <w:i/>
        </w:rPr>
        <w:t xml:space="preserve"> ONE</w:t>
      </w:r>
      <w:r>
        <w:rPr>
          <w:rFonts w:ascii="Times New Roman" w:eastAsia="Times New Roman" w:hAnsi="Times New Roman" w:cs="Times New Roman"/>
        </w:rPr>
        <w:t xml:space="preserve"> 5 (11): 9–13. </w:t>
      </w:r>
      <w:hyperlink r:id="rId8">
        <w:r>
          <w:rPr>
            <w:rFonts w:ascii="Times New Roman" w:eastAsia="Times New Roman" w:hAnsi="Times New Roman" w:cs="Times New Roman"/>
            <w:u w:val="single"/>
          </w:rPr>
          <w:t>https://doi.org/10.1371/journal.pone.0014004</w:t>
        </w:r>
      </w:hyperlink>
      <w:r>
        <w:rPr>
          <w:rFonts w:ascii="Times New Roman" w:eastAsia="Times New Roman" w:hAnsi="Times New Roman" w:cs="Times New Roman"/>
        </w:rPr>
        <w:t>.</w:t>
      </w:r>
    </w:p>
    <w:p w:rsidR="00AD6F5D" w:rsidRPr="004B78E6" w:rsidRDefault="000056B3">
      <w:pPr>
        <w:pStyle w:val="LO-normal3"/>
        <w:spacing w:after="120" w:line="276" w:lineRule="auto"/>
        <w:ind w:left="480" w:hanging="480"/>
        <w:rPr>
          <w:rFonts w:ascii="Times New Roman" w:eastAsia="Times New Roman" w:hAnsi="Times New Roman" w:cs="Times New Roman"/>
          <w:lang w:val="es-CL"/>
        </w:rPr>
      </w:pPr>
      <w:proofErr w:type="spellStart"/>
      <w:r>
        <w:rPr>
          <w:rFonts w:ascii="Times New Roman" w:eastAsia="Times New Roman" w:hAnsi="Times New Roman" w:cs="Times New Roman"/>
        </w:rPr>
        <w:t>Piana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Tessone</w:t>
      </w:r>
      <w:proofErr w:type="spellEnd"/>
      <w:r>
        <w:rPr>
          <w:rFonts w:ascii="Times New Roman" w:eastAsia="Times New Roman" w:hAnsi="Times New Roman" w:cs="Times New Roman"/>
        </w:rPr>
        <w:t xml:space="preserve">, A., &amp; </w:t>
      </w:r>
      <w:proofErr w:type="spellStart"/>
      <w:r>
        <w:rPr>
          <w:rFonts w:ascii="Times New Roman" w:eastAsia="Times New Roman" w:hAnsi="Times New Roman" w:cs="Times New Roman"/>
        </w:rPr>
        <w:t>Zangrando</w:t>
      </w:r>
      <w:proofErr w:type="spellEnd"/>
      <w:r>
        <w:rPr>
          <w:rFonts w:ascii="Times New Roman" w:eastAsia="Times New Roman" w:hAnsi="Times New Roman" w:cs="Times New Roman"/>
        </w:rPr>
        <w:t xml:space="preserve">, F. (2006). </w:t>
      </w:r>
      <w:r w:rsidRPr="004B78E6">
        <w:rPr>
          <w:rFonts w:ascii="Times New Roman" w:eastAsia="Times New Roman" w:hAnsi="Times New Roman" w:cs="Times New Roman"/>
          <w:lang w:val="es-CL"/>
        </w:rPr>
        <w:t xml:space="preserve">Contextos Mortuorios En La Región Del Canal </w:t>
      </w:r>
      <w:r w:rsidRPr="004B78E6">
        <w:rPr>
          <w:rFonts w:ascii="Times New Roman" w:eastAsia="Times New Roman" w:hAnsi="Times New Roman" w:cs="Times New Roman"/>
          <w:lang w:val="es-CL"/>
        </w:rPr>
        <w:lastRenderedPageBreak/>
        <w:t>Be</w:t>
      </w:r>
      <w:r w:rsidRPr="004B78E6">
        <w:rPr>
          <w:rFonts w:ascii="Times New Roman" w:eastAsia="Times New Roman" w:hAnsi="Times New Roman" w:cs="Times New Roman"/>
          <w:lang w:val="es-CL"/>
        </w:rPr>
        <w:t xml:space="preserve">agle… Del Hallazgo Fortuito a La Búsqueda Sistemática. </w:t>
      </w:r>
      <w:r w:rsidRPr="004B78E6">
        <w:rPr>
          <w:rFonts w:ascii="Times New Roman" w:eastAsia="Times New Roman" w:hAnsi="Times New Roman" w:cs="Times New Roman"/>
          <w:i/>
          <w:lang w:val="es-CL"/>
        </w:rPr>
        <w:t>Magallania (Punta Arenas)</w:t>
      </w:r>
      <w:r w:rsidRPr="004B78E6">
        <w:rPr>
          <w:rFonts w:ascii="Times New Roman" w:eastAsia="Times New Roman" w:hAnsi="Times New Roman" w:cs="Times New Roman"/>
          <w:lang w:val="es-CL"/>
        </w:rPr>
        <w:t xml:space="preserve">, </w:t>
      </w:r>
      <w:r w:rsidRPr="004B78E6">
        <w:rPr>
          <w:rFonts w:ascii="Times New Roman" w:eastAsia="Times New Roman" w:hAnsi="Times New Roman" w:cs="Times New Roman"/>
          <w:i/>
          <w:lang w:val="es-CL"/>
        </w:rPr>
        <w:t>34</w:t>
      </w:r>
      <w:r w:rsidRPr="004B78E6">
        <w:rPr>
          <w:rFonts w:ascii="Times New Roman" w:eastAsia="Times New Roman" w:hAnsi="Times New Roman" w:cs="Times New Roman"/>
          <w:lang w:val="es-CL"/>
        </w:rPr>
        <w:t>(1), 103–117. https://doi.org/10.4067/s0718-22442006000100007</w:t>
      </w:r>
    </w:p>
    <w:p w:rsidR="00AD6F5D" w:rsidRPr="004B78E6" w:rsidRDefault="000056B3">
      <w:pPr>
        <w:pStyle w:val="LO-normal3"/>
        <w:spacing w:after="120" w:line="276" w:lineRule="auto"/>
        <w:ind w:left="480" w:hanging="480"/>
        <w:rPr>
          <w:lang w:val="es-CL"/>
        </w:rPr>
      </w:pPr>
      <w:r>
        <w:rPr>
          <w:rFonts w:ascii="Times New Roman" w:eastAsia="Times New Roman" w:hAnsi="Times New Roman" w:cs="Times New Roman"/>
        </w:rPr>
        <w:t xml:space="preserve">Schubert, M., </w:t>
      </w:r>
      <w:proofErr w:type="spellStart"/>
      <w:r>
        <w:rPr>
          <w:rFonts w:ascii="Times New Roman" w:eastAsia="Times New Roman" w:hAnsi="Times New Roman" w:cs="Times New Roman"/>
        </w:rPr>
        <w:t>Lindgreen</w:t>
      </w:r>
      <w:proofErr w:type="spellEnd"/>
      <w:r>
        <w:rPr>
          <w:rFonts w:ascii="Times New Roman" w:eastAsia="Times New Roman" w:hAnsi="Times New Roman" w:cs="Times New Roman"/>
        </w:rPr>
        <w:t xml:space="preserve">, S. &amp; Orlando, L (2016). </w:t>
      </w:r>
      <w:proofErr w:type="spellStart"/>
      <w:r>
        <w:rPr>
          <w:rFonts w:ascii="Times New Roman" w:eastAsia="Times New Roman" w:hAnsi="Times New Roman" w:cs="Times New Roman"/>
        </w:rPr>
        <w:t>AdapterRemoval</w:t>
      </w:r>
      <w:proofErr w:type="spellEnd"/>
      <w:r>
        <w:rPr>
          <w:rFonts w:ascii="Times New Roman" w:eastAsia="Times New Roman" w:hAnsi="Times New Roman" w:cs="Times New Roman"/>
        </w:rPr>
        <w:t xml:space="preserve"> v2: rapid adapter trimming, identification, an</w:t>
      </w:r>
      <w:r>
        <w:rPr>
          <w:rFonts w:ascii="Times New Roman" w:eastAsia="Times New Roman" w:hAnsi="Times New Roman" w:cs="Times New Roman"/>
        </w:rPr>
        <w:t xml:space="preserve">d read merging. </w:t>
      </w:r>
      <w:r w:rsidRPr="004B78E6">
        <w:rPr>
          <w:rFonts w:ascii="Times New Roman" w:eastAsia="Times New Roman" w:hAnsi="Times New Roman" w:cs="Times New Roman"/>
          <w:i/>
          <w:lang w:val="es-CL"/>
        </w:rPr>
        <w:t>BMC Res Notes</w:t>
      </w:r>
      <w:r w:rsidRPr="004B78E6">
        <w:rPr>
          <w:rFonts w:ascii="Times New Roman" w:eastAsia="Times New Roman" w:hAnsi="Times New Roman" w:cs="Times New Roman"/>
          <w:lang w:val="es-CL"/>
        </w:rPr>
        <w:t xml:space="preserve"> </w:t>
      </w:r>
      <w:r w:rsidRPr="004B78E6">
        <w:rPr>
          <w:rFonts w:ascii="Times New Roman" w:eastAsia="Times New Roman" w:hAnsi="Times New Roman" w:cs="Times New Roman"/>
          <w:b/>
          <w:lang w:val="es-CL"/>
        </w:rPr>
        <w:t xml:space="preserve">9, </w:t>
      </w:r>
      <w:r w:rsidRPr="004B78E6">
        <w:rPr>
          <w:rFonts w:ascii="Times New Roman" w:eastAsia="Times New Roman" w:hAnsi="Times New Roman" w:cs="Times New Roman"/>
          <w:lang w:val="es-CL"/>
        </w:rPr>
        <w:t>88. https://doi.org/10.1186/s13104-016-1900-2</w:t>
      </w:r>
    </w:p>
    <w:p w:rsidR="00AD6F5D" w:rsidRPr="004B78E6" w:rsidRDefault="000056B3">
      <w:pPr>
        <w:pStyle w:val="LO-normal3"/>
        <w:spacing w:after="120" w:line="276" w:lineRule="auto"/>
        <w:ind w:left="480" w:hanging="480"/>
        <w:rPr>
          <w:rFonts w:ascii="Times New Roman" w:eastAsia="Times New Roman" w:hAnsi="Times New Roman" w:cs="Times New Roman"/>
          <w:lang w:val="es-CL"/>
        </w:rPr>
      </w:pPr>
      <w:r w:rsidRPr="004B78E6">
        <w:rPr>
          <w:rFonts w:ascii="Times New Roman" w:eastAsia="Times New Roman" w:hAnsi="Times New Roman" w:cs="Times New Roman"/>
          <w:lang w:val="es-CL"/>
        </w:rPr>
        <w:t xml:space="preserve">Suby, J. A., Zangrando, A. F. J., &amp; Piana, E. (2011). Exploraciones osteológicas de la salud de las poblaciones humanas del canal Beagle. </w:t>
      </w:r>
      <w:r w:rsidRPr="004B78E6">
        <w:rPr>
          <w:rFonts w:ascii="Times New Roman" w:eastAsia="Times New Roman" w:hAnsi="Times New Roman" w:cs="Times New Roman"/>
          <w:i/>
          <w:lang w:val="es-CL"/>
        </w:rPr>
        <w:t xml:space="preserve">Relaciones de La Sociedad Argentina de </w:t>
      </w:r>
      <w:r w:rsidRPr="004B78E6">
        <w:rPr>
          <w:rFonts w:ascii="Times New Roman" w:eastAsia="Times New Roman" w:hAnsi="Times New Roman" w:cs="Times New Roman"/>
          <w:i/>
          <w:lang w:val="es-CL"/>
        </w:rPr>
        <w:t>Antropología, XXXVI</w:t>
      </w:r>
      <w:r w:rsidRPr="004B78E6">
        <w:rPr>
          <w:rFonts w:ascii="Times New Roman" w:eastAsia="Times New Roman" w:hAnsi="Times New Roman" w:cs="Times New Roman"/>
          <w:lang w:val="es-CL"/>
        </w:rPr>
        <w:t xml:space="preserve">, </w:t>
      </w:r>
      <w:r w:rsidRPr="004B78E6">
        <w:rPr>
          <w:rFonts w:ascii="Times New Roman" w:eastAsia="Times New Roman" w:hAnsi="Times New Roman" w:cs="Times New Roman"/>
          <w:i/>
          <w:lang w:val="es-CL"/>
        </w:rPr>
        <w:t>XXXVI</w:t>
      </w:r>
      <w:r w:rsidRPr="004B78E6">
        <w:rPr>
          <w:rFonts w:ascii="Times New Roman" w:eastAsia="Times New Roman" w:hAnsi="Times New Roman" w:cs="Times New Roman"/>
          <w:lang w:val="es-CL"/>
        </w:rPr>
        <w:t>, 249–270.</w:t>
      </w:r>
    </w:p>
    <w:p w:rsidR="00AD6F5D" w:rsidRDefault="000056B3">
      <w:pPr>
        <w:pStyle w:val="LO-normal3"/>
        <w:spacing w:after="120" w:line="276" w:lineRule="auto"/>
        <w:ind w:left="454" w:hanging="454"/>
        <w:rPr>
          <w:rFonts w:ascii="Times New Roman" w:eastAsia="Times New Roman" w:hAnsi="Times New Roman" w:cs="Times New Roman"/>
        </w:rPr>
      </w:pPr>
      <w:r w:rsidRPr="004B78E6">
        <w:rPr>
          <w:rFonts w:ascii="Times New Roman" w:eastAsia="Times New Roman" w:hAnsi="Times New Roman" w:cs="Times New Roman"/>
          <w:lang w:val="es-CL"/>
        </w:rPr>
        <w:t xml:space="preserve">Templeton, J. E. L., Brotherton, P. M., Llamas, B., Soubrier, J., Haak, W., Cooper, A., &amp; Austin, J. J. (2013). </w:t>
      </w:r>
      <w:r>
        <w:rPr>
          <w:rFonts w:ascii="Times New Roman" w:eastAsia="Times New Roman" w:hAnsi="Times New Roman" w:cs="Times New Roman"/>
        </w:rPr>
        <w:t xml:space="preserve">DNA capture and next-generation sequencing can recover whole mitochondrial genomes from highly degraded samples for human identification. </w:t>
      </w:r>
      <w:r>
        <w:rPr>
          <w:rFonts w:ascii="Times New Roman" w:eastAsia="Times New Roman" w:hAnsi="Times New Roman" w:cs="Times New Roman"/>
          <w:i/>
        </w:rPr>
        <w:t>Invest</w:t>
      </w:r>
      <w:r>
        <w:rPr>
          <w:rFonts w:ascii="Times New Roman" w:eastAsia="Times New Roman" w:hAnsi="Times New Roman" w:cs="Times New Roman"/>
          <w:i/>
        </w:rPr>
        <w:t>igative Genetics</w:t>
      </w:r>
      <w:r>
        <w:rPr>
          <w:rFonts w:ascii="Times New Roman" w:eastAsia="Times New Roman" w:hAnsi="Times New Roman" w:cs="Times New Roman"/>
        </w:rPr>
        <w:t xml:space="preserve">, </w:t>
      </w:r>
      <w:r>
        <w:rPr>
          <w:rFonts w:ascii="Times New Roman" w:eastAsia="Times New Roman" w:hAnsi="Times New Roman" w:cs="Times New Roman"/>
          <w:i/>
        </w:rPr>
        <w:t>4</w:t>
      </w:r>
      <w:r>
        <w:rPr>
          <w:rFonts w:ascii="Times New Roman" w:eastAsia="Times New Roman" w:hAnsi="Times New Roman" w:cs="Times New Roman"/>
        </w:rPr>
        <w:t>(26), 1–13.</w:t>
      </w:r>
      <w:r>
        <w:rPr>
          <w:rFonts w:ascii="Times New Roman" w:eastAsia="Times New Roman" w:hAnsi="Times New Roman" w:cs="Times New Roman"/>
          <w:b/>
        </w:rPr>
        <w:t xml:space="preserve"> </w:t>
      </w:r>
    </w:p>
    <w:sectPr w:rsidR="00AD6F5D">
      <w:footerReference w:type="default" r:id="rId9"/>
      <w:pgSz w:w="11906" w:h="16838"/>
      <w:pgMar w:top="1417" w:right="1701" w:bottom="1983" w:left="1701" w:header="0" w:footer="1417"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6B3" w:rsidRDefault="000056B3">
      <w:r>
        <w:separator/>
      </w:r>
    </w:p>
  </w:endnote>
  <w:endnote w:type="continuationSeparator" w:id="0">
    <w:p w:rsidR="000056B3" w:rsidRDefault="0000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Mono">
    <w:altName w:val="Courier New"/>
    <w:panose1 w:val="020B0604020202020204"/>
    <w:charset w:val="01"/>
    <w:family w:val="roman"/>
    <w:pitch w:val="variable"/>
  </w:font>
  <w:font w:name="Noto Sans Mono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ans Mono">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5D" w:rsidRDefault="000056B3">
    <w:pPr>
      <w:pStyle w:val="Piedepgina"/>
      <w:jc w:val="right"/>
      <w:rPr>
        <w:rFonts w:ascii="Liberation Serif" w:hAnsi="Liberation Serif"/>
      </w:rPr>
    </w:pPr>
    <w:r>
      <w:rPr>
        <w:rFonts w:ascii="Liberation Serif" w:hAnsi="Liberation Serif"/>
      </w:rPr>
      <w:fldChar w:fldCharType="begin"/>
    </w:r>
    <w:r>
      <w:rPr>
        <w:rFonts w:ascii="Liberation Serif" w:hAnsi="Liberation Serif"/>
      </w:rPr>
      <w:instrText>PAGE</w:instrText>
    </w:r>
    <w:r>
      <w:rPr>
        <w:rFonts w:ascii="Liberation Serif" w:hAnsi="Liberation Serif"/>
      </w:rPr>
      <w:fldChar w:fldCharType="separate"/>
    </w:r>
    <w:r>
      <w:rPr>
        <w:rFonts w:ascii="Liberation Serif" w:hAnsi="Liberation Serif"/>
      </w:rPr>
      <w:t>11</w:t>
    </w:r>
    <w:r>
      <w:rPr>
        <w:rFonts w:ascii="Liberation Serif" w:hAnsi="Liberation Seri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6B3" w:rsidRDefault="000056B3">
      <w:r>
        <w:separator/>
      </w:r>
    </w:p>
  </w:footnote>
  <w:footnote w:type="continuationSeparator" w:id="0">
    <w:p w:rsidR="000056B3" w:rsidRDefault="00005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5D"/>
    <w:rsid w:val="000056B3"/>
    <w:rsid w:val="00117D30"/>
    <w:rsid w:val="003B6FE9"/>
    <w:rsid w:val="004B78E6"/>
    <w:rsid w:val="00AD6F5D"/>
    <w:rsid w:val="00EE58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4EFBBB8"/>
  <w15:docId w15:val="{C9B41188-8998-C046-A94D-360DEECB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Ttulo1">
    <w:name w:val="heading 1"/>
    <w:basedOn w:val="LO-normal1"/>
    <w:next w:val="LO-normal1"/>
    <w:uiPriority w:val="9"/>
    <w:qFormat/>
    <w:pPr>
      <w:keepNext/>
      <w:keepLines/>
      <w:spacing w:before="480" w:after="120" w:line="240" w:lineRule="auto"/>
      <w:outlineLvl w:val="0"/>
    </w:pPr>
    <w:rPr>
      <w:b/>
      <w:sz w:val="48"/>
      <w:szCs w:val="48"/>
    </w:rPr>
  </w:style>
  <w:style w:type="paragraph" w:styleId="Ttulo2">
    <w:name w:val="heading 2"/>
    <w:basedOn w:val="LO-normal1"/>
    <w:next w:val="LO-normal1"/>
    <w:uiPriority w:val="9"/>
    <w:semiHidden/>
    <w:unhideWhenUsed/>
    <w:qFormat/>
    <w:pPr>
      <w:keepNext/>
      <w:keepLines/>
      <w:spacing w:before="360" w:after="80" w:line="240" w:lineRule="auto"/>
      <w:outlineLvl w:val="1"/>
    </w:pPr>
    <w:rPr>
      <w:b/>
      <w:sz w:val="36"/>
      <w:szCs w:val="36"/>
    </w:rPr>
  </w:style>
  <w:style w:type="paragraph" w:styleId="Ttulo3">
    <w:name w:val="heading 3"/>
    <w:basedOn w:val="LO-normal1"/>
    <w:next w:val="LO-normal1"/>
    <w:uiPriority w:val="9"/>
    <w:semiHidden/>
    <w:unhideWhenUsed/>
    <w:qFormat/>
    <w:pPr>
      <w:keepNext/>
      <w:keepLines/>
      <w:spacing w:before="280" w:after="80" w:line="240" w:lineRule="auto"/>
      <w:outlineLvl w:val="2"/>
    </w:pPr>
    <w:rPr>
      <w:b/>
      <w:sz w:val="28"/>
      <w:szCs w:val="28"/>
    </w:rPr>
  </w:style>
  <w:style w:type="paragraph" w:styleId="Ttulo4">
    <w:name w:val="heading 4"/>
    <w:basedOn w:val="LO-normal1"/>
    <w:next w:val="LO-normal1"/>
    <w:uiPriority w:val="9"/>
    <w:semiHidden/>
    <w:unhideWhenUsed/>
    <w:qFormat/>
    <w:pPr>
      <w:keepNext/>
      <w:keepLines/>
      <w:spacing w:before="240" w:after="40" w:line="240" w:lineRule="auto"/>
      <w:outlineLvl w:val="3"/>
    </w:pPr>
    <w:rPr>
      <w:b/>
      <w:sz w:val="24"/>
      <w:szCs w:val="24"/>
    </w:rPr>
  </w:style>
  <w:style w:type="paragraph" w:styleId="Ttulo5">
    <w:name w:val="heading 5"/>
    <w:basedOn w:val="LO-normal1"/>
    <w:next w:val="LO-normal1"/>
    <w:uiPriority w:val="9"/>
    <w:semiHidden/>
    <w:unhideWhenUsed/>
    <w:qFormat/>
    <w:pPr>
      <w:keepNext/>
      <w:keepLines/>
      <w:spacing w:before="220" w:after="40" w:line="240" w:lineRule="auto"/>
      <w:outlineLvl w:val="4"/>
    </w:pPr>
    <w:rPr>
      <w:b/>
    </w:rPr>
  </w:style>
  <w:style w:type="paragraph" w:styleId="Ttulo6">
    <w:name w:val="heading 6"/>
    <w:basedOn w:val="LO-normal1"/>
    <w:next w:val="LO-normal1"/>
    <w:uiPriority w:val="9"/>
    <w:semiHidden/>
    <w:unhideWhenUsed/>
    <w:qFormat/>
    <w:pPr>
      <w:keepNext/>
      <w:keepLines/>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Textooriginal">
    <w:name w:val="Texto original"/>
    <w:qFormat/>
    <w:rPr>
      <w:rFonts w:ascii="Liberation Mono" w:eastAsia="Noto Sans Mono CJK SC" w:hAnsi="Liberation Mono" w:cs="Liberation Mono"/>
    </w:rPr>
  </w:style>
  <w:style w:type="paragraph" w:styleId="Ttulo">
    <w:name w:val="Title"/>
    <w:basedOn w:val="LO-normal1"/>
    <w:next w:val="Textoindependiente"/>
    <w:uiPriority w:val="10"/>
    <w:qFormat/>
    <w:pPr>
      <w:keepNext/>
      <w:keepLines/>
      <w:spacing w:before="480" w:after="120" w:line="240" w:lineRule="auto"/>
    </w:pPr>
    <w:rPr>
      <w:b/>
      <w:sz w:val="72"/>
      <w:szCs w:val="72"/>
    </w:rPr>
  </w:style>
  <w:style w:type="paragraph" w:styleId="Textoindependiente">
    <w:name w:val="Body Text"/>
    <w:basedOn w:val="LO-normal3"/>
    <w:pPr>
      <w:spacing w:after="140" w:line="276" w:lineRule="auto"/>
    </w:pPr>
  </w:style>
  <w:style w:type="paragraph" w:styleId="Lista">
    <w:name w:val="List"/>
    <w:basedOn w:val="Textoindependiente"/>
    <w:rPr>
      <w:rFonts w:cs="Lohit Devanagari"/>
    </w:rPr>
  </w:style>
  <w:style w:type="paragraph" w:styleId="Descripcin">
    <w:name w:val="caption"/>
    <w:basedOn w:val="LO-normal3"/>
    <w:qFormat/>
    <w:pPr>
      <w:suppressLineNumbers/>
      <w:spacing w:before="120" w:after="120"/>
    </w:pPr>
    <w:rPr>
      <w:rFonts w:cs="Lohit Devanagari"/>
      <w:i/>
      <w:iCs/>
      <w:sz w:val="24"/>
      <w:szCs w:val="24"/>
    </w:rPr>
  </w:style>
  <w:style w:type="paragraph" w:customStyle="1" w:styleId="ndice">
    <w:name w:val="Índice"/>
    <w:basedOn w:val="LO-normal3"/>
    <w:qFormat/>
    <w:pPr>
      <w:suppressLineNumbers/>
    </w:pPr>
    <w:rPr>
      <w:rFonts w:cs="Lohit Devanagari"/>
    </w:rPr>
  </w:style>
  <w:style w:type="paragraph" w:customStyle="1" w:styleId="LO-normal3">
    <w:name w:val="LO-normal3"/>
    <w:qFormat/>
    <w:pPr>
      <w:widowControl w:val="0"/>
    </w:pPr>
  </w:style>
  <w:style w:type="paragraph" w:customStyle="1" w:styleId="LO-normal1">
    <w:name w:val="LO-normal1"/>
    <w:qFormat/>
    <w:pPr>
      <w:spacing w:after="200" w:line="276" w:lineRule="auto"/>
    </w:pPr>
  </w:style>
  <w:style w:type="paragraph" w:styleId="Subttulo">
    <w:name w:val="Subtitle"/>
    <w:basedOn w:val="LO-normal3"/>
    <w:next w:val="LO-normal3"/>
    <w:uiPriority w:val="11"/>
    <w:qFormat/>
    <w:pPr>
      <w:keepNext/>
      <w:keepLines/>
      <w:widowControl/>
      <w:spacing w:before="360" w:after="80"/>
    </w:pPr>
    <w:rPr>
      <w:rFonts w:ascii="Georgia" w:eastAsia="Georgia" w:hAnsi="Georgia" w:cs="Georgia"/>
      <w:i/>
      <w:color w:val="666666"/>
      <w:sz w:val="48"/>
      <w:szCs w:val="48"/>
    </w:rPr>
  </w:style>
  <w:style w:type="paragraph" w:customStyle="1" w:styleId="LO-normal">
    <w:name w:val="LO-normal"/>
    <w:qFormat/>
    <w:pPr>
      <w:spacing w:line="276" w:lineRule="auto"/>
    </w:pPr>
    <w:rPr>
      <w:rFonts w:ascii="Arial" w:eastAsia="Arial" w:hAnsi="Arial" w:cs="Arial"/>
      <w:lang w:val="en-GB"/>
    </w:rPr>
  </w:style>
  <w:style w:type="paragraph" w:customStyle="1" w:styleId="Textopreformateado">
    <w:name w:val="Texto preformateado"/>
    <w:basedOn w:val="LO-normal3"/>
    <w:qFormat/>
    <w:rPr>
      <w:rFonts w:ascii="Liberation Mono" w:eastAsia="DejaVu Sans Mono" w:hAnsi="Liberation Mono" w:cs="Liberation Mono"/>
      <w:sz w:val="20"/>
      <w:szCs w:val="20"/>
    </w:rPr>
  </w:style>
  <w:style w:type="paragraph" w:customStyle="1" w:styleId="Cabeceraypie">
    <w:name w:val="Cabecera y pie"/>
    <w:basedOn w:val="Normal"/>
    <w:qFormat/>
    <w:pPr>
      <w:suppressLineNumbers/>
      <w:tabs>
        <w:tab w:val="center" w:pos="4252"/>
        <w:tab w:val="right" w:pos="8504"/>
      </w:tabs>
    </w:pPr>
  </w:style>
  <w:style w:type="paragraph" w:styleId="Piedepgina">
    <w:name w:val="footer"/>
    <w:basedOn w:val="Cabeceraypie"/>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371/journal.pone.0014004" TargetMode="External"/><Relationship Id="rId3" Type="http://schemas.openxmlformats.org/officeDocument/2006/relationships/settings" Target="settings.xml"/><Relationship Id="rId7" Type="http://schemas.openxmlformats.org/officeDocument/2006/relationships/hyperlink" Target="http://broadinstitute.github.io/picar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j3dWoWmSKyKqGe2mvPGr6AUsV1A==">AMUW2mW3ETusq0DN5v+2okmMoz5+P8lu2Q+Qa/TsXi7LnoS+QsF+O/VmgxbGC7URVYA4lkKuLwN5CUtqv1qwzxkdu6nE3XUTdrd7rI2pt5HogQnyUo0+ChbMmS075GQrUzfAEt7gaZS7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3093</Words>
  <Characters>17014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3</cp:revision>
  <dcterms:created xsi:type="dcterms:W3CDTF">2023-03-16T15:26:00Z</dcterms:created>
  <dcterms:modified xsi:type="dcterms:W3CDTF">2023-03-16T15:26:00Z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nique User Id_1">
    <vt:lpwstr>b3001d77-64dc-3f53-b218-c83bf9f3e310</vt:lpwstr>
  </property>
</Properties>
</file>