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7A2F" w14:textId="77777777" w:rsidR="00E562D5" w:rsidRPr="000B6ED6" w:rsidRDefault="00E562D5" w:rsidP="00E562D5">
      <w:pPr>
        <w:rPr>
          <w:b/>
          <w:bCs/>
        </w:rPr>
      </w:pPr>
      <w:r w:rsidRPr="00D87378">
        <w:rPr>
          <w:b/>
          <w:bCs/>
        </w:rPr>
        <w:t>Supplemental Table 1:</w:t>
      </w:r>
      <w:r>
        <w:t xml:space="preserve"> </w:t>
      </w:r>
      <w:r w:rsidRPr="000B6ED6">
        <w:rPr>
          <w:b/>
          <w:bCs/>
        </w:rPr>
        <w:t>Echo and MRI data</w:t>
      </w:r>
    </w:p>
    <w:p w14:paraId="55B941DA" w14:textId="77777777" w:rsidR="00E562D5" w:rsidRDefault="00E562D5" w:rsidP="00E562D5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8A172E">
        <w:rPr>
          <w:b/>
          <w:bCs/>
        </w:rPr>
        <w:t>TOTAL</w:t>
      </w:r>
      <w:r w:rsidRPr="008A172E">
        <w:rPr>
          <w:b/>
          <w:bCs/>
        </w:rPr>
        <w:tab/>
        <w:t xml:space="preserve">          </w:t>
      </w:r>
      <w:r w:rsidRPr="008A172E">
        <w:rPr>
          <w:b/>
          <w:bCs/>
          <w:i/>
          <w:iCs/>
        </w:rPr>
        <w:t>SURGICAL</w:t>
      </w:r>
      <w:r w:rsidRPr="008A172E">
        <w:rPr>
          <w:b/>
          <w:bCs/>
          <w:i/>
          <w:iCs/>
        </w:rPr>
        <w:tab/>
        <w:t xml:space="preserve">   TRANSCATHETER</w:t>
      </w:r>
      <w:r>
        <w:t xml:space="preserve">       p-value</w:t>
      </w:r>
      <w:r>
        <w:rPr>
          <w:rFonts w:cstheme="minorHAnsi"/>
          <w:vertAlign w:val="superscript"/>
        </w:rPr>
        <w:t>§</w:t>
      </w:r>
    </w:p>
    <w:p w14:paraId="3F202DCC" w14:textId="77777777" w:rsidR="00E562D5" w:rsidRDefault="00E562D5" w:rsidP="00E562D5">
      <w:pPr>
        <w:spacing w:line="240" w:lineRule="auto"/>
      </w:pPr>
      <w:r>
        <w:t xml:space="preserve">                                                                         N=68</w:t>
      </w:r>
      <w:r>
        <w:tab/>
      </w:r>
      <w:r>
        <w:tab/>
        <w:t xml:space="preserve"> N=36</w:t>
      </w:r>
      <w:r>
        <w:tab/>
      </w:r>
      <w:r>
        <w:tab/>
        <w:t xml:space="preserve"> N=32  </w:t>
      </w:r>
    </w:p>
    <w:p w14:paraId="5089D0A3" w14:textId="77777777" w:rsidR="00E562D5" w:rsidRPr="00742963" w:rsidRDefault="00E562D5" w:rsidP="00E562D5">
      <w:pPr>
        <w:spacing w:line="240" w:lineRule="auto"/>
        <w:contextualSpacing/>
        <w:rPr>
          <w:b/>
          <w:bCs/>
        </w:rPr>
      </w:pPr>
    </w:p>
    <w:p w14:paraId="5215DBC6" w14:textId="77777777" w:rsidR="00E562D5" w:rsidRDefault="00E562D5" w:rsidP="00E562D5">
      <w:pPr>
        <w:spacing w:line="240" w:lineRule="auto"/>
        <w:contextualSpacing/>
      </w:pPr>
      <w:r w:rsidRPr="00742963">
        <w:rPr>
          <w:b/>
          <w:bCs/>
        </w:rPr>
        <w:t>Echocardiogram</w:t>
      </w:r>
      <w:r>
        <w:tab/>
      </w:r>
      <w:r>
        <w:tab/>
      </w:r>
      <w:r>
        <w:tab/>
        <w:t>55 (80.9)</w:t>
      </w:r>
      <w:r>
        <w:tab/>
        <w:t>29 (80.6)              26 (81.3)</w:t>
      </w:r>
    </w:p>
    <w:p w14:paraId="2B9D1D9D" w14:textId="77777777" w:rsidR="00E562D5" w:rsidRDefault="00E562D5" w:rsidP="00E562D5">
      <w:pPr>
        <w:spacing w:line="240" w:lineRule="auto"/>
        <w:contextualSpacing/>
      </w:pPr>
      <w:r>
        <w:t xml:space="preserve">   RV function: </w:t>
      </w:r>
    </w:p>
    <w:p w14:paraId="4585CBFA" w14:textId="77777777" w:rsidR="00E562D5" w:rsidRDefault="00E562D5" w:rsidP="00E562D5">
      <w:pPr>
        <w:spacing w:line="240" w:lineRule="auto"/>
        <w:ind w:firstLine="720"/>
        <w:contextualSpacing/>
      </w:pPr>
      <w:r>
        <w:t>Normal/low normal</w:t>
      </w:r>
      <w:r>
        <w:tab/>
      </w:r>
      <w:r>
        <w:tab/>
        <w:t>33 (60.0)</w:t>
      </w:r>
      <w:r>
        <w:tab/>
        <w:t>16 (55.2)              17 (65.4)</w:t>
      </w:r>
    </w:p>
    <w:p w14:paraId="38EF1BA6" w14:textId="77777777" w:rsidR="00E562D5" w:rsidRDefault="00E562D5" w:rsidP="00E562D5">
      <w:pPr>
        <w:spacing w:line="240" w:lineRule="auto"/>
        <w:ind w:firstLine="720"/>
        <w:contextualSpacing/>
      </w:pPr>
      <w:r>
        <w:t>Mildly depressed</w:t>
      </w:r>
      <w:r>
        <w:tab/>
      </w:r>
      <w:r>
        <w:tab/>
        <w:t>21 (38.2)</w:t>
      </w:r>
      <w:r>
        <w:tab/>
        <w:t>12 (41.4)                9 (34.6)</w:t>
      </w:r>
    </w:p>
    <w:p w14:paraId="48048360" w14:textId="77777777" w:rsidR="00E562D5" w:rsidRDefault="00E562D5" w:rsidP="00E562D5">
      <w:pPr>
        <w:spacing w:line="240" w:lineRule="auto"/>
        <w:ind w:firstLine="720"/>
        <w:contextualSpacing/>
      </w:pPr>
      <w:r>
        <w:rPr>
          <w:rFonts w:cstheme="minorHAnsi"/>
        </w:rPr>
        <w:t>≥</w:t>
      </w:r>
      <w:r>
        <w:t>Moderately depressed</w:t>
      </w:r>
      <w:r>
        <w:tab/>
      </w:r>
      <w:r>
        <w:tab/>
        <w:t>1 (1.8)</w:t>
      </w:r>
      <w:r>
        <w:tab/>
      </w:r>
      <w:r>
        <w:tab/>
        <w:t xml:space="preserve"> </w:t>
      </w:r>
      <w:r w:rsidRPr="000B6ED6">
        <w:t>1 (3.4)</w:t>
      </w:r>
      <w:r w:rsidRPr="000B6ED6">
        <w:tab/>
      </w:r>
      <w:r>
        <w:tab/>
        <w:t xml:space="preserve">   </w:t>
      </w:r>
      <w:r w:rsidRPr="000B6ED6">
        <w:t>0 (0.0)</w:t>
      </w:r>
      <w:r w:rsidRPr="000B6ED6">
        <w:tab/>
        <w:t>1.00</w:t>
      </w:r>
    </w:p>
    <w:p w14:paraId="7030CC12" w14:textId="77777777" w:rsidR="00E562D5" w:rsidRDefault="00E562D5" w:rsidP="00E562D5">
      <w:pPr>
        <w:spacing w:line="240" w:lineRule="auto"/>
        <w:contextualSpacing/>
      </w:pPr>
      <w:r>
        <w:t xml:space="preserve">      LV function: </w:t>
      </w:r>
    </w:p>
    <w:p w14:paraId="1B11B259" w14:textId="77777777" w:rsidR="00E562D5" w:rsidRDefault="00E562D5" w:rsidP="00E562D5">
      <w:pPr>
        <w:spacing w:line="240" w:lineRule="auto"/>
        <w:ind w:firstLine="720"/>
        <w:contextualSpacing/>
      </w:pPr>
      <w:r>
        <w:t>Normal/low normal</w:t>
      </w:r>
      <w:r>
        <w:tab/>
      </w:r>
      <w:r>
        <w:tab/>
        <w:t>46 (83.6)</w:t>
      </w:r>
      <w:r w:rsidRPr="00E93949">
        <w:t xml:space="preserve"> </w:t>
      </w:r>
      <w:r>
        <w:tab/>
        <w:t>24 (82.8)              22 (84.6)</w:t>
      </w:r>
    </w:p>
    <w:p w14:paraId="10F3B1B7" w14:textId="77777777" w:rsidR="00E562D5" w:rsidRDefault="00E562D5" w:rsidP="00E562D5">
      <w:pPr>
        <w:spacing w:line="240" w:lineRule="auto"/>
        <w:contextualSpacing/>
      </w:pPr>
      <w:r>
        <w:tab/>
        <w:t>Mildly depressed</w:t>
      </w:r>
      <w:r>
        <w:tab/>
      </w:r>
      <w:r>
        <w:tab/>
        <w:t>8 (14.5)</w:t>
      </w:r>
      <w:r>
        <w:tab/>
      </w:r>
      <w:r>
        <w:tab/>
        <w:t xml:space="preserve">  5 (17.2)                3 (11.5)</w:t>
      </w:r>
    </w:p>
    <w:p w14:paraId="6FF5617D" w14:textId="77777777" w:rsidR="00E562D5" w:rsidRDefault="00E562D5" w:rsidP="00E562D5">
      <w:pPr>
        <w:spacing w:line="240" w:lineRule="auto"/>
        <w:ind w:firstLine="720"/>
        <w:contextualSpacing/>
      </w:pPr>
      <w:r>
        <w:rPr>
          <w:rFonts w:cstheme="minorHAnsi"/>
        </w:rPr>
        <w:t>≥</w:t>
      </w:r>
      <w:r>
        <w:t>Moderately depressed</w:t>
      </w:r>
      <w:r>
        <w:tab/>
      </w:r>
      <w:r>
        <w:tab/>
        <w:t>1 (1.8)</w:t>
      </w:r>
      <w:r>
        <w:tab/>
      </w:r>
      <w:r>
        <w:tab/>
        <w:t xml:space="preserve">  </w:t>
      </w:r>
      <w:r w:rsidRPr="000B6ED6">
        <w:t>0 (0.0)</w:t>
      </w:r>
      <w:r w:rsidRPr="000B6ED6">
        <w:tab/>
      </w:r>
      <w:r>
        <w:tab/>
        <w:t xml:space="preserve">   </w:t>
      </w:r>
      <w:r w:rsidRPr="000B6ED6">
        <w:t>1 (3.8)</w:t>
      </w:r>
      <w:r w:rsidRPr="000B6ED6">
        <w:tab/>
        <w:t>0.47</w:t>
      </w:r>
    </w:p>
    <w:p w14:paraId="33A9F877" w14:textId="77777777" w:rsidR="00E562D5" w:rsidRDefault="00E562D5" w:rsidP="00E562D5">
      <w:pPr>
        <w:spacing w:line="240" w:lineRule="auto"/>
        <w:contextualSpacing/>
      </w:pPr>
      <w:r>
        <w:t xml:space="preserve">   Right AVVR</w:t>
      </w:r>
    </w:p>
    <w:p w14:paraId="1AADB10B" w14:textId="77777777" w:rsidR="00E562D5" w:rsidRDefault="00E562D5" w:rsidP="00E562D5">
      <w:pPr>
        <w:spacing w:line="240" w:lineRule="auto"/>
        <w:ind w:firstLine="720"/>
        <w:contextualSpacing/>
      </w:pPr>
      <w:r>
        <w:t>None/trivial</w:t>
      </w:r>
      <w:r>
        <w:tab/>
      </w:r>
      <w:r>
        <w:tab/>
      </w:r>
      <w:r>
        <w:tab/>
        <w:t>19 (34.5)</w:t>
      </w:r>
      <w:r>
        <w:tab/>
        <w:t>10 (34.5)                9 (34.6)</w:t>
      </w:r>
    </w:p>
    <w:p w14:paraId="146DB53C" w14:textId="77777777" w:rsidR="00E562D5" w:rsidRDefault="00E562D5" w:rsidP="00E562D5">
      <w:pPr>
        <w:spacing w:line="240" w:lineRule="auto"/>
        <w:ind w:firstLine="720"/>
        <w:contextualSpacing/>
      </w:pPr>
      <w:r>
        <w:t>Mild</w:t>
      </w:r>
      <w:r>
        <w:tab/>
      </w:r>
      <w:r>
        <w:tab/>
      </w:r>
      <w:r>
        <w:tab/>
      </w:r>
      <w:r>
        <w:tab/>
        <w:t>31 (56.4)</w:t>
      </w:r>
      <w:r>
        <w:tab/>
        <w:t>17 (68.6)                2 (7.7)</w:t>
      </w:r>
    </w:p>
    <w:p w14:paraId="4FCE8827" w14:textId="77777777" w:rsidR="00E562D5" w:rsidRDefault="00E562D5" w:rsidP="00E562D5">
      <w:pPr>
        <w:spacing w:line="240" w:lineRule="auto"/>
        <w:ind w:firstLine="720"/>
        <w:contextualSpacing/>
      </w:pPr>
      <w:r>
        <w:rPr>
          <w:rFonts w:cstheme="minorHAnsi"/>
        </w:rPr>
        <w:t>≥</w:t>
      </w:r>
      <w:r>
        <w:t xml:space="preserve"> Moderate</w:t>
      </w:r>
      <w:r>
        <w:tab/>
      </w:r>
      <w:r>
        <w:tab/>
      </w:r>
      <w:r>
        <w:tab/>
        <w:t>2 (5.4)</w:t>
      </w:r>
      <w:r w:rsidRPr="000B6ED6">
        <w:t xml:space="preserve"> </w:t>
      </w:r>
      <w:r>
        <w:tab/>
      </w:r>
      <w:r>
        <w:tab/>
        <w:t xml:space="preserve">  </w:t>
      </w:r>
      <w:r w:rsidRPr="000B6ED6">
        <w:t>2 (6.9)</w:t>
      </w:r>
      <w:r w:rsidRPr="000B6ED6">
        <w:tab/>
      </w:r>
      <w:r>
        <w:tab/>
        <w:t xml:space="preserve">   </w:t>
      </w:r>
      <w:r w:rsidRPr="000B6ED6">
        <w:t>1 (3.8)</w:t>
      </w:r>
      <w:r w:rsidRPr="000B6ED6">
        <w:tab/>
        <w:t>1.00</w:t>
      </w:r>
    </w:p>
    <w:p w14:paraId="414A1357" w14:textId="77777777" w:rsidR="00E562D5" w:rsidRDefault="00E562D5" w:rsidP="00E562D5">
      <w:pPr>
        <w:spacing w:line="240" w:lineRule="auto"/>
        <w:contextualSpacing/>
      </w:pPr>
      <w:r>
        <w:t xml:space="preserve">   Left AVVR: </w:t>
      </w:r>
    </w:p>
    <w:p w14:paraId="51D4BBE8" w14:textId="77777777" w:rsidR="00E562D5" w:rsidRDefault="00E562D5" w:rsidP="00E562D5">
      <w:pPr>
        <w:spacing w:line="240" w:lineRule="auto"/>
        <w:ind w:firstLine="720"/>
        <w:contextualSpacing/>
      </w:pPr>
      <w:r>
        <w:t>None/trivial</w:t>
      </w:r>
      <w:r>
        <w:tab/>
      </w:r>
      <w:r>
        <w:tab/>
      </w:r>
      <w:r>
        <w:tab/>
        <w:t>44 (80.0)</w:t>
      </w:r>
      <w:r w:rsidRPr="00E93949">
        <w:t xml:space="preserve"> </w:t>
      </w:r>
      <w:r>
        <w:tab/>
        <w:t xml:space="preserve">25 (86.2)             19 (73.1)   </w:t>
      </w:r>
    </w:p>
    <w:p w14:paraId="6939A22C" w14:textId="77777777" w:rsidR="00E562D5" w:rsidRDefault="00E562D5" w:rsidP="00E562D5">
      <w:pPr>
        <w:spacing w:line="240" w:lineRule="auto"/>
        <w:ind w:firstLine="720"/>
        <w:contextualSpacing/>
      </w:pPr>
      <w:r>
        <w:t>Mild</w:t>
      </w:r>
      <w:r>
        <w:tab/>
      </w:r>
      <w:r>
        <w:tab/>
      </w:r>
      <w:r>
        <w:tab/>
      </w:r>
      <w:r>
        <w:tab/>
        <w:t>6 (10.9)</w:t>
      </w:r>
      <w:r>
        <w:tab/>
      </w:r>
      <w:r>
        <w:tab/>
        <w:t xml:space="preserve">  1 (3.4)                  5 (19.2)</w:t>
      </w:r>
    </w:p>
    <w:p w14:paraId="630F6B97" w14:textId="77777777" w:rsidR="00E562D5" w:rsidRDefault="00E562D5" w:rsidP="00E562D5">
      <w:pPr>
        <w:spacing w:line="240" w:lineRule="auto"/>
        <w:ind w:firstLine="720"/>
        <w:contextualSpacing/>
      </w:pPr>
      <w:r>
        <w:rPr>
          <w:rFonts w:cstheme="minorHAnsi"/>
        </w:rPr>
        <w:t>≥</w:t>
      </w:r>
      <w:r>
        <w:t>Moderate</w:t>
      </w:r>
      <w:r>
        <w:tab/>
      </w:r>
      <w:r>
        <w:tab/>
      </w:r>
      <w:r>
        <w:tab/>
        <w:t>1 (1.8)</w:t>
      </w:r>
      <w:r w:rsidRPr="000B6ED6">
        <w:t xml:space="preserve"> </w:t>
      </w:r>
      <w:r>
        <w:tab/>
      </w:r>
      <w:r>
        <w:tab/>
        <w:t xml:space="preserve">  </w:t>
      </w:r>
      <w:r w:rsidRPr="000B6ED6">
        <w:t>1 (3.4)</w:t>
      </w:r>
      <w:r w:rsidRPr="000B6ED6">
        <w:tab/>
      </w:r>
      <w:r>
        <w:tab/>
        <w:t xml:space="preserve">   </w:t>
      </w:r>
      <w:r w:rsidRPr="000B6ED6">
        <w:t>0 (0.0)</w:t>
      </w:r>
      <w:r w:rsidRPr="000B6ED6">
        <w:tab/>
        <w:t>1.00</w:t>
      </w:r>
    </w:p>
    <w:p w14:paraId="619F787D" w14:textId="77777777" w:rsidR="00E562D5" w:rsidRDefault="00E562D5" w:rsidP="00E562D5">
      <w:pPr>
        <w:spacing w:line="240" w:lineRule="auto"/>
        <w:contextualSpacing/>
      </w:pPr>
      <w:r>
        <w:t xml:space="preserve">   RV size: </w:t>
      </w:r>
    </w:p>
    <w:p w14:paraId="3DDE3E2F" w14:textId="77777777" w:rsidR="00E562D5" w:rsidRDefault="00E562D5" w:rsidP="00E562D5">
      <w:pPr>
        <w:spacing w:line="240" w:lineRule="auto"/>
        <w:contextualSpacing/>
      </w:pPr>
      <w:r>
        <w:t xml:space="preserve">   </w:t>
      </w:r>
      <w:r>
        <w:tab/>
        <w:t>Normal</w:t>
      </w:r>
      <w:r>
        <w:tab/>
      </w:r>
      <w:r>
        <w:tab/>
      </w:r>
      <w:r>
        <w:tab/>
      </w:r>
      <w:r>
        <w:tab/>
        <w:t>8 (14.5)</w:t>
      </w:r>
      <w:r>
        <w:tab/>
      </w:r>
      <w:r>
        <w:tab/>
        <w:t xml:space="preserve">  1 (3.4)                   7 (26.9)   </w:t>
      </w:r>
    </w:p>
    <w:p w14:paraId="120464B3" w14:textId="77777777" w:rsidR="00E562D5" w:rsidRDefault="00E562D5" w:rsidP="00E562D5">
      <w:pPr>
        <w:spacing w:line="240" w:lineRule="auto"/>
        <w:ind w:firstLine="720"/>
        <w:contextualSpacing/>
      </w:pPr>
      <w:r>
        <w:t>Mildly dilated</w:t>
      </w:r>
      <w:r>
        <w:tab/>
      </w:r>
      <w:r>
        <w:tab/>
      </w:r>
      <w:r>
        <w:tab/>
        <w:t>19 (34.5)</w:t>
      </w:r>
      <w:r>
        <w:tab/>
        <w:t xml:space="preserve">12 (41.4)            </w:t>
      </w:r>
      <w:r>
        <w:tab/>
        <w:t xml:space="preserve">   7 (26.9)  </w:t>
      </w:r>
    </w:p>
    <w:p w14:paraId="4D97CF6A" w14:textId="77777777" w:rsidR="00E562D5" w:rsidRDefault="00E562D5" w:rsidP="00E562D5">
      <w:pPr>
        <w:spacing w:line="240" w:lineRule="auto"/>
        <w:ind w:firstLine="720"/>
        <w:contextualSpacing/>
      </w:pPr>
      <w:r>
        <w:rPr>
          <w:rFonts w:cstheme="minorHAnsi"/>
        </w:rPr>
        <w:t>≥</w:t>
      </w:r>
      <w:r>
        <w:t>Moderately dilated</w:t>
      </w:r>
      <w:r>
        <w:tab/>
      </w:r>
      <w:r>
        <w:tab/>
        <w:t>25 (45.5)</w:t>
      </w:r>
      <w:r w:rsidRPr="000B6ED6">
        <w:t xml:space="preserve"> </w:t>
      </w:r>
      <w:r>
        <w:tab/>
      </w:r>
      <w:r w:rsidRPr="000B6ED6">
        <w:t>16 (55.2)</w:t>
      </w:r>
      <w:r w:rsidRPr="000B6ED6">
        <w:tab/>
      </w:r>
      <w:r>
        <w:t xml:space="preserve">   </w:t>
      </w:r>
      <w:r w:rsidRPr="000B6ED6">
        <w:t>9 (34.6)</w:t>
      </w:r>
      <w:r>
        <w:tab/>
      </w:r>
      <w:r w:rsidRPr="000B6ED6">
        <w:t>0.25</w:t>
      </w:r>
    </w:p>
    <w:p w14:paraId="53FCEBAD" w14:textId="77777777" w:rsidR="00E562D5" w:rsidRDefault="00E562D5" w:rsidP="00E562D5">
      <w:pPr>
        <w:spacing w:line="240" w:lineRule="auto"/>
        <w:contextualSpacing/>
      </w:pPr>
    </w:p>
    <w:p w14:paraId="28EA2158" w14:textId="77777777" w:rsidR="00E562D5" w:rsidRDefault="00E562D5" w:rsidP="00E562D5">
      <w:pPr>
        <w:spacing w:line="240" w:lineRule="auto"/>
        <w:contextualSpacing/>
      </w:pPr>
      <w:r w:rsidRPr="00742963">
        <w:rPr>
          <w:b/>
          <w:bCs/>
        </w:rPr>
        <w:t>Cardiac MRI</w:t>
      </w:r>
      <w:r>
        <w:tab/>
      </w:r>
      <w:r>
        <w:tab/>
      </w:r>
      <w:r>
        <w:tab/>
      </w:r>
      <w:r>
        <w:tab/>
        <w:t>27 (39.7)</w:t>
      </w:r>
    </w:p>
    <w:p w14:paraId="390DEA1C" w14:textId="77777777" w:rsidR="00E562D5" w:rsidRDefault="00E562D5" w:rsidP="00E562D5">
      <w:pPr>
        <w:spacing w:line="240" w:lineRule="auto"/>
        <w:contextualSpacing/>
      </w:pPr>
      <w:r>
        <w:t xml:space="preserve">     Systemic ventricle EF, %</w:t>
      </w:r>
      <w:r>
        <w:tab/>
      </w:r>
      <w:r>
        <w:tab/>
        <w:t>57.8 ± 5.1</w:t>
      </w:r>
      <w:r w:rsidRPr="000B6ED6">
        <w:t xml:space="preserve"> </w:t>
      </w:r>
      <w:r>
        <w:tab/>
      </w:r>
      <w:r w:rsidRPr="000B6ED6">
        <w:t>56.6 ± 3.8</w:t>
      </w:r>
      <w:r w:rsidRPr="000B6ED6">
        <w:tab/>
        <w:t>59.3 ± 6.2</w:t>
      </w:r>
      <w:r w:rsidRPr="000B6ED6">
        <w:tab/>
        <w:t>0.19</w:t>
      </w:r>
    </w:p>
    <w:p w14:paraId="65DB1667" w14:textId="77777777" w:rsidR="00E562D5" w:rsidRDefault="00E562D5" w:rsidP="00E562D5">
      <w:pPr>
        <w:spacing w:line="240" w:lineRule="auto"/>
        <w:contextualSpacing/>
      </w:pPr>
      <w:r>
        <w:t xml:space="preserve">     Pulmonary ventricle EF, %</w:t>
      </w:r>
      <w:r>
        <w:tab/>
      </w:r>
      <w:r>
        <w:tab/>
        <w:t>48.7 ± 7.4</w:t>
      </w:r>
      <w:r w:rsidRPr="000B6ED6">
        <w:t xml:space="preserve"> </w:t>
      </w:r>
      <w:r>
        <w:tab/>
      </w:r>
      <w:r w:rsidRPr="000B6ED6">
        <w:t>47.4 ± 7.3</w:t>
      </w:r>
      <w:r w:rsidRPr="000B6ED6">
        <w:tab/>
        <w:t>50.3 ± 7.4</w:t>
      </w:r>
      <w:r w:rsidRPr="000B6ED6">
        <w:tab/>
        <w:t>0.31</w:t>
      </w:r>
    </w:p>
    <w:p w14:paraId="20F74C48" w14:textId="77777777" w:rsidR="00E562D5" w:rsidRDefault="00E562D5" w:rsidP="00E562D5">
      <w:pPr>
        <w:spacing w:line="240" w:lineRule="auto"/>
        <w:contextualSpacing/>
      </w:pPr>
      <w:r>
        <w:t xml:space="preserve">     RV EDV indexed, mL/m2</w:t>
      </w:r>
      <w:r>
        <w:tab/>
      </w:r>
      <w:r>
        <w:tab/>
        <w:t>149 ± 34.8</w:t>
      </w:r>
      <w:r w:rsidRPr="000B6ED6">
        <w:t xml:space="preserve"> </w:t>
      </w:r>
      <w:r>
        <w:tab/>
      </w:r>
      <w:r w:rsidRPr="000B6ED6">
        <w:t>158 ± 30.0</w:t>
      </w:r>
      <w:r w:rsidRPr="000B6ED6">
        <w:tab/>
        <w:t>139 ± 38.7</w:t>
      </w:r>
      <w:r w:rsidRPr="000B6ED6">
        <w:tab/>
        <w:t>0.18</w:t>
      </w:r>
    </w:p>
    <w:p w14:paraId="4A3617FC" w14:textId="77777777" w:rsidR="00E562D5" w:rsidRDefault="00E562D5" w:rsidP="00E562D5">
      <w:pPr>
        <w:spacing w:line="240" w:lineRule="auto"/>
        <w:contextualSpacing/>
      </w:pPr>
      <w:r>
        <w:t xml:space="preserve">     RV ESV indexed, mL/m2</w:t>
      </w:r>
      <w:r>
        <w:tab/>
      </w:r>
      <w:r>
        <w:tab/>
        <w:t>75.5 ± 24.3</w:t>
      </w:r>
      <w:r>
        <w:tab/>
        <w:t xml:space="preserve"> </w:t>
      </w:r>
      <w:r w:rsidRPr="000B6ED6">
        <w:t>84.0 ± 22.2</w:t>
      </w:r>
      <w:r w:rsidRPr="000B6ED6">
        <w:tab/>
        <w:t>65.6 ± 23.8</w:t>
      </w:r>
      <w:r w:rsidRPr="000B6ED6">
        <w:tab/>
        <w:t>0.052</w:t>
      </w:r>
    </w:p>
    <w:p w14:paraId="1842F05F" w14:textId="77777777" w:rsidR="00E562D5" w:rsidRDefault="00E562D5" w:rsidP="00E562D5">
      <w:pPr>
        <w:spacing w:line="240" w:lineRule="auto"/>
        <w:contextualSpacing/>
      </w:pPr>
      <w:r>
        <w:t xml:space="preserve">     Pulmonary regurgitant fraction, %</w:t>
      </w:r>
      <w:r>
        <w:tab/>
        <w:t>37.9 ± 13.7</w:t>
      </w:r>
      <w:r w:rsidRPr="000B6ED6">
        <w:t xml:space="preserve"> </w:t>
      </w:r>
      <w:r>
        <w:tab/>
      </w:r>
      <w:r w:rsidRPr="000B6ED6">
        <w:t>39.9 ± 11.3</w:t>
      </w:r>
      <w:r w:rsidRPr="000B6ED6">
        <w:tab/>
        <w:t>35.5 ± 16.3</w:t>
      </w:r>
      <w:r w:rsidRPr="000B6ED6">
        <w:tab/>
        <w:t>0.44</w:t>
      </w:r>
    </w:p>
    <w:p w14:paraId="5B0C2D79" w14:textId="77777777" w:rsidR="00E562D5" w:rsidRDefault="00E562D5" w:rsidP="00E562D5">
      <w:pPr>
        <w:spacing w:after="0" w:line="240" w:lineRule="auto"/>
        <w:jc w:val="center"/>
      </w:pPr>
      <w:r>
        <w:pict w14:anchorId="3AA86A44">
          <v:rect id="_x0000_i1025" style="width:468pt;height:1.5pt" o:hralign="center" o:hrstd="t" o:hr="t" fillcolor="#a0a0a0" stroked="f"/>
        </w:pict>
      </w:r>
    </w:p>
    <w:p w14:paraId="7D39674D" w14:textId="77777777" w:rsidR="00E562D5" w:rsidRDefault="00E562D5" w:rsidP="00E562D5">
      <w:pPr>
        <w:spacing w:line="240" w:lineRule="auto"/>
        <w:contextualSpacing/>
      </w:pPr>
      <w:r>
        <w:rPr>
          <w:vertAlign w:val="superscript"/>
        </w:rPr>
        <w:t>*</w:t>
      </w:r>
      <w:r>
        <w:t xml:space="preserve"> Data are presented as N (%) for categorical variables and Mean ± standard deviation for continuous variables.</w:t>
      </w:r>
    </w:p>
    <w:p w14:paraId="1E3CE7D7" w14:textId="77777777" w:rsidR="00E562D5" w:rsidRDefault="00E562D5" w:rsidP="00E562D5">
      <w:pPr>
        <w:spacing w:line="240" w:lineRule="auto"/>
        <w:contextualSpacing/>
      </w:pPr>
      <w:r>
        <w:rPr>
          <w:vertAlign w:val="superscript"/>
        </w:rPr>
        <w:t>§</w:t>
      </w:r>
      <w:r>
        <w:t xml:space="preserve"> P-value comparing surgical and transcatheter patients from Chi-square test or Fisher’s exact test for categorical variables and two-sample t-test for continuous variables.</w:t>
      </w:r>
    </w:p>
    <w:p w14:paraId="40380B19" w14:textId="77777777" w:rsidR="009F3FC2" w:rsidRDefault="009F3FC2"/>
    <w:sectPr w:rsidR="009F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D5"/>
    <w:rsid w:val="009F3FC2"/>
    <w:rsid w:val="00E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6DD7"/>
  <w15:chartTrackingRefBased/>
  <w15:docId w15:val="{E98E5AC9-2091-4FF1-A53C-C84A90A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Michigan Medicine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Zampi, Jeffrey</dc:creator>
  <cp:keywords/>
  <dc:description/>
  <cp:lastModifiedBy>Zampi, Jeffrey</cp:lastModifiedBy>
  <cp:revision>1</cp:revision>
  <dcterms:created xsi:type="dcterms:W3CDTF">2023-07-14T16:59:00Z</dcterms:created>
  <dcterms:modified xsi:type="dcterms:W3CDTF">2023-07-14T16:59:00Z</dcterms:modified>
</cp:coreProperties>
</file>