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7650" w14:textId="279D440D" w:rsidR="00036EF9" w:rsidRPr="00763DCC" w:rsidRDefault="00036EF9" w:rsidP="00036EF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63DCC">
        <w:rPr>
          <w:rFonts w:ascii="Times New Roman" w:hAnsi="Times New Roman" w:cs="Times New Roman"/>
          <w:b/>
        </w:rPr>
        <w:t xml:space="preserve">Spontaneous resolution of an intrapericardial thrombus as a complication of pericardiocentesis in a neonate </w:t>
      </w:r>
      <w:r>
        <w:rPr>
          <w:rFonts w:ascii="Times New Roman" w:hAnsi="Times New Roman" w:cs="Times New Roman"/>
          <w:b/>
        </w:rPr>
        <w:t>– Supplementary Information (SI)</w:t>
      </w:r>
    </w:p>
    <w:p w14:paraId="329AB188" w14:textId="77777777" w:rsidR="00036EF9" w:rsidRPr="00AA73AF" w:rsidRDefault="00036EF9" w:rsidP="00036EF9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997968" w14:textId="77777777" w:rsidR="00036EF9" w:rsidRPr="00AA73AF" w:rsidRDefault="00036EF9" w:rsidP="00036EF9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61D3842A" w14:textId="77777777" w:rsidR="00036EF9" w:rsidRPr="00763DCC" w:rsidRDefault="00036EF9" w:rsidP="00036EF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63DCC">
        <w:rPr>
          <w:rFonts w:ascii="Times New Roman" w:hAnsi="Times New Roman" w:cs="Times New Roman"/>
          <w:sz w:val="20"/>
          <w:szCs w:val="20"/>
        </w:rPr>
        <w:t xml:space="preserve"> Joy Crombez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63DCC">
        <w:rPr>
          <w:rFonts w:ascii="Times New Roman" w:hAnsi="Times New Roman" w:cs="Times New Roman"/>
          <w:sz w:val="20"/>
          <w:szCs w:val="20"/>
        </w:rPr>
        <w:t>, Wendy Dewals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63DCC">
        <w:rPr>
          <w:rFonts w:ascii="Times New Roman" w:hAnsi="Times New Roman" w:cs="Times New Roman"/>
          <w:sz w:val="20"/>
          <w:szCs w:val="20"/>
        </w:rPr>
        <w:t>, Laura Muiño Mosquera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, Thomas Martens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763DCC">
        <w:rPr>
          <w:rFonts w:ascii="Times New Roman" w:hAnsi="Times New Roman" w:cs="Times New Roman"/>
          <w:sz w:val="20"/>
          <w:szCs w:val="20"/>
        </w:rPr>
        <w:t>; Karlijn Van Damme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1,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63DCC">
        <w:rPr>
          <w:rFonts w:ascii="Times New Roman" w:hAnsi="Times New Roman" w:cs="Times New Roman"/>
          <w:sz w:val="20"/>
          <w:szCs w:val="20"/>
        </w:rPr>
        <w:t>, Luc Bruyndonckx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2,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763DCC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0A8222FE" w14:textId="77777777" w:rsidR="00036EF9" w:rsidRPr="00763DCC" w:rsidRDefault="00036EF9" w:rsidP="00036EF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D8514AF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3D7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113D7E">
        <w:rPr>
          <w:rFonts w:ascii="Times New Roman" w:hAnsi="Times New Roman" w:cs="Times New Roman"/>
          <w:sz w:val="20"/>
          <w:szCs w:val="20"/>
          <w:lang w:val="en-GB"/>
        </w:rPr>
        <w:t xml:space="preserve"> Department of Neonatology, Antwerp University Hospital, Edegem, Belgium</w:t>
      </w:r>
    </w:p>
    <w:p w14:paraId="35775012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3D7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113D7E">
        <w:rPr>
          <w:rFonts w:ascii="Times New Roman" w:hAnsi="Times New Roman" w:cs="Times New Roman"/>
          <w:sz w:val="20"/>
          <w:szCs w:val="20"/>
          <w:lang w:val="en-GB"/>
        </w:rPr>
        <w:t xml:space="preserve"> Department of Pediatric Cardiology, Antwerp University Hospital, Edegem, Belgium</w:t>
      </w:r>
    </w:p>
    <w:p w14:paraId="3D479BDB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  <w:lang w:val="en-GB"/>
        </w:rPr>
      </w:pPr>
      <w:r w:rsidRPr="00113D7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113D7E">
        <w:rPr>
          <w:rFonts w:ascii="Times New Roman" w:hAnsi="Times New Roman" w:cs="Times New Roman"/>
          <w:sz w:val="20"/>
          <w:szCs w:val="20"/>
          <w:lang w:val="en-GB"/>
        </w:rPr>
        <w:t xml:space="preserve"> Department of Pediatric Cardiology, Ghent University Hospital, Ghent, Belgium</w:t>
      </w:r>
    </w:p>
    <w:p w14:paraId="7F32E7D0" w14:textId="77777777" w:rsidR="00036EF9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3D7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r w:rsidRPr="00113D7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Department of Cardiac Surgery, Ghent University Hospital, Ghent, Belgium</w:t>
      </w:r>
    </w:p>
    <w:p w14:paraId="5EF40CCC" w14:textId="77777777" w:rsidR="00036EF9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r w:rsidRPr="00113D7E">
        <w:rPr>
          <w:rFonts w:ascii="Times New Roman" w:hAnsi="Times New Roman" w:cs="Times New Roman"/>
          <w:sz w:val="20"/>
          <w:szCs w:val="20"/>
          <w:lang w:val="en-GB"/>
        </w:rPr>
        <w:t>Laboratory of Experimental Medicine and Pediatrics, University of Antwerp, Antwerp, Belgium</w:t>
      </w:r>
    </w:p>
    <w:p w14:paraId="539BE039" w14:textId="77777777" w:rsidR="00036EF9" w:rsidRPr="0071265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71265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71265E">
        <w:rPr>
          <w:rFonts w:ascii="Times New Roman" w:hAnsi="Times New Roman" w:cs="Times New Roman"/>
          <w:sz w:val="20"/>
          <w:szCs w:val="20"/>
          <w:lang w:val="en-GB"/>
        </w:rPr>
        <w:t>Both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authors contributed equally</w:t>
      </w:r>
    </w:p>
    <w:p w14:paraId="1DF5DD0D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C2DF63D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A4C7D0C" w14:textId="77777777" w:rsidR="00036EF9" w:rsidRPr="00113D7E" w:rsidRDefault="00036EF9" w:rsidP="00036EF9">
      <w:pPr>
        <w:tabs>
          <w:tab w:val="left" w:pos="3828"/>
        </w:tabs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113D7E">
        <w:rPr>
          <w:rFonts w:ascii="Times New Roman" w:hAnsi="Times New Roman" w:cs="Times New Roman"/>
          <w:b/>
          <w:bCs/>
          <w:sz w:val="20"/>
          <w:szCs w:val="20"/>
          <w:lang w:bidi="ar-DZ"/>
        </w:rPr>
        <w:t xml:space="preserve">Corresponding author: </w:t>
      </w:r>
    </w:p>
    <w:p w14:paraId="3365E4A4" w14:textId="77777777" w:rsidR="00036EF9" w:rsidRPr="00113D7E" w:rsidRDefault="00036EF9" w:rsidP="00036EF9">
      <w:pPr>
        <w:tabs>
          <w:tab w:val="left" w:pos="3828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13D7E">
        <w:rPr>
          <w:rFonts w:ascii="Times New Roman" w:hAnsi="Times New Roman" w:cs="Times New Roman"/>
          <w:sz w:val="20"/>
          <w:szCs w:val="20"/>
          <w:lang w:bidi="ar-DZ"/>
        </w:rPr>
        <w:t>Joy Crombez</w:t>
      </w:r>
      <w:r>
        <w:rPr>
          <w:rFonts w:ascii="Times New Roman" w:hAnsi="Times New Roman" w:cs="Times New Roman"/>
          <w:sz w:val="20"/>
          <w:szCs w:val="20"/>
          <w:lang w:bidi="ar-DZ"/>
        </w:rPr>
        <w:t>, MD</w:t>
      </w:r>
    </w:p>
    <w:p w14:paraId="670132A7" w14:textId="77777777" w:rsidR="00036EF9" w:rsidRPr="0071265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265E">
        <w:rPr>
          <w:rFonts w:ascii="Times New Roman" w:hAnsi="Times New Roman" w:cs="Times New Roman"/>
          <w:sz w:val="20"/>
          <w:szCs w:val="20"/>
        </w:rPr>
        <w:t>Antwerp University Hospital</w:t>
      </w:r>
    </w:p>
    <w:p w14:paraId="34013105" w14:textId="77777777" w:rsidR="00036EF9" w:rsidRPr="00113D7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nl-BE"/>
        </w:rPr>
      </w:pPr>
      <w:r w:rsidRPr="00113D7E">
        <w:rPr>
          <w:rFonts w:ascii="Times New Roman" w:hAnsi="Times New Roman" w:cs="Times New Roman"/>
          <w:sz w:val="20"/>
          <w:szCs w:val="20"/>
          <w:lang w:val="nl-BE"/>
        </w:rPr>
        <w:t>Drie Eikenstraat 655</w:t>
      </w:r>
    </w:p>
    <w:p w14:paraId="2CC26C6D" w14:textId="77777777" w:rsidR="00036EF9" w:rsidRPr="0071265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nl-BE"/>
        </w:rPr>
      </w:pPr>
      <w:r w:rsidRPr="0071265E">
        <w:rPr>
          <w:rFonts w:ascii="Times New Roman" w:hAnsi="Times New Roman" w:cs="Times New Roman"/>
          <w:sz w:val="20"/>
          <w:szCs w:val="20"/>
          <w:lang w:val="nl-BE"/>
        </w:rPr>
        <w:t>2650 Edegem</w:t>
      </w:r>
    </w:p>
    <w:p w14:paraId="39C662BF" w14:textId="77777777" w:rsidR="00036EF9" w:rsidRPr="0071265E" w:rsidRDefault="00036EF9" w:rsidP="00036EF9">
      <w:pPr>
        <w:spacing w:line="360" w:lineRule="auto"/>
        <w:rPr>
          <w:rFonts w:ascii="Times New Roman" w:hAnsi="Times New Roman" w:cs="Times New Roman"/>
          <w:sz w:val="20"/>
          <w:szCs w:val="20"/>
          <w:lang w:val="nl-BE"/>
        </w:rPr>
      </w:pPr>
      <w:r w:rsidRPr="0071265E">
        <w:rPr>
          <w:rFonts w:ascii="Times New Roman" w:hAnsi="Times New Roman" w:cs="Times New Roman"/>
          <w:sz w:val="20"/>
          <w:szCs w:val="20"/>
          <w:lang w:val="nl-BE"/>
        </w:rPr>
        <w:t>Belgium</w:t>
      </w:r>
    </w:p>
    <w:p w14:paraId="0AC7085D" w14:textId="77777777" w:rsidR="00036EF9" w:rsidRPr="0071265E" w:rsidRDefault="00036EF9" w:rsidP="00036EF9">
      <w:pPr>
        <w:spacing w:line="480" w:lineRule="auto"/>
        <w:jc w:val="left"/>
        <w:rPr>
          <w:rFonts w:ascii="Times New Roman" w:hAnsi="Times New Roman" w:cs="Times New Roman"/>
          <w:sz w:val="20"/>
          <w:szCs w:val="20"/>
          <w:lang w:val="nl-BE"/>
        </w:rPr>
      </w:pPr>
      <w:r w:rsidRPr="0071265E">
        <w:rPr>
          <w:rFonts w:ascii="Times New Roman" w:hAnsi="Times New Roman" w:cs="Times New Roman"/>
          <w:sz w:val="20"/>
          <w:szCs w:val="20"/>
          <w:lang w:val="nl-BE"/>
        </w:rPr>
        <w:t>Tel +32 3 821 32 51</w:t>
      </w:r>
    </w:p>
    <w:p w14:paraId="10989C7F" w14:textId="77777777" w:rsidR="00036EF9" w:rsidRPr="001054A2" w:rsidRDefault="00036EF9" w:rsidP="00036EF9">
      <w:pPr>
        <w:spacing w:line="480" w:lineRule="auto"/>
        <w:jc w:val="left"/>
        <w:rPr>
          <w:rFonts w:ascii="Times New Roman" w:hAnsi="Times New Roman" w:cs="Times New Roman"/>
          <w:sz w:val="20"/>
          <w:szCs w:val="20"/>
          <w:lang w:val="fr-BE"/>
        </w:rPr>
      </w:pPr>
      <w:r w:rsidRPr="001054A2">
        <w:rPr>
          <w:rFonts w:ascii="Times New Roman" w:hAnsi="Times New Roman" w:cs="Times New Roman"/>
          <w:sz w:val="20"/>
          <w:szCs w:val="20"/>
          <w:lang w:val="fr-BE"/>
        </w:rPr>
        <w:t>E-mail: joy.crombez@uza.be</w:t>
      </w:r>
    </w:p>
    <w:p w14:paraId="3C5CCBA8" w14:textId="77777777" w:rsidR="00036EF9" w:rsidRPr="00036EF9" w:rsidRDefault="00036EF9">
      <w:pPr>
        <w:rPr>
          <w:rFonts w:ascii="Times New Roman" w:hAnsi="Times New Roman" w:cs="Times New Roman"/>
          <w:b/>
          <w:sz w:val="20"/>
          <w:szCs w:val="20"/>
          <w:lang w:val="fr-BE"/>
        </w:rPr>
      </w:pPr>
      <w:r w:rsidRPr="00036EF9">
        <w:rPr>
          <w:rFonts w:ascii="Times New Roman" w:hAnsi="Times New Roman" w:cs="Times New Roman"/>
          <w:b/>
          <w:sz w:val="20"/>
          <w:szCs w:val="20"/>
          <w:lang w:val="fr-BE"/>
        </w:rPr>
        <w:br w:type="page"/>
      </w:r>
    </w:p>
    <w:p w14:paraId="260B6C60" w14:textId="247BCC64" w:rsidR="00677971" w:rsidRPr="00AA73AF" w:rsidRDefault="00677971" w:rsidP="00677971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AA73AF">
        <w:rPr>
          <w:rFonts w:ascii="Times New Roman" w:hAnsi="Times New Roman" w:cs="Times New Roman"/>
          <w:b/>
          <w:sz w:val="20"/>
          <w:szCs w:val="20"/>
        </w:rPr>
        <w:lastRenderedPageBreak/>
        <w:t>Supplemental images</w:t>
      </w:r>
      <w:r>
        <w:rPr>
          <w:rFonts w:ascii="Times New Roman" w:hAnsi="Times New Roman" w:cs="Times New Roman"/>
          <w:b/>
          <w:sz w:val="20"/>
          <w:szCs w:val="20"/>
        </w:rPr>
        <w:t xml:space="preserve"> and videos (Online Resources)</w:t>
      </w:r>
    </w:p>
    <w:p w14:paraId="1F49562D" w14:textId="52F6E736" w:rsidR="00677971" w:rsidRPr="00AA73AF" w:rsidRDefault="00677971" w:rsidP="00677971">
      <w:pPr>
        <w:rPr>
          <w:rFonts w:ascii="Times New Roman" w:hAnsi="Times New Roman" w:cs="Times New Roman"/>
          <w:bCs/>
          <w:sz w:val="20"/>
          <w:szCs w:val="20"/>
        </w:rPr>
      </w:pPr>
    </w:p>
    <w:p w14:paraId="5B7BB1C5" w14:textId="5B9B1999" w:rsidR="00677971" w:rsidRPr="00AA73AF" w:rsidRDefault="008107E0" w:rsidP="0067797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14:ligatures w14:val="standardContextual"/>
        </w:rPr>
        <w:drawing>
          <wp:inline distT="0" distB="0" distL="0" distR="0" wp14:anchorId="6831E915" wp14:editId="5D31DC52">
            <wp:extent cx="5760720" cy="3922395"/>
            <wp:effectExtent l="0" t="0" r="0" b="1905"/>
            <wp:docPr id="7267413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41333" name="Afbeelding 7267413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9EB3" w14:textId="3AE38397" w:rsidR="00677971" w:rsidRPr="008107E0" w:rsidRDefault="008107E0" w:rsidP="00677971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Figure S1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A.</w:t>
      </w:r>
      <w:r w:rsidR="00677971" w:rsidRPr="008D05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>Anterior posterior (AP) chest and abdominal radiography show an adequate position of the umbilical venous catheter tip at the level of the diaphragm</w:t>
      </w:r>
      <w:r w:rsidR="00C034A7">
        <w:rPr>
          <w:rFonts w:ascii="Times New Roman" w:hAnsi="Times New Roman" w:cs="Times New Roman"/>
          <w:bCs/>
          <w:sz w:val="20"/>
          <w:szCs w:val="20"/>
        </w:rPr>
        <w:t xml:space="preserve"> (white dotted arrow)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 xml:space="preserve"> and of the umbilical arterial catheter tip in high position in the descending aorta</w:t>
      </w:r>
      <w:r w:rsidR="00C034A7">
        <w:rPr>
          <w:rFonts w:ascii="Times New Roman" w:hAnsi="Times New Roman" w:cs="Times New Roman"/>
          <w:bCs/>
          <w:sz w:val="20"/>
          <w:szCs w:val="20"/>
        </w:rPr>
        <w:t xml:space="preserve"> (white arrow)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B. </w:t>
      </w:r>
      <w:r>
        <w:rPr>
          <w:rFonts w:ascii="Times New Roman" w:hAnsi="Times New Roman" w:cs="Times New Roman"/>
          <w:bCs/>
          <w:sz w:val="20"/>
          <w:szCs w:val="20"/>
        </w:rPr>
        <w:t>La</w:t>
      </w:r>
      <w:r w:rsidRPr="00AA73AF">
        <w:rPr>
          <w:rFonts w:ascii="Times New Roman" w:hAnsi="Times New Roman" w:cs="Times New Roman"/>
          <w:bCs/>
          <w:sz w:val="20"/>
          <w:szCs w:val="20"/>
        </w:rPr>
        <w:t xml:space="preserve">teral </w:t>
      </w:r>
      <w:r>
        <w:rPr>
          <w:rFonts w:ascii="Times New Roman" w:hAnsi="Times New Roman" w:cs="Times New Roman"/>
          <w:bCs/>
          <w:sz w:val="20"/>
          <w:szCs w:val="20"/>
        </w:rPr>
        <w:t xml:space="preserve">chest and abdominal radiography confirms correct tip positions of the umbilical venous catheter (white dotted arrow) and the umbilical arterial catheter (white arrow).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C. 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>AP chest radiography</w:t>
      </w:r>
      <w:r w:rsidR="00D81A64">
        <w:rPr>
          <w:rFonts w:ascii="Times New Roman" w:hAnsi="Times New Roman" w:cs="Times New Roman"/>
          <w:bCs/>
          <w:sz w:val="20"/>
          <w:szCs w:val="20"/>
        </w:rPr>
        <w:t xml:space="preserve"> at the time of clinical deterioration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 xml:space="preserve"> shows bilateral opacities. Tip of the umbilical venous catheter </w:t>
      </w:r>
      <w:r w:rsidR="006725C1">
        <w:rPr>
          <w:rFonts w:ascii="Times New Roman" w:hAnsi="Times New Roman" w:cs="Times New Roman"/>
          <w:bCs/>
          <w:sz w:val="20"/>
          <w:szCs w:val="20"/>
        </w:rPr>
        <w:t xml:space="preserve">(white dotted arrow) 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 xml:space="preserve">appears to have migrated upward, projecting above the diaphragm. </w:t>
      </w:r>
      <w:r w:rsidR="006725C1">
        <w:rPr>
          <w:rFonts w:ascii="Times New Roman" w:hAnsi="Times New Roman" w:cs="Times New Roman"/>
          <w:bCs/>
          <w:sz w:val="20"/>
          <w:szCs w:val="20"/>
        </w:rPr>
        <w:t xml:space="preserve">Tip of the umbilical arterial catheter (white arrow) is in correct position. </w:t>
      </w:r>
    </w:p>
    <w:p w14:paraId="52CF3AA7" w14:textId="77777777" w:rsidR="00677971" w:rsidRPr="00AA73AF" w:rsidRDefault="00677971" w:rsidP="00677971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309FBCC" w14:textId="4F1651DA" w:rsidR="00677971" w:rsidRPr="00AA73AF" w:rsidRDefault="008107E0" w:rsidP="00677971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Video</w:t>
      </w:r>
      <w:r w:rsidR="0067797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55577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27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971" w:rsidRPr="00AA73AF">
        <w:rPr>
          <w:rFonts w:ascii="Times New Roman" w:hAnsi="Times New Roman" w:cs="Times New Roman"/>
          <w:bCs/>
          <w:sz w:val="20"/>
          <w:szCs w:val="20"/>
        </w:rPr>
        <w:t xml:space="preserve">Echocardiography after pericardiocentesis shows the intrapericardial thrombus adjacent to the right ventricle, without hemodynamic compromise. </w:t>
      </w:r>
    </w:p>
    <w:p w14:paraId="600A442F" w14:textId="03869418" w:rsidR="00A92326" w:rsidRDefault="00A92326" w:rsidP="00677971"/>
    <w:sectPr w:rsidR="00A9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95"/>
    <w:rsid w:val="00036EF9"/>
    <w:rsid w:val="00555775"/>
    <w:rsid w:val="006725C1"/>
    <w:rsid w:val="00677971"/>
    <w:rsid w:val="00725995"/>
    <w:rsid w:val="008107E0"/>
    <w:rsid w:val="008A2747"/>
    <w:rsid w:val="008D1327"/>
    <w:rsid w:val="00A92326"/>
    <w:rsid w:val="00C034A7"/>
    <w:rsid w:val="00D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03A"/>
  <w15:chartTrackingRefBased/>
  <w15:docId w15:val="{C80E22D9-6741-4FC5-8347-85E7DBB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971"/>
    <w:rPr>
      <w:rFonts w:ascii="Calibri" w:eastAsia="Calibri" w:hAnsi="Calibri" w:cs="Calibri"/>
      <w:kern w:val="0"/>
      <w:lang w:val="en-US"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crombez</dc:creator>
  <cp:keywords/>
  <dc:description/>
  <cp:lastModifiedBy>Joy Crombez</cp:lastModifiedBy>
  <cp:revision>10</cp:revision>
  <dcterms:created xsi:type="dcterms:W3CDTF">2023-07-31T14:56:00Z</dcterms:created>
  <dcterms:modified xsi:type="dcterms:W3CDTF">2023-09-25T20:42:00Z</dcterms:modified>
</cp:coreProperties>
</file>