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3D0A" w14:textId="4B55C69D" w:rsidR="00AB0F3E" w:rsidRPr="00F24CF0" w:rsidRDefault="00AB0F3E" w:rsidP="00F24CF0">
      <w:pPr>
        <w:pStyle w:val="Articletitle"/>
        <w:spacing w:line="480" w:lineRule="auto"/>
        <w:jc w:val="center"/>
        <w:rPr>
          <w:rFonts w:ascii="Cambria" w:hAnsi="Cambria"/>
        </w:rPr>
      </w:pPr>
      <w:r w:rsidRPr="00F24CF0">
        <w:rPr>
          <w:rFonts w:ascii="Cambria" w:hAnsi="Cambria"/>
        </w:rPr>
        <w:t>Appendix</w:t>
      </w:r>
      <w:r w:rsidR="00081483">
        <w:rPr>
          <w:rFonts w:ascii="Cambria" w:hAnsi="Cambria"/>
        </w:rPr>
        <w:t xml:space="preserve"> B</w:t>
      </w:r>
      <w:r w:rsidRPr="00F24CF0">
        <w:rPr>
          <w:rFonts w:ascii="Cambria" w:hAnsi="Cambria"/>
        </w:rPr>
        <w:t>: Willingness-to-Pay for Bobcat Harvest Permits in Indiana</w:t>
      </w:r>
    </w:p>
    <w:p w14:paraId="7E9B72BF" w14:textId="0FEF8747" w:rsidR="00AB0F3E" w:rsidRPr="00F24CF0" w:rsidRDefault="00081483">
      <w:pPr>
        <w:rPr>
          <w:b/>
          <w:bCs/>
        </w:rPr>
      </w:pPr>
      <w:r>
        <w:rPr>
          <w:b/>
          <w:bCs/>
        </w:rPr>
        <w:t>B</w:t>
      </w:r>
      <w:r w:rsidR="00C6680E" w:rsidRPr="00F24CF0">
        <w:rPr>
          <w:b/>
          <w:bCs/>
        </w:rPr>
        <w:t>.</w:t>
      </w:r>
      <w:r w:rsidR="00C6680E">
        <w:rPr>
          <w:b/>
          <w:bCs/>
        </w:rPr>
        <w:t>1</w:t>
      </w:r>
      <w:r w:rsidR="00C6680E" w:rsidRPr="00F24CF0">
        <w:rPr>
          <w:b/>
          <w:bCs/>
        </w:rPr>
        <w:t xml:space="preserve"> </w:t>
      </w:r>
      <w:r w:rsidR="00AB0F3E" w:rsidRPr="00F24CF0">
        <w:rPr>
          <w:b/>
          <w:bCs/>
        </w:rPr>
        <w:t>The Turnbull Estimator</w:t>
      </w:r>
    </w:p>
    <w:p w14:paraId="566CFE51" w14:textId="77777777" w:rsidR="00AF5984" w:rsidRDefault="00AF5984" w:rsidP="00AF5984">
      <w:pPr>
        <w:rPr>
          <w:rFonts w:eastAsia="Calibri"/>
        </w:rPr>
      </w:pPr>
    </w:p>
    <w:p w14:paraId="4ED05FC4" w14:textId="603FC455" w:rsidR="00AF5984" w:rsidRDefault="00AF5984" w:rsidP="00AF5984">
      <w:pPr>
        <w:rPr>
          <w:rFonts w:eastAsia="Calibri"/>
        </w:rPr>
      </w:pPr>
      <w:r w:rsidRPr="00AE264E">
        <w:rPr>
          <w:rFonts w:eastAsia="Calibri"/>
        </w:rPr>
        <w:t>Following Haab and McConnell (</w:t>
      </w:r>
      <w:r w:rsidRPr="0082346A">
        <w:rPr>
          <w:rFonts w:eastAsia="Calibri"/>
        </w:rPr>
        <w:t xml:space="preserve">2002), we </w:t>
      </w:r>
      <w:r>
        <w:rPr>
          <w:rFonts w:eastAsia="Calibri"/>
        </w:rPr>
        <w:t>estimate WTP</w:t>
      </w:r>
      <w:r w:rsidRPr="0082346A">
        <w:rPr>
          <w:rFonts w:eastAsia="Calibri"/>
        </w:rPr>
        <w:t xml:space="preserve"> </w:t>
      </w:r>
      <w:r>
        <w:rPr>
          <w:rFonts w:eastAsia="Calibri"/>
        </w:rPr>
        <w:t xml:space="preserve">using the Turnbull estimator </w:t>
      </w:r>
      <w:r w:rsidRPr="0082346A">
        <w:rPr>
          <w:rFonts w:eastAsia="Calibri"/>
        </w:rPr>
        <w:t>in two steps.</w:t>
      </w:r>
      <w:r>
        <w:rPr>
          <w:rFonts w:eastAsia="Calibri"/>
        </w:rPr>
        <w:t xml:space="preserve"> In the first step, we estimate the distribution of “no” responses—i.e., the distribution of respondents who are offered a license at a particular price but indicate they would not buy it. Denote the bobcat license prices that the respondents were shown as </w:t>
      </w:r>
      <w:proofErr w:type="spellStart"/>
      <w:r w:rsidRPr="00CC6362">
        <w:rPr>
          <w:rFonts w:eastAsia="Calibri"/>
          <w:i/>
          <w:iCs/>
        </w:rPr>
        <w:t>t</w:t>
      </w:r>
      <w:r w:rsidRPr="00CC6362">
        <w:rPr>
          <w:rFonts w:eastAsia="Calibri"/>
          <w:i/>
          <w:iCs/>
          <w:vertAlign w:val="subscript"/>
        </w:rPr>
        <w:t>j</w:t>
      </w:r>
      <w:proofErr w:type="spellEnd"/>
      <w:r>
        <w:rPr>
          <w:rFonts w:eastAsia="Calibri"/>
        </w:rPr>
        <w:t xml:space="preserve">, </w:t>
      </w:r>
      <w:r w:rsidRPr="00CC6362">
        <w:rPr>
          <w:rFonts w:eastAsia="Calibri"/>
          <w:i/>
          <w:iCs/>
        </w:rPr>
        <w:t>j</w:t>
      </w:r>
      <w:r>
        <w:rPr>
          <w:rFonts w:eastAsia="Calibri"/>
        </w:rPr>
        <w:t xml:space="preserve"> = 1, …, </w:t>
      </w:r>
      <w:r w:rsidRPr="00CC6362">
        <w:rPr>
          <w:rFonts w:eastAsia="Calibri"/>
          <w:i/>
          <w:iCs/>
        </w:rPr>
        <w:t>M</w:t>
      </w:r>
      <w:r>
        <w:rPr>
          <w:rFonts w:eastAsia="Calibri"/>
        </w:rPr>
        <w:t xml:space="preserve">, with </w:t>
      </w:r>
      <w:proofErr w:type="spellStart"/>
      <w:r w:rsidRPr="00CC6362">
        <w:rPr>
          <w:rFonts w:eastAsia="Calibri"/>
          <w:i/>
          <w:iCs/>
        </w:rPr>
        <w:t>t</w:t>
      </w:r>
      <w:r w:rsidRPr="00CC6362">
        <w:rPr>
          <w:rFonts w:eastAsia="Calibri"/>
          <w:i/>
          <w:iCs/>
          <w:vertAlign w:val="subscript"/>
        </w:rPr>
        <w:t>j</w:t>
      </w:r>
      <w:proofErr w:type="spellEnd"/>
      <w:r>
        <w:rPr>
          <w:rFonts w:eastAsia="Calibri"/>
        </w:rPr>
        <w:t xml:space="preserve"> &gt; </w:t>
      </w:r>
      <w:proofErr w:type="spellStart"/>
      <w:r w:rsidRPr="00CC6362">
        <w:rPr>
          <w:rFonts w:eastAsia="Calibri"/>
          <w:i/>
          <w:iCs/>
        </w:rPr>
        <w:t>t</w:t>
      </w:r>
      <w:r w:rsidRPr="00CC6362">
        <w:rPr>
          <w:rFonts w:eastAsia="Calibri"/>
          <w:i/>
          <w:iCs/>
          <w:vertAlign w:val="subscript"/>
        </w:rPr>
        <w:t>j</w:t>
      </w:r>
      <w:proofErr w:type="spellEnd"/>
      <w:r w:rsidRPr="00CC6362">
        <w:rPr>
          <w:rFonts w:eastAsia="Calibri"/>
          <w:vertAlign w:val="subscript"/>
        </w:rPr>
        <w:t>–1</w:t>
      </w:r>
      <w:r>
        <w:rPr>
          <w:rFonts w:eastAsia="Calibri"/>
        </w:rPr>
        <w:t xml:space="preserve"> </w:t>
      </w:r>
      <w:r>
        <w:rPr>
          <w:rFonts w:ascii="Cambria Math" w:eastAsia="Calibri" w:hAnsi="Cambria Math" w:cs="Cambria Math"/>
        </w:rPr>
        <w:t>∀</w:t>
      </w:r>
      <w:proofErr w:type="spellStart"/>
      <w:r w:rsidRPr="00CC6362">
        <w:rPr>
          <w:rFonts w:eastAsia="Calibri"/>
          <w:i/>
          <w:iCs/>
        </w:rPr>
        <w:t>j</w:t>
      </w:r>
      <w:r>
        <w:rPr>
          <w:rFonts w:eastAsia="Calibri"/>
        </w:rPr>
        <w:t>.</w:t>
      </w:r>
      <w:proofErr w:type="spellEnd"/>
      <w:r>
        <w:rPr>
          <w:rFonts w:eastAsia="Calibri"/>
        </w:rPr>
        <w:t xml:space="preserve"> Let the number of respondents who were shown </w:t>
      </w:r>
      <w:proofErr w:type="spellStart"/>
      <w:r w:rsidRPr="00CC6362">
        <w:rPr>
          <w:rFonts w:eastAsia="Calibri"/>
          <w:i/>
          <w:iCs/>
        </w:rPr>
        <w:t>t</w:t>
      </w:r>
      <w:r w:rsidRPr="00CC6362">
        <w:rPr>
          <w:rFonts w:eastAsia="Calibri"/>
          <w:i/>
          <w:iCs/>
          <w:vertAlign w:val="subscript"/>
        </w:rPr>
        <w:t>j</w:t>
      </w:r>
      <w:proofErr w:type="spellEnd"/>
      <w:r>
        <w:rPr>
          <w:rFonts w:eastAsia="Calibri"/>
        </w:rPr>
        <w:t xml:space="preserve"> and were willing to pay that amount be </w:t>
      </w:r>
      <w:proofErr w:type="spellStart"/>
      <w:r w:rsidRPr="00CC6362">
        <w:rPr>
          <w:rFonts w:eastAsia="Calibri"/>
          <w:i/>
          <w:iCs/>
        </w:rPr>
        <w:t>Y</w:t>
      </w:r>
      <w:r w:rsidRPr="00CC6362">
        <w:rPr>
          <w:rFonts w:eastAsia="Calibri"/>
          <w:i/>
          <w:iCs/>
          <w:vertAlign w:val="subscript"/>
        </w:rPr>
        <w:t>j</w:t>
      </w:r>
      <w:proofErr w:type="spellEnd"/>
      <w:r>
        <w:rPr>
          <w:rFonts w:eastAsia="Calibri"/>
        </w:rPr>
        <w:t xml:space="preserve">. Likewise, let the number of respondents who were shown </w:t>
      </w:r>
      <w:proofErr w:type="spellStart"/>
      <w:r w:rsidRPr="00505119">
        <w:rPr>
          <w:rFonts w:eastAsia="Calibri"/>
          <w:i/>
          <w:iCs/>
        </w:rPr>
        <w:t>t</w:t>
      </w:r>
      <w:r w:rsidRPr="00505119">
        <w:rPr>
          <w:rFonts w:eastAsia="Calibri"/>
          <w:i/>
          <w:iCs/>
          <w:vertAlign w:val="subscript"/>
        </w:rPr>
        <w:t>j</w:t>
      </w:r>
      <w:proofErr w:type="spellEnd"/>
      <w:r>
        <w:rPr>
          <w:rFonts w:eastAsia="Calibri"/>
        </w:rPr>
        <w:t xml:space="preserve"> and were not willing to pay that amount be </w:t>
      </w:r>
      <w:r>
        <w:rPr>
          <w:rFonts w:eastAsia="Calibri"/>
          <w:i/>
          <w:iCs/>
        </w:rPr>
        <w:t>N</w:t>
      </w:r>
      <w:r w:rsidRPr="00505119">
        <w:rPr>
          <w:rFonts w:eastAsia="Calibri"/>
          <w:i/>
          <w:iCs/>
          <w:vertAlign w:val="subscript"/>
        </w:rPr>
        <w:t>j</w:t>
      </w:r>
      <w:r>
        <w:rPr>
          <w:rFonts w:eastAsia="Calibri"/>
        </w:rPr>
        <w:t xml:space="preserve"> such that the total number of respondents shown price </w:t>
      </w:r>
      <w:r>
        <w:rPr>
          <w:rFonts w:eastAsia="Calibri"/>
          <w:i/>
          <w:iCs/>
        </w:rPr>
        <w:t>j</w:t>
      </w:r>
      <w:r>
        <w:rPr>
          <w:rFonts w:eastAsia="Calibri"/>
        </w:rPr>
        <w:t xml:space="preserve"> is </w:t>
      </w:r>
      <w:proofErr w:type="spellStart"/>
      <w:r w:rsidRPr="00CC6362">
        <w:rPr>
          <w:rFonts w:eastAsia="Calibri"/>
          <w:i/>
          <w:iCs/>
        </w:rPr>
        <w:t>T</w:t>
      </w:r>
      <w:r w:rsidRPr="00CC6362">
        <w:rPr>
          <w:rFonts w:eastAsia="Calibri"/>
          <w:i/>
          <w:iCs/>
          <w:vertAlign w:val="subscript"/>
        </w:rPr>
        <w:t>j</w:t>
      </w:r>
      <w:proofErr w:type="spellEnd"/>
      <w:r>
        <w:rPr>
          <w:rFonts w:eastAsia="Calibri"/>
        </w:rPr>
        <w:t xml:space="preserve"> = </w:t>
      </w:r>
      <w:proofErr w:type="spellStart"/>
      <w:r w:rsidRPr="00CC6362">
        <w:rPr>
          <w:rFonts w:eastAsia="Calibri"/>
          <w:i/>
          <w:iCs/>
        </w:rPr>
        <w:t>Y</w:t>
      </w:r>
      <w:r w:rsidRPr="00CC6362">
        <w:rPr>
          <w:rFonts w:eastAsia="Calibri"/>
          <w:i/>
          <w:iCs/>
          <w:vertAlign w:val="subscript"/>
        </w:rPr>
        <w:t>j</w:t>
      </w:r>
      <w:proofErr w:type="spellEnd"/>
      <w:r>
        <w:rPr>
          <w:rFonts w:eastAsia="Calibri"/>
        </w:rPr>
        <w:t xml:space="preserve"> + </w:t>
      </w:r>
      <w:r w:rsidRPr="00CC6362">
        <w:rPr>
          <w:rFonts w:eastAsia="Calibri"/>
          <w:i/>
          <w:iCs/>
        </w:rPr>
        <w:t>N</w:t>
      </w:r>
      <w:r w:rsidRPr="00CC6362">
        <w:rPr>
          <w:rFonts w:eastAsia="Calibri"/>
          <w:i/>
          <w:iCs/>
          <w:vertAlign w:val="subscript"/>
        </w:rPr>
        <w:t>j</w:t>
      </w:r>
      <w:r>
        <w:rPr>
          <w:rFonts w:eastAsia="Calibri"/>
        </w:rPr>
        <w:t xml:space="preserve">. Finally, define the share of respondents who said they would not purchase the license at price </w:t>
      </w:r>
      <w:r>
        <w:rPr>
          <w:rFonts w:eastAsia="Calibri"/>
          <w:i/>
          <w:iCs/>
        </w:rPr>
        <w:t>j</w:t>
      </w:r>
      <w:r>
        <w:rPr>
          <w:rFonts w:eastAsia="Calibri"/>
        </w:rPr>
        <w:t xml:space="preserve"> as </w:t>
      </w:r>
      <w:r w:rsidRPr="00CC6362">
        <w:rPr>
          <w:rFonts w:eastAsia="Calibri"/>
          <w:i/>
          <w:iCs/>
        </w:rPr>
        <w:t>F</w:t>
      </w:r>
      <w:r w:rsidRPr="00CC6362">
        <w:rPr>
          <w:rFonts w:eastAsia="Calibri"/>
          <w:i/>
          <w:iCs/>
          <w:vertAlign w:val="subscript"/>
        </w:rPr>
        <w:t>j</w:t>
      </w:r>
      <w:r>
        <w:rPr>
          <w:rFonts w:eastAsia="Calibri"/>
        </w:rPr>
        <w:t xml:space="preserve">. We can estimate the distribution of responses </w:t>
      </w:r>
      <w:r w:rsidRPr="00CC6362">
        <w:rPr>
          <w:rFonts w:eastAsia="Calibri"/>
          <w:i/>
          <w:iCs/>
        </w:rPr>
        <w:t>F</w:t>
      </w:r>
      <w:r w:rsidRPr="00CC6362">
        <w:rPr>
          <w:rFonts w:eastAsia="Calibri"/>
          <w:i/>
          <w:iCs/>
          <w:vertAlign w:val="subscript"/>
        </w:rPr>
        <w:t>j</w:t>
      </w:r>
      <w:r>
        <w:rPr>
          <w:rFonts w:eastAsia="Calibri"/>
        </w:rPr>
        <w:t xml:space="preserve"> </w:t>
      </w:r>
      <w:r>
        <w:rPr>
          <w:rFonts w:ascii="Cambria Math" w:eastAsia="Calibri" w:hAnsi="Cambria Math" w:cs="Cambria Math"/>
        </w:rPr>
        <w:t>∀</w:t>
      </w:r>
      <w:r w:rsidRPr="00CC6362">
        <w:rPr>
          <w:rFonts w:eastAsia="Calibri"/>
          <w:i/>
          <w:iCs/>
        </w:rPr>
        <w:t>j</w:t>
      </w:r>
      <w:r>
        <w:rPr>
          <w:rFonts w:eastAsia="Calibri"/>
        </w:rPr>
        <w:t xml:space="preserve"> by maximum likelihood. Given that individual responses are independent, and respondents are randomly assigned to prices, we can model the probability of observing </w:t>
      </w:r>
      <w:proofErr w:type="spellStart"/>
      <w:r w:rsidRPr="00D16988">
        <w:rPr>
          <w:rFonts w:eastAsia="Calibri"/>
          <w:i/>
          <w:iCs/>
        </w:rPr>
        <w:t>Y</w:t>
      </w:r>
      <w:r w:rsidRPr="00D16988">
        <w:rPr>
          <w:rFonts w:eastAsia="Calibri"/>
          <w:i/>
          <w:iCs/>
          <w:vertAlign w:val="subscript"/>
        </w:rPr>
        <w:t>j</w:t>
      </w:r>
      <w:proofErr w:type="spellEnd"/>
      <w:r>
        <w:rPr>
          <w:rFonts w:eastAsia="Calibri"/>
        </w:rPr>
        <w:t xml:space="preserve"> from a sample of </w:t>
      </w:r>
      <w:proofErr w:type="spellStart"/>
      <w:r w:rsidRPr="00D16988">
        <w:rPr>
          <w:rFonts w:eastAsia="Calibri"/>
          <w:i/>
          <w:iCs/>
        </w:rPr>
        <w:t>T</w:t>
      </w:r>
      <w:r w:rsidRPr="00D16988">
        <w:rPr>
          <w:rFonts w:eastAsia="Calibri"/>
          <w:i/>
          <w:iCs/>
          <w:vertAlign w:val="subscript"/>
        </w:rPr>
        <w:t>j</w:t>
      </w:r>
      <w:proofErr w:type="spellEnd"/>
      <w:r>
        <w:rPr>
          <w:rFonts w:eastAsia="Calibri"/>
        </w:rPr>
        <w:t xml:space="preserve"> respondents using a binomial density with success probability 1 – </w:t>
      </w:r>
      <w:r w:rsidRPr="00D16988">
        <w:rPr>
          <w:rFonts w:eastAsia="Calibri"/>
          <w:i/>
          <w:iCs/>
        </w:rPr>
        <w:t>F</w:t>
      </w:r>
      <w:r w:rsidRPr="00D16988">
        <w:rPr>
          <w:rFonts w:eastAsia="Calibri"/>
          <w:i/>
          <w:iCs/>
          <w:vertAlign w:val="subscript"/>
        </w:rPr>
        <w:t>j</w:t>
      </w:r>
      <w:r>
        <w:rPr>
          <w:rFonts w:eastAsia="Calibri"/>
        </w:rPr>
        <w:t xml:space="preserve">. The likelihood contribution for the subsample of respondents shown price </w:t>
      </w:r>
      <w:r w:rsidRPr="00D16988">
        <w:rPr>
          <w:rFonts w:eastAsia="Calibri"/>
          <w:i/>
          <w:iCs/>
        </w:rPr>
        <w:t>j</w:t>
      </w:r>
      <w:r>
        <w:rPr>
          <w:rFonts w:eastAsia="Calibri"/>
        </w:rPr>
        <w:t xml:space="preserve"> is then </w:t>
      </w:r>
    </w:p>
    <w:p w14:paraId="2D65EB7D" w14:textId="77777777" w:rsidR="006301FB" w:rsidRDefault="006301FB" w:rsidP="00AF5984">
      <w:pPr>
        <w:rPr>
          <w:rFonts w:eastAsia="Calibri"/>
        </w:rPr>
      </w:pPr>
    </w:p>
    <w:p w14:paraId="2AF6D0CD" w14:textId="7B184FAB" w:rsidR="00AF5984" w:rsidRPr="00544CD1" w:rsidRDefault="00AF5984" w:rsidP="00AF5984">
      <w:pPr>
        <w:tabs>
          <w:tab w:val="center" w:pos="4680"/>
          <w:tab w:val="right" w:pos="8820"/>
        </w:tabs>
        <w:rPr>
          <w:rFonts w:eastAsia="Calibri"/>
        </w:rPr>
      </w:pPr>
      <w:r>
        <w:rPr>
          <w:rFonts w:eastAsia="Calibri"/>
        </w:rPr>
        <w:t>(</w:t>
      </w:r>
      <w:r w:rsidR="00081483">
        <w:rPr>
          <w:rFonts w:eastAsia="Calibri"/>
        </w:rPr>
        <w:t>B</w:t>
      </w:r>
      <w:r w:rsidR="00D20923">
        <w:rPr>
          <w:rFonts w:eastAsia="Calibri"/>
        </w:rPr>
        <w:t>1</w:t>
      </w:r>
      <w:r>
        <w:rPr>
          <w:rFonts w:eastAsia="Calibri"/>
        </w:rPr>
        <w:t>)</w:t>
      </w:r>
      <w:r>
        <w:rPr>
          <w:rFonts w:eastAsia="Calibri"/>
        </w:rPr>
        <w:tab/>
      </w:r>
      <m:oMath>
        <m:d>
          <m:dPr>
            <m:ctrlPr>
              <w:rPr>
                <w:rFonts w:ascii="Cambria Math" w:eastAsia="Calibri" w:hAnsi="Cambria Math"/>
                <w:i/>
              </w:rPr>
            </m:ctrlPr>
          </m:dPr>
          <m:e>
            <m:m>
              <m:mPr>
                <m:mcs>
                  <m:mc>
                    <m:mcPr>
                      <m:count m:val="1"/>
                      <m:mcJc m:val="center"/>
                    </m:mcPr>
                  </m:mc>
                </m:mcs>
                <m:ctrlPr>
                  <w:rPr>
                    <w:rFonts w:ascii="Cambria Math" w:eastAsia="Calibri" w:hAnsi="Cambria Math"/>
                    <w:i/>
                  </w:rPr>
                </m:ctrlPr>
              </m:mPr>
              <m:mr>
                <m:e>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j</m:t>
                      </m:r>
                    </m:sub>
                  </m:sSub>
                </m:e>
              </m:mr>
              <m:m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j</m:t>
                      </m:r>
                    </m:sub>
                  </m:sSub>
                </m:e>
              </m:mr>
            </m:m>
          </m:e>
        </m:d>
        <m:sSubSup>
          <m:sSubSupPr>
            <m:ctrlPr>
              <w:rPr>
                <w:rFonts w:ascii="Cambria Math" w:eastAsia="Calibri" w:hAnsi="Cambria Math"/>
                <w:i/>
              </w:rPr>
            </m:ctrlPr>
          </m:sSubSupPr>
          <m:e>
            <m:r>
              <w:rPr>
                <w:rFonts w:ascii="Cambria Math" w:eastAsia="Calibri" w:hAnsi="Cambria Math"/>
              </w:rPr>
              <m:t>F</m:t>
            </m:r>
          </m:e>
          <m:sub>
            <m:r>
              <w:rPr>
                <w:rFonts w:ascii="Cambria Math" w:eastAsia="Calibri" w:hAnsi="Cambria Math"/>
              </w:rPr>
              <m:t>j</m:t>
            </m:r>
          </m:sub>
          <m:sup>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j</m:t>
                </m:r>
              </m:sub>
            </m:sSub>
          </m:sup>
        </m:sSubSup>
        <m:sSup>
          <m:sSupPr>
            <m:ctrlPr>
              <w:rPr>
                <w:rFonts w:ascii="Cambria Math" w:eastAsia="Calibri" w:hAnsi="Cambria Math"/>
                <w:i/>
              </w:rPr>
            </m:ctrlPr>
          </m:sSupPr>
          <m:e>
            <m:d>
              <m:dPr>
                <m:ctrlPr>
                  <w:rPr>
                    <w:rFonts w:ascii="Cambria Math" w:eastAsia="Calibri" w:hAnsi="Cambria Math"/>
                    <w:i/>
                  </w:rPr>
                </m:ctrlPr>
              </m:dPr>
              <m:e>
                <m:r>
                  <w:rPr>
                    <w:rFonts w:ascii="Cambria Math" w:eastAsia="Calibri" w:hAnsi="Cambria Math"/>
                  </w:rPr>
                  <m:t>1-</m:t>
                </m:r>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j</m:t>
                    </m:r>
                  </m:sub>
                </m:sSub>
              </m:e>
            </m:d>
          </m:e>
          <m:sup>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j</m:t>
                </m:r>
              </m:sub>
            </m:sSub>
          </m:sup>
        </m:sSup>
        <m:r>
          <w:rPr>
            <w:rFonts w:ascii="Cambria Math" w:eastAsia="Calibri" w:hAnsi="Cambria Math"/>
          </w:rPr>
          <m:t>.</m:t>
        </m:r>
      </m:oMath>
      <w:r>
        <w:rPr>
          <w:rFonts w:eastAsia="Calibri"/>
        </w:rPr>
        <w:t xml:space="preserve"> </w:t>
      </w:r>
      <w:r>
        <w:rPr>
          <w:rFonts w:eastAsia="Calibri"/>
        </w:rPr>
        <w:tab/>
      </w:r>
    </w:p>
    <w:p w14:paraId="5A1E9BDE" w14:textId="77777777" w:rsidR="006301FB" w:rsidRDefault="006301FB" w:rsidP="00AF5984">
      <w:pPr>
        <w:rPr>
          <w:rFonts w:eastAsia="Calibri"/>
        </w:rPr>
      </w:pPr>
    </w:p>
    <w:p w14:paraId="59B4FFD8" w14:textId="3A07D90D" w:rsidR="00AF5984" w:rsidRDefault="00AF5984" w:rsidP="00AF5984">
      <w:pPr>
        <w:rPr>
          <w:rFonts w:eastAsia="Calibri"/>
        </w:rPr>
      </w:pPr>
      <w:r>
        <w:rPr>
          <w:rFonts w:eastAsia="Calibri"/>
        </w:rPr>
        <w:t>Define</w:t>
      </w:r>
      <w:r w:rsidRPr="00D16988">
        <w:rPr>
          <w:rFonts w:eastAsia="Calibri"/>
        </w:rPr>
        <w:t xml:space="preserve"> </w:t>
      </w:r>
      <w:r w:rsidRPr="00D16988">
        <w:rPr>
          <w:rFonts w:eastAsia="Calibri"/>
          <w:i/>
          <w:iCs/>
        </w:rPr>
        <w:t>f</w:t>
      </w:r>
      <w:r w:rsidRPr="00D16988">
        <w:rPr>
          <w:rFonts w:eastAsia="Calibri"/>
          <w:i/>
          <w:iCs/>
          <w:vertAlign w:val="subscript"/>
        </w:rPr>
        <w:t>j</w:t>
      </w:r>
      <w:r w:rsidRPr="00D16988">
        <w:rPr>
          <w:rFonts w:eastAsia="Calibri"/>
        </w:rPr>
        <w:t xml:space="preserve"> = </w:t>
      </w:r>
      <w:r w:rsidRPr="00D16988">
        <w:rPr>
          <w:rFonts w:eastAsia="Calibri"/>
          <w:i/>
          <w:iCs/>
        </w:rPr>
        <w:t>F</w:t>
      </w:r>
      <w:r w:rsidRPr="00D16988">
        <w:rPr>
          <w:rFonts w:eastAsia="Calibri"/>
          <w:i/>
          <w:iCs/>
          <w:vertAlign w:val="subscript"/>
        </w:rPr>
        <w:t>j</w:t>
      </w:r>
      <w:r w:rsidRPr="00D16988">
        <w:rPr>
          <w:rFonts w:eastAsia="Calibri"/>
        </w:rPr>
        <w:t xml:space="preserve"> – </w:t>
      </w:r>
      <w:r w:rsidRPr="00D16988">
        <w:rPr>
          <w:rFonts w:eastAsia="Calibri"/>
          <w:i/>
          <w:iCs/>
        </w:rPr>
        <w:t>F</w:t>
      </w:r>
      <w:r w:rsidRPr="00D16988">
        <w:rPr>
          <w:rFonts w:eastAsia="Calibri"/>
          <w:i/>
          <w:iCs/>
          <w:vertAlign w:val="subscript"/>
        </w:rPr>
        <w:t xml:space="preserve">j </w:t>
      </w:r>
      <w:r w:rsidRPr="00D16988">
        <w:rPr>
          <w:rFonts w:eastAsia="Calibri"/>
          <w:vertAlign w:val="subscript"/>
        </w:rPr>
        <w:t>– 1</w:t>
      </w:r>
      <w:r w:rsidRPr="00D16988">
        <w:rPr>
          <w:rFonts w:eastAsia="Calibri"/>
        </w:rPr>
        <w:t xml:space="preserve"> </w:t>
      </w:r>
      <w:r>
        <w:rPr>
          <w:rFonts w:eastAsia="Calibri"/>
        </w:rPr>
        <w:t>a</w:t>
      </w:r>
      <w:r w:rsidRPr="00D16988">
        <w:rPr>
          <w:rFonts w:eastAsia="Calibri"/>
        </w:rPr>
        <w:t xml:space="preserve">s the weight of the distribution that falls between prices </w:t>
      </w:r>
      <w:r w:rsidRPr="00D16988">
        <w:rPr>
          <w:rFonts w:eastAsia="Calibri"/>
          <w:i/>
          <w:iCs/>
        </w:rPr>
        <w:t>j</w:t>
      </w:r>
      <w:r w:rsidRPr="00D16988">
        <w:rPr>
          <w:rFonts w:eastAsia="Calibri"/>
        </w:rPr>
        <w:t xml:space="preserve"> and </w:t>
      </w:r>
      <w:r w:rsidRPr="00D16988">
        <w:rPr>
          <w:rFonts w:eastAsia="Calibri"/>
          <w:i/>
          <w:iCs/>
        </w:rPr>
        <w:t xml:space="preserve">j </w:t>
      </w:r>
      <w:r w:rsidRPr="00D16988">
        <w:rPr>
          <w:rFonts w:eastAsia="Calibri"/>
        </w:rPr>
        <w:t>– 1</w:t>
      </w:r>
      <w:r>
        <w:rPr>
          <w:rFonts w:eastAsia="Calibri"/>
        </w:rPr>
        <w:t xml:space="preserve">. Assume also that the response data is appropriately pooled such that </w:t>
      </w:r>
      <w:r w:rsidRPr="00D16988">
        <w:rPr>
          <w:rFonts w:eastAsia="Calibri"/>
          <w:i/>
          <w:iCs/>
        </w:rPr>
        <w:t>F</w:t>
      </w:r>
      <w:r w:rsidRPr="00D16988">
        <w:rPr>
          <w:rFonts w:eastAsia="Calibri"/>
          <w:i/>
          <w:iCs/>
          <w:vertAlign w:val="subscript"/>
        </w:rPr>
        <w:t>j</w:t>
      </w:r>
      <w:r w:rsidRPr="00D16988">
        <w:rPr>
          <w:rFonts w:eastAsia="Calibri"/>
          <w:vertAlign w:val="subscript"/>
        </w:rPr>
        <w:t xml:space="preserve"> + 1</w:t>
      </w:r>
      <w:r>
        <w:rPr>
          <w:rFonts w:eastAsia="Calibri"/>
        </w:rPr>
        <w:t xml:space="preserve"> &gt; </w:t>
      </w:r>
      <w:r w:rsidRPr="00D16988">
        <w:rPr>
          <w:rFonts w:eastAsia="Calibri"/>
          <w:i/>
          <w:iCs/>
        </w:rPr>
        <w:t>F</w:t>
      </w:r>
      <w:r w:rsidRPr="00D16988">
        <w:rPr>
          <w:rFonts w:eastAsia="Calibri"/>
          <w:i/>
          <w:iCs/>
          <w:vertAlign w:val="subscript"/>
        </w:rPr>
        <w:t>j</w:t>
      </w:r>
      <w:r>
        <w:rPr>
          <w:rFonts w:eastAsia="Calibri"/>
        </w:rPr>
        <w:t xml:space="preserve"> </w:t>
      </w:r>
      <w:r>
        <w:rPr>
          <w:rFonts w:ascii="Cambria Math" w:eastAsia="Calibri" w:hAnsi="Cambria Math" w:cs="Cambria Math"/>
        </w:rPr>
        <w:t>∀</w:t>
      </w:r>
      <w:r w:rsidRPr="00D16988">
        <w:rPr>
          <w:rFonts w:eastAsia="Calibri"/>
          <w:i/>
          <w:iCs/>
        </w:rPr>
        <w:t>j</w:t>
      </w:r>
      <w:r>
        <w:rPr>
          <w:rFonts w:eastAsia="Calibri"/>
        </w:rPr>
        <w:t xml:space="preserve">—i.e., the </w:t>
      </w:r>
    </w:p>
    <w:p w14:paraId="0FC7E43A" w14:textId="7F87DE6A" w:rsidR="00AF5984" w:rsidRDefault="00AF5984" w:rsidP="00AF5984">
      <w:pPr>
        <w:rPr>
          <w:rFonts w:eastAsia="Calibri"/>
        </w:rPr>
      </w:pPr>
      <w:r>
        <w:rPr>
          <w:rFonts w:eastAsia="Calibri"/>
        </w:rPr>
        <w:t>probability of a “no” response increases monotonically with price (c.f. Haab and McConnell 2002).</w:t>
      </w:r>
      <w:r w:rsidR="00E62C3E">
        <w:rPr>
          <w:rStyle w:val="FootnoteReference"/>
          <w:rFonts w:eastAsia="Calibri"/>
        </w:rPr>
        <w:footnoteReference w:id="1"/>
      </w:r>
      <w:r w:rsidR="00E62C3E">
        <w:rPr>
          <w:rFonts w:eastAsia="Calibri"/>
        </w:rPr>
        <w:t xml:space="preserve"> </w:t>
      </w:r>
      <w:r>
        <w:rPr>
          <w:rFonts w:eastAsia="Calibri"/>
        </w:rPr>
        <w:t xml:space="preserve">We can then write the log-likelihood maximization problem as </w:t>
      </w:r>
    </w:p>
    <w:p w14:paraId="1ADE237C" w14:textId="77777777" w:rsidR="004612E6" w:rsidRDefault="004612E6" w:rsidP="00AF5984">
      <w:pPr>
        <w:rPr>
          <w:rFonts w:eastAsia="Calibri"/>
        </w:rPr>
      </w:pPr>
    </w:p>
    <w:p w14:paraId="52B1473F" w14:textId="4ADFFA7B" w:rsidR="006301FB" w:rsidRDefault="00AF5984" w:rsidP="00AF5984">
      <w:pPr>
        <w:tabs>
          <w:tab w:val="center" w:pos="4680"/>
          <w:tab w:val="right" w:pos="8820"/>
        </w:tabs>
        <w:rPr>
          <w:rFonts w:eastAsia="Calibri"/>
        </w:rPr>
      </w:pPr>
      <w:r>
        <w:rPr>
          <w:rFonts w:eastAsia="Calibri"/>
        </w:rPr>
        <w:t>(</w:t>
      </w:r>
      <w:r w:rsidR="00081483">
        <w:rPr>
          <w:rFonts w:eastAsia="Calibri"/>
        </w:rPr>
        <w:t>B</w:t>
      </w:r>
      <w:r w:rsidR="00D20923">
        <w:rPr>
          <w:rFonts w:eastAsia="Calibri"/>
        </w:rPr>
        <w:t>2</w:t>
      </w:r>
      <w:r>
        <w:rPr>
          <w:rFonts w:eastAsia="Calibri"/>
        </w:rPr>
        <w:t>)</w:t>
      </w:r>
      <w:r>
        <w:rPr>
          <w:rFonts w:eastAsia="Calibri"/>
        </w:rPr>
        <w:tab/>
      </w:r>
      <m:oMath>
        <m:func>
          <m:funcPr>
            <m:ctrlPr>
              <w:rPr>
                <w:rFonts w:ascii="Cambria Math" w:eastAsia="Calibri" w:hAnsi="Cambria Math"/>
                <w:i/>
              </w:rPr>
            </m:ctrlPr>
          </m:funcPr>
          <m:fName>
            <m:limLow>
              <m:limLowPr>
                <m:ctrlPr>
                  <w:rPr>
                    <w:rFonts w:ascii="Cambria Math" w:eastAsia="Calibri" w:hAnsi="Cambria Math"/>
                    <w:i/>
                  </w:rPr>
                </m:ctrlPr>
              </m:limLowPr>
              <m:e>
                <m:r>
                  <m:rPr>
                    <m:sty m:val="p"/>
                  </m:rPr>
                  <w:rPr>
                    <w:rFonts w:ascii="Cambria Math" w:eastAsia="Calibri" w:hAnsi="Cambria Math"/>
                  </w:rPr>
                  <m:t>max</m:t>
                </m:r>
              </m:e>
              <m:lim>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j</m:t>
                    </m:r>
                  </m:sub>
                </m:sSub>
                <m:r>
                  <w:rPr>
                    <w:rFonts w:ascii="Cambria Math" w:eastAsia="Calibri" w:hAnsi="Cambria Math"/>
                  </w:rPr>
                  <m:t xml:space="preserve"> ∀j</m:t>
                </m:r>
              </m:lim>
            </m:limLow>
          </m:fName>
          <m:e>
            <m:r>
              <w:rPr>
                <w:rFonts w:ascii="Cambria Math" w:eastAsia="Calibri" w:hAnsi="Cambria Math"/>
              </w:rPr>
              <m:t>L=</m:t>
            </m:r>
            <m:nary>
              <m:naryPr>
                <m:chr m:val="∑"/>
                <m:limLoc m:val="undOvr"/>
                <m:ctrlPr>
                  <w:rPr>
                    <w:rFonts w:ascii="Cambria Math" w:eastAsia="Calibri" w:hAnsi="Cambria Math"/>
                    <w:i/>
                  </w:rPr>
                </m:ctrlPr>
              </m:naryPr>
              <m:sub>
                <m:r>
                  <w:rPr>
                    <w:rFonts w:ascii="Cambria Math" w:eastAsia="Calibri" w:hAnsi="Cambria Math"/>
                  </w:rPr>
                  <m:t>j=1</m:t>
                </m:r>
              </m:sub>
              <m:sup>
                <m:r>
                  <w:rPr>
                    <w:rFonts w:ascii="Cambria Math" w:eastAsia="Calibri" w:hAnsi="Cambria Math"/>
                  </w:rPr>
                  <m:t>M</m:t>
                </m:r>
              </m:sup>
              <m:e>
                <m:d>
                  <m:dPr>
                    <m:begChr m:val="["/>
                    <m:endChr m:val="]"/>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j</m:t>
                        </m:r>
                      </m:sub>
                    </m:sSub>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nary>
                              <m:naryPr>
                                <m:chr m:val="∑"/>
                                <m:limLoc m:val="undOvr"/>
                                <m:ctrlPr>
                                  <w:rPr>
                                    <w:rFonts w:ascii="Cambria Math" w:eastAsia="Calibri" w:hAnsi="Cambria Math"/>
                                    <w:i/>
                                  </w:rPr>
                                </m:ctrlPr>
                              </m:naryPr>
                              <m:sub>
                                <m:r>
                                  <w:rPr>
                                    <w:rFonts w:ascii="Cambria Math" w:eastAsia="Calibri" w:hAnsi="Cambria Math"/>
                                  </w:rPr>
                                  <m:t>k=1</m:t>
                                </m:r>
                              </m:sub>
                              <m:sup>
                                <m:r>
                                  <w:rPr>
                                    <w:rFonts w:ascii="Cambria Math" w:eastAsia="Calibri" w:hAnsi="Cambria Math"/>
                                  </w:rPr>
                                  <m:t>j</m:t>
                                </m:r>
                              </m:sup>
                              <m:e>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k</m:t>
                                    </m:r>
                                  </m:sub>
                                </m:sSub>
                              </m:e>
                            </m:nary>
                          </m:e>
                        </m:d>
                      </m:e>
                    </m:func>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j</m:t>
                        </m:r>
                      </m:sub>
                    </m:sSub>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r>
                              <w:rPr>
                                <w:rFonts w:ascii="Cambria Math" w:eastAsia="Calibri" w:hAnsi="Cambria Math"/>
                              </w:rPr>
                              <m:t>1-</m:t>
                            </m:r>
                            <m:nary>
                              <m:naryPr>
                                <m:chr m:val="∑"/>
                                <m:limLoc m:val="undOvr"/>
                                <m:ctrlPr>
                                  <w:rPr>
                                    <w:rFonts w:ascii="Cambria Math" w:eastAsia="Calibri" w:hAnsi="Cambria Math"/>
                                    <w:i/>
                                  </w:rPr>
                                </m:ctrlPr>
                              </m:naryPr>
                              <m:sub>
                                <m:r>
                                  <w:rPr>
                                    <w:rFonts w:ascii="Cambria Math" w:eastAsia="Calibri" w:hAnsi="Cambria Math"/>
                                  </w:rPr>
                                  <m:t>k=1</m:t>
                                </m:r>
                              </m:sub>
                              <m:sup>
                                <m:r>
                                  <w:rPr>
                                    <w:rFonts w:ascii="Cambria Math" w:eastAsia="Calibri" w:hAnsi="Cambria Math"/>
                                  </w:rPr>
                                  <m:t>j</m:t>
                                </m:r>
                              </m:sup>
                              <m:e>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k</m:t>
                                    </m:r>
                                  </m:sub>
                                </m:sSub>
                              </m:e>
                            </m:nary>
                          </m:e>
                        </m:d>
                      </m:e>
                    </m:func>
                  </m:e>
                </m:d>
              </m:e>
            </m:nary>
          </m:e>
        </m:func>
        <m:r>
          <w:rPr>
            <w:rFonts w:ascii="Cambria Math" w:eastAsia="Calibri" w:hAnsi="Cambria Math"/>
          </w:rPr>
          <m:t>;</m:t>
        </m:r>
      </m:oMath>
      <w:r>
        <w:rPr>
          <w:rFonts w:eastAsia="Calibri"/>
        </w:rPr>
        <w:t xml:space="preserve"> </w:t>
      </w:r>
    </w:p>
    <w:p w14:paraId="028B47FC" w14:textId="634E6CD0" w:rsidR="00AF5984" w:rsidRDefault="00AF5984" w:rsidP="00AF5984">
      <w:pPr>
        <w:tabs>
          <w:tab w:val="center" w:pos="4680"/>
          <w:tab w:val="right" w:pos="8820"/>
        </w:tabs>
        <w:rPr>
          <w:rFonts w:eastAsia="Calibri"/>
        </w:rPr>
      </w:pPr>
      <w:r>
        <w:rPr>
          <w:rFonts w:eastAsia="Calibri"/>
        </w:rPr>
        <w:tab/>
      </w:r>
    </w:p>
    <w:p w14:paraId="345549E4" w14:textId="2655C2CC" w:rsidR="00AF5984" w:rsidRDefault="00AF5984" w:rsidP="00AF5984">
      <w:pPr>
        <w:rPr>
          <w:rFonts w:eastAsia="Calibri"/>
        </w:rPr>
      </w:pPr>
      <w:r>
        <w:rPr>
          <w:rFonts w:eastAsia="Calibri"/>
        </w:rPr>
        <w:lastRenderedPageBreak/>
        <w:t xml:space="preserve">note that the term </w:t>
      </w:r>
      <m:oMath>
        <m:d>
          <m:dPr>
            <m:ctrlPr>
              <w:rPr>
                <w:rFonts w:ascii="Cambria Math" w:eastAsia="Calibri" w:hAnsi="Cambria Math"/>
                <w:i/>
              </w:rPr>
            </m:ctrlPr>
          </m:dPr>
          <m:e>
            <m:m>
              <m:mPr>
                <m:mcs>
                  <m:mc>
                    <m:mcPr>
                      <m:count m:val="1"/>
                      <m:mcJc m:val="center"/>
                    </m:mcPr>
                  </m:mc>
                </m:mcs>
                <m:ctrlPr>
                  <w:rPr>
                    <w:rFonts w:ascii="Cambria Math" w:eastAsia="Calibri" w:hAnsi="Cambria Math"/>
                    <w:i/>
                  </w:rPr>
                </m:ctrlPr>
              </m:mPr>
              <m:mr>
                <m:e>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j</m:t>
                      </m:r>
                    </m:sub>
                  </m:sSub>
                </m:e>
              </m:mr>
              <m:mr>
                <m:e>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j</m:t>
                      </m:r>
                    </m:sub>
                  </m:sSub>
                </m:e>
              </m:mr>
            </m:m>
          </m:e>
        </m:d>
        <m:r>
          <w:rPr>
            <w:rFonts w:ascii="Cambria Math" w:eastAsia="Calibri" w:hAnsi="Cambria Math"/>
          </w:rPr>
          <m:t>=</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j</m:t>
                </m:r>
              </m:sub>
            </m:sSub>
            <m:r>
              <w:rPr>
                <w:rFonts w:ascii="Cambria Math" w:eastAsia="Calibri" w:hAnsi="Cambria Math"/>
              </w:rPr>
              <m:t>!</m:t>
            </m:r>
          </m:num>
          <m:den>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j</m:t>
                </m:r>
              </m:sub>
            </m:sSub>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j</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j</m:t>
                    </m:r>
                  </m:sub>
                </m:sSub>
              </m:e>
            </m:d>
          </m:den>
        </m:f>
      </m:oMath>
      <w:r>
        <w:rPr>
          <w:rFonts w:eastAsia="Calibri"/>
        </w:rPr>
        <w:t xml:space="preserve"> from (</w:t>
      </w:r>
      <w:r w:rsidR="00081483">
        <w:rPr>
          <w:rFonts w:eastAsia="Calibri"/>
        </w:rPr>
        <w:t>B</w:t>
      </w:r>
      <w:r w:rsidR="004612E6">
        <w:rPr>
          <w:rFonts w:eastAsia="Calibri"/>
        </w:rPr>
        <w:t>1</w:t>
      </w:r>
      <w:r>
        <w:rPr>
          <w:rFonts w:eastAsia="Calibri"/>
        </w:rPr>
        <w:t xml:space="preserve">) does not depend on the distribution parameters </w:t>
      </w:r>
      <w:r w:rsidRPr="00C576D8">
        <w:rPr>
          <w:rFonts w:eastAsia="Calibri"/>
          <w:i/>
          <w:iCs/>
        </w:rPr>
        <w:t>F</w:t>
      </w:r>
      <w:r w:rsidRPr="00C576D8">
        <w:rPr>
          <w:rFonts w:eastAsia="Calibri"/>
          <w:i/>
          <w:iCs/>
          <w:vertAlign w:val="subscript"/>
        </w:rPr>
        <w:t>j</w:t>
      </w:r>
      <w:r>
        <w:rPr>
          <w:rFonts w:eastAsia="Calibri"/>
        </w:rPr>
        <w:t xml:space="preserve"> and hence can be ignored in (</w:t>
      </w:r>
      <w:r w:rsidR="00081483">
        <w:rPr>
          <w:rFonts w:eastAsia="Calibri"/>
        </w:rPr>
        <w:t>B</w:t>
      </w:r>
      <w:r>
        <w:rPr>
          <w:rFonts w:eastAsia="Calibri"/>
        </w:rPr>
        <w:t xml:space="preserve">2). The maximum likelihood estimators are </w:t>
      </w:r>
    </w:p>
    <w:p w14:paraId="6CA98DA2" w14:textId="77777777" w:rsidR="006301FB" w:rsidRDefault="006301FB" w:rsidP="00AF5984">
      <w:pPr>
        <w:tabs>
          <w:tab w:val="center" w:pos="4680"/>
          <w:tab w:val="right" w:pos="8820"/>
        </w:tabs>
        <w:rPr>
          <w:rFonts w:eastAsia="Calibri"/>
        </w:rPr>
      </w:pPr>
    </w:p>
    <w:p w14:paraId="47008446" w14:textId="79CFB29C" w:rsidR="00AF5984" w:rsidRDefault="00AF5984" w:rsidP="00AF5984">
      <w:pPr>
        <w:tabs>
          <w:tab w:val="center" w:pos="4680"/>
          <w:tab w:val="right" w:pos="8820"/>
        </w:tabs>
        <w:rPr>
          <w:rFonts w:eastAsia="Calibri"/>
        </w:rPr>
      </w:pPr>
      <w:r>
        <w:rPr>
          <w:rFonts w:eastAsia="Calibri"/>
        </w:rPr>
        <w:t>(</w:t>
      </w:r>
      <w:r w:rsidR="00081483">
        <w:rPr>
          <w:rFonts w:eastAsia="Calibri"/>
        </w:rPr>
        <w:t>B</w:t>
      </w:r>
      <w:r w:rsidR="004612E6">
        <w:rPr>
          <w:rFonts w:eastAsia="Calibri"/>
        </w:rPr>
        <w:t>3</w:t>
      </w:r>
      <w:r>
        <w:rPr>
          <w:rFonts w:eastAsia="Calibri"/>
        </w:rPr>
        <w:t>)</w:t>
      </w:r>
      <w:r>
        <w:rPr>
          <w:rFonts w:eastAsia="Calibri"/>
        </w:rPr>
        <w:tab/>
      </w:r>
      <m:oMath>
        <m:sSub>
          <m:sSubPr>
            <m:ctrlPr>
              <w:rPr>
                <w:rFonts w:ascii="Cambria Math" w:eastAsia="Calibri" w:hAnsi="Cambria Math"/>
                <w:i/>
              </w:rPr>
            </m:ctrlPr>
          </m:sSubPr>
          <m:e>
            <m:acc>
              <m:accPr>
                <m:ctrlPr>
                  <w:rPr>
                    <w:rFonts w:ascii="Cambria Math" w:eastAsia="Calibri" w:hAnsi="Cambria Math"/>
                    <w:i/>
                  </w:rPr>
                </m:ctrlPr>
              </m:accPr>
              <m:e>
                <m:r>
                  <w:rPr>
                    <w:rFonts w:ascii="Cambria Math" w:eastAsia="Calibri" w:hAnsi="Cambria Math"/>
                  </w:rPr>
                  <m:t>f</m:t>
                </m:r>
              </m:e>
            </m:acc>
          </m:e>
          <m:sub>
            <m:r>
              <w:rPr>
                <w:rFonts w:ascii="Cambria Math" w:eastAsia="Calibri" w:hAnsi="Cambria Math"/>
              </w:rPr>
              <m:t>j</m:t>
            </m:r>
          </m:sub>
        </m:sSub>
        <m:r>
          <w:rPr>
            <w:rFonts w:ascii="Cambria Math" w:eastAsia="Calibri" w:hAnsi="Cambria Math"/>
          </w:rPr>
          <m:t>=</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j</m:t>
                </m:r>
              </m:sub>
            </m:sSub>
          </m:num>
          <m:den>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j</m:t>
                </m:r>
              </m:sub>
            </m:sSub>
          </m:den>
        </m:f>
        <m:r>
          <w:rPr>
            <w:rFonts w:ascii="Cambria Math" w:eastAsia="Calibri" w:hAnsi="Cambria Math"/>
          </w:rPr>
          <m:t>-</m:t>
        </m:r>
        <m:nary>
          <m:naryPr>
            <m:chr m:val="∑"/>
            <m:limLoc m:val="undOvr"/>
            <m:ctrlPr>
              <w:rPr>
                <w:rFonts w:ascii="Cambria Math" w:eastAsia="Calibri" w:hAnsi="Cambria Math"/>
                <w:i/>
              </w:rPr>
            </m:ctrlPr>
          </m:naryPr>
          <m:sub>
            <m:r>
              <w:rPr>
                <w:rFonts w:ascii="Cambria Math" w:eastAsia="Calibri" w:hAnsi="Cambria Math"/>
              </w:rPr>
              <m:t>k=1</m:t>
            </m:r>
          </m:sub>
          <m:sup>
            <m:r>
              <w:rPr>
                <w:rFonts w:ascii="Cambria Math" w:eastAsia="Calibri" w:hAnsi="Cambria Math"/>
              </w:rPr>
              <m:t>j-1</m:t>
            </m:r>
          </m:sup>
          <m:e>
            <m:sSub>
              <m:sSubPr>
                <m:ctrlPr>
                  <w:rPr>
                    <w:rFonts w:ascii="Cambria Math" w:eastAsia="Calibri" w:hAnsi="Cambria Math"/>
                    <w:i/>
                  </w:rPr>
                </m:ctrlPr>
              </m:sSubPr>
              <m:e>
                <m:acc>
                  <m:accPr>
                    <m:ctrlPr>
                      <w:rPr>
                        <w:rFonts w:ascii="Cambria Math" w:eastAsia="Calibri" w:hAnsi="Cambria Math"/>
                        <w:i/>
                      </w:rPr>
                    </m:ctrlPr>
                  </m:accPr>
                  <m:e>
                    <m:r>
                      <w:rPr>
                        <w:rFonts w:ascii="Cambria Math" w:eastAsia="Calibri" w:hAnsi="Cambria Math"/>
                      </w:rPr>
                      <m:t>f</m:t>
                    </m:r>
                  </m:e>
                </m:acc>
              </m:e>
              <m:sub>
                <m:r>
                  <w:rPr>
                    <w:rFonts w:ascii="Cambria Math" w:eastAsia="Calibri" w:hAnsi="Cambria Math"/>
                  </w:rPr>
                  <m:t>k</m:t>
                </m:r>
              </m:sub>
            </m:sSub>
          </m:e>
        </m:nary>
        <m:r>
          <w:rPr>
            <w:rFonts w:ascii="Cambria Math" w:eastAsia="Calibri" w:hAnsi="Cambria Math"/>
          </w:rPr>
          <m:t>.</m:t>
        </m:r>
      </m:oMath>
      <w:r>
        <w:rPr>
          <w:rFonts w:eastAsia="Calibri"/>
        </w:rPr>
        <w:t xml:space="preserve"> </w:t>
      </w:r>
      <w:r>
        <w:rPr>
          <w:rFonts w:eastAsia="Calibri"/>
        </w:rPr>
        <w:tab/>
      </w:r>
    </w:p>
    <w:p w14:paraId="2FCFBCAE" w14:textId="77777777" w:rsidR="006301FB" w:rsidRDefault="006301FB" w:rsidP="00AF5984">
      <w:pPr>
        <w:tabs>
          <w:tab w:val="center" w:pos="4680"/>
          <w:tab w:val="right" w:pos="8820"/>
        </w:tabs>
        <w:rPr>
          <w:rFonts w:eastAsia="Calibri"/>
        </w:rPr>
      </w:pPr>
    </w:p>
    <w:p w14:paraId="79DF571B" w14:textId="4F8638D3" w:rsidR="00AF5984" w:rsidRDefault="00AF5984" w:rsidP="00AF5984">
      <w:pPr>
        <w:tabs>
          <w:tab w:val="center" w:pos="4680"/>
          <w:tab w:val="right" w:pos="8820"/>
        </w:tabs>
        <w:rPr>
          <w:rFonts w:eastAsia="Calibri"/>
        </w:rPr>
      </w:pPr>
      <w:r>
        <w:rPr>
          <w:rFonts w:eastAsia="Calibri"/>
        </w:rPr>
        <w:t xml:space="preserve">The </w:t>
      </w:r>
      <m:oMath>
        <m:sSub>
          <m:sSubPr>
            <m:ctrlPr>
              <w:rPr>
                <w:rFonts w:ascii="Cambria Math" w:eastAsia="Calibri" w:hAnsi="Cambria Math"/>
                <w:i/>
              </w:rPr>
            </m:ctrlPr>
          </m:sSubPr>
          <m:e>
            <m:acc>
              <m:accPr>
                <m:ctrlPr>
                  <w:rPr>
                    <w:rFonts w:ascii="Cambria Math" w:eastAsia="Calibri" w:hAnsi="Cambria Math"/>
                    <w:i/>
                  </w:rPr>
                </m:ctrlPr>
              </m:accPr>
              <m:e>
                <m:r>
                  <w:rPr>
                    <w:rFonts w:ascii="Cambria Math" w:eastAsia="Calibri" w:hAnsi="Cambria Math"/>
                  </w:rPr>
                  <m:t>f</m:t>
                </m:r>
              </m:e>
            </m:acc>
          </m:e>
          <m:sub>
            <m:r>
              <w:rPr>
                <w:rFonts w:ascii="Cambria Math" w:eastAsia="Calibri" w:hAnsi="Cambria Math"/>
              </w:rPr>
              <m:t>j</m:t>
            </m:r>
          </m:sub>
        </m:sSub>
      </m:oMath>
      <w:r>
        <w:rPr>
          <w:rFonts w:eastAsia="Calibri"/>
        </w:rPr>
        <w:t xml:space="preserve"> are the density functions for our response data.</w:t>
      </w:r>
    </w:p>
    <w:p w14:paraId="081D934F" w14:textId="77777777" w:rsidR="00AF5984" w:rsidRDefault="00AF5984" w:rsidP="00AF5984">
      <w:pPr>
        <w:rPr>
          <w:rFonts w:eastAsia="Calibri"/>
        </w:rPr>
      </w:pPr>
      <w:r>
        <w:rPr>
          <w:rFonts w:eastAsia="Calibri"/>
        </w:rPr>
        <w:tab/>
        <w:t>Once the density is estimated, we can calculate a lower-bound estimate of mean WTP for a bobcat license as</w:t>
      </w:r>
    </w:p>
    <w:p w14:paraId="6535B368" w14:textId="77777777" w:rsidR="006301FB" w:rsidRDefault="006301FB" w:rsidP="00AF5984">
      <w:pPr>
        <w:tabs>
          <w:tab w:val="center" w:pos="4680"/>
          <w:tab w:val="right" w:pos="8820"/>
        </w:tabs>
        <w:rPr>
          <w:rFonts w:eastAsia="Calibri"/>
        </w:rPr>
      </w:pPr>
    </w:p>
    <w:p w14:paraId="71A8F1C6" w14:textId="0F047F85" w:rsidR="00AF5984" w:rsidRDefault="00AF5984" w:rsidP="00AF5984">
      <w:pPr>
        <w:tabs>
          <w:tab w:val="center" w:pos="4680"/>
          <w:tab w:val="right" w:pos="8820"/>
        </w:tabs>
        <w:rPr>
          <w:rFonts w:eastAsia="Calibri"/>
        </w:rPr>
      </w:pPr>
      <w:r>
        <w:rPr>
          <w:rFonts w:eastAsia="Calibri"/>
        </w:rPr>
        <w:t>(</w:t>
      </w:r>
      <w:r w:rsidR="00081483">
        <w:rPr>
          <w:rFonts w:eastAsia="Calibri"/>
        </w:rPr>
        <w:t>B</w:t>
      </w:r>
      <w:r w:rsidR="004612E6">
        <w:rPr>
          <w:rFonts w:eastAsia="Calibri"/>
        </w:rPr>
        <w:t>4</w:t>
      </w:r>
      <w:r>
        <w:rPr>
          <w:rFonts w:eastAsia="Calibri"/>
        </w:rPr>
        <w:t>)</w:t>
      </w:r>
      <w:r>
        <w:rPr>
          <w:rFonts w:eastAsia="Calibri"/>
        </w:rPr>
        <w:tab/>
      </w:r>
      <m:oMath>
        <m:r>
          <w:rPr>
            <w:rFonts w:ascii="Cambria Math" w:eastAsia="Calibri" w:hAnsi="Cambria Math"/>
          </w:rPr>
          <m:t>E</m:t>
        </m:r>
        <m:d>
          <m:dPr>
            <m:ctrlPr>
              <w:rPr>
                <w:rFonts w:ascii="Cambria Math" w:eastAsia="Calibri" w:hAnsi="Cambria Math"/>
                <w:i/>
              </w:rPr>
            </m:ctrlPr>
          </m:dPr>
          <m:e>
            <m:r>
              <w:rPr>
                <w:rFonts w:ascii="Cambria Math" w:eastAsia="Calibri" w:hAnsi="Cambria Math"/>
              </w:rPr>
              <m:t>WTP</m:t>
            </m:r>
          </m:e>
        </m:d>
        <m:r>
          <w:rPr>
            <w:rFonts w:ascii="Cambria Math" w:eastAsia="Calibri" w:hAnsi="Cambria Math"/>
          </w:rPr>
          <m:t>=</m:t>
        </m:r>
        <m:nary>
          <m:naryPr>
            <m:chr m:val="∑"/>
            <m:limLoc m:val="undOvr"/>
            <m:ctrlPr>
              <w:rPr>
                <w:rFonts w:ascii="Cambria Math" w:eastAsia="Calibri" w:hAnsi="Cambria Math"/>
                <w:i/>
              </w:rPr>
            </m:ctrlPr>
          </m:naryPr>
          <m:sub>
            <m:r>
              <w:rPr>
                <w:rFonts w:ascii="Cambria Math" w:eastAsia="Calibri" w:hAnsi="Cambria Math"/>
              </w:rPr>
              <m:t>j=0</m:t>
            </m:r>
          </m:sub>
          <m:sup>
            <m:r>
              <w:rPr>
                <w:rFonts w:ascii="Cambria Math" w:eastAsia="Calibri" w:hAnsi="Cambria Math"/>
              </w:rPr>
              <m:t>M</m:t>
            </m:r>
          </m:sup>
          <m:e>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j</m:t>
                </m:r>
              </m:sub>
            </m:sSub>
            <m:sSub>
              <m:sSubPr>
                <m:ctrlPr>
                  <w:rPr>
                    <w:rFonts w:ascii="Cambria Math" w:eastAsia="Calibri" w:hAnsi="Cambria Math"/>
                    <w:i/>
                  </w:rPr>
                </m:ctrlPr>
              </m:sSubPr>
              <m:e>
                <m:acc>
                  <m:accPr>
                    <m:ctrlPr>
                      <w:rPr>
                        <w:rFonts w:ascii="Cambria Math" w:eastAsia="Calibri" w:hAnsi="Cambria Math"/>
                        <w:i/>
                      </w:rPr>
                    </m:ctrlPr>
                  </m:accPr>
                  <m:e>
                    <m:r>
                      <w:rPr>
                        <w:rFonts w:ascii="Cambria Math" w:eastAsia="Calibri" w:hAnsi="Cambria Math"/>
                      </w:rPr>
                      <m:t>f</m:t>
                    </m:r>
                  </m:e>
                </m:acc>
              </m:e>
              <m:sub>
                <m:r>
                  <w:rPr>
                    <w:rFonts w:ascii="Cambria Math" w:eastAsia="Calibri" w:hAnsi="Cambria Math"/>
                  </w:rPr>
                  <m:t>j+1</m:t>
                </m:r>
              </m:sub>
            </m:sSub>
          </m:e>
        </m:nary>
      </m:oMath>
      <w:r>
        <w:rPr>
          <w:rFonts w:eastAsia="Calibri"/>
        </w:rPr>
        <w:t xml:space="preserve"> </w:t>
      </w:r>
      <w:r>
        <w:rPr>
          <w:rFonts w:eastAsia="Calibri"/>
        </w:rPr>
        <w:tab/>
      </w:r>
    </w:p>
    <w:p w14:paraId="5A2056F2" w14:textId="77777777" w:rsidR="006301FB" w:rsidRDefault="006301FB" w:rsidP="00AF5984">
      <w:pPr>
        <w:tabs>
          <w:tab w:val="center" w:pos="4680"/>
        </w:tabs>
        <w:rPr>
          <w:rFonts w:eastAsia="Calibri"/>
          <w:iCs/>
        </w:rPr>
      </w:pPr>
    </w:p>
    <w:p w14:paraId="79501BFB" w14:textId="58309065" w:rsidR="00AF5984" w:rsidRDefault="00AF5984" w:rsidP="00AF5984">
      <w:pPr>
        <w:tabs>
          <w:tab w:val="center" w:pos="4680"/>
        </w:tabs>
        <w:rPr>
          <w:rFonts w:eastAsia="Calibri"/>
          <w:iCs/>
        </w:rPr>
      </w:pPr>
      <w:r>
        <w:rPr>
          <w:rFonts w:eastAsia="Calibri"/>
          <w:iCs/>
        </w:rPr>
        <w:t xml:space="preserve"> where the bid rejection proportion at bid </w:t>
      </w:r>
      <w:r>
        <w:rPr>
          <w:rFonts w:eastAsia="Calibri"/>
          <w:i/>
        </w:rPr>
        <w:t>M</w:t>
      </w:r>
      <w:r>
        <w:rPr>
          <w:rFonts w:eastAsia="Calibri"/>
          <w:iCs/>
        </w:rPr>
        <w:t xml:space="preserve"> is 1. Additionally, we can calculate 95% confidence intervals for our WTP estimation. The variance of WTP is </w:t>
      </w:r>
    </w:p>
    <w:p w14:paraId="03B750E1" w14:textId="77777777" w:rsidR="006301FB" w:rsidRDefault="006301FB" w:rsidP="00AF5984">
      <w:pPr>
        <w:tabs>
          <w:tab w:val="center" w:pos="4680"/>
          <w:tab w:val="right" w:pos="8820"/>
        </w:tabs>
        <w:rPr>
          <w:rFonts w:eastAsia="Calibri"/>
        </w:rPr>
      </w:pPr>
    </w:p>
    <w:p w14:paraId="114E717C" w14:textId="2B281211" w:rsidR="00AF5984" w:rsidRDefault="00AF5984" w:rsidP="00AF5984">
      <w:pPr>
        <w:tabs>
          <w:tab w:val="center" w:pos="4680"/>
          <w:tab w:val="right" w:pos="8820"/>
        </w:tabs>
        <w:rPr>
          <w:rFonts w:eastAsia="Calibri"/>
        </w:rPr>
      </w:pPr>
      <w:r>
        <w:rPr>
          <w:rFonts w:eastAsia="Calibri"/>
        </w:rPr>
        <w:t>(</w:t>
      </w:r>
      <w:r w:rsidR="00081483">
        <w:rPr>
          <w:rFonts w:eastAsia="Calibri"/>
        </w:rPr>
        <w:t>B</w:t>
      </w:r>
      <w:r w:rsidR="004612E6">
        <w:rPr>
          <w:rFonts w:eastAsia="Calibri"/>
        </w:rPr>
        <w:t>5</w:t>
      </w:r>
      <w:r>
        <w:rPr>
          <w:rFonts w:eastAsia="Calibri"/>
        </w:rPr>
        <w:t>)</w:t>
      </w:r>
      <w:r>
        <w:rPr>
          <w:rFonts w:eastAsia="Calibri"/>
        </w:rPr>
        <w:tab/>
      </w:r>
      <m:oMath>
        <m:r>
          <w:rPr>
            <w:rFonts w:ascii="Cambria Math" w:eastAsia="Calibri" w:hAnsi="Cambria Math"/>
          </w:rPr>
          <m:t>V</m:t>
        </m:r>
        <m:d>
          <m:dPr>
            <m:ctrlPr>
              <w:rPr>
                <w:rFonts w:ascii="Cambria Math" w:eastAsia="Calibri" w:hAnsi="Cambria Math"/>
                <w:i/>
              </w:rPr>
            </m:ctrlPr>
          </m:dPr>
          <m:e>
            <m:r>
              <w:rPr>
                <w:rFonts w:ascii="Cambria Math" w:eastAsia="Calibri" w:hAnsi="Cambria Math"/>
              </w:rPr>
              <m:t>E</m:t>
            </m:r>
            <m:d>
              <m:dPr>
                <m:ctrlPr>
                  <w:rPr>
                    <w:rFonts w:ascii="Cambria Math" w:eastAsia="Calibri" w:hAnsi="Cambria Math"/>
                    <w:i/>
                  </w:rPr>
                </m:ctrlPr>
              </m:dPr>
              <m:e>
                <m:r>
                  <w:rPr>
                    <w:rFonts w:ascii="Cambria Math" w:eastAsia="Calibri" w:hAnsi="Cambria Math"/>
                  </w:rPr>
                  <m:t>WTP</m:t>
                </m:r>
              </m:e>
            </m:d>
          </m:e>
        </m:d>
        <m:r>
          <w:rPr>
            <w:rFonts w:ascii="Cambria Math" w:eastAsia="Calibri" w:hAnsi="Cambria Math"/>
          </w:rPr>
          <m:t>=</m:t>
        </m:r>
        <m:nary>
          <m:naryPr>
            <m:chr m:val="∑"/>
            <m:limLoc m:val="undOvr"/>
            <m:ctrlPr>
              <w:rPr>
                <w:rFonts w:ascii="Cambria Math" w:eastAsia="Calibri" w:hAnsi="Cambria Math"/>
                <w:i/>
              </w:rPr>
            </m:ctrlPr>
          </m:naryPr>
          <m:sub>
            <m:r>
              <w:rPr>
                <w:rFonts w:ascii="Cambria Math" w:eastAsia="Calibri" w:hAnsi="Cambria Math"/>
              </w:rPr>
              <m:t>j=0</m:t>
            </m:r>
          </m:sub>
          <m:sup>
            <m:r>
              <w:rPr>
                <w:rFonts w:ascii="Cambria Math" w:eastAsia="Calibri" w:hAnsi="Cambria Math"/>
              </w:rPr>
              <m:t>M</m:t>
            </m:r>
          </m:sup>
          <m:e>
            <m:f>
              <m:fPr>
                <m:ctrlPr>
                  <w:rPr>
                    <w:rFonts w:ascii="Cambria Math" w:eastAsia="Calibri" w:hAnsi="Cambria Math"/>
                    <w:i/>
                  </w:rPr>
                </m:ctrlPr>
              </m:fPr>
              <m:num>
                <m:sSub>
                  <m:sSubPr>
                    <m:ctrlPr>
                      <w:rPr>
                        <w:rFonts w:ascii="Cambria Math" w:eastAsia="Calibri" w:hAnsi="Cambria Math"/>
                        <w:i/>
                      </w:rPr>
                    </m:ctrlPr>
                  </m:sSubPr>
                  <m:e>
                    <m:acc>
                      <m:accPr>
                        <m:ctrlPr>
                          <w:rPr>
                            <w:rFonts w:ascii="Cambria Math" w:eastAsia="Calibri" w:hAnsi="Cambria Math"/>
                            <w:i/>
                          </w:rPr>
                        </m:ctrlPr>
                      </m:accPr>
                      <m:e>
                        <m:r>
                          <w:rPr>
                            <w:rFonts w:ascii="Cambria Math" w:eastAsia="Calibri" w:hAnsi="Cambria Math"/>
                          </w:rPr>
                          <m:t>F</m:t>
                        </m:r>
                      </m:e>
                    </m:acc>
                  </m:e>
                  <m:sub>
                    <m:r>
                      <w:rPr>
                        <w:rFonts w:ascii="Cambria Math" w:eastAsia="Calibri" w:hAnsi="Cambria Math"/>
                      </w:rPr>
                      <m:t>j</m:t>
                    </m:r>
                  </m:sub>
                </m:sSub>
                <m:d>
                  <m:dPr>
                    <m:ctrlPr>
                      <w:rPr>
                        <w:rFonts w:ascii="Cambria Math" w:eastAsia="Calibri" w:hAnsi="Cambria Math"/>
                        <w:i/>
                      </w:rPr>
                    </m:ctrlPr>
                  </m:dPr>
                  <m:e>
                    <m:r>
                      <w:rPr>
                        <w:rFonts w:ascii="Cambria Math" w:eastAsia="Calibri" w:hAnsi="Cambria Math"/>
                      </w:rPr>
                      <m:t>1-</m:t>
                    </m:r>
                    <m:sSub>
                      <m:sSubPr>
                        <m:ctrlPr>
                          <w:rPr>
                            <w:rFonts w:ascii="Cambria Math" w:eastAsia="Calibri" w:hAnsi="Cambria Math"/>
                            <w:i/>
                          </w:rPr>
                        </m:ctrlPr>
                      </m:sSubPr>
                      <m:e>
                        <m:acc>
                          <m:accPr>
                            <m:ctrlPr>
                              <w:rPr>
                                <w:rFonts w:ascii="Cambria Math" w:eastAsia="Calibri" w:hAnsi="Cambria Math"/>
                                <w:i/>
                              </w:rPr>
                            </m:ctrlPr>
                          </m:accPr>
                          <m:e>
                            <m:r>
                              <w:rPr>
                                <w:rFonts w:ascii="Cambria Math" w:eastAsia="Calibri" w:hAnsi="Cambria Math"/>
                              </w:rPr>
                              <m:t>F</m:t>
                            </m:r>
                          </m:e>
                        </m:acc>
                      </m:e>
                      <m:sub>
                        <m:r>
                          <w:rPr>
                            <w:rFonts w:ascii="Cambria Math" w:eastAsia="Calibri" w:hAnsi="Cambria Math"/>
                          </w:rPr>
                          <m:t>j</m:t>
                        </m:r>
                      </m:sub>
                    </m:sSub>
                  </m:e>
                </m:d>
              </m:num>
              <m:den>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j</m:t>
                    </m:r>
                  </m:sub>
                </m:sSub>
              </m:den>
            </m:f>
            <m:sSup>
              <m:sSupPr>
                <m:ctrlPr>
                  <w:rPr>
                    <w:rFonts w:ascii="Cambria Math" w:eastAsia="Calibri" w:hAnsi="Cambria Math"/>
                    <w:i/>
                  </w:rPr>
                </m:ctrlPr>
              </m:sSupPr>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j</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j-1</m:t>
                        </m:r>
                      </m:sub>
                    </m:sSub>
                  </m:e>
                </m:d>
              </m:e>
              <m:sup>
                <m:r>
                  <w:rPr>
                    <w:rFonts w:ascii="Cambria Math" w:eastAsia="Calibri" w:hAnsi="Cambria Math"/>
                  </w:rPr>
                  <m:t>2</m:t>
                </m:r>
              </m:sup>
            </m:sSup>
          </m:e>
        </m:nary>
        <m:r>
          <w:rPr>
            <w:rFonts w:ascii="Cambria Math" w:eastAsia="Calibri" w:hAnsi="Cambria Math"/>
          </w:rPr>
          <m:t>,</m:t>
        </m:r>
      </m:oMath>
      <w:r>
        <w:rPr>
          <w:rFonts w:eastAsia="Calibri"/>
        </w:rPr>
        <w:t xml:space="preserve"> </w:t>
      </w:r>
      <w:r>
        <w:rPr>
          <w:rFonts w:eastAsia="Calibri"/>
        </w:rPr>
        <w:tab/>
      </w:r>
    </w:p>
    <w:p w14:paraId="4D84792A" w14:textId="77777777" w:rsidR="006301FB" w:rsidRDefault="006301FB" w:rsidP="00AF5984">
      <w:pPr>
        <w:tabs>
          <w:tab w:val="center" w:pos="4680"/>
        </w:tabs>
        <w:rPr>
          <w:rFonts w:eastAsia="Calibri"/>
          <w:iCs/>
        </w:rPr>
      </w:pPr>
    </w:p>
    <w:p w14:paraId="09645AEC" w14:textId="6E291A78" w:rsidR="00AF5984" w:rsidRDefault="00AF5984" w:rsidP="00AF5984">
      <w:pPr>
        <w:tabs>
          <w:tab w:val="center" w:pos="4680"/>
        </w:tabs>
        <w:rPr>
          <w:rFonts w:eastAsia="Calibri"/>
          <w:iCs/>
        </w:rPr>
      </w:pPr>
      <w:r>
        <w:rPr>
          <w:rFonts w:eastAsia="Calibri"/>
          <w:iCs/>
        </w:rPr>
        <w:t xml:space="preserve">where </w:t>
      </w:r>
      <w:proofErr w:type="spellStart"/>
      <w:r w:rsidRPr="00C576D8">
        <w:rPr>
          <w:rFonts w:eastAsia="Calibri"/>
          <w:i/>
        </w:rPr>
        <w:t>F̂</w:t>
      </w:r>
      <w:r w:rsidRPr="00C576D8">
        <w:rPr>
          <w:rFonts w:eastAsia="Calibri"/>
          <w:i/>
          <w:vertAlign w:val="subscript"/>
        </w:rPr>
        <w:t>j</w:t>
      </w:r>
      <w:proofErr w:type="spellEnd"/>
      <w:r>
        <w:rPr>
          <w:rFonts w:eastAsia="Calibri"/>
          <w:iCs/>
        </w:rPr>
        <w:t xml:space="preserve"> = </w:t>
      </w:r>
      <w:r w:rsidRPr="00C576D8">
        <w:rPr>
          <w:rFonts w:eastAsia="Calibri"/>
          <w:i/>
        </w:rPr>
        <w:t>N</w:t>
      </w:r>
      <w:r w:rsidRPr="00C576D8">
        <w:rPr>
          <w:rFonts w:eastAsia="Calibri"/>
          <w:i/>
          <w:vertAlign w:val="subscript"/>
        </w:rPr>
        <w:t>j</w:t>
      </w:r>
      <w:r>
        <w:rPr>
          <w:rFonts w:eastAsia="Calibri"/>
          <w:iCs/>
        </w:rPr>
        <w:t>/</w:t>
      </w:r>
      <w:proofErr w:type="spellStart"/>
      <w:r w:rsidRPr="00C576D8">
        <w:rPr>
          <w:rFonts w:eastAsia="Calibri"/>
          <w:i/>
        </w:rPr>
        <w:t>T</w:t>
      </w:r>
      <w:r w:rsidRPr="00C576D8">
        <w:rPr>
          <w:rFonts w:eastAsia="Calibri"/>
          <w:i/>
          <w:vertAlign w:val="subscript"/>
        </w:rPr>
        <w:t>j</w:t>
      </w:r>
      <w:proofErr w:type="spellEnd"/>
      <w:r>
        <w:rPr>
          <w:rFonts w:eastAsia="Calibri"/>
          <w:iCs/>
        </w:rPr>
        <w:t>. The 95% confidence interval is then calculated as</w:t>
      </w:r>
    </w:p>
    <w:p w14:paraId="3C107CD4" w14:textId="77777777" w:rsidR="006301FB" w:rsidRDefault="006301FB" w:rsidP="00AF5984">
      <w:pPr>
        <w:tabs>
          <w:tab w:val="center" w:pos="4680"/>
        </w:tabs>
        <w:rPr>
          <w:rFonts w:eastAsia="Calibri"/>
          <w:iCs/>
        </w:rPr>
      </w:pPr>
    </w:p>
    <w:p w14:paraId="6A00BE0A" w14:textId="1BCF1A8E" w:rsidR="00AF5984" w:rsidRDefault="00AF5984" w:rsidP="00AF5984">
      <w:pPr>
        <w:tabs>
          <w:tab w:val="center" w:pos="4680"/>
          <w:tab w:val="right" w:pos="8820"/>
        </w:tabs>
        <w:rPr>
          <w:rFonts w:eastAsia="Calibri"/>
        </w:rPr>
      </w:pPr>
      <w:r>
        <w:rPr>
          <w:rFonts w:eastAsia="Calibri"/>
        </w:rPr>
        <w:t>(</w:t>
      </w:r>
      <w:r w:rsidR="00081483">
        <w:rPr>
          <w:rFonts w:eastAsia="Calibri"/>
        </w:rPr>
        <w:t>B</w:t>
      </w:r>
      <w:r w:rsidR="004612E6">
        <w:rPr>
          <w:rFonts w:eastAsia="Calibri"/>
        </w:rPr>
        <w:t>6</w:t>
      </w:r>
      <w:r>
        <w:rPr>
          <w:rFonts w:eastAsia="Calibri"/>
        </w:rPr>
        <w:t>)</w:t>
      </w:r>
      <w:r>
        <w:rPr>
          <w:rFonts w:eastAsia="Calibri"/>
        </w:rPr>
        <w:tab/>
      </w:r>
      <m:oMath>
        <m:r>
          <w:rPr>
            <w:rFonts w:ascii="Cambria Math" w:eastAsia="Calibri" w:hAnsi="Cambria Math"/>
          </w:rPr>
          <m:t>CI=E</m:t>
        </m:r>
        <m:d>
          <m:dPr>
            <m:ctrlPr>
              <w:rPr>
                <w:rFonts w:ascii="Cambria Math" w:eastAsia="Calibri" w:hAnsi="Cambria Math"/>
                <w:i/>
              </w:rPr>
            </m:ctrlPr>
          </m:dPr>
          <m:e>
            <m:r>
              <w:rPr>
                <w:rFonts w:ascii="Cambria Math" w:eastAsia="Calibri" w:hAnsi="Cambria Math"/>
              </w:rPr>
              <m:t>WTP</m:t>
            </m:r>
          </m:e>
        </m:d>
        <m:r>
          <w:rPr>
            <w:rFonts w:ascii="Cambria Math" w:eastAsia="Calibri" w:hAnsi="Cambria Math"/>
          </w:rPr>
          <m:t>±1.96⋅</m:t>
        </m:r>
        <m:rad>
          <m:radPr>
            <m:degHide m:val="1"/>
            <m:ctrlPr>
              <w:rPr>
                <w:rFonts w:ascii="Cambria Math" w:eastAsia="Calibri" w:hAnsi="Cambria Math"/>
                <w:i/>
              </w:rPr>
            </m:ctrlPr>
          </m:radPr>
          <m:deg/>
          <m:e>
            <m:r>
              <w:rPr>
                <w:rFonts w:ascii="Cambria Math" w:eastAsia="Calibri" w:hAnsi="Cambria Math"/>
              </w:rPr>
              <m:t>V</m:t>
            </m:r>
            <m:d>
              <m:dPr>
                <m:ctrlPr>
                  <w:rPr>
                    <w:rFonts w:ascii="Cambria Math" w:eastAsia="Calibri" w:hAnsi="Cambria Math"/>
                    <w:i/>
                  </w:rPr>
                </m:ctrlPr>
              </m:dPr>
              <m:e>
                <m:r>
                  <w:rPr>
                    <w:rFonts w:ascii="Cambria Math" w:eastAsia="Calibri" w:hAnsi="Cambria Math"/>
                  </w:rPr>
                  <m:t>E</m:t>
                </m:r>
                <m:d>
                  <m:dPr>
                    <m:ctrlPr>
                      <w:rPr>
                        <w:rFonts w:ascii="Cambria Math" w:eastAsia="Calibri" w:hAnsi="Cambria Math"/>
                        <w:i/>
                      </w:rPr>
                    </m:ctrlPr>
                  </m:dPr>
                  <m:e>
                    <m:r>
                      <w:rPr>
                        <w:rFonts w:ascii="Cambria Math" w:eastAsia="Calibri" w:hAnsi="Cambria Math"/>
                      </w:rPr>
                      <m:t>WTP</m:t>
                    </m:r>
                  </m:e>
                </m:d>
              </m:e>
            </m:d>
          </m:e>
        </m:rad>
      </m:oMath>
      <w:r>
        <w:rPr>
          <w:rFonts w:eastAsia="Calibri"/>
        </w:rPr>
        <w:t xml:space="preserve">, </w:t>
      </w:r>
      <w:r>
        <w:rPr>
          <w:rFonts w:eastAsia="Calibri"/>
        </w:rPr>
        <w:tab/>
      </w:r>
    </w:p>
    <w:p w14:paraId="727F834A" w14:textId="77777777" w:rsidR="006301FB" w:rsidRDefault="006301FB" w:rsidP="00AF5984">
      <w:pPr>
        <w:tabs>
          <w:tab w:val="center" w:pos="4680"/>
        </w:tabs>
      </w:pPr>
    </w:p>
    <w:p w14:paraId="39876937" w14:textId="31B64969" w:rsidR="00AF5984" w:rsidRDefault="00AF5984" w:rsidP="00AF5984">
      <w:pPr>
        <w:tabs>
          <w:tab w:val="center" w:pos="4680"/>
        </w:tabs>
      </w:pPr>
      <w:r>
        <w:t>where 1.96 is the critical value for a two-tailed normal distribution with infinite degrees of freedom.</w:t>
      </w:r>
      <w:r w:rsidR="00303360">
        <w:rPr>
          <w:rStyle w:val="FootnoteReference"/>
        </w:rPr>
        <w:footnoteReference w:id="2"/>
      </w:r>
    </w:p>
    <w:p w14:paraId="0BC3F92D" w14:textId="77777777" w:rsidR="00263129" w:rsidRDefault="00263129" w:rsidP="00263129"/>
    <w:p w14:paraId="04B93538" w14:textId="23FDEA68" w:rsidR="00263129" w:rsidRDefault="00081483" w:rsidP="00263129">
      <w:pPr>
        <w:rPr>
          <w:i/>
          <w:iCs/>
        </w:rPr>
      </w:pPr>
      <w:r>
        <w:rPr>
          <w:i/>
          <w:iCs/>
        </w:rPr>
        <w:t>B</w:t>
      </w:r>
      <w:r w:rsidR="00263129">
        <w:rPr>
          <w:i/>
          <w:iCs/>
        </w:rPr>
        <w:t>.</w:t>
      </w:r>
      <w:r w:rsidR="00D20923">
        <w:rPr>
          <w:i/>
          <w:iCs/>
        </w:rPr>
        <w:t>1</w:t>
      </w:r>
      <w:r w:rsidR="00263129">
        <w:rPr>
          <w:i/>
          <w:iCs/>
        </w:rPr>
        <w:t>.1 Willingness-to-Pay Estimates</w:t>
      </w:r>
    </w:p>
    <w:p w14:paraId="23AD4D4D" w14:textId="77777777" w:rsidR="004430CA" w:rsidRPr="00263129" w:rsidRDefault="004430CA" w:rsidP="00263129">
      <w:pPr>
        <w:rPr>
          <w:i/>
          <w:iCs/>
        </w:rPr>
      </w:pPr>
    </w:p>
    <w:p w14:paraId="3BA8529C" w14:textId="1AC807C7" w:rsidR="00FA2102" w:rsidRDefault="00525382" w:rsidP="007E59C4">
      <w:pPr>
        <w:ind w:firstLine="720"/>
      </w:pPr>
      <w:r>
        <w:t xml:space="preserve">We use the Turnbull estimator to estimate WTP using different subsamples of our data. </w:t>
      </w:r>
      <w:r w:rsidR="00C95EC0">
        <w:t xml:space="preserve">The first bar in Figure </w:t>
      </w:r>
      <w:r w:rsidR="00566710">
        <w:t>B</w:t>
      </w:r>
      <w:r w:rsidR="00C95EC0">
        <w:t xml:space="preserve">.1 shows </w:t>
      </w:r>
      <w:r w:rsidR="004D3AC2">
        <w:t xml:space="preserve">WTP for the baseline bobcat license </w:t>
      </w:r>
      <w:r w:rsidR="009D2503">
        <w:t xml:space="preserve">(i.e., a bag limit of one animal and a state-wide quota of 300) among all </w:t>
      </w:r>
      <w:r w:rsidR="00F727F5">
        <w:t>101 respondents who were shown the baseline combination of license attributes</w:t>
      </w:r>
      <w:r w:rsidR="009D2503">
        <w:t xml:space="preserve">, regardless of their answers to the consequentiality questions in </w:t>
      </w:r>
      <w:r w:rsidR="009D2503" w:rsidRPr="00DE7F82">
        <w:t>Figure 3</w:t>
      </w:r>
      <w:r w:rsidR="009D2503">
        <w:t xml:space="preserve"> in the main text. </w:t>
      </w:r>
      <w:r w:rsidR="00F727F5">
        <w:t>We estimate a mean WTP of $21.73, with a 95% confidence interval between $15.85 and $27.60.</w:t>
      </w:r>
      <w:r w:rsidR="001315C7">
        <w:t xml:space="preserve"> </w:t>
      </w:r>
    </w:p>
    <w:p w14:paraId="4105EE91" w14:textId="392569A0" w:rsidR="002E3B42" w:rsidRDefault="001315C7" w:rsidP="00CC5C1E">
      <w:pPr>
        <w:ind w:firstLine="720"/>
        <w:rPr>
          <w:iCs/>
        </w:rPr>
      </w:pPr>
      <w:r>
        <w:t xml:space="preserve">When restricting our sample to only those respondents who agreed with the consequentiality questions in Figure 3, </w:t>
      </w:r>
      <w:r w:rsidR="00FF1C9D">
        <w:t>WTP increased to $27.80</w:t>
      </w:r>
      <w:r w:rsidR="008A556D">
        <w:t>. This estimate</w:t>
      </w:r>
      <w:r w:rsidR="00FF1C9D">
        <w:t xml:space="preserve"> is statistically significantly different from </w:t>
      </w:r>
      <w:r w:rsidR="008A556D">
        <w:t xml:space="preserve">both </w:t>
      </w:r>
      <w:r w:rsidR="00FF1C9D">
        <w:t>0</w:t>
      </w:r>
      <w:r w:rsidR="008A556D">
        <w:t xml:space="preserve"> and</w:t>
      </w:r>
      <w:r w:rsidR="00FF1C9D">
        <w:t xml:space="preserve"> </w:t>
      </w:r>
      <w:r w:rsidR="008A556D">
        <w:t>m</w:t>
      </w:r>
      <w:r w:rsidR="008A556D">
        <w:rPr>
          <w:rFonts w:eastAsia="Calibri"/>
          <w:iCs/>
        </w:rPr>
        <w:t xml:space="preserve">ean WTP among those who do not agree with any of the consequentiality statements </w:t>
      </w:r>
      <w:r w:rsidR="00FF1C9D">
        <w:t>at the 95 percent level</w:t>
      </w:r>
      <w:r w:rsidR="008A2140">
        <w:t xml:space="preserve"> ($3.99; see Figure </w:t>
      </w:r>
      <w:r w:rsidR="00566710">
        <w:t>B</w:t>
      </w:r>
      <w:r w:rsidR="008A2140">
        <w:t>.1)</w:t>
      </w:r>
      <w:r w:rsidR="00DC0780">
        <w:rPr>
          <w:rFonts w:eastAsia="Calibri"/>
          <w:iCs/>
        </w:rPr>
        <w:t>.</w:t>
      </w:r>
      <w:r w:rsidR="00CC5C1E" w:rsidRPr="00CC5C1E">
        <w:rPr>
          <w:iCs/>
        </w:rPr>
        <w:t xml:space="preserve"> </w:t>
      </w:r>
    </w:p>
    <w:p w14:paraId="25488886" w14:textId="1D3CD00B" w:rsidR="00CC5C1E" w:rsidRPr="00040DFD" w:rsidRDefault="00CC5C1E" w:rsidP="00CC5C1E">
      <w:pPr>
        <w:ind w:firstLine="720"/>
        <w:rPr>
          <w:iCs/>
        </w:rPr>
      </w:pPr>
      <w:r>
        <w:rPr>
          <w:iCs/>
        </w:rPr>
        <w:t xml:space="preserve">The reduction in mean WTP from our consequentiality test in the Turnbull estimates could also be due to pooling. For instance, the subsample of individuals receiving the bag </w:t>
      </w:r>
      <w:r>
        <w:rPr>
          <w:iCs/>
        </w:rPr>
        <w:lastRenderedPageBreak/>
        <w:t xml:space="preserve">limit = 1, quota = 300 combination that do not agree with any of the consequentiality statements are pooled at higher license prices, which could produce a lower WTP estimate. However, when we employ common pooling for those that agree and disagree, the result still holds. Further investigation reveals that individuals who do not agree with any consequentiality statement have a greater proportion of individuals responding “no” to our WTP question compared to individuals that agree. Therefore, the proportion of respondents indicating they would not purchase the license, </w:t>
      </w:r>
      <w:r w:rsidRPr="002A5958">
        <w:rPr>
          <w:i/>
        </w:rPr>
        <w:t>F</w:t>
      </w:r>
      <w:r w:rsidRPr="002A5958">
        <w:rPr>
          <w:i/>
          <w:vertAlign w:val="subscript"/>
        </w:rPr>
        <w:t>j</w:t>
      </w:r>
      <w:r>
        <w:rPr>
          <w:iCs/>
        </w:rPr>
        <w:t xml:space="preserve">, </w:t>
      </w:r>
      <w:r w:rsidRPr="002A5958">
        <w:t>is</w:t>
      </w:r>
      <w:r>
        <w:rPr>
          <w:iCs/>
        </w:rPr>
        <w:t xml:space="preserve"> greater for those that do not agree, reducing WTP.</w:t>
      </w:r>
    </w:p>
    <w:p w14:paraId="7F413529" w14:textId="3F4535E2" w:rsidR="00FA2102" w:rsidRDefault="002E3B42" w:rsidP="00FA2102">
      <w:pPr>
        <w:ind w:firstLine="720"/>
      </w:pPr>
      <w:r>
        <w:t xml:space="preserve">As in the main text, we also </w:t>
      </w:r>
      <w:r w:rsidR="00FA2102">
        <w:t xml:space="preserve">test for scope effects by comparing estimates of WTP across the subsamples of respondents shown different combinations of the bobcat bag limit and state-wide quotas. Testing for scope effects using the Turnbull estimator is complicated by two features of our data. First, each subsample required different pooling to ensure that the probability of “no” responses </w:t>
      </w:r>
      <w:proofErr w:type="gramStart"/>
      <w:r w:rsidR="00FA2102">
        <w:t>increases</w:t>
      </w:r>
      <w:proofErr w:type="gramEnd"/>
      <w:r w:rsidR="00FA2102">
        <w:t xml:space="preserve"> monotonically with price (i.e., that </w:t>
      </w:r>
      <m:oMath>
        <m:sSub>
          <m:sSubPr>
            <m:ctrlPr>
              <w:rPr>
                <w:rFonts w:ascii="Cambria Math" w:hAnsi="Cambria Math"/>
                <w:i/>
              </w:rPr>
            </m:ctrlPr>
          </m:sSubPr>
          <m:e>
            <m:r>
              <w:rPr>
                <w:rFonts w:ascii="Cambria Math" w:hAnsi="Cambria Math"/>
              </w:rPr>
              <m:t>F</m:t>
            </m:r>
          </m:e>
          <m:sub>
            <m:r>
              <w:rPr>
                <w:rFonts w:ascii="Cambria Math" w:hAnsi="Cambria Math"/>
              </w:rPr>
              <m:t>j+1</m:t>
            </m:r>
          </m:sub>
        </m:sSub>
        <m:r>
          <w:rPr>
            <w:rFonts w:ascii="Cambria Math" w:hAnsi="Cambria Math"/>
          </w:rPr>
          <m:t>&gt;</m:t>
        </m:r>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 xml:space="preserve"> ∀j</m:t>
        </m:r>
      </m:oMath>
      <w:r w:rsidR="00FA2102">
        <w:t xml:space="preserve">; see footnote 4). Second, the prices we showed to respondents were not evenly spaced; the difference </w:t>
      </w:r>
      <m:oMath>
        <m:sSub>
          <m:sSubPr>
            <m:ctrlPr>
              <w:rPr>
                <w:rFonts w:ascii="Cambria Math" w:hAnsi="Cambria Math"/>
                <w:i/>
              </w:rPr>
            </m:ctrlPr>
          </m:sSubPr>
          <m:e>
            <m:r>
              <w:rPr>
                <w:rFonts w:ascii="Cambria Math" w:hAnsi="Cambria Math"/>
              </w:rPr>
              <m:t>t</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rsidR="00FA2102">
        <w:t xml:space="preserve"> increased for higher prices. As a result, pooling on different prices can have a disproportionate impact on mean WTP estimated across different subsamples (see equation (</w:t>
      </w:r>
      <w:r w:rsidR="00566710">
        <w:t>B</w:t>
      </w:r>
      <w:r w:rsidR="00BC717A">
        <w:t>4</w:t>
      </w:r>
      <w:r w:rsidR="00FA2102">
        <w:t>)), masking potential</w:t>
      </w:r>
      <w:r w:rsidR="00FA2102" w:rsidRPr="006A313B">
        <w:t xml:space="preserve"> </w:t>
      </w:r>
      <w:r w:rsidR="00FA2102">
        <w:t>scope effects.</w:t>
      </w:r>
    </w:p>
    <w:p w14:paraId="03A14F66" w14:textId="77777777" w:rsidR="00FA2102" w:rsidRDefault="00FA2102" w:rsidP="00FA2102">
      <w:pPr>
        <w:ind w:firstLine="720"/>
      </w:pPr>
      <w:r>
        <w:t xml:space="preserve">We overcome this by conducting pairwise comparisons of different bag limit and quota </w:t>
      </w:r>
      <w:r w:rsidRPr="00D3358F">
        <w:t xml:space="preserve">combinations in which we pool our data on common prices for each comparison. We conduct four comparisons: </w:t>
      </w:r>
    </w:p>
    <w:p w14:paraId="353C5D09" w14:textId="77777777" w:rsidR="004B29CB" w:rsidRPr="00D3358F" w:rsidRDefault="004B29CB" w:rsidP="00FA2102">
      <w:pPr>
        <w:ind w:firstLine="720"/>
      </w:pPr>
    </w:p>
    <w:p w14:paraId="5E6FA5F0" w14:textId="77777777" w:rsidR="00FA2102" w:rsidRPr="00D3358F" w:rsidRDefault="00FA2102" w:rsidP="00D3358F">
      <w:pPr>
        <w:pStyle w:val="ListParagraph"/>
        <w:numPr>
          <w:ilvl w:val="0"/>
          <w:numId w:val="1"/>
        </w:numPr>
        <w:spacing w:line="240" w:lineRule="auto"/>
        <w:ind w:left="1080" w:hanging="360"/>
        <w:contextualSpacing w:val="0"/>
        <w:rPr>
          <w:rFonts w:ascii="Cambria" w:hAnsi="Cambria"/>
        </w:rPr>
      </w:pPr>
      <w:r w:rsidRPr="00D3358F">
        <w:rPr>
          <w:rFonts w:ascii="Cambria" w:hAnsi="Cambria"/>
        </w:rPr>
        <w:t xml:space="preserve">bag limit = 1, quota = 300 versus bag limit = 1, quota = 600; </w:t>
      </w:r>
    </w:p>
    <w:p w14:paraId="7C3DD6A1" w14:textId="77777777" w:rsidR="00FA2102" w:rsidRPr="00D3358F" w:rsidRDefault="00FA2102" w:rsidP="00D3358F">
      <w:pPr>
        <w:pStyle w:val="ListParagraph"/>
        <w:numPr>
          <w:ilvl w:val="0"/>
          <w:numId w:val="1"/>
        </w:numPr>
        <w:spacing w:line="240" w:lineRule="auto"/>
        <w:ind w:left="1080" w:hanging="360"/>
        <w:contextualSpacing w:val="0"/>
        <w:rPr>
          <w:rFonts w:ascii="Cambria" w:hAnsi="Cambria"/>
        </w:rPr>
      </w:pPr>
      <w:r w:rsidRPr="00D3358F">
        <w:rPr>
          <w:rFonts w:ascii="Cambria" w:hAnsi="Cambria"/>
        </w:rPr>
        <w:t xml:space="preserve">bag limit = 1, quota = 300 versus bag limit = 2, quota = 300; </w:t>
      </w:r>
    </w:p>
    <w:p w14:paraId="6B5FD4A6" w14:textId="77777777" w:rsidR="00FA2102" w:rsidRPr="00D3358F" w:rsidRDefault="00FA2102" w:rsidP="00D3358F">
      <w:pPr>
        <w:pStyle w:val="ListParagraph"/>
        <w:numPr>
          <w:ilvl w:val="0"/>
          <w:numId w:val="1"/>
        </w:numPr>
        <w:spacing w:line="240" w:lineRule="auto"/>
        <w:ind w:left="1080" w:hanging="360"/>
        <w:contextualSpacing w:val="0"/>
        <w:rPr>
          <w:rFonts w:ascii="Cambria" w:hAnsi="Cambria"/>
        </w:rPr>
      </w:pPr>
      <w:r w:rsidRPr="00D3358F">
        <w:rPr>
          <w:rFonts w:ascii="Cambria" w:hAnsi="Cambria"/>
        </w:rPr>
        <w:t xml:space="preserve">bag limit = 1, quota = 600 versus bag limit = 2, quota = 600; and </w:t>
      </w:r>
    </w:p>
    <w:p w14:paraId="566DCF60" w14:textId="77777777" w:rsidR="00FA2102" w:rsidRDefault="00FA2102" w:rsidP="00D3358F">
      <w:pPr>
        <w:pStyle w:val="ListParagraph"/>
        <w:numPr>
          <w:ilvl w:val="0"/>
          <w:numId w:val="1"/>
        </w:numPr>
        <w:spacing w:line="240" w:lineRule="auto"/>
        <w:ind w:left="1080" w:hanging="360"/>
        <w:contextualSpacing w:val="0"/>
        <w:rPr>
          <w:rFonts w:ascii="Cambria" w:hAnsi="Cambria"/>
        </w:rPr>
      </w:pPr>
      <w:r w:rsidRPr="00D3358F">
        <w:rPr>
          <w:rFonts w:ascii="Cambria" w:hAnsi="Cambria"/>
        </w:rPr>
        <w:t xml:space="preserve">bag limit = 2, quota = 300 versus bag limit = 2, quota = 600. </w:t>
      </w:r>
    </w:p>
    <w:p w14:paraId="4808104E" w14:textId="77777777" w:rsidR="004B29CB" w:rsidRPr="00D3358F" w:rsidRDefault="004B29CB" w:rsidP="004B29CB">
      <w:pPr>
        <w:pStyle w:val="ListParagraph"/>
        <w:spacing w:line="240" w:lineRule="auto"/>
        <w:ind w:left="1080"/>
        <w:contextualSpacing w:val="0"/>
        <w:rPr>
          <w:rFonts w:ascii="Cambria" w:hAnsi="Cambria"/>
        </w:rPr>
      </w:pPr>
    </w:p>
    <w:p w14:paraId="4DB98571" w14:textId="3891E0D4" w:rsidR="00FA2102" w:rsidRDefault="00FA2102" w:rsidP="00FA2102">
      <w:pPr>
        <w:rPr>
          <w:rFonts w:eastAsia="Calibri"/>
          <w:iCs/>
        </w:rPr>
      </w:pPr>
      <w:r w:rsidRPr="00D3358F">
        <w:rPr>
          <w:rFonts w:eastAsia="Calibri"/>
          <w:iCs/>
        </w:rPr>
        <w:t xml:space="preserve">The bars labeled “scope effect comparisons” in Figure </w:t>
      </w:r>
      <w:r w:rsidR="00566710">
        <w:rPr>
          <w:rFonts w:eastAsia="Calibri"/>
          <w:iCs/>
        </w:rPr>
        <w:t>B</w:t>
      </w:r>
      <w:r w:rsidR="00F435CA">
        <w:rPr>
          <w:rFonts w:eastAsia="Calibri"/>
          <w:iCs/>
        </w:rPr>
        <w:t>1</w:t>
      </w:r>
      <w:r w:rsidRPr="00D3358F">
        <w:rPr>
          <w:rFonts w:eastAsia="Calibri"/>
          <w:iCs/>
        </w:rPr>
        <w:t xml:space="preserve"> present the results of our scope effects analysis for the</w:t>
      </w:r>
      <w:r>
        <w:rPr>
          <w:rFonts w:eastAsia="Calibri"/>
          <w:iCs/>
        </w:rPr>
        <w:t xml:space="preserve"> Turnbull estimator. When holding the bag limit constant at one animal, mean WTP decreases from $11.86 to $9.29 as the quota increases. However, the difference is small and not statistically significant. Similarly, when holding the quota constant at </w:t>
      </w:r>
      <w:r w:rsidRPr="00A81EA1">
        <w:rPr>
          <w:rFonts w:eastAsia="Calibri"/>
          <w:iCs/>
        </w:rPr>
        <w:t>300</w:t>
      </w:r>
      <w:r>
        <w:rPr>
          <w:rFonts w:eastAsia="Calibri"/>
          <w:iCs/>
        </w:rPr>
        <w:t xml:space="preserve">, mean WTP decreases from $20.39 to $14.58 as the bag limit increases. The decrease in mean WTP is relatively large in magnitude, though it is again not statistically different from zero. In contrast, when holding the bag limit constant at </w:t>
      </w:r>
      <w:r w:rsidRPr="00006C71">
        <w:rPr>
          <w:rFonts w:eastAsia="Calibri"/>
          <w:iCs/>
        </w:rPr>
        <w:t>two</w:t>
      </w:r>
      <w:r>
        <w:rPr>
          <w:rFonts w:eastAsia="Calibri"/>
          <w:i/>
        </w:rPr>
        <w:t xml:space="preserve"> </w:t>
      </w:r>
      <w:r>
        <w:rPr>
          <w:rFonts w:eastAsia="Calibri"/>
          <w:iCs/>
        </w:rPr>
        <w:t>animals, increasing the quota increases mean WTP by nearly 60%, although the difference is again statistically insignificant. Similarly, increasing the bag limit holding the quota fixed at 600 animals again increases mean WTP from $8.63 to $13.12. This difference is statistically significant at the 10% level.</w:t>
      </w:r>
    </w:p>
    <w:p w14:paraId="0A7CB481" w14:textId="39C9341E" w:rsidR="00691404" w:rsidRPr="009F0C51" w:rsidRDefault="00412E56" w:rsidP="00691404">
      <w:pPr>
        <w:ind w:firstLine="720"/>
        <w:rPr>
          <w:iCs/>
        </w:rPr>
      </w:pPr>
      <w:r>
        <w:rPr>
          <w:iCs/>
        </w:rPr>
        <w:t xml:space="preserve">We can motivate these </w:t>
      </w:r>
      <w:r w:rsidR="00C3081A">
        <w:rPr>
          <w:iCs/>
        </w:rPr>
        <w:t xml:space="preserve">findings by appealing to the intuition from our theoretical model derived </w:t>
      </w:r>
      <w:r w:rsidR="00BC0245">
        <w:rPr>
          <w:iCs/>
        </w:rPr>
        <w:t>in the main text</w:t>
      </w:r>
      <w:r w:rsidR="00C3081A">
        <w:rPr>
          <w:iCs/>
        </w:rPr>
        <w:t xml:space="preserve">. </w:t>
      </w:r>
      <w:r w:rsidR="00691404">
        <w:rPr>
          <w:iCs/>
        </w:rPr>
        <w:t>If the quota binds, then increasing the quota will increase the marginal individual’s expected harvest and, hence, economic welfare—</w:t>
      </w:r>
      <w:r w:rsidR="00691404" w:rsidRPr="005B6EE3">
        <w:rPr>
          <w:iCs/>
        </w:rPr>
        <w:t xml:space="preserve">and likewise for the bag limit. This is consistent with prior </w:t>
      </w:r>
      <w:r w:rsidR="00691404" w:rsidRPr="005B6EE3">
        <w:rPr>
          <w:rFonts w:eastAsia="Calibri"/>
        </w:rPr>
        <w:t>studies of Norwegian grouse hunters (</w:t>
      </w:r>
      <w:proofErr w:type="spellStart"/>
      <w:r w:rsidR="00691404" w:rsidRPr="005B6EE3">
        <w:rPr>
          <w:rFonts w:eastAsia="Calibri"/>
        </w:rPr>
        <w:t>Wam</w:t>
      </w:r>
      <w:proofErr w:type="spellEnd"/>
      <w:r w:rsidR="00691404" w:rsidRPr="005B6EE3">
        <w:rPr>
          <w:rFonts w:eastAsia="Calibri"/>
        </w:rPr>
        <w:t xml:space="preserve"> et al., 2012) and Louisiana waterfowl hunters (Gan and </w:t>
      </w:r>
      <w:proofErr w:type="spellStart"/>
      <w:r w:rsidR="00691404" w:rsidRPr="005B6EE3">
        <w:rPr>
          <w:rFonts w:eastAsia="Calibri"/>
        </w:rPr>
        <w:t>Luzar</w:t>
      </w:r>
      <w:proofErr w:type="spellEnd"/>
      <w:r w:rsidR="00691404" w:rsidRPr="005B6EE3">
        <w:rPr>
          <w:rFonts w:eastAsia="Calibri"/>
        </w:rPr>
        <w:t xml:space="preserve"> 1993) which find that hunters’ WTP for a </w:t>
      </w:r>
      <w:proofErr w:type="gramStart"/>
      <w:r w:rsidR="00691404" w:rsidRPr="005B6EE3">
        <w:rPr>
          <w:rFonts w:eastAsia="Calibri"/>
        </w:rPr>
        <w:t xml:space="preserve">permit </w:t>
      </w:r>
      <w:r w:rsidR="00691404" w:rsidRPr="00F94B9D">
        <w:rPr>
          <w:rFonts w:eastAsia="Calibri"/>
        </w:rPr>
        <w:t>increases</w:t>
      </w:r>
      <w:proofErr w:type="gramEnd"/>
      <w:r w:rsidR="00691404" w:rsidRPr="005B6EE3">
        <w:rPr>
          <w:rFonts w:eastAsia="Calibri"/>
        </w:rPr>
        <w:t xml:space="preserve"> with the daily bag limit.</w:t>
      </w:r>
      <w:r w:rsidR="00691404">
        <w:rPr>
          <w:rFonts w:eastAsia="Calibri"/>
        </w:rPr>
        <w:t xml:space="preserve"> </w:t>
      </w:r>
      <w:r w:rsidR="00691404" w:rsidRPr="008A6E8C">
        <w:rPr>
          <w:rFonts w:eastAsia="Calibri"/>
        </w:rPr>
        <w:t>Nilsen et al. (2012)</w:t>
      </w:r>
      <w:r w:rsidR="00691404">
        <w:rPr>
          <w:rFonts w:eastAsia="Calibri"/>
        </w:rPr>
        <w:t xml:space="preserve"> </w:t>
      </w:r>
      <w:r w:rsidR="00691404">
        <w:rPr>
          <w:iCs/>
        </w:rPr>
        <w:t xml:space="preserve">find </w:t>
      </w:r>
      <w:r w:rsidR="00691404" w:rsidRPr="008A6E8C">
        <w:rPr>
          <w:rFonts w:eastAsia="Calibri"/>
        </w:rPr>
        <w:t xml:space="preserve">that quotas </w:t>
      </w:r>
      <w:r w:rsidR="00691404">
        <w:rPr>
          <w:rFonts w:eastAsia="Calibri"/>
        </w:rPr>
        <w:t xml:space="preserve">for </w:t>
      </w:r>
      <w:r w:rsidR="00691404" w:rsidRPr="008A6E8C">
        <w:rPr>
          <w:rFonts w:eastAsia="Calibri"/>
        </w:rPr>
        <w:t>Norwegian lynx harvests</w:t>
      </w:r>
      <w:r w:rsidR="00691404">
        <w:rPr>
          <w:rFonts w:eastAsia="Calibri"/>
        </w:rPr>
        <w:t xml:space="preserve"> </w:t>
      </w:r>
      <w:r w:rsidR="00691404" w:rsidRPr="008A6E8C">
        <w:rPr>
          <w:rFonts w:eastAsia="Calibri"/>
        </w:rPr>
        <w:t>are often nearly or</w:t>
      </w:r>
      <w:r w:rsidR="00691404">
        <w:rPr>
          <w:rFonts w:eastAsia="Calibri"/>
        </w:rPr>
        <w:t xml:space="preserve"> completely filled and that harvest numbers </w:t>
      </w:r>
      <w:r w:rsidR="00691404" w:rsidRPr="7968682F">
        <w:rPr>
          <w:rFonts w:eastAsia="Calibri"/>
        </w:rPr>
        <w:t>increase</w:t>
      </w:r>
      <w:r w:rsidR="00691404">
        <w:rPr>
          <w:rFonts w:eastAsia="Calibri"/>
        </w:rPr>
        <w:t xml:space="preserve"> with </w:t>
      </w:r>
      <w:r w:rsidR="00691404" w:rsidDel="00D12C83">
        <w:rPr>
          <w:rFonts w:eastAsia="Calibri"/>
        </w:rPr>
        <w:t xml:space="preserve">the </w:t>
      </w:r>
      <w:r w:rsidR="00691404">
        <w:rPr>
          <w:rFonts w:eastAsia="Calibri"/>
        </w:rPr>
        <w:t>quota, suggesting that WTP should rise as well</w:t>
      </w:r>
      <w:r w:rsidR="00691404" w:rsidRPr="7968682F">
        <w:rPr>
          <w:rFonts w:eastAsia="Calibri"/>
        </w:rPr>
        <w:t xml:space="preserve">. </w:t>
      </w:r>
      <w:r w:rsidR="00691404">
        <w:rPr>
          <w:rFonts w:eastAsia="Calibri"/>
        </w:rPr>
        <w:t xml:space="preserve">However, if harvesters </w:t>
      </w:r>
      <w:r w:rsidR="00691404">
        <w:rPr>
          <w:rFonts w:eastAsia="Calibri"/>
        </w:rPr>
        <w:lastRenderedPageBreak/>
        <w:t xml:space="preserve">perceive the quota to be binding, we might expect that increasing the bag limit would </w:t>
      </w:r>
      <w:r w:rsidR="00691404" w:rsidRPr="00F94B9D">
        <w:rPr>
          <w:iCs/>
        </w:rPr>
        <w:t>decrease</w:t>
      </w:r>
      <w:r w:rsidR="00691404">
        <w:rPr>
          <w:iCs/>
        </w:rPr>
        <w:t xml:space="preserve"> a harvester’s WTP due to perceived congestion or competition for harvests. If the bag limit is binding, then increasing the quota may have no effect on WTP since mean harvest per individual will not increase. </w:t>
      </w:r>
    </w:p>
    <w:p w14:paraId="3979A35B" w14:textId="3765CD0B" w:rsidR="00691404" w:rsidRDefault="00691404" w:rsidP="00691404">
      <w:pPr>
        <w:ind w:firstLine="720"/>
        <w:rPr>
          <w:rFonts w:eastAsia="Calibri"/>
        </w:rPr>
      </w:pPr>
      <w:r>
        <w:rPr>
          <w:rFonts w:eastAsia="Calibri"/>
        </w:rPr>
        <w:t xml:space="preserve">These explanations are consistent with the scope effects we estimate in Figure </w:t>
      </w:r>
      <w:r w:rsidR="00566710">
        <w:rPr>
          <w:rFonts w:eastAsia="Calibri"/>
        </w:rPr>
        <w:t>B</w:t>
      </w:r>
      <w:r w:rsidR="00195FEE">
        <w:rPr>
          <w:rFonts w:eastAsia="Calibri"/>
        </w:rPr>
        <w:t>1</w:t>
      </w:r>
      <w:r>
        <w:rPr>
          <w:rFonts w:eastAsia="Calibri"/>
        </w:rPr>
        <w:t xml:space="preserve">, and our survey data provides some weak supporting evidence of this. In our survey, we asked respondents who were unwilling to purchase the bobcat license to indicate why they would not do so (see question 1.1.1., </w:t>
      </w:r>
      <w:r w:rsidRPr="00EA24AA">
        <w:rPr>
          <w:rFonts w:eastAsia="Calibri"/>
        </w:rPr>
        <w:t>Figure 2</w:t>
      </w:r>
      <w:r w:rsidRPr="00006C71">
        <w:rPr>
          <w:rFonts w:eastAsia="Calibri"/>
        </w:rPr>
        <w:t>)</w:t>
      </w:r>
      <w:r>
        <w:rPr>
          <w:rFonts w:eastAsia="Calibri"/>
        </w:rPr>
        <w:t xml:space="preserve">. Depending on the combination of license attributes, 34–48% of respondents indicated that the price they were shown was too high. But among those that did not object to the price, </w:t>
      </w:r>
      <w:r w:rsidRPr="00EA24AA">
        <w:rPr>
          <w:rFonts w:eastAsia="Calibri"/>
        </w:rPr>
        <w:t xml:space="preserve">Table </w:t>
      </w:r>
      <w:r w:rsidR="00566710">
        <w:rPr>
          <w:rFonts w:eastAsia="Calibri"/>
        </w:rPr>
        <w:t>B</w:t>
      </w:r>
      <w:r w:rsidR="00755AE7">
        <w:rPr>
          <w:rFonts w:eastAsia="Calibri"/>
        </w:rPr>
        <w:t>1</w:t>
      </w:r>
      <w:r>
        <w:rPr>
          <w:rFonts w:eastAsia="Calibri"/>
        </w:rPr>
        <w:t xml:space="preserve"> shows that </w:t>
      </w:r>
      <w:r w:rsidRPr="000C5363">
        <w:rPr>
          <w:rFonts w:eastAsia="Calibri"/>
        </w:rPr>
        <w:t>none</w:t>
      </w:r>
      <w:r>
        <w:rPr>
          <w:rFonts w:eastAsia="Calibri"/>
        </w:rPr>
        <w:t xml:space="preserve"> of the respondents shown licenses with a bag limit of one considered the quota to be binding, regardless of the quota. However, ~18% of those shown the lower quota and bag limit reported the bag limit to be too low. This suggests the bag limit is binding to these respondents and, hence WTP should be nonresponsive to changes in the quota. This is consistent with Figure</w:t>
      </w:r>
      <w:r w:rsidR="00755AE7">
        <w:rPr>
          <w:rFonts w:eastAsia="Calibri"/>
        </w:rPr>
        <w:t xml:space="preserve"> </w:t>
      </w:r>
      <w:r w:rsidR="00BC0245">
        <w:rPr>
          <w:rFonts w:eastAsia="Calibri"/>
        </w:rPr>
        <w:t>B</w:t>
      </w:r>
      <w:r w:rsidR="00755AE7">
        <w:rPr>
          <w:rFonts w:eastAsia="Calibri"/>
        </w:rPr>
        <w:t>1</w:t>
      </w:r>
      <w:r>
        <w:rPr>
          <w:rFonts w:eastAsia="Calibri"/>
        </w:rPr>
        <w:t xml:space="preserve">, which shows that the estimated mean WTP is very similar under both quotas when the bag limit is one animal. Our Turnbull estimates also show that mean WTP decreases with the bag limit when holding the quota fixed at 300 (albeit not significantly). </w:t>
      </w:r>
      <w:r w:rsidRPr="00ED637D">
        <w:rPr>
          <w:rFonts w:eastAsia="Calibri"/>
        </w:rPr>
        <w:t xml:space="preserve">Table </w:t>
      </w:r>
      <w:r w:rsidR="00BD1322">
        <w:rPr>
          <w:rFonts w:eastAsia="Calibri"/>
        </w:rPr>
        <w:t>B</w:t>
      </w:r>
      <w:r w:rsidR="00566710">
        <w:rPr>
          <w:rFonts w:eastAsia="Calibri"/>
        </w:rPr>
        <w:t>1</w:t>
      </w:r>
      <w:r>
        <w:rPr>
          <w:rFonts w:eastAsia="Calibri"/>
        </w:rPr>
        <w:t xml:space="preserve"> shows that the percentage of non-buyers reporting the quota to be too low increases from 0 when the bag limit is one animal to 5.3% when the bag limit increases to two animals. This provides some evidence that these respondents consider the quota to be binding, which makes the decrease in mean WTP reported in Figure </w:t>
      </w:r>
      <w:r w:rsidR="00566710">
        <w:rPr>
          <w:rFonts w:eastAsia="Calibri"/>
        </w:rPr>
        <w:t>B</w:t>
      </w:r>
      <w:r w:rsidR="0022268A">
        <w:rPr>
          <w:rFonts w:eastAsia="Calibri"/>
        </w:rPr>
        <w:t>1</w:t>
      </w:r>
      <w:r>
        <w:rPr>
          <w:rFonts w:eastAsia="Calibri"/>
        </w:rPr>
        <w:t xml:space="preserve"> consistent with our intuition: WTP goes down because harvesters’ expectations of harvesting a bobcat decrease, as the bag limit makes it easier (for others) to fill the quota. Finally, relaxing the binding quota (i.e., increasing the quota from 300 to 600 with the bag limit of two animals) or relaxing the binding bag limit (increasing the bag limit from one to two animals at a quota of 600) increases the estimated mean WTP in Figure </w:t>
      </w:r>
      <w:r w:rsidR="00BD1322">
        <w:rPr>
          <w:rFonts w:eastAsia="Calibri"/>
        </w:rPr>
        <w:t>B</w:t>
      </w:r>
      <w:r w:rsidR="0022268A">
        <w:rPr>
          <w:rFonts w:eastAsia="Calibri"/>
        </w:rPr>
        <w:t>1</w:t>
      </w:r>
      <w:r w:rsidRPr="006A4208">
        <w:rPr>
          <w:rFonts w:eastAsia="Calibri"/>
        </w:rPr>
        <w:t>.</w:t>
      </w:r>
      <w:r>
        <w:rPr>
          <w:rFonts w:eastAsia="Calibri"/>
        </w:rPr>
        <w:t xml:space="preserve"> Only the latter effect holds in our parametric model.</w:t>
      </w:r>
      <w:r w:rsidRPr="006A4208">
        <w:rPr>
          <w:rFonts w:eastAsia="Calibri"/>
        </w:rPr>
        <w:t xml:space="preserve"> Table </w:t>
      </w:r>
      <w:r w:rsidR="00566710">
        <w:rPr>
          <w:rFonts w:eastAsia="Calibri"/>
        </w:rPr>
        <w:t>B</w:t>
      </w:r>
      <w:r w:rsidR="0022268A">
        <w:rPr>
          <w:rFonts w:eastAsia="Calibri"/>
        </w:rPr>
        <w:t>1</w:t>
      </w:r>
      <w:r>
        <w:rPr>
          <w:rFonts w:eastAsia="Calibri"/>
        </w:rPr>
        <w:t xml:space="preserve"> suggests that respondents perceive neither the bag limit nor quota to be binding in these cases.</w:t>
      </w:r>
    </w:p>
    <w:p w14:paraId="7CC49565" w14:textId="77777777" w:rsidR="00C361B5" w:rsidRDefault="00C361B5" w:rsidP="00C361B5">
      <w:pPr>
        <w:rPr>
          <w:rFonts w:eastAsia="Calibri"/>
        </w:rPr>
      </w:pPr>
    </w:p>
    <w:p w14:paraId="19613A21" w14:textId="77777777" w:rsidR="00C361B5" w:rsidRDefault="00C361B5" w:rsidP="00C361B5">
      <w:pPr>
        <w:rPr>
          <w:rFonts w:eastAsia="Calibri"/>
        </w:rPr>
      </w:pPr>
    </w:p>
    <w:p w14:paraId="64F5B820" w14:textId="41FFC207" w:rsidR="00C361B5" w:rsidRDefault="00C361B5" w:rsidP="00C361B5">
      <w:pPr>
        <w:rPr>
          <w:rFonts w:eastAsia="Calibri"/>
          <w:b/>
          <w:bCs/>
        </w:rPr>
      </w:pPr>
      <w:r>
        <w:rPr>
          <w:rFonts w:eastAsia="Calibri"/>
          <w:b/>
          <w:bCs/>
        </w:rPr>
        <w:t>References</w:t>
      </w:r>
    </w:p>
    <w:p w14:paraId="639FC6E4" w14:textId="77777777" w:rsidR="00C361B5" w:rsidRDefault="00C361B5" w:rsidP="00C361B5">
      <w:pPr>
        <w:rPr>
          <w:rFonts w:eastAsia="Calibri"/>
          <w:b/>
          <w:bCs/>
        </w:rPr>
      </w:pPr>
    </w:p>
    <w:p w14:paraId="5DE096E1" w14:textId="3F7AE5DB" w:rsidR="00C361B5" w:rsidRDefault="006C06AD" w:rsidP="00A824E2">
      <w:pPr>
        <w:ind w:left="360" w:hanging="360"/>
      </w:pPr>
      <w:r>
        <w:t xml:space="preserve">Haab, T.C. and K.E. McConnell. 2002. </w:t>
      </w:r>
      <w:r>
        <w:rPr>
          <w:i/>
          <w:iCs/>
        </w:rPr>
        <w:t>Valuing Environmental and Natural Resources</w:t>
      </w:r>
      <w:r>
        <w:t>. Edward Elgar: Northampton, MA, p. 70.</w:t>
      </w:r>
    </w:p>
    <w:p w14:paraId="2398F56A" w14:textId="3E0BBABA" w:rsidR="00A824E2" w:rsidRPr="00C361B5" w:rsidRDefault="00A824E2" w:rsidP="00A824E2">
      <w:pPr>
        <w:ind w:left="360" w:hanging="360"/>
        <w:rPr>
          <w:rFonts w:eastAsia="Calibri"/>
        </w:rPr>
      </w:pPr>
      <w:r>
        <w:t xml:space="preserve">Whitehead, J.C. 2017. “Who Knows what Willingness to Pay Lurks in the Hearts of Men? A Rejoinder to Egan, Corrigan, and Dwyer.” </w:t>
      </w:r>
      <w:r w:rsidRPr="00BD5EFD">
        <w:rPr>
          <w:i/>
          <w:iCs/>
        </w:rPr>
        <w:t>Econ Journal Watch</w:t>
      </w:r>
      <w:r>
        <w:t xml:space="preserve"> 14(3):346–361.</w:t>
      </w:r>
    </w:p>
    <w:p w14:paraId="321BFD62" w14:textId="77777777" w:rsidR="008E5248" w:rsidRDefault="008E5248" w:rsidP="00691404">
      <w:pPr>
        <w:ind w:firstLine="720"/>
        <w:rPr>
          <w:rFonts w:eastAsia="Calibri"/>
          <w:iCs/>
        </w:rPr>
      </w:pPr>
    </w:p>
    <w:p w14:paraId="4DA1AAB1" w14:textId="4E1E1939" w:rsidR="004F23A9" w:rsidRPr="00586083" w:rsidRDefault="004F23A9" w:rsidP="00B22C8A">
      <w:pPr>
        <w:rPr>
          <w:rFonts w:eastAsiaTheme="minorEastAsia"/>
        </w:rPr>
      </w:pPr>
      <w:r>
        <w:rPr>
          <w:rFonts w:eastAsiaTheme="minorEastAsia"/>
        </w:rPr>
        <w:tab/>
      </w:r>
    </w:p>
    <w:p w14:paraId="4D058A9D" w14:textId="77777777" w:rsidR="00E62C3E" w:rsidRDefault="00E62C3E" w:rsidP="00B22C8A">
      <w:pPr>
        <w:rPr>
          <w:rFonts w:eastAsiaTheme="minorEastAsia"/>
        </w:rPr>
        <w:sectPr w:rsidR="00E62C3E" w:rsidSect="00F97DF0">
          <w:footerReference w:type="default" r:id="rId8"/>
          <w:pgSz w:w="12240" w:h="15840"/>
          <w:pgMar w:top="1440" w:right="1440" w:bottom="1440" w:left="1440" w:header="720" w:footer="720" w:gutter="0"/>
          <w:cols w:space="720"/>
          <w:docGrid w:linePitch="360"/>
        </w:sectPr>
      </w:pPr>
    </w:p>
    <w:p w14:paraId="1AF0DA8C" w14:textId="1AF89035" w:rsidR="002B5649" w:rsidRDefault="002B5649" w:rsidP="00E62C3E">
      <w:r>
        <w:rPr>
          <w:b/>
          <w:bCs/>
        </w:rPr>
        <w:lastRenderedPageBreak/>
        <w:t xml:space="preserve">Table </w:t>
      </w:r>
      <w:r w:rsidR="00BD1322">
        <w:rPr>
          <w:b/>
          <w:bCs/>
        </w:rPr>
        <w:t>B</w:t>
      </w:r>
      <w:r>
        <w:rPr>
          <w:b/>
          <w:bCs/>
        </w:rPr>
        <w:t>1</w:t>
      </w:r>
      <w:r w:rsidR="00B17203">
        <w:rPr>
          <w:b/>
          <w:bCs/>
        </w:rPr>
        <w:t xml:space="preserve"> </w:t>
      </w:r>
      <w:r w:rsidR="00C9413D" w:rsidRPr="00C9413D">
        <w:t>Shares of respondents unwilling to purchase license due to restricted harvest limits</w:t>
      </w:r>
    </w:p>
    <w:p w14:paraId="3B96A5D3" w14:textId="77777777" w:rsidR="00C9413D" w:rsidRPr="00C9413D" w:rsidRDefault="00C9413D" w:rsidP="00E62C3E"/>
    <w:tbl>
      <w:tblPr>
        <w:tblW w:w="10350" w:type="dxa"/>
        <w:tblLook w:val="04A0" w:firstRow="1" w:lastRow="0" w:firstColumn="1" w:lastColumn="0" w:noHBand="0" w:noVBand="1"/>
      </w:tblPr>
      <w:tblGrid>
        <w:gridCol w:w="2880"/>
        <w:gridCol w:w="3510"/>
        <w:gridCol w:w="3960"/>
      </w:tblGrid>
      <w:tr w:rsidR="00B17203" w:rsidRPr="00A335F2" w14:paraId="759AE02C" w14:textId="77777777" w:rsidTr="00A335F2">
        <w:trPr>
          <w:trHeight w:val="315"/>
        </w:trPr>
        <w:tc>
          <w:tcPr>
            <w:tcW w:w="2880" w:type="dxa"/>
            <w:tcBorders>
              <w:top w:val="single" w:sz="4" w:space="0" w:color="auto"/>
              <w:left w:val="nil"/>
              <w:bottom w:val="nil"/>
              <w:right w:val="nil"/>
            </w:tcBorders>
            <w:shd w:val="clear" w:color="auto" w:fill="auto"/>
            <w:noWrap/>
            <w:vAlign w:val="center"/>
            <w:hideMark/>
          </w:tcPr>
          <w:p w14:paraId="47221A8E" w14:textId="77777777" w:rsidR="00B17203" w:rsidRPr="00A335F2" w:rsidRDefault="00B17203" w:rsidP="00B17203">
            <w:pPr>
              <w:jc w:val="left"/>
              <w:rPr>
                <w:rFonts w:eastAsia="Times New Roman" w:cs="Times New Roman"/>
                <w:szCs w:val="24"/>
              </w:rPr>
            </w:pPr>
          </w:p>
        </w:tc>
        <w:tc>
          <w:tcPr>
            <w:tcW w:w="7470" w:type="dxa"/>
            <w:gridSpan w:val="2"/>
            <w:tcBorders>
              <w:top w:val="single" w:sz="4" w:space="0" w:color="auto"/>
              <w:left w:val="nil"/>
              <w:bottom w:val="single" w:sz="4" w:space="0" w:color="auto"/>
              <w:right w:val="nil"/>
            </w:tcBorders>
            <w:shd w:val="clear" w:color="auto" w:fill="auto"/>
            <w:noWrap/>
            <w:vAlign w:val="center"/>
            <w:hideMark/>
          </w:tcPr>
          <w:p w14:paraId="02619B99" w14:textId="77777777" w:rsidR="00B17203" w:rsidRPr="00A335F2" w:rsidRDefault="00B17203" w:rsidP="00B17203">
            <w:pPr>
              <w:jc w:val="center"/>
              <w:rPr>
                <w:rFonts w:eastAsia="Times New Roman" w:cs="Times New Roman"/>
                <w:color w:val="000000"/>
                <w:szCs w:val="24"/>
              </w:rPr>
            </w:pPr>
            <w:r w:rsidRPr="00A335F2">
              <w:rPr>
                <w:rFonts w:eastAsia="Times New Roman" w:cs="Times New Roman"/>
                <w:color w:val="000000"/>
                <w:szCs w:val="24"/>
              </w:rPr>
              <w:t>Share of non-buyers unwilling to purchase the bobcat license because:</w:t>
            </w:r>
          </w:p>
        </w:tc>
      </w:tr>
      <w:tr w:rsidR="00B17203" w:rsidRPr="00A335F2" w14:paraId="1B4D600B" w14:textId="77777777" w:rsidTr="00A335F2">
        <w:trPr>
          <w:trHeight w:val="315"/>
        </w:trPr>
        <w:tc>
          <w:tcPr>
            <w:tcW w:w="2880" w:type="dxa"/>
            <w:tcBorders>
              <w:top w:val="nil"/>
              <w:left w:val="nil"/>
              <w:bottom w:val="single" w:sz="4" w:space="0" w:color="auto"/>
              <w:right w:val="nil"/>
            </w:tcBorders>
            <w:shd w:val="clear" w:color="auto" w:fill="auto"/>
            <w:noWrap/>
            <w:vAlign w:val="center"/>
            <w:hideMark/>
          </w:tcPr>
          <w:p w14:paraId="5196DC8A" w14:textId="77777777" w:rsidR="00B17203" w:rsidRPr="00A335F2" w:rsidRDefault="00B17203" w:rsidP="00B17203">
            <w:pPr>
              <w:jc w:val="left"/>
              <w:rPr>
                <w:rFonts w:eastAsia="Times New Roman" w:cs="Times New Roman"/>
                <w:color w:val="000000"/>
                <w:szCs w:val="24"/>
              </w:rPr>
            </w:pPr>
            <w:r w:rsidRPr="00A335F2">
              <w:rPr>
                <w:rFonts w:eastAsia="Times New Roman" w:cs="Times New Roman"/>
                <w:color w:val="000000"/>
                <w:szCs w:val="24"/>
              </w:rPr>
              <w:t>License attributes</w:t>
            </w:r>
          </w:p>
        </w:tc>
        <w:tc>
          <w:tcPr>
            <w:tcW w:w="3510" w:type="dxa"/>
            <w:tcBorders>
              <w:top w:val="nil"/>
              <w:left w:val="nil"/>
              <w:bottom w:val="single" w:sz="4" w:space="0" w:color="auto"/>
              <w:right w:val="nil"/>
            </w:tcBorders>
            <w:shd w:val="clear" w:color="auto" w:fill="auto"/>
            <w:noWrap/>
            <w:vAlign w:val="center"/>
            <w:hideMark/>
          </w:tcPr>
          <w:p w14:paraId="239781E9" w14:textId="77777777" w:rsidR="00B17203" w:rsidRPr="00A335F2" w:rsidRDefault="00B17203" w:rsidP="00B17203">
            <w:pPr>
              <w:jc w:val="center"/>
              <w:rPr>
                <w:rFonts w:eastAsia="Times New Roman" w:cs="Times New Roman"/>
                <w:color w:val="000000"/>
                <w:szCs w:val="24"/>
              </w:rPr>
            </w:pPr>
            <w:r w:rsidRPr="00A335F2">
              <w:rPr>
                <w:rFonts w:eastAsia="Times New Roman" w:cs="Times New Roman"/>
                <w:color w:val="000000"/>
                <w:szCs w:val="24"/>
              </w:rPr>
              <w:t>The bag limit is too low.</w:t>
            </w:r>
          </w:p>
        </w:tc>
        <w:tc>
          <w:tcPr>
            <w:tcW w:w="3960" w:type="dxa"/>
            <w:tcBorders>
              <w:top w:val="nil"/>
              <w:left w:val="nil"/>
              <w:bottom w:val="single" w:sz="4" w:space="0" w:color="auto"/>
              <w:right w:val="nil"/>
            </w:tcBorders>
            <w:shd w:val="clear" w:color="auto" w:fill="auto"/>
            <w:noWrap/>
            <w:vAlign w:val="center"/>
            <w:hideMark/>
          </w:tcPr>
          <w:p w14:paraId="065F9114" w14:textId="77777777" w:rsidR="00B17203" w:rsidRPr="00A335F2" w:rsidRDefault="00B17203" w:rsidP="00B17203">
            <w:pPr>
              <w:jc w:val="center"/>
              <w:rPr>
                <w:rFonts w:eastAsia="Times New Roman" w:cs="Times New Roman"/>
                <w:color w:val="000000"/>
                <w:szCs w:val="24"/>
              </w:rPr>
            </w:pPr>
            <w:r w:rsidRPr="00A335F2">
              <w:rPr>
                <w:rFonts w:eastAsia="Times New Roman" w:cs="Times New Roman"/>
                <w:color w:val="000000"/>
                <w:szCs w:val="24"/>
              </w:rPr>
              <w:t>The quota is too low.</w:t>
            </w:r>
          </w:p>
        </w:tc>
      </w:tr>
      <w:tr w:rsidR="00B17203" w:rsidRPr="00A335F2" w14:paraId="4D485F4B" w14:textId="77777777" w:rsidTr="00A335F2">
        <w:trPr>
          <w:trHeight w:val="315"/>
        </w:trPr>
        <w:tc>
          <w:tcPr>
            <w:tcW w:w="2880" w:type="dxa"/>
            <w:tcBorders>
              <w:top w:val="nil"/>
              <w:left w:val="nil"/>
              <w:bottom w:val="nil"/>
              <w:right w:val="nil"/>
            </w:tcBorders>
            <w:shd w:val="clear" w:color="auto" w:fill="auto"/>
            <w:noWrap/>
            <w:vAlign w:val="center"/>
            <w:hideMark/>
          </w:tcPr>
          <w:p w14:paraId="026A4D2F" w14:textId="77777777" w:rsidR="00B17203" w:rsidRPr="00A335F2" w:rsidRDefault="00B17203" w:rsidP="00B17203">
            <w:pPr>
              <w:jc w:val="left"/>
              <w:rPr>
                <w:rFonts w:eastAsia="Times New Roman" w:cs="Times New Roman"/>
                <w:color w:val="000000"/>
                <w:szCs w:val="24"/>
              </w:rPr>
            </w:pPr>
            <w:r w:rsidRPr="00A335F2">
              <w:rPr>
                <w:rFonts w:eastAsia="Times New Roman" w:cs="Times New Roman"/>
                <w:color w:val="000000"/>
                <w:szCs w:val="24"/>
              </w:rPr>
              <w:t>Quota = 300, bag limit = 1</w:t>
            </w:r>
          </w:p>
        </w:tc>
        <w:tc>
          <w:tcPr>
            <w:tcW w:w="3510" w:type="dxa"/>
            <w:tcBorders>
              <w:top w:val="nil"/>
              <w:left w:val="nil"/>
              <w:bottom w:val="nil"/>
              <w:right w:val="nil"/>
            </w:tcBorders>
            <w:shd w:val="clear" w:color="auto" w:fill="auto"/>
            <w:noWrap/>
            <w:vAlign w:val="center"/>
            <w:hideMark/>
          </w:tcPr>
          <w:p w14:paraId="431FA69E" w14:textId="77777777" w:rsidR="00B17203" w:rsidRPr="00A335F2" w:rsidRDefault="00B17203" w:rsidP="00B17203">
            <w:pPr>
              <w:jc w:val="center"/>
              <w:rPr>
                <w:rFonts w:eastAsia="Times New Roman" w:cs="Times New Roman"/>
                <w:color w:val="000000"/>
                <w:szCs w:val="24"/>
              </w:rPr>
            </w:pPr>
            <w:r w:rsidRPr="00A335F2">
              <w:rPr>
                <w:rFonts w:eastAsia="Times New Roman" w:cs="Times New Roman"/>
                <w:color w:val="000000"/>
                <w:szCs w:val="24"/>
              </w:rPr>
              <w:t>17.65</w:t>
            </w:r>
          </w:p>
        </w:tc>
        <w:tc>
          <w:tcPr>
            <w:tcW w:w="3960" w:type="dxa"/>
            <w:tcBorders>
              <w:top w:val="nil"/>
              <w:left w:val="nil"/>
              <w:bottom w:val="nil"/>
              <w:right w:val="nil"/>
            </w:tcBorders>
            <w:shd w:val="clear" w:color="auto" w:fill="auto"/>
            <w:noWrap/>
            <w:vAlign w:val="center"/>
            <w:hideMark/>
          </w:tcPr>
          <w:p w14:paraId="3047CB20" w14:textId="77777777" w:rsidR="00B17203" w:rsidRPr="00A335F2" w:rsidRDefault="00B17203" w:rsidP="00B17203">
            <w:pPr>
              <w:jc w:val="center"/>
              <w:rPr>
                <w:rFonts w:eastAsia="Times New Roman" w:cs="Times New Roman"/>
                <w:color w:val="000000"/>
                <w:szCs w:val="24"/>
              </w:rPr>
            </w:pPr>
            <w:r w:rsidRPr="00A335F2">
              <w:rPr>
                <w:rFonts w:eastAsia="Times New Roman" w:cs="Times New Roman"/>
                <w:color w:val="000000"/>
                <w:szCs w:val="24"/>
              </w:rPr>
              <w:t>0</w:t>
            </w:r>
          </w:p>
        </w:tc>
      </w:tr>
      <w:tr w:rsidR="00B17203" w:rsidRPr="00A335F2" w14:paraId="01E02865" w14:textId="77777777" w:rsidTr="00A335F2">
        <w:trPr>
          <w:trHeight w:val="315"/>
        </w:trPr>
        <w:tc>
          <w:tcPr>
            <w:tcW w:w="2880" w:type="dxa"/>
            <w:tcBorders>
              <w:top w:val="nil"/>
              <w:left w:val="nil"/>
              <w:bottom w:val="nil"/>
              <w:right w:val="nil"/>
            </w:tcBorders>
            <w:shd w:val="clear" w:color="auto" w:fill="auto"/>
            <w:noWrap/>
            <w:vAlign w:val="center"/>
            <w:hideMark/>
          </w:tcPr>
          <w:p w14:paraId="6C7CA3D3" w14:textId="77777777" w:rsidR="00B17203" w:rsidRPr="00A335F2" w:rsidRDefault="00B17203" w:rsidP="00B17203">
            <w:pPr>
              <w:jc w:val="left"/>
              <w:rPr>
                <w:rFonts w:eastAsia="Times New Roman" w:cs="Times New Roman"/>
                <w:color w:val="000000"/>
                <w:szCs w:val="24"/>
              </w:rPr>
            </w:pPr>
            <w:r w:rsidRPr="00A335F2">
              <w:rPr>
                <w:rFonts w:eastAsia="Times New Roman" w:cs="Times New Roman"/>
                <w:color w:val="000000"/>
                <w:szCs w:val="24"/>
              </w:rPr>
              <w:t>Quota = 300, bag limit = 2</w:t>
            </w:r>
          </w:p>
        </w:tc>
        <w:tc>
          <w:tcPr>
            <w:tcW w:w="3510" w:type="dxa"/>
            <w:tcBorders>
              <w:top w:val="nil"/>
              <w:left w:val="nil"/>
              <w:bottom w:val="nil"/>
              <w:right w:val="nil"/>
            </w:tcBorders>
            <w:shd w:val="clear" w:color="auto" w:fill="auto"/>
            <w:noWrap/>
            <w:vAlign w:val="center"/>
            <w:hideMark/>
          </w:tcPr>
          <w:p w14:paraId="04A5BEDB" w14:textId="77777777" w:rsidR="00B17203" w:rsidRPr="00A335F2" w:rsidRDefault="00B17203" w:rsidP="00B17203">
            <w:pPr>
              <w:jc w:val="center"/>
              <w:rPr>
                <w:rFonts w:eastAsia="Times New Roman" w:cs="Times New Roman"/>
                <w:color w:val="000000"/>
                <w:szCs w:val="24"/>
              </w:rPr>
            </w:pPr>
            <w:r w:rsidRPr="00A335F2">
              <w:rPr>
                <w:rFonts w:eastAsia="Times New Roman" w:cs="Times New Roman"/>
                <w:color w:val="000000"/>
                <w:szCs w:val="24"/>
              </w:rPr>
              <w:t>10.53</w:t>
            </w:r>
          </w:p>
        </w:tc>
        <w:tc>
          <w:tcPr>
            <w:tcW w:w="3960" w:type="dxa"/>
            <w:tcBorders>
              <w:top w:val="nil"/>
              <w:left w:val="nil"/>
              <w:bottom w:val="nil"/>
              <w:right w:val="nil"/>
            </w:tcBorders>
            <w:shd w:val="clear" w:color="auto" w:fill="auto"/>
            <w:noWrap/>
            <w:vAlign w:val="center"/>
            <w:hideMark/>
          </w:tcPr>
          <w:p w14:paraId="65978BEE" w14:textId="77777777" w:rsidR="00B17203" w:rsidRPr="00A335F2" w:rsidRDefault="00B17203" w:rsidP="00B17203">
            <w:pPr>
              <w:jc w:val="center"/>
              <w:rPr>
                <w:rFonts w:eastAsia="Times New Roman" w:cs="Times New Roman"/>
                <w:color w:val="000000"/>
                <w:szCs w:val="24"/>
              </w:rPr>
            </w:pPr>
            <w:r w:rsidRPr="00A335F2">
              <w:rPr>
                <w:rFonts w:eastAsia="Times New Roman" w:cs="Times New Roman"/>
                <w:color w:val="000000"/>
                <w:szCs w:val="24"/>
              </w:rPr>
              <w:t>5.26</w:t>
            </w:r>
          </w:p>
        </w:tc>
      </w:tr>
      <w:tr w:rsidR="00B17203" w:rsidRPr="00A335F2" w14:paraId="661DE382" w14:textId="77777777" w:rsidTr="00A335F2">
        <w:trPr>
          <w:trHeight w:val="315"/>
        </w:trPr>
        <w:tc>
          <w:tcPr>
            <w:tcW w:w="2880" w:type="dxa"/>
            <w:tcBorders>
              <w:top w:val="nil"/>
              <w:left w:val="nil"/>
              <w:bottom w:val="nil"/>
              <w:right w:val="nil"/>
            </w:tcBorders>
            <w:shd w:val="clear" w:color="auto" w:fill="auto"/>
            <w:noWrap/>
            <w:vAlign w:val="center"/>
            <w:hideMark/>
          </w:tcPr>
          <w:p w14:paraId="0F7A52A2" w14:textId="77777777" w:rsidR="00B17203" w:rsidRPr="00A335F2" w:rsidRDefault="00B17203" w:rsidP="00B17203">
            <w:pPr>
              <w:jc w:val="left"/>
              <w:rPr>
                <w:rFonts w:eastAsia="Times New Roman" w:cs="Times New Roman"/>
                <w:color w:val="000000"/>
                <w:szCs w:val="24"/>
              </w:rPr>
            </w:pPr>
            <w:r w:rsidRPr="00A335F2">
              <w:rPr>
                <w:rFonts w:eastAsia="Times New Roman" w:cs="Times New Roman"/>
                <w:color w:val="000000"/>
                <w:szCs w:val="24"/>
              </w:rPr>
              <w:t>Quota = 600, bag limit = 1</w:t>
            </w:r>
          </w:p>
        </w:tc>
        <w:tc>
          <w:tcPr>
            <w:tcW w:w="3510" w:type="dxa"/>
            <w:tcBorders>
              <w:top w:val="nil"/>
              <w:left w:val="nil"/>
              <w:bottom w:val="nil"/>
              <w:right w:val="nil"/>
            </w:tcBorders>
            <w:shd w:val="clear" w:color="auto" w:fill="auto"/>
            <w:noWrap/>
            <w:vAlign w:val="center"/>
            <w:hideMark/>
          </w:tcPr>
          <w:p w14:paraId="62C0BD36" w14:textId="77777777" w:rsidR="00B17203" w:rsidRPr="00A335F2" w:rsidRDefault="00B17203" w:rsidP="00B17203">
            <w:pPr>
              <w:jc w:val="center"/>
              <w:rPr>
                <w:rFonts w:eastAsia="Times New Roman" w:cs="Times New Roman"/>
                <w:color w:val="000000"/>
                <w:szCs w:val="24"/>
              </w:rPr>
            </w:pPr>
            <w:r w:rsidRPr="00A335F2">
              <w:rPr>
                <w:rFonts w:eastAsia="Times New Roman" w:cs="Times New Roman"/>
                <w:color w:val="000000"/>
                <w:szCs w:val="24"/>
              </w:rPr>
              <w:t>0</w:t>
            </w:r>
          </w:p>
        </w:tc>
        <w:tc>
          <w:tcPr>
            <w:tcW w:w="3960" w:type="dxa"/>
            <w:tcBorders>
              <w:top w:val="nil"/>
              <w:left w:val="nil"/>
              <w:bottom w:val="nil"/>
              <w:right w:val="nil"/>
            </w:tcBorders>
            <w:shd w:val="clear" w:color="auto" w:fill="auto"/>
            <w:noWrap/>
            <w:vAlign w:val="center"/>
            <w:hideMark/>
          </w:tcPr>
          <w:p w14:paraId="17279F7B" w14:textId="77777777" w:rsidR="00B17203" w:rsidRPr="00A335F2" w:rsidRDefault="00B17203" w:rsidP="00B17203">
            <w:pPr>
              <w:jc w:val="center"/>
              <w:rPr>
                <w:rFonts w:eastAsia="Times New Roman" w:cs="Times New Roman"/>
                <w:color w:val="000000"/>
                <w:szCs w:val="24"/>
              </w:rPr>
            </w:pPr>
            <w:r w:rsidRPr="00A335F2">
              <w:rPr>
                <w:rFonts w:eastAsia="Times New Roman" w:cs="Times New Roman"/>
                <w:color w:val="000000"/>
                <w:szCs w:val="24"/>
              </w:rPr>
              <w:t>0</w:t>
            </w:r>
          </w:p>
        </w:tc>
      </w:tr>
      <w:tr w:rsidR="00B17203" w:rsidRPr="00A335F2" w14:paraId="05BD620E" w14:textId="77777777" w:rsidTr="00A335F2">
        <w:trPr>
          <w:trHeight w:val="315"/>
        </w:trPr>
        <w:tc>
          <w:tcPr>
            <w:tcW w:w="2880" w:type="dxa"/>
            <w:tcBorders>
              <w:top w:val="nil"/>
              <w:left w:val="nil"/>
              <w:bottom w:val="single" w:sz="4" w:space="0" w:color="auto"/>
              <w:right w:val="nil"/>
            </w:tcBorders>
            <w:shd w:val="clear" w:color="auto" w:fill="auto"/>
            <w:noWrap/>
            <w:vAlign w:val="center"/>
            <w:hideMark/>
          </w:tcPr>
          <w:p w14:paraId="23ADEA6A" w14:textId="77777777" w:rsidR="00B17203" w:rsidRPr="00A335F2" w:rsidRDefault="00B17203" w:rsidP="00B17203">
            <w:pPr>
              <w:jc w:val="left"/>
              <w:rPr>
                <w:rFonts w:eastAsia="Times New Roman" w:cs="Times New Roman"/>
                <w:color w:val="000000"/>
                <w:szCs w:val="24"/>
              </w:rPr>
            </w:pPr>
            <w:r w:rsidRPr="00A335F2">
              <w:rPr>
                <w:rFonts w:eastAsia="Times New Roman" w:cs="Times New Roman"/>
                <w:color w:val="000000"/>
                <w:szCs w:val="24"/>
              </w:rPr>
              <w:t>Quota = 600, bag limit = 2</w:t>
            </w:r>
          </w:p>
        </w:tc>
        <w:tc>
          <w:tcPr>
            <w:tcW w:w="3510" w:type="dxa"/>
            <w:tcBorders>
              <w:top w:val="nil"/>
              <w:left w:val="nil"/>
              <w:bottom w:val="single" w:sz="4" w:space="0" w:color="auto"/>
              <w:right w:val="nil"/>
            </w:tcBorders>
            <w:shd w:val="clear" w:color="auto" w:fill="auto"/>
            <w:noWrap/>
            <w:vAlign w:val="center"/>
            <w:hideMark/>
          </w:tcPr>
          <w:p w14:paraId="6206A578" w14:textId="77777777" w:rsidR="00B17203" w:rsidRPr="00A335F2" w:rsidRDefault="00B17203" w:rsidP="00B17203">
            <w:pPr>
              <w:jc w:val="center"/>
              <w:rPr>
                <w:rFonts w:eastAsia="Times New Roman" w:cs="Times New Roman"/>
                <w:color w:val="000000"/>
                <w:szCs w:val="24"/>
              </w:rPr>
            </w:pPr>
            <w:r w:rsidRPr="00A335F2">
              <w:rPr>
                <w:rFonts w:eastAsia="Times New Roman" w:cs="Times New Roman"/>
                <w:color w:val="000000"/>
                <w:szCs w:val="24"/>
              </w:rPr>
              <w:t>0</w:t>
            </w:r>
          </w:p>
        </w:tc>
        <w:tc>
          <w:tcPr>
            <w:tcW w:w="3960" w:type="dxa"/>
            <w:tcBorders>
              <w:top w:val="nil"/>
              <w:left w:val="nil"/>
              <w:bottom w:val="single" w:sz="4" w:space="0" w:color="auto"/>
              <w:right w:val="nil"/>
            </w:tcBorders>
            <w:shd w:val="clear" w:color="auto" w:fill="auto"/>
            <w:noWrap/>
            <w:vAlign w:val="center"/>
            <w:hideMark/>
          </w:tcPr>
          <w:p w14:paraId="3406D8F1" w14:textId="77777777" w:rsidR="00B17203" w:rsidRPr="00A335F2" w:rsidRDefault="00B17203" w:rsidP="00B17203">
            <w:pPr>
              <w:jc w:val="center"/>
              <w:rPr>
                <w:rFonts w:eastAsia="Times New Roman" w:cs="Times New Roman"/>
                <w:color w:val="000000"/>
                <w:szCs w:val="24"/>
              </w:rPr>
            </w:pPr>
            <w:r w:rsidRPr="00A335F2">
              <w:rPr>
                <w:rFonts w:eastAsia="Times New Roman" w:cs="Times New Roman"/>
                <w:color w:val="000000"/>
                <w:szCs w:val="24"/>
              </w:rPr>
              <w:t>0</w:t>
            </w:r>
          </w:p>
        </w:tc>
      </w:tr>
    </w:tbl>
    <w:p w14:paraId="606AE0CC" w14:textId="77777777" w:rsidR="00B17203" w:rsidRDefault="00B17203" w:rsidP="00E62C3E">
      <w:pPr>
        <w:rPr>
          <w:b/>
          <w:bCs/>
        </w:rPr>
      </w:pPr>
    </w:p>
    <w:p w14:paraId="13F2CDC2" w14:textId="77777777" w:rsidR="00332E74" w:rsidRDefault="00332E74" w:rsidP="00E62C3E">
      <w:pPr>
        <w:rPr>
          <w:b/>
          <w:bCs/>
        </w:rPr>
      </w:pPr>
    </w:p>
    <w:p w14:paraId="5E0ECD22" w14:textId="21319ED7" w:rsidR="00E62C3E" w:rsidRDefault="00E62C3E" w:rsidP="00E62C3E">
      <w:r w:rsidRPr="00440D66">
        <w:rPr>
          <w:b/>
          <w:bCs/>
        </w:rPr>
        <w:t xml:space="preserve">Figure </w:t>
      </w:r>
      <w:r w:rsidR="00BD1322">
        <w:rPr>
          <w:b/>
          <w:bCs/>
        </w:rPr>
        <w:t>B</w:t>
      </w:r>
      <w:r>
        <w:rPr>
          <w:b/>
          <w:bCs/>
        </w:rPr>
        <w:t>1</w:t>
      </w:r>
      <w:r>
        <w:t xml:space="preserve"> Willingness-to-pay estimates for the Turnbull model</w:t>
      </w:r>
    </w:p>
    <w:p w14:paraId="78E0706F" w14:textId="77777777" w:rsidR="00E62C3E" w:rsidRDefault="00E62C3E" w:rsidP="00E62C3E">
      <w:pPr>
        <w:rPr>
          <w:b/>
          <w:bCs/>
        </w:rPr>
      </w:pPr>
    </w:p>
    <w:p w14:paraId="5BA00449" w14:textId="3B4D3F22" w:rsidR="00BB6188" w:rsidRPr="000E04C1" w:rsidRDefault="00E62C3E" w:rsidP="00B22C8A">
      <w:pPr>
        <w:rPr>
          <w:rFonts w:eastAsiaTheme="minorEastAsia"/>
        </w:rPr>
      </w:pPr>
      <w:r>
        <w:rPr>
          <w:b/>
          <w:bCs/>
          <w:noProof/>
        </w:rPr>
        <w:drawing>
          <wp:inline distT="0" distB="0" distL="0" distR="0" wp14:anchorId="128E89C1" wp14:editId="01476C8A">
            <wp:extent cx="8488743" cy="269375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9918" cy="2697299"/>
                    </a:xfrm>
                    <a:prstGeom prst="rect">
                      <a:avLst/>
                    </a:prstGeom>
                    <a:noFill/>
                  </pic:spPr>
                </pic:pic>
              </a:graphicData>
            </a:graphic>
          </wp:inline>
        </w:drawing>
      </w:r>
    </w:p>
    <w:sectPr w:rsidR="00BB6188" w:rsidRPr="000E04C1" w:rsidSect="0014476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B501" w14:textId="77777777" w:rsidR="005B4D10" w:rsidRDefault="005B4D10" w:rsidP="00AF5984">
      <w:r>
        <w:separator/>
      </w:r>
    </w:p>
  </w:endnote>
  <w:endnote w:type="continuationSeparator" w:id="0">
    <w:p w14:paraId="4ABF445E" w14:textId="77777777" w:rsidR="005B4D10" w:rsidRDefault="005B4D10" w:rsidP="00AF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992281"/>
      <w:docPartObj>
        <w:docPartGallery w:val="Page Numbers (Bottom of Page)"/>
        <w:docPartUnique/>
      </w:docPartObj>
    </w:sdtPr>
    <w:sdtEndPr>
      <w:rPr>
        <w:noProof/>
      </w:rPr>
    </w:sdtEndPr>
    <w:sdtContent>
      <w:p w14:paraId="7C868130" w14:textId="3F664042" w:rsidR="00125AED" w:rsidRDefault="00125A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291518" w14:textId="77777777" w:rsidR="00125AED" w:rsidRDefault="00125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50C7" w14:textId="77777777" w:rsidR="005B4D10" w:rsidRDefault="005B4D10" w:rsidP="00AF5984">
      <w:r>
        <w:separator/>
      </w:r>
    </w:p>
  </w:footnote>
  <w:footnote w:type="continuationSeparator" w:id="0">
    <w:p w14:paraId="2B202250" w14:textId="77777777" w:rsidR="005B4D10" w:rsidRDefault="005B4D10" w:rsidP="00AF5984">
      <w:r>
        <w:continuationSeparator/>
      </w:r>
    </w:p>
  </w:footnote>
  <w:footnote w:id="1">
    <w:p w14:paraId="41E45B53" w14:textId="77777777" w:rsidR="00E62C3E" w:rsidRPr="00C47F18" w:rsidRDefault="00E62C3E" w:rsidP="004430CA">
      <w:pPr>
        <w:pStyle w:val="FootnoteText"/>
        <w:keepLines/>
        <w:rPr>
          <w:rFonts w:eastAsia="Calibri"/>
          <w:iCs/>
        </w:rPr>
      </w:pPr>
      <w:r w:rsidRPr="00C47F18">
        <w:rPr>
          <w:rStyle w:val="FootnoteReference"/>
          <w:sz w:val="24"/>
          <w:szCs w:val="24"/>
        </w:rPr>
        <w:footnoteRef/>
      </w:r>
      <w:r w:rsidRPr="00C47F18">
        <w:t xml:space="preserve"> If </w:t>
      </w:r>
      <w:r w:rsidRPr="00C47F18">
        <w:rPr>
          <w:rFonts w:eastAsia="Calibri"/>
          <w:i/>
          <w:iCs/>
        </w:rPr>
        <w:t>F</w:t>
      </w:r>
      <w:r w:rsidRPr="00C47F18">
        <w:rPr>
          <w:rFonts w:eastAsia="Calibri"/>
          <w:i/>
          <w:iCs/>
          <w:vertAlign w:val="subscript"/>
        </w:rPr>
        <w:t>j</w:t>
      </w:r>
      <w:r w:rsidRPr="00C47F18">
        <w:rPr>
          <w:rFonts w:eastAsia="Calibri"/>
          <w:vertAlign w:val="subscript"/>
        </w:rPr>
        <w:t xml:space="preserve"> + 1</w:t>
      </w:r>
      <w:r w:rsidRPr="00C47F18">
        <w:rPr>
          <w:rFonts w:eastAsia="Calibri"/>
        </w:rPr>
        <w:t xml:space="preserve"> &lt; </w:t>
      </w:r>
      <w:r w:rsidRPr="00C47F18">
        <w:rPr>
          <w:rFonts w:eastAsia="Calibri"/>
          <w:i/>
          <w:iCs/>
        </w:rPr>
        <w:t>F</w:t>
      </w:r>
      <w:r w:rsidRPr="00C47F18">
        <w:rPr>
          <w:rFonts w:eastAsia="Calibri"/>
          <w:i/>
          <w:iCs/>
          <w:vertAlign w:val="subscript"/>
        </w:rPr>
        <w:t>j</w:t>
      </w:r>
      <w:r w:rsidRPr="00C47F18">
        <w:rPr>
          <w:rFonts w:eastAsia="Calibri"/>
        </w:rPr>
        <w:t xml:space="preserve">, then responses are pooled such that </w:t>
      </w:r>
      <m:oMath>
        <m:sSubSup>
          <m:sSubSupPr>
            <m:ctrlPr>
              <w:rPr>
                <w:rFonts w:ascii="Cambria Math" w:eastAsia="Calibri" w:hAnsi="Cambria Math"/>
                <w:i/>
                <w:iCs/>
              </w:rPr>
            </m:ctrlPr>
          </m:sSubSupPr>
          <m:e>
            <m:r>
              <w:rPr>
                <w:rFonts w:ascii="Cambria Math" w:eastAsia="Calibri" w:hAnsi="Cambria Math"/>
              </w:rPr>
              <m:t>T</m:t>
            </m:r>
          </m:e>
          <m:sub>
            <m:r>
              <w:rPr>
                <w:rFonts w:ascii="Cambria Math" w:eastAsia="Calibri" w:hAnsi="Cambria Math"/>
              </w:rPr>
              <m:t>j</m:t>
            </m:r>
          </m:sub>
          <m:sup>
            <m:r>
              <w:rPr>
                <w:rFonts w:ascii="Cambria Math" w:eastAsia="Calibri" w:hAnsi="Cambria Math"/>
              </w:rPr>
              <m:t>*</m:t>
            </m:r>
          </m:sup>
        </m:sSubSup>
      </m:oMath>
      <w:r w:rsidRPr="00C47F18">
        <w:rPr>
          <w:rFonts w:eastAsia="Calibri"/>
          <w:i/>
          <w:iCs/>
        </w:rPr>
        <w:t xml:space="preserve"> = T</w:t>
      </w:r>
      <w:r w:rsidRPr="00C47F18">
        <w:rPr>
          <w:rFonts w:eastAsia="Calibri"/>
          <w:i/>
          <w:iCs/>
          <w:vertAlign w:val="subscript"/>
        </w:rPr>
        <w:t>j</w:t>
      </w:r>
      <w:r w:rsidRPr="00C47F18">
        <w:rPr>
          <w:rFonts w:eastAsia="Calibri"/>
          <w:i/>
          <w:iCs/>
        </w:rPr>
        <w:t xml:space="preserve"> + T</w:t>
      </w:r>
      <w:r w:rsidRPr="00C47F18">
        <w:rPr>
          <w:rFonts w:eastAsia="Calibri"/>
          <w:i/>
          <w:iCs/>
          <w:vertAlign w:val="subscript"/>
        </w:rPr>
        <w:t>j+1</w:t>
      </w:r>
      <w:r w:rsidRPr="00C47F18">
        <w:rPr>
          <w:rFonts w:eastAsia="Calibri"/>
        </w:rPr>
        <w:t xml:space="preserve">, with </w:t>
      </w:r>
      <m:oMath>
        <m:sSubSup>
          <m:sSubSupPr>
            <m:ctrlPr>
              <w:rPr>
                <w:rFonts w:ascii="Cambria Math" w:eastAsia="Calibri" w:hAnsi="Cambria Math"/>
                <w:i/>
                <w:iCs/>
              </w:rPr>
            </m:ctrlPr>
          </m:sSubSupPr>
          <m:e>
            <m:r>
              <w:rPr>
                <w:rFonts w:ascii="Cambria Math" w:eastAsia="Calibri" w:hAnsi="Cambria Math"/>
              </w:rPr>
              <m:t>Y</m:t>
            </m:r>
          </m:e>
          <m:sub>
            <m:r>
              <w:rPr>
                <w:rFonts w:ascii="Cambria Math" w:eastAsia="Calibri" w:hAnsi="Cambria Math"/>
              </w:rPr>
              <m:t>j</m:t>
            </m:r>
          </m:sub>
          <m:sup>
            <m:r>
              <w:rPr>
                <w:rFonts w:ascii="Cambria Math" w:eastAsia="Calibri" w:hAnsi="Cambria Math"/>
              </w:rPr>
              <m:t>*</m:t>
            </m:r>
          </m:sup>
        </m:sSubSup>
      </m:oMath>
      <w:r w:rsidRPr="00C47F18">
        <w:rPr>
          <w:rFonts w:eastAsia="Calibri"/>
          <w:iCs/>
        </w:rPr>
        <w:t xml:space="preserve"> and </w:t>
      </w:r>
      <m:oMath>
        <m:sSubSup>
          <m:sSubSupPr>
            <m:ctrlPr>
              <w:rPr>
                <w:rFonts w:ascii="Cambria Math" w:eastAsia="Calibri" w:hAnsi="Cambria Math"/>
                <w:i/>
                <w:iCs/>
              </w:rPr>
            </m:ctrlPr>
          </m:sSubSupPr>
          <m:e>
            <m:r>
              <w:rPr>
                <w:rFonts w:ascii="Cambria Math" w:eastAsia="Calibri" w:hAnsi="Cambria Math"/>
              </w:rPr>
              <m:t>N</m:t>
            </m:r>
          </m:e>
          <m:sub>
            <m:r>
              <w:rPr>
                <w:rFonts w:ascii="Cambria Math" w:eastAsia="Calibri" w:hAnsi="Cambria Math"/>
              </w:rPr>
              <m:t>j</m:t>
            </m:r>
          </m:sub>
          <m:sup>
            <m:r>
              <w:rPr>
                <w:rFonts w:ascii="Cambria Math" w:eastAsia="Calibri" w:hAnsi="Cambria Math"/>
              </w:rPr>
              <m:t>*</m:t>
            </m:r>
          </m:sup>
        </m:sSubSup>
      </m:oMath>
      <w:r w:rsidRPr="00C47F18">
        <w:rPr>
          <w:rFonts w:eastAsia="Calibri"/>
          <w:iCs/>
        </w:rPr>
        <w:t xml:space="preserve"> pooled similarly. Then the updated </w:t>
      </w:r>
      <w:r w:rsidRPr="00C47F18">
        <w:rPr>
          <w:rFonts w:eastAsia="Calibri"/>
          <w:i/>
          <w:iCs/>
        </w:rPr>
        <w:t>F</w:t>
      </w:r>
      <w:r w:rsidRPr="00C47F18">
        <w:rPr>
          <w:rFonts w:eastAsia="Calibri"/>
          <w:i/>
          <w:iCs/>
          <w:vertAlign w:val="subscript"/>
        </w:rPr>
        <w:t>j</w:t>
      </w:r>
      <w:r w:rsidRPr="00C47F18">
        <w:rPr>
          <w:rFonts w:eastAsia="Calibri"/>
        </w:rPr>
        <w:t xml:space="preserve">, now denoted as </w:t>
      </w:r>
      <m:oMath>
        <m:sSubSup>
          <m:sSubSupPr>
            <m:ctrlPr>
              <w:rPr>
                <w:rFonts w:ascii="Cambria Math" w:eastAsia="Calibri" w:hAnsi="Cambria Math"/>
                <w:i/>
                <w:iCs/>
              </w:rPr>
            </m:ctrlPr>
          </m:sSubSupPr>
          <m:e>
            <m:r>
              <w:rPr>
                <w:rFonts w:ascii="Cambria Math" w:eastAsia="Calibri" w:hAnsi="Cambria Math"/>
              </w:rPr>
              <m:t>F</m:t>
            </m:r>
          </m:e>
          <m:sub>
            <m:r>
              <w:rPr>
                <w:rFonts w:ascii="Cambria Math" w:eastAsia="Calibri" w:hAnsi="Cambria Math"/>
              </w:rPr>
              <m:t>j</m:t>
            </m:r>
          </m:sub>
          <m:sup>
            <m:r>
              <w:rPr>
                <w:rFonts w:ascii="Cambria Math" w:eastAsia="Calibri" w:hAnsi="Cambria Math"/>
              </w:rPr>
              <m:t>*</m:t>
            </m:r>
          </m:sup>
        </m:sSubSup>
      </m:oMath>
      <w:r w:rsidRPr="00C47F18">
        <w:rPr>
          <w:rFonts w:eastAsia="Calibri"/>
        </w:rPr>
        <w:t xml:space="preserve">, is calculated as above. To demonstrate, in the following table we see that </w:t>
      </w:r>
      <w:r w:rsidRPr="00C47F18">
        <w:rPr>
          <w:rFonts w:eastAsia="Calibri"/>
          <w:i/>
          <w:iCs/>
        </w:rPr>
        <w:t>F</w:t>
      </w:r>
      <w:r w:rsidRPr="00C47F18">
        <w:rPr>
          <w:rFonts w:eastAsia="Calibri"/>
          <w:vertAlign w:val="subscript"/>
        </w:rPr>
        <w:t>9.25</w:t>
      </w:r>
      <w:r w:rsidRPr="00C47F18">
        <w:rPr>
          <w:rFonts w:eastAsia="Calibri"/>
          <w:i/>
          <w:iCs/>
        </w:rPr>
        <w:t xml:space="preserve"> &lt; F</w:t>
      </w:r>
      <w:r w:rsidRPr="00C47F18">
        <w:rPr>
          <w:rFonts w:eastAsia="Calibri"/>
          <w:vertAlign w:val="subscript"/>
        </w:rPr>
        <w:t>6.75</w:t>
      </w:r>
      <w:r w:rsidRPr="00C47F18">
        <w:rPr>
          <w:rFonts w:eastAsia="Calibri"/>
        </w:rPr>
        <w:t xml:space="preserve">, indicating pooling is necessary. We then combine </w:t>
      </w:r>
      <w:proofErr w:type="spellStart"/>
      <w:r w:rsidRPr="00C47F18">
        <w:rPr>
          <w:rFonts w:eastAsia="Calibri"/>
          <w:i/>
          <w:iCs/>
        </w:rPr>
        <w:t>T</w:t>
      </w:r>
      <w:r w:rsidRPr="00C47F18">
        <w:rPr>
          <w:rFonts w:eastAsia="Calibri"/>
          <w:i/>
          <w:iCs/>
          <w:vertAlign w:val="subscript"/>
        </w:rPr>
        <w:t>j</w:t>
      </w:r>
      <w:proofErr w:type="spellEnd"/>
      <w:r w:rsidRPr="00C47F18">
        <w:rPr>
          <w:rFonts w:eastAsia="Calibri"/>
          <w:i/>
          <w:iCs/>
        </w:rPr>
        <w:t>, N</w:t>
      </w:r>
      <w:r w:rsidRPr="00C47F18">
        <w:rPr>
          <w:rFonts w:eastAsia="Calibri"/>
          <w:i/>
          <w:iCs/>
          <w:vertAlign w:val="subscript"/>
        </w:rPr>
        <w:t>j</w:t>
      </w:r>
      <w:r w:rsidRPr="00C47F18">
        <w:rPr>
          <w:rFonts w:eastAsia="Calibri"/>
          <w:i/>
          <w:iCs/>
        </w:rPr>
        <w:t xml:space="preserve">, </w:t>
      </w:r>
      <w:r w:rsidRPr="00C47F18">
        <w:rPr>
          <w:rFonts w:eastAsia="Calibri"/>
        </w:rPr>
        <w:t xml:space="preserve">and </w:t>
      </w:r>
      <w:proofErr w:type="spellStart"/>
      <w:r w:rsidRPr="00C47F18">
        <w:rPr>
          <w:rFonts w:eastAsia="Calibri"/>
          <w:i/>
          <w:iCs/>
        </w:rPr>
        <w:t>Y</w:t>
      </w:r>
      <w:r w:rsidRPr="00C47F18">
        <w:rPr>
          <w:rFonts w:eastAsia="Calibri"/>
          <w:i/>
          <w:iCs/>
          <w:vertAlign w:val="subscript"/>
        </w:rPr>
        <w:t>j</w:t>
      </w:r>
      <w:proofErr w:type="spellEnd"/>
      <w:r w:rsidRPr="00C47F18">
        <w:rPr>
          <w:rFonts w:eastAsia="Calibri"/>
        </w:rPr>
        <w:t xml:space="preserve"> for </w:t>
      </w:r>
      <w:r w:rsidRPr="00C47F18">
        <w:rPr>
          <w:rFonts w:eastAsia="Calibri"/>
          <w:i/>
          <w:iCs/>
        </w:rPr>
        <w:t xml:space="preserve">j = </w:t>
      </w:r>
      <w:r w:rsidRPr="00C47F18">
        <w:rPr>
          <w:rFonts w:eastAsia="Calibri"/>
        </w:rPr>
        <w:t xml:space="preserve">6.75, and </w:t>
      </w:r>
      <w:r w:rsidRPr="00C47F18">
        <w:rPr>
          <w:rFonts w:eastAsia="Calibri"/>
          <w:i/>
          <w:iCs/>
        </w:rPr>
        <w:t xml:space="preserve">j = </w:t>
      </w:r>
      <w:r w:rsidRPr="00C47F18">
        <w:rPr>
          <w:rFonts w:eastAsia="Calibri"/>
        </w:rPr>
        <w:t xml:space="preserve">9.25, to create </w:t>
      </w:r>
      <m:oMath>
        <m:sSubSup>
          <m:sSubSupPr>
            <m:ctrlPr>
              <w:rPr>
                <w:rFonts w:ascii="Cambria Math" w:eastAsia="Calibri" w:hAnsi="Cambria Math"/>
                <w:i/>
                <w:iCs/>
              </w:rPr>
            </m:ctrlPr>
          </m:sSubSupPr>
          <m:e>
            <m:r>
              <w:rPr>
                <w:rFonts w:ascii="Cambria Math" w:eastAsia="Calibri" w:hAnsi="Cambria Math"/>
              </w:rPr>
              <m:t>T</m:t>
            </m:r>
          </m:e>
          <m:sub>
            <m:r>
              <w:rPr>
                <w:rFonts w:ascii="Cambria Math" w:eastAsia="Calibri" w:hAnsi="Cambria Math"/>
              </w:rPr>
              <m:t>j</m:t>
            </m:r>
          </m:sub>
          <m:sup>
            <m:r>
              <w:rPr>
                <w:rFonts w:ascii="Cambria Math" w:eastAsia="Calibri" w:hAnsi="Cambria Math"/>
              </w:rPr>
              <m:t>*</m:t>
            </m:r>
          </m:sup>
        </m:sSubSup>
      </m:oMath>
      <w:r w:rsidRPr="00C47F18">
        <w:rPr>
          <w:rFonts w:eastAsia="Calibri"/>
          <w:iCs/>
        </w:rPr>
        <w:t xml:space="preserve">, </w:t>
      </w:r>
      <m:oMath>
        <m:sSubSup>
          <m:sSubSupPr>
            <m:ctrlPr>
              <w:rPr>
                <w:rFonts w:ascii="Cambria Math" w:eastAsia="Calibri" w:hAnsi="Cambria Math"/>
                <w:i/>
                <w:iCs/>
              </w:rPr>
            </m:ctrlPr>
          </m:sSubSupPr>
          <m:e>
            <m:r>
              <w:rPr>
                <w:rFonts w:ascii="Cambria Math" w:eastAsia="Calibri" w:hAnsi="Cambria Math"/>
              </w:rPr>
              <m:t>Y</m:t>
            </m:r>
          </m:e>
          <m:sub>
            <m:r>
              <w:rPr>
                <w:rFonts w:ascii="Cambria Math" w:eastAsia="Calibri" w:hAnsi="Cambria Math"/>
              </w:rPr>
              <m:t>j</m:t>
            </m:r>
          </m:sub>
          <m:sup>
            <m:r>
              <w:rPr>
                <w:rFonts w:ascii="Cambria Math" w:eastAsia="Calibri" w:hAnsi="Cambria Math"/>
              </w:rPr>
              <m:t>*</m:t>
            </m:r>
          </m:sup>
        </m:sSubSup>
      </m:oMath>
      <w:r w:rsidRPr="00C47F18">
        <w:rPr>
          <w:rFonts w:eastAsia="Calibri"/>
          <w:iCs/>
        </w:rPr>
        <w:t xml:space="preserve">, and </w:t>
      </w:r>
      <m:oMath>
        <m:sSubSup>
          <m:sSubSupPr>
            <m:ctrlPr>
              <w:rPr>
                <w:rFonts w:ascii="Cambria Math" w:eastAsia="Calibri" w:hAnsi="Cambria Math"/>
                <w:i/>
                <w:iCs/>
              </w:rPr>
            </m:ctrlPr>
          </m:sSubSupPr>
          <m:e>
            <m:r>
              <w:rPr>
                <w:rFonts w:ascii="Cambria Math" w:eastAsia="Calibri" w:hAnsi="Cambria Math"/>
              </w:rPr>
              <m:t>N</m:t>
            </m:r>
          </m:e>
          <m:sub>
            <m:r>
              <w:rPr>
                <w:rFonts w:ascii="Cambria Math" w:eastAsia="Calibri" w:hAnsi="Cambria Math"/>
              </w:rPr>
              <m:t>j</m:t>
            </m:r>
          </m:sub>
          <m:sup>
            <m:r>
              <w:rPr>
                <w:rFonts w:ascii="Cambria Math" w:eastAsia="Calibri" w:hAnsi="Cambria Math"/>
              </w:rPr>
              <m:t>*</m:t>
            </m:r>
          </m:sup>
        </m:sSubSup>
      </m:oMath>
      <w:r w:rsidRPr="00C47F18">
        <w:rPr>
          <w:rFonts w:eastAsia="Calibri"/>
          <w:iCs/>
        </w:rPr>
        <w:t xml:space="preserve">. Note that </w:t>
      </w:r>
      <m:oMath>
        <m:sSubSup>
          <m:sSubSupPr>
            <m:ctrlPr>
              <w:rPr>
                <w:rFonts w:ascii="Cambria Math" w:eastAsia="Calibri" w:hAnsi="Cambria Math"/>
                <w:i/>
                <w:iCs/>
              </w:rPr>
            </m:ctrlPr>
          </m:sSubSupPr>
          <m:e>
            <m:r>
              <w:rPr>
                <w:rFonts w:ascii="Cambria Math" w:eastAsia="Calibri" w:hAnsi="Cambria Math"/>
              </w:rPr>
              <m:t>F</m:t>
            </m:r>
          </m:e>
          <m:sub>
            <m:r>
              <w:rPr>
                <w:rFonts w:ascii="Cambria Math" w:eastAsia="Calibri" w:hAnsi="Cambria Math"/>
              </w:rPr>
              <m:t>j</m:t>
            </m:r>
          </m:sub>
          <m:sup>
            <m:r>
              <w:rPr>
                <w:rFonts w:ascii="Cambria Math" w:eastAsia="Calibri" w:hAnsi="Cambria Math"/>
              </w:rPr>
              <m:t>*</m:t>
            </m:r>
          </m:sup>
        </m:sSubSup>
      </m:oMath>
      <w:r w:rsidRPr="00C47F18">
        <w:rPr>
          <w:rFonts w:eastAsia="Calibri"/>
          <w:iCs/>
        </w:rPr>
        <w:t xml:space="preserve"> is monotonically increasing, as expected.</w:t>
      </w:r>
    </w:p>
    <w:p w14:paraId="70904D73" w14:textId="77777777" w:rsidR="00E62C3E" w:rsidRPr="00C47F18" w:rsidRDefault="00E62C3E" w:rsidP="00AF5984">
      <w:pPr>
        <w:pStyle w:val="FootnoteText"/>
        <w:rPr>
          <w:rFonts w:eastAsia="Calibri"/>
        </w:rPr>
      </w:pPr>
    </w:p>
    <w:tbl>
      <w:tblPr>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E62C3E" w:rsidRPr="004430CA" w14:paraId="2B4D06FF" w14:textId="77777777" w:rsidTr="003927CC">
        <w:trPr>
          <w:trHeight w:val="74"/>
        </w:trPr>
        <w:tc>
          <w:tcPr>
            <w:tcW w:w="960" w:type="dxa"/>
            <w:tcBorders>
              <w:top w:val="nil"/>
              <w:left w:val="nil"/>
              <w:bottom w:val="single" w:sz="4" w:space="0" w:color="auto"/>
              <w:right w:val="nil"/>
            </w:tcBorders>
            <w:shd w:val="clear" w:color="auto" w:fill="auto"/>
            <w:noWrap/>
            <w:vAlign w:val="bottom"/>
            <w:hideMark/>
          </w:tcPr>
          <w:p w14:paraId="6AF82DDC" w14:textId="77777777" w:rsidR="00E62C3E" w:rsidRPr="004430CA" w:rsidRDefault="00E62C3E" w:rsidP="004430CA">
            <w:pPr>
              <w:keepLines/>
              <w:jc w:val="center"/>
              <w:rPr>
                <w:color w:val="000000"/>
                <w:sz w:val="18"/>
                <w:szCs w:val="18"/>
              </w:rPr>
            </w:pPr>
            <w:r w:rsidRPr="004430CA">
              <w:rPr>
                <w:color w:val="000000"/>
                <w:sz w:val="18"/>
                <w:szCs w:val="18"/>
              </w:rPr>
              <w:t>Price</w:t>
            </w:r>
          </w:p>
        </w:tc>
        <w:tc>
          <w:tcPr>
            <w:tcW w:w="960" w:type="dxa"/>
            <w:tcBorders>
              <w:top w:val="nil"/>
              <w:left w:val="nil"/>
              <w:bottom w:val="single" w:sz="4" w:space="0" w:color="auto"/>
              <w:right w:val="nil"/>
            </w:tcBorders>
            <w:shd w:val="clear" w:color="auto" w:fill="auto"/>
            <w:noWrap/>
            <w:vAlign w:val="bottom"/>
            <w:hideMark/>
          </w:tcPr>
          <w:p w14:paraId="4E043F24" w14:textId="77777777" w:rsidR="00E62C3E" w:rsidRPr="004430CA" w:rsidRDefault="00E62C3E" w:rsidP="004430CA">
            <w:pPr>
              <w:keepLines/>
              <w:jc w:val="center"/>
              <w:rPr>
                <w:color w:val="000000"/>
                <w:sz w:val="18"/>
                <w:szCs w:val="18"/>
              </w:rPr>
            </w:pPr>
            <w:proofErr w:type="spellStart"/>
            <w:r w:rsidRPr="004430CA">
              <w:rPr>
                <w:color w:val="000000"/>
                <w:sz w:val="18"/>
                <w:szCs w:val="18"/>
              </w:rPr>
              <w:t>Tj</w:t>
            </w:r>
            <w:proofErr w:type="spellEnd"/>
          </w:p>
        </w:tc>
        <w:tc>
          <w:tcPr>
            <w:tcW w:w="960" w:type="dxa"/>
            <w:tcBorders>
              <w:top w:val="nil"/>
              <w:left w:val="nil"/>
              <w:bottom w:val="single" w:sz="4" w:space="0" w:color="auto"/>
              <w:right w:val="nil"/>
            </w:tcBorders>
            <w:shd w:val="clear" w:color="auto" w:fill="auto"/>
            <w:noWrap/>
            <w:vAlign w:val="bottom"/>
            <w:hideMark/>
          </w:tcPr>
          <w:p w14:paraId="13F7296A" w14:textId="77777777" w:rsidR="00E62C3E" w:rsidRPr="004430CA" w:rsidRDefault="00E62C3E" w:rsidP="004430CA">
            <w:pPr>
              <w:keepLines/>
              <w:jc w:val="center"/>
              <w:rPr>
                <w:color w:val="000000"/>
                <w:sz w:val="18"/>
                <w:szCs w:val="18"/>
              </w:rPr>
            </w:pPr>
            <w:r w:rsidRPr="004430CA">
              <w:rPr>
                <w:color w:val="000000"/>
                <w:sz w:val="18"/>
                <w:szCs w:val="18"/>
              </w:rPr>
              <w:t>Nj</w:t>
            </w:r>
          </w:p>
        </w:tc>
        <w:tc>
          <w:tcPr>
            <w:tcW w:w="960" w:type="dxa"/>
            <w:tcBorders>
              <w:top w:val="nil"/>
              <w:left w:val="nil"/>
              <w:bottom w:val="single" w:sz="4" w:space="0" w:color="auto"/>
              <w:right w:val="nil"/>
            </w:tcBorders>
            <w:shd w:val="clear" w:color="auto" w:fill="auto"/>
            <w:noWrap/>
            <w:vAlign w:val="bottom"/>
            <w:hideMark/>
          </w:tcPr>
          <w:p w14:paraId="0BFC791D" w14:textId="77777777" w:rsidR="00E62C3E" w:rsidRPr="004430CA" w:rsidRDefault="00E62C3E" w:rsidP="004430CA">
            <w:pPr>
              <w:keepLines/>
              <w:jc w:val="center"/>
              <w:rPr>
                <w:color w:val="000000"/>
                <w:sz w:val="18"/>
                <w:szCs w:val="18"/>
              </w:rPr>
            </w:pPr>
            <w:proofErr w:type="spellStart"/>
            <w:r w:rsidRPr="004430CA">
              <w:rPr>
                <w:color w:val="000000"/>
                <w:sz w:val="18"/>
                <w:szCs w:val="18"/>
              </w:rPr>
              <w:t>Yj</w:t>
            </w:r>
            <w:proofErr w:type="spellEnd"/>
          </w:p>
        </w:tc>
        <w:tc>
          <w:tcPr>
            <w:tcW w:w="960" w:type="dxa"/>
            <w:tcBorders>
              <w:top w:val="nil"/>
              <w:left w:val="nil"/>
              <w:bottom w:val="single" w:sz="4" w:space="0" w:color="auto"/>
              <w:right w:val="nil"/>
            </w:tcBorders>
            <w:shd w:val="clear" w:color="auto" w:fill="auto"/>
            <w:noWrap/>
            <w:vAlign w:val="bottom"/>
            <w:hideMark/>
          </w:tcPr>
          <w:p w14:paraId="6FBF0A73" w14:textId="77777777" w:rsidR="00E62C3E" w:rsidRPr="004430CA" w:rsidRDefault="00E62C3E" w:rsidP="004430CA">
            <w:pPr>
              <w:keepLines/>
              <w:jc w:val="center"/>
              <w:rPr>
                <w:color w:val="000000"/>
                <w:sz w:val="18"/>
                <w:szCs w:val="18"/>
              </w:rPr>
            </w:pPr>
            <w:r w:rsidRPr="004430CA">
              <w:rPr>
                <w:color w:val="000000"/>
                <w:sz w:val="18"/>
                <w:szCs w:val="18"/>
              </w:rPr>
              <w:t>Fj</w:t>
            </w:r>
          </w:p>
        </w:tc>
        <w:tc>
          <w:tcPr>
            <w:tcW w:w="960" w:type="dxa"/>
            <w:tcBorders>
              <w:top w:val="nil"/>
              <w:left w:val="nil"/>
              <w:bottom w:val="single" w:sz="4" w:space="0" w:color="auto"/>
              <w:right w:val="nil"/>
            </w:tcBorders>
            <w:shd w:val="clear" w:color="auto" w:fill="auto"/>
            <w:noWrap/>
            <w:vAlign w:val="bottom"/>
            <w:hideMark/>
          </w:tcPr>
          <w:p w14:paraId="0F00D178" w14:textId="77777777" w:rsidR="00E62C3E" w:rsidRPr="004430CA" w:rsidRDefault="00E62C3E" w:rsidP="004430CA">
            <w:pPr>
              <w:keepLines/>
              <w:jc w:val="center"/>
              <w:rPr>
                <w:color w:val="000000"/>
                <w:sz w:val="18"/>
                <w:szCs w:val="18"/>
              </w:rPr>
            </w:pPr>
            <w:proofErr w:type="spellStart"/>
            <w:r w:rsidRPr="004430CA">
              <w:rPr>
                <w:color w:val="000000"/>
                <w:sz w:val="18"/>
                <w:szCs w:val="18"/>
              </w:rPr>
              <w:t>Tj</w:t>
            </w:r>
            <w:proofErr w:type="spellEnd"/>
            <w:r w:rsidRPr="004430CA">
              <w:rPr>
                <w:color w:val="000000"/>
                <w:sz w:val="18"/>
                <w:szCs w:val="18"/>
              </w:rPr>
              <w:t>*</w:t>
            </w:r>
          </w:p>
        </w:tc>
        <w:tc>
          <w:tcPr>
            <w:tcW w:w="960" w:type="dxa"/>
            <w:tcBorders>
              <w:top w:val="nil"/>
              <w:left w:val="nil"/>
              <w:bottom w:val="single" w:sz="4" w:space="0" w:color="auto"/>
              <w:right w:val="nil"/>
            </w:tcBorders>
            <w:shd w:val="clear" w:color="auto" w:fill="auto"/>
            <w:noWrap/>
            <w:vAlign w:val="bottom"/>
            <w:hideMark/>
          </w:tcPr>
          <w:p w14:paraId="2D70AD74" w14:textId="77777777" w:rsidR="00E62C3E" w:rsidRPr="004430CA" w:rsidRDefault="00E62C3E" w:rsidP="004430CA">
            <w:pPr>
              <w:keepLines/>
              <w:jc w:val="center"/>
              <w:rPr>
                <w:color w:val="000000"/>
                <w:sz w:val="18"/>
                <w:szCs w:val="18"/>
              </w:rPr>
            </w:pPr>
            <w:r w:rsidRPr="004430CA">
              <w:rPr>
                <w:color w:val="000000"/>
                <w:sz w:val="18"/>
                <w:szCs w:val="18"/>
              </w:rPr>
              <w:t>Nj*</w:t>
            </w:r>
          </w:p>
        </w:tc>
        <w:tc>
          <w:tcPr>
            <w:tcW w:w="960" w:type="dxa"/>
            <w:tcBorders>
              <w:top w:val="nil"/>
              <w:left w:val="nil"/>
              <w:bottom w:val="single" w:sz="4" w:space="0" w:color="auto"/>
              <w:right w:val="nil"/>
            </w:tcBorders>
            <w:shd w:val="clear" w:color="auto" w:fill="auto"/>
            <w:noWrap/>
            <w:vAlign w:val="bottom"/>
            <w:hideMark/>
          </w:tcPr>
          <w:p w14:paraId="56BB1235" w14:textId="77777777" w:rsidR="00E62C3E" w:rsidRPr="004430CA" w:rsidRDefault="00E62C3E" w:rsidP="004430CA">
            <w:pPr>
              <w:keepLines/>
              <w:jc w:val="center"/>
              <w:rPr>
                <w:color w:val="000000"/>
                <w:sz w:val="18"/>
                <w:szCs w:val="18"/>
              </w:rPr>
            </w:pPr>
            <w:proofErr w:type="spellStart"/>
            <w:r w:rsidRPr="004430CA">
              <w:rPr>
                <w:color w:val="000000"/>
                <w:sz w:val="18"/>
                <w:szCs w:val="18"/>
              </w:rPr>
              <w:t>Yj</w:t>
            </w:r>
            <w:proofErr w:type="spellEnd"/>
            <w:r w:rsidRPr="004430CA">
              <w:rPr>
                <w:color w:val="000000"/>
                <w:sz w:val="18"/>
                <w:szCs w:val="18"/>
              </w:rPr>
              <w:t>*</w:t>
            </w:r>
          </w:p>
        </w:tc>
        <w:tc>
          <w:tcPr>
            <w:tcW w:w="960" w:type="dxa"/>
            <w:tcBorders>
              <w:top w:val="nil"/>
              <w:left w:val="nil"/>
              <w:bottom w:val="single" w:sz="4" w:space="0" w:color="auto"/>
              <w:right w:val="nil"/>
            </w:tcBorders>
            <w:shd w:val="clear" w:color="auto" w:fill="auto"/>
            <w:noWrap/>
            <w:vAlign w:val="bottom"/>
            <w:hideMark/>
          </w:tcPr>
          <w:p w14:paraId="61B657A4" w14:textId="77777777" w:rsidR="00E62C3E" w:rsidRPr="004430CA" w:rsidRDefault="00E62C3E" w:rsidP="004430CA">
            <w:pPr>
              <w:keepLines/>
              <w:jc w:val="center"/>
              <w:rPr>
                <w:color w:val="000000"/>
                <w:sz w:val="18"/>
                <w:szCs w:val="18"/>
              </w:rPr>
            </w:pPr>
            <w:r w:rsidRPr="004430CA">
              <w:rPr>
                <w:color w:val="000000"/>
                <w:sz w:val="18"/>
                <w:szCs w:val="18"/>
              </w:rPr>
              <w:t>Fj*</w:t>
            </w:r>
          </w:p>
        </w:tc>
      </w:tr>
      <w:tr w:rsidR="00E62C3E" w:rsidRPr="004430CA" w14:paraId="403AFE5E" w14:textId="77777777" w:rsidTr="003927CC">
        <w:trPr>
          <w:trHeight w:val="64"/>
        </w:trPr>
        <w:tc>
          <w:tcPr>
            <w:tcW w:w="960" w:type="dxa"/>
            <w:tcBorders>
              <w:top w:val="nil"/>
              <w:left w:val="nil"/>
              <w:bottom w:val="nil"/>
              <w:right w:val="nil"/>
            </w:tcBorders>
            <w:shd w:val="clear" w:color="auto" w:fill="auto"/>
            <w:noWrap/>
            <w:vAlign w:val="bottom"/>
            <w:hideMark/>
          </w:tcPr>
          <w:p w14:paraId="45122500" w14:textId="77777777" w:rsidR="00E62C3E" w:rsidRPr="004430CA" w:rsidRDefault="00E62C3E" w:rsidP="004430CA">
            <w:pPr>
              <w:keepLines/>
              <w:jc w:val="center"/>
              <w:rPr>
                <w:color w:val="000000"/>
                <w:sz w:val="18"/>
                <w:szCs w:val="18"/>
              </w:rPr>
            </w:pPr>
            <w:r w:rsidRPr="004430CA">
              <w:rPr>
                <w:color w:val="000000"/>
                <w:sz w:val="18"/>
                <w:szCs w:val="18"/>
              </w:rPr>
              <w:t>6.75</w:t>
            </w:r>
          </w:p>
        </w:tc>
        <w:tc>
          <w:tcPr>
            <w:tcW w:w="960" w:type="dxa"/>
            <w:tcBorders>
              <w:top w:val="nil"/>
              <w:left w:val="nil"/>
              <w:bottom w:val="nil"/>
              <w:right w:val="nil"/>
            </w:tcBorders>
            <w:shd w:val="clear" w:color="auto" w:fill="auto"/>
            <w:noWrap/>
            <w:vAlign w:val="bottom"/>
            <w:hideMark/>
          </w:tcPr>
          <w:p w14:paraId="64224BF6" w14:textId="77777777" w:rsidR="00E62C3E" w:rsidRPr="004430CA" w:rsidRDefault="00E62C3E" w:rsidP="004430CA">
            <w:pPr>
              <w:keepLines/>
              <w:jc w:val="center"/>
              <w:rPr>
                <w:color w:val="000000"/>
                <w:sz w:val="18"/>
                <w:szCs w:val="18"/>
              </w:rPr>
            </w:pPr>
            <w:r w:rsidRPr="004430CA">
              <w:rPr>
                <w:color w:val="000000"/>
                <w:sz w:val="18"/>
                <w:szCs w:val="18"/>
              </w:rPr>
              <w:t>11</w:t>
            </w:r>
          </w:p>
        </w:tc>
        <w:tc>
          <w:tcPr>
            <w:tcW w:w="960" w:type="dxa"/>
            <w:tcBorders>
              <w:top w:val="nil"/>
              <w:left w:val="nil"/>
              <w:bottom w:val="nil"/>
              <w:right w:val="nil"/>
            </w:tcBorders>
            <w:shd w:val="clear" w:color="auto" w:fill="auto"/>
            <w:noWrap/>
            <w:vAlign w:val="bottom"/>
            <w:hideMark/>
          </w:tcPr>
          <w:p w14:paraId="12C909D7" w14:textId="77777777" w:rsidR="00E62C3E" w:rsidRPr="004430CA" w:rsidRDefault="00E62C3E" w:rsidP="004430CA">
            <w:pPr>
              <w:keepLines/>
              <w:jc w:val="center"/>
              <w:rPr>
                <w:color w:val="000000"/>
                <w:sz w:val="18"/>
                <w:szCs w:val="18"/>
              </w:rPr>
            </w:pPr>
            <w:r w:rsidRPr="004430CA">
              <w:rPr>
                <w:color w:val="000000"/>
                <w:sz w:val="18"/>
                <w:szCs w:val="18"/>
              </w:rPr>
              <w:t>5</w:t>
            </w:r>
          </w:p>
        </w:tc>
        <w:tc>
          <w:tcPr>
            <w:tcW w:w="960" w:type="dxa"/>
            <w:tcBorders>
              <w:top w:val="nil"/>
              <w:left w:val="nil"/>
              <w:bottom w:val="nil"/>
              <w:right w:val="nil"/>
            </w:tcBorders>
            <w:shd w:val="clear" w:color="auto" w:fill="auto"/>
            <w:noWrap/>
            <w:vAlign w:val="bottom"/>
            <w:hideMark/>
          </w:tcPr>
          <w:p w14:paraId="458B3F0B" w14:textId="77777777" w:rsidR="00E62C3E" w:rsidRPr="004430CA" w:rsidRDefault="00E62C3E" w:rsidP="004430CA">
            <w:pPr>
              <w:keepLines/>
              <w:jc w:val="center"/>
              <w:rPr>
                <w:color w:val="000000"/>
                <w:sz w:val="18"/>
                <w:szCs w:val="18"/>
              </w:rPr>
            </w:pPr>
            <w:r w:rsidRPr="004430CA">
              <w:rPr>
                <w:color w:val="000000"/>
                <w:sz w:val="18"/>
                <w:szCs w:val="18"/>
              </w:rPr>
              <w:t>6</w:t>
            </w:r>
          </w:p>
        </w:tc>
        <w:tc>
          <w:tcPr>
            <w:tcW w:w="960" w:type="dxa"/>
            <w:tcBorders>
              <w:top w:val="nil"/>
              <w:left w:val="nil"/>
              <w:bottom w:val="nil"/>
              <w:right w:val="nil"/>
            </w:tcBorders>
            <w:shd w:val="clear" w:color="auto" w:fill="auto"/>
            <w:noWrap/>
            <w:vAlign w:val="bottom"/>
            <w:hideMark/>
          </w:tcPr>
          <w:p w14:paraId="09FE5CD8" w14:textId="77777777" w:rsidR="00E62C3E" w:rsidRPr="004430CA" w:rsidRDefault="00E62C3E" w:rsidP="004430CA">
            <w:pPr>
              <w:keepLines/>
              <w:jc w:val="center"/>
              <w:rPr>
                <w:color w:val="000000"/>
                <w:sz w:val="18"/>
                <w:szCs w:val="18"/>
              </w:rPr>
            </w:pPr>
            <w:r w:rsidRPr="004430CA">
              <w:rPr>
                <w:color w:val="000000"/>
                <w:sz w:val="18"/>
                <w:szCs w:val="18"/>
              </w:rPr>
              <w:t>0.4545</w:t>
            </w:r>
          </w:p>
        </w:tc>
        <w:tc>
          <w:tcPr>
            <w:tcW w:w="960" w:type="dxa"/>
            <w:tcBorders>
              <w:top w:val="nil"/>
              <w:left w:val="nil"/>
              <w:bottom w:val="nil"/>
              <w:right w:val="nil"/>
            </w:tcBorders>
            <w:shd w:val="clear" w:color="auto" w:fill="auto"/>
            <w:noWrap/>
            <w:vAlign w:val="bottom"/>
            <w:hideMark/>
          </w:tcPr>
          <w:p w14:paraId="7E3C87C2" w14:textId="77777777" w:rsidR="00E62C3E" w:rsidRPr="004430CA" w:rsidRDefault="00E62C3E" w:rsidP="004430CA">
            <w:pPr>
              <w:keepLines/>
              <w:jc w:val="center"/>
              <w:rPr>
                <w:color w:val="000000"/>
                <w:sz w:val="18"/>
                <w:szCs w:val="18"/>
              </w:rPr>
            </w:pPr>
            <w:r w:rsidRPr="004430CA">
              <w:rPr>
                <w:color w:val="000000"/>
                <w:sz w:val="18"/>
                <w:szCs w:val="18"/>
              </w:rPr>
              <w:t>21</w:t>
            </w:r>
          </w:p>
        </w:tc>
        <w:tc>
          <w:tcPr>
            <w:tcW w:w="960" w:type="dxa"/>
            <w:tcBorders>
              <w:top w:val="nil"/>
              <w:left w:val="nil"/>
              <w:bottom w:val="nil"/>
              <w:right w:val="nil"/>
            </w:tcBorders>
            <w:shd w:val="clear" w:color="auto" w:fill="auto"/>
            <w:noWrap/>
            <w:vAlign w:val="bottom"/>
            <w:hideMark/>
          </w:tcPr>
          <w:p w14:paraId="73310DA4" w14:textId="77777777" w:rsidR="00E62C3E" w:rsidRPr="004430CA" w:rsidRDefault="00E62C3E" w:rsidP="004430CA">
            <w:pPr>
              <w:keepLines/>
              <w:jc w:val="center"/>
              <w:rPr>
                <w:color w:val="000000"/>
                <w:sz w:val="18"/>
                <w:szCs w:val="18"/>
              </w:rPr>
            </w:pPr>
            <w:r w:rsidRPr="004430CA">
              <w:rPr>
                <w:color w:val="000000"/>
                <w:sz w:val="18"/>
                <w:szCs w:val="18"/>
              </w:rPr>
              <w:t>8</w:t>
            </w:r>
          </w:p>
        </w:tc>
        <w:tc>
          <w:tcPr>
            <w:tcW w:w="960" w:type="dxa"/>
            <w:tcBorders>
              <w:top w:val="nil"/>
              <w:left w:val="nil"/>
              <w:bottom w:val="nil"/>
              <w:right w:val="nil"/>
            </w:tcBorders>
            <w:shd w:val="clear" w:color="auto" w:fill="auto"/>
            <w:noWrap/>
            <w:vAlign w:val="bottom"/>
            <w:hideMark/>
          </w:tcPr>
          <w:p w14:paraId="3BE549A2" w14:textId="77777777" w:rsidR="00E62C3E" w:rsidRPr="004430CA" w:rsidRDefault="00E62C3E" w:rsidP="004430CA">
            <w:pPr>
              <w:keepLines/>
              <w:jc w:val="center"/>
              <w:rPr>
                <w:color w:val="000000"/>
                <w:sz w:val="18"/>
                <w:szCs w:val="18"/>
              </w:rPr>
            </w:pPr>
            <w:r w:rsidRPr="004430CA">
              <w:rPr>
                <w:color w:val="000000"/>
                <w:sz w:val="18"/>
                <w:szCs w:val="18"/>
              </w:rPr>
              <w:t>13</w:t>
            </w:r>
          </w:p>
        </w:tc>
        <w:tc>
          <w:tcPr>
            <w:tcW w:w="960" w:type="dxa"/>
            <w:tcBorders>
              <w:top w:val="nil"/>
              <w:left w:val="nil"/>
              <w:bottom w:val="nil"/>
              <w:right w:val="nil"/>
            </w:tcBorders>
            <w:shd w:val="clear" w:color="auto" w:fill="auto"/>
            <w:noWrap/>
            <w:vAlign w:val="bottom"/>
            <w:hideMark/>
          </w:tcPr>
          <w:p w14:paraId="6646ABD5" w14:textId="77777777" w:rsidR="00E62C3E" w:rsidRPr="004430CA" w:rsidRDefault="00E62C3E" w:rsidP="004430CA">
            <w:pPr>
              <w:keepLines/>
              <w:jc w:val="center"/>
              <w:rPr>
                <w:color w:val="000000"/>
                <w:sz w:val="18"/>
                <w:szCs w:val="18"/>
              </w:rPr>
            </w:pPr>
            <w:r w:rsidRPr="004430CA">
              <w:rPr>
                <w:color w:val="000000"/>
                <w:sz w:val="18"/>
                <w:szCs w:val="18"/>
              </w:rPr>
              <w:t>0.3810</w:t>
            </w:r>
          </w:p>
        </w:tc>
      </w:tr>
      <w:tr w:rsidR="00E62C3E" w:rsidRPr="004430CA" w14:paraId="36DD3C5E" w14:textId="77777777" w:rsidTr="003927CC">
        <w:trPr>
          <w:trHeight w:val="74"/>
        </w:trPr>
        <w:tc>
          <w:tcPr>
            <w:tcW w:w="960" w:type="dxa"/>
            <w:tcBorders>
              <w:top w:val="nil"/>
              <w:left w:val="nil"/>
              <w:bottom w:val="nil"/>
              <w:right w:val="nil"/>
            </w:tcBorders>
            <w:shd w:val="clear" w:color="auto" w:fill="auto"/>
            <w:noWrap/>
            <w:vAlign w:val="bottom"/>
            <w:hideMark/>
          </w:tcPr>
          <w:p w14:paraId="323D3CE2" w14:textId="77777777" w:rsidR="00E62C3E" w:rsidRPr="004430CA" w:rsidRDefault="00E62C3E" w:rsidP="004430CA">
            <w:pPr>
              <w:keepLines/>
              <w:jc w:val="center"/>
              <w:rPr>
                <w:color w:val="000000"/>
                <w:sz w:val="18"/>
                <w:szCs w:val="18"/>
              </w:rPr>
            </w:pPr>
            <w:r w:rsidRPr="004430CA">
              <w:rPr>
                <w:color w:val="000000"/>
                <w:sz w:val="18"/>
                <w:szCs w:val="18"/>
              </w:rPr>
              <w:t>9.25</w:t>
            </w:r>
          </w:p>
        </w:tc>
        <w:tc>
          <w:tcPr>
            <w:tcW w:w="960" w:type="dxa"/>
            <w:tcBorders>
              <w:top w:val="nil"/>
              <w:left w:val="nil"/>
              <w:bottom w:val="nil"/>
              <w:right w:val="nil"/>
            </w:tcBorders>
            <w:shd w:val="clear" w:color="auto" w:fill="auto"/>
            <w:noWrap/>
            <w:vAlign w:val="bottom"/>
            <w:hideMark/>
          </w:tcPr>
          <w:p w14:paraId="725570AE" w14:textId="77777777" w:rsidR="00E62C3E" w:rsidRPr="004430CA" w:rsidRDefault="00E62C3E" w:rsidP="004430CA">
            <w:pPr>
              <w:keepLines/>
              <w:jc w:val="center"/>
              <w:rPr>
                <w:color w:val="000000"/>
                <w:sz w:val="18"/>
                <w:szCs w:val="18"/>
              </w:rPr>
            </w:pPr>
            <w:r w:rsidRPr="004430CA">
              <w:rPr>
                <w:color w:val="000000"/>
                <w:sz w:val="18"/>
                <w:szCs w:val="18"/>
              </w:rPr>
              <w:t>10</w:t>
            </w:r>
          </w:p>
        </w:tc>
        <w:tc>
          <w:tcPr>
            <w:tcW w:w="960" w:type="dxa"/>
            <w:tcBorders>
              <w:top w:val="nil"/>
              <w:left w:val="nil"/>
              <w:bottom w:val="nil"/>
              <w:right w:val="nil"/>
            </w:tcBorders>
            <w:shd w:val="clear" w:color="auto" w:fill="auto"/>
            <w:noWrap/>
            <w:vAlign w:val="bottom"/>
            <w:hideMark/>
          </w:tcPr>
          <w:p w14:paraId="52D0C775" w14:textId="77777777" w:rsidR="00E62C3E" w:rsidRPr="004430CA" w:rsidRDefault="00E62C3E" w:rsidP="004430CA">
            <w:pPr>
              <w:keepLines/>
              <w:jc w:val="center"/>
              <w:rPr>
                <w:color w:val="000000"/>
                <w:sz w:val="18"/>
                <w:szCs w:val="18"/>
              </w:rPr>
            </w:pPr>
            <w:r w:rsidRPr="004430CA">
              <w:rPr>
                <w:color w:val="000000"/>
                <w:sz w:val="18"/>
                <w:szCs w:val="18"/>
              </w:rPr>
              <w:t>3</w:t>
            </w:r>
          </w:p>
        </w:tc>
        <w:tc>
          <w:tcPr>
            <w:tcW w:w="960" w:type="dxa"/>
            <w:tcBorders>
              <w:top w:val="nil"/>
              <w:left w:val="nil"/>
              <w:bottom w:val="nil"/>
              <w:right w:val="nil"/>
            </w:tcBorders>
            <w:shd w:val="clear" w:color="auto" w:fill="auto"/>
            <w:noWrap/>
            <w:vAlign w:val="bottom"/>
            <w:hideMark/>
          </w:tcPr>
          <w:p w14:paraId="2E80C446" w14:textId="77777777" w:rsidR="00E62C3E" w:rsidRPr="004430CA" w:rsidRDefault="00E62C3E" w:rsidP="004430CA">
            <w:pPr>
              <w:keepLines/>
              <w:jc w:val="center"/>
              <w:rPr>
                <w:color w:val="000000"/>
                <w:sz w:val="18"/>
                <w:szCs w:val="18"/>
              </w:rPr>
            </w:pPr>
            <w:r w:rsidRPr="004430CA">
              <w:rPr>
                <w:color w:val="000000"/>
                <w:sz w:val="18"/>
                <w:szCs w:val="18"/>
              </w:rPr>
              <w:t>7</w:t>
            </w:r>
          </w:p>
        </w:tc>
        <w:tc>
          <w:tcPr>
            <w:tcW w:w="960" w:type="dxa"/>
            <w:tcBorders>
              <w:top w:val="nil"/>
              <w:left w:val="nil"/>
              <w:bottom w:val="nil"/>
              <w:right w:val="nil"/>
            </w:tcBorders>
            <w:shd w:val="clear" w:color="auto" w:fill="auto"/>
            <w:noWrap/>
            <w:vAlign w:val="bottom"/>
            <w:hideMark/>
          </w:tcPr>
          <w:p w14:paraId="1CF67312" w14:textId="77777777" w:rsidR="00E62C3E" w:rsidRPr="004430CA" w:rsidRDefault="00E62C3E" w:rsidP="004430CA">
            <w:pPr>
              <w:keepLines/>
              <w:jc w:val="center"/>
              <w:rPr>
                <w:color w:val="000000"/>
                <w:sz w:val="18"/>
                <w:szCs w:val="18"/>
              </w:rPr>
            </w:pPr>
            <w:r w:rsidRPr="004430CA">
              <w:rPr>
                <w:color w:val="000000"/>
                <w:sz w:val="18"/>
                <w:szCs w:val="18"/>
              </w:rPr>
              <w:t>0.3000</w:t>
            </w:r>
          </w:p>
        </w:tc>
        <w:tc>
          <w:tcPr>
            <w:tcW w:w="3840" w:type="dxa"/>
            <w:gridSpan w:val="4"/>
            <w:tcBorders>
              <w:top w:val="nil"/>
              <w:left w:val="nil"/>
              <w:bottom w:val="nil"/>
              <w:right w:val="nil"/>
            </w:tcBorders>
            <w:shd w:val="clear" w:color="000000" w:fill="E7E6E6"/>
            <w:noWrap/>
            <w:vAlign w:val="bottom"/>
            <w:hideMark/>
          </w:tcPr>
          <w:p w14:paraId="35A93183" w14:textId="77777777" w:rsidR="00E62C3E" w:rsidRPr="004430CA" w:rsidRDefault="00E62C3E" w:rsidP="004430CA">
            <w:pPr>
              <w:keepLines/>
              <w:jc w:val="center"/>
              <w:rPr>
                <w:color w:val="000000"/>
                <w:sz w:val="18"/>
                <w:szCs w:val="18"/>
              </w:rPr>
            </w:pPr>
            <w:r w:rsidRPr="004430CA">
              <w:rPr>
                <w:color w:val="000000"/>
                <w:sz w:val="18"/>
                <w:szCs w:val="18"/>
              </w:rPr>
              <w:t>Pooled back</w:t>
            </w:r>
          </w:p>
        </w:tc>
      </w:tr>
      <w:tr w:rsidR="00E62C3E" w:rsidRPr="004430CA" w14:paraId="652B6FF7" w14:textId="77777777" w:rsidTr="003927CC">
        <w:trPr>
          <w:trHeight w:val="74"/>
        </w:trPr>
        <w:tc>
          <w:tcPr>
            <w:tcW w:w="960" w:type="dxa"/>
            <w:tcBorders>
              <w:top w:val="nil"/>
              <w:left w:val="nil"/>
              <w:bottom w:val="nil"/>
              <w:right w:val="nil"/>
            </w:tcBorders>
            <w:shd w:val="clear" w:color="auto" w:fill="auto"/>
            <w:noWrap/>
            <w:vAlign w:val="bottom"/>
            <w:hideMark/>
          </w:tcPr>
          <w:p w14:paraId="6061AA74" w14:textId="77777777" w:rsidR="00E62C3E" w:rsidRPr="004430CA" w:rsidRDefault="00E62C3E" w:rsidP="004430CA">
            <w:pPr>
              <w:keepLines/>
              <w:jc w:val="center"/>
              <w:rPr>
                <w:color w:val="000000"/>
                <w:sz w:val="18"/>
                <w:szCs w:val="18"/>
              </w:rPr>
            </w:pPr>
            <w:r w:rsidRPr="004430CA">
              <w:rPr>
                <w:color w:val="000000"/>
                <w:sz w:val="18"/>
                <w:szCs w:val="18"/>
              </w:rPr>
              <w:t>11.25</w:t>
            </w:r>
          </w:p>
        </w:tc>
        <w:tc>
          <w:tcPr>
            <w:tcW w:w="960" w:type="dxa"/>
            <w:tcBorders>
              <w:top w:val="nil"/>
              <w:left w:val="nil"/>
              <w:bottom w:val="nil"/>
              <w:right w:val="nil"/>
            </w:tcBorders>
            <w:shd w:val="clear" w:color="auto" w:fill="auto"/>
            <w:noWrap/>
            <w:vAlign w:val="bottom"/>
            <w:hideMark/>
          </w:tcPr>
          <w:p w14:paraId="1DD508D9" w14:textId="77777777" w:rsidR="00E62C3E" w:rsidRPr="004430CA" w:rsidRDefault="00E62C3E" w:rsidP="004430CA">
            <w:pPr>
              <w:keepLines/>
              <w:jc w:val="center"/>
              <w:rPr>
                <w:color w:val="000000"/>
                <w:sz w:val="18"/>
                <w:szCs w:val="18"/>
              </w:rPr>
            </w:pPr>
            <w:r w:rsidRPr="004430CA">
              <w:rPr>
                <w:color w:val="000000"/>
                <w:sz w:val="18"/>
                <w:szCs w:val="18"/>
              </w:rPr>
              <w:t>38</w:t>
            </w:r>
          </w:p>
        </w:tc>
        <w:tc>
          <w:tcPr>
            <w:tcW w:w="960" w:type="dxa"/>
            <w:tcBorders>
              <w:top w:val="nil"/>
              <w:left w:val="nil"/>
              <w:bottom w:val="nil"/>
              <w:right w:val="nil"/>
            </w:tcBorders>
            <w:shd w:val="clear" w:color="auto" w:fill="auto"/>
            <w:noWrap/>
            <w:vAlign w:val="bottom"/>
            <w:hideMark/>
          </w:tcPr>
          <w:p w14:paraId="10C1251B" w14:textId="77777777" w:rsidR="00E62C3E" w:rsidRPr="004430CA" w:rsidRDefault="00E62C3E" w:rsidP="004430CA">
            <w:pPr>
              <w:keepLines/>
              <w:jc w:val="center"/>
              <w:rPr>
                <w:color w:val="000000"/>
                <w:sz w:val="18"/>
                <w:szCs w:val="18"/>
              </w:rPr>
            </w:pPr>
            <w:r w:rsidRPr="004430CA">
              <w:rPr>
                <w:color w:val="000000"/>
                <w:sz w:val="18"/>
                <w:szCs w:val="18"/>
              </w:rPr>
              <w:t>17</w:t>
            </w:r>
          </w:p>
        </w:tc>
        <w:tc>
          <w:tcPr>
            <w:tcW w:w="960" w:type="dxa"/>
            <w:tcBorders>
              <w:top w:val="nil"/>
              <w:left w:val="nil"/>
              <w:bottom w:val="nil"/>
              <w:right w:val="nil"/>
            </w:tcBorders>
            <w:shd w:val="clear" w:color="auto" w:fill="auto"/>
            <w:noWrap/>
            <w:vAlign w:val="bottom"/>
            <w:hideMark/>
          </w:tcPr>
          <w:p w14:paraId="5CB94018" w14:textId="77777777" w:rsidR="00E62C3E" w:rsidRPr="004430CA" w:rsidRDefault="00E62C3E" w:rsidP="004430CA">
            <w:pPr>
              <w:keepLines/>
              <w:jc w:val="center"/>
              <w:rPr>
                <w:color w:val="000000"/>
                <w:sz w:val="18"/>
                <w:szCs w:val="18"/>
              </w:rPr>
            </w:pPr>
            <w:r w:rsidRPr="004430CA">
              <w:rPr>
                <w:color w:val="000000"/>
                <w:sz w:val="18"/>
                <w:szCs w:val="18"/>
              </w:rPr>
              <w:t>21</w:t>
            </w:r>
          </w:p>
        </w:tc>
        <w:tc>
          <w:tcPr>
            <w:tcW w:w="960" w:type="dxa"/>
            <w:tcBorders>
              <w:top w:val="nil"/>
              <w:left w:val="nil"/>
              <w:bottom w:val="nil"/>
              <w:right w:val="nil"/>
            </w:tcBorders>
            <w:shd w:val="clear" w:color="auto" w:fill="auto"/>
            <w:noWrap/>
            <w:vAlign w:val="bottom"/>
            <w:hideMark/>
          </w:tcPr>
          <w:p w14:paraId="49DCB6E7" w14:textId="77777777" w:rsidR="00E62C3E" w:rsidRPr="004430CA" w:rsidRDefault="00E62C3E" w:rsidP="004430CA">
            <w:pPr>
              <w:keepLines/>
              <w:jc w:val="center"/>
              <w:rPr>
                <w:color w:val="000000"/>
                <w:sz w:val="18"/>
                <w:szCs w:val="18"/>
              </w:rPr>
            </w:pPr>
            <w:r w:rsidRPr="004430CA">
              <w:rPr>
                <w:color w:val="000000"/>
                <w:sz w:val="18"/>
                <w:szCs w:val="18"/>
              </w:rPr>
              <w:t>0.4474</w:t>
            </w:r>
          </w:p>
        </w:tc>
        <w:tc>
          <w:tcPr>
            <w:tcW w:w="960" w:type="dxa"/>
            <w:tcBorders>
              <w:top w:val="nil"/>
              <w:left w:val="nil"/>
              <w:bottom w:val="nil"/>
              <w:right w:val="nil"/>
            </w:tcBorders>
            <w:shd w:val="clear" w:color="auto" w:fill="auto"/>
            <w:noWrap/>
            <w:vAlign w:val="bottom"/>
            <w:hideMark/>
          </w:tcPr>
          <w:p w14:paraId="3361A21F" w14:textId="77777777" w:rsidR="00E62C3E" w:rsidRPr="004430CA" w:rsidRDefault="00E62C3E" w:rsidP="004430CA">
            <w:pPr>
              <w:keepLines/>
              <w:jc w:val="center"/>
              <w:rPr>
                <w:color w:val="000000"/>
                <w:sz w:val="18"/>
                <w:szCs w:val="18"/>
              </w:rPr>
            </w:pPr>
            <w:r w:rsidRPr="004430CA">
              <w:rPr>
                <w:color w:val="000000"/>
                <w:sz w:val="18"/>
                <w:szCs w:val="18"/>
              </w:rPr>
              <w:t>38</w:t>
            </w:r>
          </w:p>
        </w:tc>
        <w:tc>
          <w:tcPr>
            <w:tcW w:w="960" w:type="dxa"/>
            <w:tcBorders>
              <w:top w:val="nil"/>
              <w:left w:val="nil"/>
              <w:bottom w:val="nil"/>
              <w:right w:val="nil"/>
            </w:tcBorders>
            <w:shd w:val="clear" w:color="auto" w:fill="auto"/>
            <w:noWrap/>
            <w:vAlign w:val="bottom"/>
            <w:hideMark/>
          </w:tcPr>
          <w:p w14:paraId="43954FCF" w14:textId="77777777" w:rsidR="00E62C3E" w:rsidRPr="004430CA" w:rsidRDefault="00E62C3E" w:rsidP="004430CA">
            <w:pPr>
              <w:keepLines/>
              <w:jc w:val="center"/>
              <w:rPr>
                <w:color w:val="000000"/>
                <w:sz w:val="18"/>
                <w:szCs w:val="18"/>
              </w:rPr>
            </w:pPr>
            <w:r w:rsidRPr="004430CA">
              <w:rPr>
                <w:color w:val="000000"/>
                <w:sz w:val="18"/>
                <w:szCs w:val="18"/>
              </w:rPr>
              <w:t>17</w:t>
            </w:r>
          </w:p>
        </w:tc>
        <w:tc>
          <w:tcPr>
            <w:tcW w:w="960" w:type="dxa"/>
            <w:tcBorders>
              <w:top w:val="nil"/>
              <w:left w:val="nil"/>
              <w:bottom w:val="nil"/>
              <w:right w:val="nil"/>
            </w:tcBorders>
            <w:shd w:val="clear" w:color="auto" w:fill="auto"/>
            <w:noWrap/>
            <w:vAlign w:val="bottom"/>
            <w:hideMark/>
          </w:tcPr>
          <w:p w14:paraId="52239C27" w14:textId="77777777" w:rsidR="00E62C3E" w:rsidRPr="004430CA" w:rsidRDefault="00E62C3E" w:rsidP="004430CA">
            <w:pPr>
              <w:keepLines/>
              <w:jc w:val="center"/>
              <w:rPr>
                <w:color w:val="000000"/>
                <w:sz w:val="18"/>
                <w:szCs w:val="18"/>
              </w:rPr>
            </w:pPr>
            <w:r w:rsidRPr="004430CA">
              <w:rPr>
                <w:color w:val="000000"/>
                <w:sz w:val="18"/>
                <w:szCs w:val="18"/>
              </w:rPr>
              <w:t>21</w:t>
            </w:r>
          </w:p>
        </w:tc>
        <w:tc>
          <w:tcPr>
            <w:tcW w:w="960" w:type="dxa"/>
            <w:tcBorders>
              <w:top w:val="nil"/>
              <w:left w:val="nil"/>
              <w:bottom w:val="nil"/>
              <w:right w:val="nil"/>
            </w:tcBorders>
            <w:shd w:val="clear" w:color="auto" w:fill="auto"/>
            <w:noWrap/>
            <w:vAlign w:val="bottom"/>
            <w:hideMark/>
          </w:tcPr>
          <w:p w14:paraId="3B2A69D9" w14:textId="77777777" w:rsidR="00E62C3E" w:rsidRPr="004430CA" w:rsidRDefault="00E62C3E" w:rsidP="004430CA">
            <w:pPr>
              <w:keepLines/>
              <w:jc w:val="center"/>
              <w:rPr>
                <w:color w:val="000000"/>
                <w:sz w:val="18"/>
                <w:szCs w:val="18"/>
              </w:rPr>
            </w:pPr>
            <w:r w:rsidRPr="004430CA">
              <w:rPr>
                <w:color w:val="000000"/>
                <w:sz w:val="18"/>
                <w:szCs w:val="18"/>
              </w:rPr>
              <w:t>0.4474</w:t>
            </w:r>
          </w:p>
        </w:tc>
      </w:tr>
      <w:tr w:rsidR="00E62C3E" w:rsidRPr="004430CA" w14:paraId="78BA660C" w14:textId="77777777" w:rsidTr="003927CC">
        <w:trPr>
          <w:trHeight w:val="74"/>
        </w:trPr>
        <w:tc>
          <w:tcPr>
            <w:tcW w:w="960" w:type="dxa"/>
            <w:tcBorders>
              <w:top w:val="nil"/>
              <w:left w:val="nil"/>
              <w:bottom w:val="nil"/>
              <w:right w:val="nil"/>
            </w:tcBorders>
            <w:shd w:val="clear" w:color="auto" w:fill="auto"/>
            <w:noWrap/>
            <w:vAlign w:val="bottom"/>
            <w:hideMark/>
          </w:tcPr>
          <w:p w14:paraId="4E73312B" w14:textId="77777777" w:rsidR="00E62C3E" w:rsidRPr="004430CA" w:rsidRDefault="00E62C3E" w:rsidP="004430CA">
            <w:pPr>
              <w:keepLines/>
              <w:jc w:val="center"/>
              <w:rPr>
                <w:color w:val="000000"/>
                <w:sz w:val="18"/>
                <w:szCs w:val="18"/>
              </w:rPr>
            </w:pPr>
            <w:r w:rsidRPr="004430CA">
              <w:rPr>
                <w:color w:val="000000"/>
                <w:sz w:val="18"/>
                <w:szCs w:val="18"/>
              </w:rPr>
              <w:t>19.25</w:t>
            </w:r>
          </w:p>
        </w:tc>
        <w:tc>
          <w:tcPr>
            <w:tcW w:w="960" w:type="dxa"/>
            <w:tcBorders>
              <w:top w:val="nil"/>
              <w:left w:val="nil"/>
              <w:bottom w:val="nil"/>
              <w:right w:val="nil"/>
            </w:tcBorders>
            <w:shd w:val="clear" w:color="auto" w:fill="auto"/>
            <w:noWrap/>
            <w:vAlign w:val="bottom"/>
            <w:hideMark/>
          </w:tcPr>
          <w:p w14:paraId="343221AD" w14:textId="77777777" w:rsidR="00E62C3E" w:rsidRPr="004430CA" w:rsidRDefault="00E62C3E" w:rsidP="004430CA">
            <w:pPr>
              <w:keepLines/>
              <w:jc w:val="center"/>
              <w:rPr>
                <w:color w:val="000000"/>
                <w:sz w:val="18"/>
                <w:szCs w:val="18"/>
              </w:rPr>
            </w:pPr>
            <w:r w:rsidRPr="004430CA">
              <w:rPr>
                <w:color w:val="000000"/>
                <w:sz w:val="18"/>
                <w:szCs w:val="18"/>
              </w:rPr>
              <w:t>17</w:t>
            </w:r>
          </w:p>
        </w:tc>
        <w:tc>
          <w:tcPr>
            <w:tcW w:w="960" w:type="dxa"/>
            <w:tcBorders>
              <w:top w:val="nil"/>
              <w:left w:val="nil"/>
              <w:bottom w:val="nil"/>
              <w:right w:val="nil"/>
            </w:tcBorders>
            <w:shd w:val="clear" w:color="auto" w:fill="auto"/>
            <w:noWrap/>
            <w:vAlign w:val="bottom"/>
            <w:hideMark/>
          </w:tcPr>
          <w:p w14:paraId="0242C8A3" w14:textId="77777777" w:rsidR="00E62C3E" w:rsidRPr="004430CA" w:rsidRDefault="00E62C3E" w:rsidP="004430CA">
            <w:pPr>
              <w:keepLines/>
              <w:jc w:val="center"/>
              <w:rPr>
                <w:color w:val="000000"/>
                <w:sz w:val="18"/>
                <w:szCs w:val="18"/>
              </w:rPr>
            </w:pPr>
            <w:r w:rsidRPr="004430CA">
              <w:rPr>
                <w:color w:val="000000"/>
                <w:sz w:val="18"/>
                <w:szCs w:val="18"/>
              </w:rPr>
              <w:t>9</w:t>
            </w:r>
          </w:p>
        </w:tc>
        <w:tc>
          <w:tcPr>
            <w:tcW w:w="960" w:type="dxa"/>
            <w:tcBorders>
              <w:top w:val="nil"/>
              <w:left w:val="nil"/>
              <w:bottom w:val="nil"/>
              <w:right w:val="nil"/>
            </w:tcBorders>
            <w:shd w:val="clear" w:color="auto" w:fill="auto"/>
            <w:noWrap/>
            <w:vAlign w:val="bottom"/>
            <w:hideMark/>
          </w:tcPr>
          <w:p w14:paraId="5717C013" w14:textId="77777777" w:rsidR="00E62C3E" w:rsidRPr="004430CA" w:rsidRDefault="00E62C3E" w:rsidP="004430CA">
            <w:pPr>
              <w:keepLines/>
              <w:jc w:val="center"/>
              <w:rPr>
                <w:color w:val="000000"/>
                <w:sz w:val="18"/>
                <w:szCs w:val="18"/>
              </w:rPr>
            </w:pPr>
            <w:r w:rsidRPr="004430CA">
              <w:rPr>
                <w:color w:val="000000"/>
                <w:sz w:val="18"/>
                <w:szCs w:val="18"/>
              </w:rPr>
              <w:t>8</w:t>
            </w:r>
          </w:p>
        </w:tc>
        <w:tc>
          <w:tcPr>
            <w:tcW w:w="960" w:type="dxa"/>
            <w:tcBorders>
              <w:top w:val="nil"/>
              <w:left w:val="nil"/>
              <w:bottom w:val="nil"/>
              <w:right w:val="nil"/>
            </w:tcBorders>
            <w:shd w:val="clear" w:color="auto" w:fill="auto"/>
            <w:noWrap/>
            <w:vAlign w:val="bottom"/>
            <w:hideMark/>
          </w:tcPr>
          <w:p w14:paraId="45306ED9" w14:textId="77777777" w:rsidR="00E62C3E" w:rsidRPr="004430CA" w:rsidRDefault="00E62C3E" w:rsidP="004430CA">
            <w:pPr>
              <w:keepLines/>
              <w:jc w:val="center"/>
              <w:rPr>
                <w:color w:val="000000"/>
                <w:sz w:val="18"/>
                <w:szCs w:val="18"/>
              </w:rPr>
            </w:pPr>
            <w:r w:rsidRPr="004430CA">
              <w:rPr>
                <w:color w:val="000000"/>
                <w:sz w:val="18"/>
                <w:szCs w:val="18"/>
              </w:rPr>
              <w:t>0.5294</w:t>
            </w:r>
          </w:p>
        </w:tc>
        <w:tc>
          <w:tcPr>
            <w:tcW w:w="960" w:type="dxa"/>
            <w:tcBorders>
              <w:top w:val="nil"/>
              <w:left w:val="nil"/>
              <w:bottom w:val="nil"/>
              <w:right w:val="nil"/>
            </w:tcBorders>
            <w:shd w:val="clear" w:color="auto" w:fill="auto"/>
            <w:noWrap/>
            <w:vAlign w:val="bottom"/>
            <w:hideMark/>
          </w:tcPr>
          <w:p w14:paraId="6E19526C" w14:textId="77777777" w:rsidR="00E62C3E" w:rsidRPr="004430CA" w:rsidRDefault="00E62C3E" w:rsidP="004430CA">
            <w:pPr>
              <w:keepLines/>
              <w:jc w:val="center"/>
              <w:rPr>
                <w:color w:val="000000"/>
                <w:sz w:val="18"/>
                <w:szCs w:val="18"/>
              </w:rPr>
            </w:pPr>
            <w:r w:rsidRPr="004430CA">
              <w:rPr>
                <w:color w:val="000000"/>
                <w:sz w:val="18"/>
                <w:szCs w:val="18"/>
              </w:rPr>
              <w:t>17</w:t>
            </w:r>
          </w:p>
        </w:tc>
        <w:tc>
          <w:tcPr>
            <w:tcW w:w="960" w:type="dxa"/>
            <w:tcBorders>
              <w:top w:val="nil"/>
              <w:left w:val="nil"/>
              <w:bottom w:val="nil"/>
              <w:right w:val="nil"/>
            </w:tcBorders>
            <w:shd w:val="clear" w:color="auto" w:fill="auto"/>
            <w:noWrap/>
            <w:vAlign w:val="bottom"/>
            <w:hideMark/>
          </w:tcPr>
          <w:p w14:paraId="5C7BE009" w14:textId="77777777" w:rsidR="00E62C3E" w:rsidRPr="004430CA" w:rsidRDefault="00E62C3E" w:rsidP="004430CA">
            <w:pPr>
              <w:keepLines/>
              <w:jc w:val="center"/>
              <w:rPr>
                <w:color w:val="000000"/>
                <w:sz w:val="18"/>
                <w:szCs w:val="18"/>
              </w:rPr>
            </w:pPr>
            <w:r w:rsidRPr="004430CA">
              <w:rPr>
                <w:color w:val="000000"/>
                <w:sz w:val="18"/>
                <w:szCs w:val="18"/>
              </w:rPr>
              <w:t>9</w:t>
            </w:r>
          </w:p>
        </w:tc>
        <w:tc>
          <w:tcPr>
            <w:tcW w:w="960" w:type="dxa"/>
            <w:tcBorders>
              <w:top w:val="nil"/>
              <w:left w:val="nil"/>
              <w:bottom w:val="nil"/>
              <w:right w:val="nil"/>
            </w:tcBorders>
            <w:shd w:val="clear" w:color="auto" w:fill="auto"/>
            <w:noWrap/>
            <w:vAlign w:val="bottom"/>
            <w:hideMark/>
          </w:tcPr>
          <w:p w14:paraId="174E9B34" w14:textId="77777777" w:rsidR="00E62C3E" w:rsidRPr="004430CA" w:rsidRDefault="00E62C3E" w:rsidP="004430CA">
            <w:pPr>
              <w:keepLines/>
              <w:jc w:val="center"/>
              <w:rPr>
                <w:color w:val="000000"/>
                <w:sz w:val="18"/>
                <w:szCs w:val="18"/>
              </w:rPr>
            </w:pPr>
            <w:r w:rsidRPr="004430CA">
              <w:rPr>
                <w:color w:val="000000"/>
                <w:sz w:val="18"/>
                <w:szCs w:val="18"/>
              </w:rPr>
              <w:t>8</w:t>
            </w:r>
          </w:p>
        </w:tc>
        <w:tc>
          <w:tcPr>
            <w:tcW w:w="960" w:type="dxa"/>
            <w:tcBorders>
              <w:top w:val="nil"/>
              <w:left w:val="nil"/>
              <w:bottom w:val="nil"/>
              <w:right w:val="nil"/>
            </w:tcBorders>
            <w:shd w:val="clear" w:color="auto" w:fill="auto"/>
            <w:noWrap/>
            <w:vAlign w:val="bottom"/>
            <w:hideMark/>
          </w:tcPr>
          <w:p w14:paraId="3DA4DCE1" w14:textId="77777777" w:rsidR="00E62C3E" w:rsidRPr="004430CA" w:rsidRDefault="00E62C3E" w:rsidP="004430CA">
            <w:pPr>
              <w:keepLines/>
              <w:jc w:val="center"/>
              <w:rPr>
                <w:color w:val="000000"/>
                <w:sz w:val="18"/>
                <w:szCs w:val="18"/>
              </w:rPr>
            </w:pPr>
            <w:r w:rsidRPr="004430CA">
              <w:rPr>
                <w:color w:val="000000"/>
                <w:sz w:val="18"/>
                <w:szCs w:val="18"/>
              </w:rPr>
              <w:t>0.5294</w:t>
            </w:r>
          </w:p>
        </w:tc>
      </w:tr>
      <w:tr w:rsidR="00E62C3E" w:rsidRPr="004430CA" w14:paraId="2D391C9D" w14:textId="77777777" w:rsidTr="003927CC">
        <w:trPr>
          <w:trHeight w:val="74"/>
        </w:trPr>
        <w:tc>
          <w:tcPr>
            <w:tcW w:w="960" w:type="dxa"/>
            <w:tcBorders>
              <w:top w:val="nil"/>
              <w:left w:val="nil"/>
              <w:bottom w:val="nil"/>
              <w:right w:val="nil"/>
            </w:tcBorders>
            <w:shd w:val="clear" w:color="auto" w:fill="auto"/>
            <w:noWrap/>
            <w:vAlign w:val="bottom"/>
            <w:hideMark/>
          </w:tcPr>
          <w:p w14:paraId="21E9D10C" w14:textId="77777777" w:rsidR="00E62C3E" w:rsidRPr="004430CA" w:rsidRDefault="00E62C3E" w:rsidP="004430CA">
            <w:pPr>
              <w:keepLines/>
              <w:jc w:val="center"/>
              <w:rPr>
                <w:color w:val="000000"/>
                <w:sz w:val="18"/>
                <w:szCs w:val="18"/>
              </w:rPr>
            </w:pPr>
            <w:r w:rsidRPr="004430CA">
              <w:rPr>
                <w:color w:val="000000"/>
                <w:sz w:val="18"/>
                <w:szCs w:val="18"/>
              </w:rPr>
              <w:t>24</w:t>
            </w:r>
          </w:p>
        </w:tc>
        <w:tc>
          <w:tcPr>
            <w:tcW w:w="960" w:type="dxa"/>
            <w:tcBorders>
              <w:top w:val="nil"/>
              <w:left w:val="nil"/>
              <w:bottom w:val="nil"/>
              <w:right w:val="nil"/>
            </w:tcBorders>
            <w:shd w:val="clear" w:color="auto" w:fill="auto"/>
            <w:noWrap/>
            <w:vAlign w:val="bottom"/>
            <w:hideMark/>
          </w:tcPr>
          <w:p w14:paraId="22058869" w14:textId="77777777" w:rsidR="00E62C3E" w:rsidRPr="004430CA" w:rsidRDefault="00E62C3E" w:rsidP="004430CA">
            <w:pPr>
              <w:keepLines/>
              <w:jc w:val="center"/>
              <w:rPr>
                <w:color w:val="000000"/>
                <w:sz w:val="18"/>
                <w:szCs w:val="18"/>
              </w:rPr>
            </w:pPr>
            <w:r w:rsidRPr="004430CA">
              <w:rPr>
                <w:color w:val="000000"/>
                <w:sz w:val="18"/>
                <w:szCs w:val="18"/>
              </w:rPr>
              <w:t>9</w:t>
            </w:r>
          </w:p>
        </w:tc>
        <w:tc>
          <w:tcPr>
            <w:tcW w:w="960" w:type="dxa"/>
            <w:tcBorders>
              <w:top w:val="nil"/>
              <w:left w:val="nil"/>
              <w:bottom w:val="nil"/>
              <w:right w:val="nil"/>
            </w:tcBorders>
            <w:shd w:val="clear" w:color="auto" w:fill="auto"/>
            <w:noWrap/>
            <w:vAlign w:val="bottom"/>
            <w:hideMark/>
          </w:tcPr>
          <w:p w14:paraId="494EEFD2" w14:textId="77777777" w:rsidR="00E62C3E" w:rsidRPr="004430CA" w:rsidRDefault="00E62C3E" w:rsidP="004430CA">
            <w:pPr>
              <w:keepLines/>
              <w:jc w:val="center"/>
              <w:rPr>
                <w:color w:val="000000"/>
                <w:sz w:val="18"/>
                <w:szCs w:val="18"/>
              </w:rPr>
            </w:pPr>
            <w:r w:rsidRPr="004430CA">
              <w:rPr>
                <w:color w:val="000000"/>
                <w:sz w:val="18"/>
                <w:szCs w:val="18"/>
              </w:rPr>
              <w:t>5</w:t>
            </w:r>
          </w:p>
        </w:tc>
        <w:tc>
          <w:tcPr>
            <w:tcW w:w="960" w:type="dxa"/>
            <w:tcBorders>
              <w:top w:val="nil"/>
              <w:left w:val="nil"/>
              <w:bottom w:val="nil"/>
              <w:right w:val="nil"/>
            </w:tcBorders>
            <w:shd w:val="clear" w:color="auto" w:fill="auto"/>
            <w:noWrap/>
            <w:vAlign w:val="bottom"/>
            <w:hideMark/>
          </w:tcPr>
          <w:p w14:paraId="745336A9" w14:textId="77777777" w:rsidR="00E62C3E" w:rsidRPr="004430CA" w:rsidRDefault="00E62C3E" w:rsidP="004430CA">
            <w:pPr>
              <w:keepLines/>
              <w:jc w:val="center"/>
              <w:rPr>
                <w:color w:val="000000"/>
                <w:sz w:val="18"/>
                <w:szCs w:val="18"/>
              </w:rPr>
            </w:pPr>
            <w:r w:rsidRPr="004430CA">
              <w:rPr>
                <w:color w:val="000000"/>
                <w:sz w:val="18"/>
                <w:szCs w:val="18"/>
              </w:rPr>
              <w:t>4</w:t>
            </w:r>
          </w:p>
        </w:tc>
        <w:tc>
          <w:tcPr>
            <w:tcW w:w="960" w:type="dxa"/>
            <w:tcBorders>
              <w:top w:val="nil"/>
              <w:left w:val="nil"/>
              <w:bottom w:val="nil"/>
              <w:right w:val="nil"/>
            </w:tcBorders>
            <w:shd w:val="clear" w:color="auto" w:fill="auto"/>
            <w:noWrap/>
            <w:vAlign w:val="bottom"/>
            <w:hideMark/>
          </w:tcPr>
          <w:p w14:paraId="3764D666" w14:textId="77777777" w:rsidR="00E62C3E" w:rsidRPr="004430CA" w:rsidRDefault="00E62C3E" w:rsidP="004430CA">
            <w:pPr>
              <w:keepLines/>
              <w:jc w:val="center"/>
              <w:rPr>
                <w:color w:val="000000"/>
                <w:sz w:val="18"/>
                <w:szCs w:val="18"/>
              </w:rPr>
            </w:pPr>
            <w:r w:rsidRPr="004430CA">
              <w:rPr>
                <w:color w:val="000000"/>
                <w:sz w:val="18"/>
                <w:szCs w:val="18"/>
              </w:rPr>
              <w:t>0.5556</w:t>
            </w:r>
          </w:p>
        </w:tc>
        <w:tc>
          <w:tcPr>
            <w:tcW w:w="960" w:type="dxa"/>
            <w:tcBorders>
              <w:top w:val="nil"/>
              <w:left w:val="nil"/>
              <w:bottom w:val="nil"/>
              <w:right w:val="nil"/>
            </w:tcBorders>
            <w:shd w:val="clear" w:color="auto" w:fill="auto"/>
            <w:noWrap/>
            <w:vAlign w:val="bottom"/>
            <w:hideMark/>
          </w:tcPr>
          <w:p w14:paraId="3281DB33" w14:textId="77777777" w:rsidR="00E62C3E" w:rsidRPr="004430CA" w:rsidRDefault="00E62C3E" w:rsidP="004430CA">
            <w:pPr>
              <w:keepLines/>
              <w:jc w:val="center"/>
              <w:rPr>
                <w:color w:val="000000"/>
                <w:sz w:val="18"/>
                <w:szCs w:val="18"/>
              </w:rPr>
            </w:pPr>
            <w:r w:rsidRPr="004430CA">
              <w:rPr>
                <w:color w:val="000000"/>
                <w:sz w:val="18"/>
                <w:szCs w:val="18"/>
              </w:rPr>
              <w:t>9</w:t>
            </w:r>
          </w:p>
        </w:tc>
        <w:tc>
          <w:tcPr>
            <w:tcW w:w="960" w:type="dxa"/>
            <w:tcBorders>
              <w:top w:val="nil"/>
              <w:left w:val="nil"/>
              <w:bottom w:val="nil"/>
              <w:right w:val="nil"/>
            </w:tcBorders>
            <w:shd w:val="clear" w:color="auto" w:fill="auto"/>
            <w:noWrap/>
            <w:vAlign w:val="bottom"/>
            <w:hideMark/>
          </w:tcPr>
          <w:p w14:paraId="3AC30CB1" w14:textId="77777777" w:rsidR="00E62C3E" w:rsidRPr="004430CA" w:rsidRDefault="00E62C3E" w:rsidP="004430CA">
            <w:pPr>
              <w:keepLines/>
              <w:jc w:val="center"/>
              <w:rPr>
                <w:color w:val="000000"/>
                <w:sz w:val="18"/>
                <w:szCs w:val="18"/>
              </w:rPr>
            </w:pPr>
            <w:r w:rsidRPr="004430CA">
              <w:rPr>
                <w:color w:val="000000"/>
                <w:sz w:val="18"/>
                <w:szCs w:val="18"/>
              </w:rPr>
              <w:t>5</w:t>
            </w:r>
          </w:p>
        </w:tc>
        <w:tc>
          <w:tcPr>
            <w:tcW w:w="960" w:type="dxa"/>
            <w:tcBorders>
              <w:top w:val="nil"/>
              <w:left w:val="nil"/>
              <w:bottom w:val="nil"/>
              <w:right w:val="nil"/>
            </w:tcBorders>
            <w:shd w:val="clear" w:color="auto" w:fill="auto"/>
            <w:noWrap/>
            <w:vAlign w:val="bottom"/>
            <w:hideMark/>
          </w:tcPr>
          <w:p w14:paraId="67CAC1FB" w14:textId="77777777" w:rsidR="00E62C3E" w:rsidRPr="004430CA" w:rsidRDefault="00E62C3E" w:rsidP="004430CA">
            <w:pPr>
              <w:keepLines/>
              <w:jc w:val="center"/>
              <w:rPr>
                <w:color w:val="000000"/>
                <w:sz w:val="18"/>
                <w:szCs w:val="18"/>
              </w:rPr>
            </w:pPr>
            <w:r w:rsidRPr="004430CA">
              <w:rPr>
                <w:color w:val="000000"/>
                <w:sz w:val="18"/>
                <w:szCs w:val="18"/>
              </w:rPr>
              <w:t>4</w:t>
            </w:r>
          </w:p>
        </w:tc>
        <w:tc>
          <w:tcPr>
            <w:tcW w:w="960" w:type="dxa"/>
            <w:tcBorders>
              <w:top w:val="nil"/>
              <w:left w:val="nil"/>
              <w:bottom w:val="nil"/>
              <w:right w:val="nil"/>
            </w:tcBorders>
            <w:shd w:val="clear" w:color="auto" w:fill="auto"/>
            <w:noWrap/>
            <w:vAlign w:val="bottom"/>
            <w:hideMark/>
          </w:tcPr>
          <w:p w14:paraId="6880B8A9" w14:textId="77777777" w:rsidR="00E62C3E" w:rsidRPr="004430CA" w:rsidRDefault="00E62C3E" w:rsidP="004430CA">
            <w:pPr>
              <w:keepLines/>
              <w:jc w:val="center"/>
              <w:rPr>
                <w:color w:val="000000"/>
                <w:sz w:val="18"/>
                <w:szCs w:val="18"/>
              </w:rPr>
            </w:pPr>
            <w:r w:rsidRPr="004430CA">
              <w:rPr>
                <w:color w:val="000000"/>
                <w:sz w:val="18"/>
                <w:szCs w:val="18"/>
              </w:rPr>
              <w:t>0.5556</w:t>
            </w:r>
          </w:p>
        </w:tc>
      </w:tr>
      <w:tr w:rsidR="00E62C3E" w:rsidRPr="004430CA" w14:paraId="6FB62526" w14:textId="77777777" w:rsidTr="003927CC">
        <w:trPr>
          <w:trHeight w:val="74"/>
        </w:trPr>
        <w:tc>
          <w:tcPr>
            <w:tcW w:w="960" w:type="dxa"/>
            <w:tcBorders>
              <w:top w:val="nil"/>
              <w:left w:val="nil"/>
              <w:bottom w:val="nil"/>
              <w:right w:val="nil"/>
            </w:tcBorders>
            <w:shd w:val="clear" w:color="auto" w:fill="auto"/>
            <w:noWrap/>
            <w:vAlign w:val="bottom"/>
            <w:hideMark/>
          </w:tcPr>
          <w:p w14:paraId="030B7820" w14:textId="77777777" w:rsidR="00E62C3E" w:rsidRPr="004430CA" w:rsidRDefault="00E62C3E" w:rsidP="004430CA">
            <w:pPr>
              <w:keepLines/>
              <w:jc w:val="center"/>
              <w:rPr>
                <w:color w:val="000000"/>
                <w:sz w:val="18"/>
                <w:szCs w:val="18"/>
              </w:rPr>
            </w:pPr>
            <w:r w:rsidRPr="004430CA">
              <w:rPr>
                <w:color w:val="000000"/>
                <w:sz w:val="18"/>
                <w:szCs w:val="18"/>
              </w:rPr>
              <w:t>45</w:t>
            </w:r>
          </w:p>
        </w:tc>
        <w:tc>
          <w:tcPr>
            <w:tcW w:w="960" w:type="dxa"/>
            <w:tcBorders>
              <w:top w:val="nil"/>
              <w:left w:val="nil"/>
              <w:bottom w:val="nil"/>
              <w:right w:val="nil"/>
            </w:tcBorders>
            <w:shd w:val="clear" w:color="auto" w:fill="auto"/>
            <w:noWrap/>
            <w:vAlign w:val="bottom"/>
            <w:hideMark/>
          </w:tcPr>
          <w:p w14:paraId="6A0C02DE" w14:textId="77777777" w:rsidR="00E62C3E" w:rsidRPr="004430CA" w:rsidRDefault="00E62C3E" w:rsidP="004430CA">
            <w:pPr>
              <w:keepLines/>
              <w:jc w:val="center"/>
              <w:rPr>
                <w:color w:val="000000"/>
                <w:sz w:val="18"/>
                <w:szCs w:val="18"/>
              </w:rPr>
            </w:pPr>
            <w:r w:rsidRPr="004430CA">
              <w:rPr>
                <w:color w:val="000000"/>
                <w:sz w:val="18"/>
                <w:szCs w:val="18"/>
              </w:rPr>
              <w:t>16</w:t>
            </w:r>
          </w:p>
        </w:tc>
        <w:tc>
          <w:tcPr>
            <w:tcW w:w="960" w:type="dxa"/>
            <w:tcBorders>
              <w:top w:val="nil"/>
              <w:left w:val="nil"/>
              <w:bottom w:val="nil"/>
              <w:right w:val="nil"/>
            </w:tcBorders>
            <w:shd w:val="clear" w:color="auto" w:fill="auto"/>
            <w:noWrap/>
            <w:vAlign w:val="bottom"/>
            <w:hideMark/>
          </w:tcPr>
          <w:p w14:paraId="69D6F509" w14:textId="77777777" w:rsidR="00E62C3E" w:rsidRPr="004430CA" w:rsidRDefault="00E62C3E" w:rsidP="004430CA">
            <w:pPr>
              <w:keepLines/>
              <w:jc w:val="center"/>
              <w:rPr>
                <w:color w:val="000000"/>
                <w:sz w:val="18"/>
                <w:szCs w:val="18"/>
              </w:rPr>
            </w:pPr>
            <w:r w:rsidRPr="004430CA">
              <w:rPr>
                <w:color w:val="000000"/>
                <w:sz w:val="18"/>
                <w:szCs w:val="18"/>
              </w:rPr>
              <w:t>9</w:t>
            </w:r>
          </w:p>
        </w:tc>
        <w:tc>
          <w:tcPr>
            <w:tcW w:w="960" w:type="dxa"/>
            <w:tcBorders>
              <w:top w:val="nil"/>
              <w:left w:val="nil"/>
              <w:bottom w:val="nil"/>
              <w:right w:val="nil"/>
            </w:tcBorders>
            <w:shd w:val="clear" w:color="auto" w:fill="auto"/>
            <w:noWrap/>
            <w:vAlign w:val="bottom"/>
            <w:hideMark/>
          </w:tcPr>
          <w:p w14:paraId="76834ACF" w14:textId="77777777" w:rsidR="00E62C3E" w:rsidRPr="004430CA" w:rsidRDefault="00E62C3E" w:rsidP="004430CA">
            <w:pPr>
              <w:keepLines/>
              <w:jc w:val="center"/>
              <w:rPr>
                <w:color w:val="000000"/>
                <w:sz w:val="18"/>
                <w:szCs w:val="18"/>
              </w:rPr>
            </w:pPr>
            <w:r w:rsidRPr="004430CA">
              <w:rPr>
                <w:color w:val="000000"/>
                <w:sz w:val="18"/>
                <w:szCs w:val="18"/>
              </w:rPr>
              <w:t>7</w:t>
            </w:r>
          </w:p>
        </w:tc>
        <w:tc>
          <w:tcPr>
            <w:tcW w:w="960" w:type="dxa"/>
            <w:tcBorders>
              <w:top w:val="nil"/>
              <w:left w:val="nil"/>
              <w:bottom w:val="nil"/>
              <w:right w:val="nil"/>
            </w:tcBorders>
            <w:shd w:val="clear" w:color="auto" w:fill="auto"/>
            <w:noWrap/>
            <w:vAlign w:val="bottom"/>
            <w:hideMark/>
          </w:tcPr>
          <w:p w14:paraId="25D9E0A9" w14:textId="77777777" w:rsidR="00E62C3E" w:rsidRPr="004430CA" w:rsidRDefault="00E62C3E" w:rsidP="004430CA">
            <w:pPr>
              <w:keepLines/>
              <w:jc w:val="center"/>
              <w:rPr>
                <w:color w:val="000000"/>
                <w:sz w:val="18"/>
                <w:szCs w:val="18"/>
              </w:rPr>
            </w:pPr>
            <w:r w:rsidRPr="004430CA">
              <w:rPr>
                <w:color w:val="000000"/>
                <w:sz w:val="18"/>
                <w:szCs w:val="18"/>
              </w:rPr>
              <w:t>0.5625</w:t>
            </w:r>
          </w:p>
        </w:tc>
        <w:tc>
          <w:tcPr>
            <w:tcW w:w="960" w:type="dxa"/>
            <w:tcBorders>
              <w:top w:val="nil"/>
              <w:left w:val="nil"/>
              <w:bottom w:val="nil"/>
              <w:right w:val="nil"/>
            </w:tcBorders>
            <w:shd w:val="clear" w:color="auto" w:fill="auto"/>
            <w:noWrap/>
            <w:vAlign w:val="bottom"/>
            <w:hideMark/>
          </w:tcPr>
          <w:p w14:paraId="328C77CE" w14:textId="77777777" w:rsidR="00E62C3E" w:rsidRPr="004430CA" w:rsidRDefault="00E62C3E" w:rsidP="004430CA">
            <w:pPr>
              <w:keepLines/>
              <w:jc w:val="center"/>
              <w:rPr>
                <w:color w:val="000000"/>
                <w:sz w:val="18"/>
                <w:szCs w:val="18"/>
              </w:rPr>
            </w:pPr>
            <w:r w:rsidRPr="004430CA">
              <w:rPr>
                <w:color w:val="000000"/>
                <w:sz w:val="18"/>
                <w:szCs w:val="18"/>
              </w:rPr>
              <w:t>16</w:t>
            </w:r>
          </w:p>
        </w:tc>
        <w:tc>
          <w:tcPr>
            <w:tcW w:w="960" w:type="dxa"/>
            <w:tcBorders>
              <w:top w:val="nil"/>
              <w:left w:val="nil"/>
              <w:bottom w:val="nil"/>
              <w:right w:val="nil"/>
            </w:tcBorders>
            <w:shd w:val="clear" w:color="auto" w:fill="auto"/>
            <w:noWrap/>
            <w:vAlign w:val="bottom"/>
            <w:hideMark/>
          </w:tcPr>
          <w:p w14:paraId="51DCED75" w14:textId="77777777" w:rsidR="00E62C3E" w:rsidRPr="004430CA" w:rsidRDefault="00E62C3E" w:rsidP="004430CA">
            <w:pPr>
              <w:keepLines/>
              <w:jc w:val="center"/>
              <w:rPr>
                <w:color w:val="000000"/>
                <w:sz w:val="18"/>
                <w:szCs w:val="18"/>
              </w:rPr>
            </w:pPr>
            <w:r w:rsidRPr="004430CA">
              <w:rPr>
                <w:color w:val="000000"/>
                <w:sz w:val="18"/>
                <w:szCs w:val="18"/>
              </w:rPr>
              <w:t>9</w:t>
            </w:r>
          </w:p>
        </w:tc>
        <w:tc>
          <w:tcPr>
            <w:tcW w:w="960" w:type="dxa"/>
            <w:tcBorders>
              <w:top w:val="nil"/>
              <w:left w:val="nil"/>
              <w:bottom w:val="nil"/>
              <w:right w:val="nil"/>
            </w:tcBorders>
            <w:shd w:val="clear" w:color="auto" w:fill="auto"/>
            <w:noWrap/>
            <w:vAlign w:val="bottom"/>
            <w:hideMark/>
          </w:tcPr>
          <w:p w14:paraId="238E7041" w14:textId="77777777" w:rsidR="00E62C3E" w:rsidRPr="004430CA" w:rsidRDefault="00E62C3E" w:rsidP="004430CA">
            <w:pPr>
              <w:keepLines/>
              <w:jc w:val="center"/>
              <w:rPr>
                <w:color w:val="000000"/>
                <w:sz w:val="18"/>
                <w:szCs w:val="18"/>
              </w:rPr>
            </w:pPr>
            <w:r w:rsidRPr="004430CA">
              <w:rPr>
                <w:color w:val="000000"/>
                <w:sz w:val="18"/>
                <w:szCs w:val="18"/>
              </w:rPr>
              <w:t>7</w:t>
            </w:r>
          </w:p>
        </w:tc>
        <w:tc>
          <w:tcPr>
            <w:tcW w:w="960" w:type="dxa"/>
            <w:tcBorders>
              <w:top w:val="nil"/>
              <w:left w:val="nil"/>
              <w:bottom w:val="nil"/>
              <w:right w:val="nil"/>
            </w:tcBorders>
            <w:shd w:val="clear" w:color="auto" w:fill="auto"/>
            <w:noWrap/>
            <w:vAlign w:val="bottom"/>
            <w:hideMark/>
          </w:tcPr>
          <w:p w14:paraId="2A7543C8" w14:textId="77777777" w:rsidR="00E62C3E" w:rsidRPr="004430CA" w:rsidRDefault="00E62C3E" w:rsidP="004430CA">
            <w:pPr>
              <w:keepLines/>
              <w:jc w:val="center"/>
              <w:rPr>
                <w:color w:val="000000"/>
                <w:sz w:val="18"/>
                <w:szCs w:val="18"/>
              </w:rPr>
            </w:pPr>
            <w:r w:rsidRPr="004430CA">
              <w:rPr>
                <w:color w:val="000000"/>
                <w:sz w:val="18"/>
                <w:szCs w:val="18"/>
              </w:rPr>
              <w:t>0.5625</w:t>
            </w:r>
          </w:p>
        </w:tc>
      </w:tr>
      <w:tr w:rsidR="00E62C3E" w:rsidRPr="004430CA" w14:paraId="25EEE19E" w14:textId="77777777" w:rsidTr="003927CC">
        <w:trPr>
          <w:trHeight w:val="74"/>
        </w:trPr>
        <w:tc>
          <w:tcPr>
            <w:tcW w:w="960" w:type="dxa"/>
            <w:tcBorders>
              <w:top w:val="nil"/>
              <w:left w:val="nil"/>
              <w:bottom w:val="single" w:sz="4" w:space="0" w:color="auto"/>
              <w:right w:val="nil"/>
            </w:tcBorders>
            <w:shd w:val="clear" w:color="auto" w:fill="auto"/>
            <w:noWrap/>
            <w:vAlign w:val="bottom"/>
            <w:hideMark/>
          </w:tcPr>
          <w:p w14:paraId="39BC064F" w14:textId="77777777" w:rsidR="00E62C3E" w:rsidRPr="004430CA" w:rsidRDefault="00E62C3E" w:rsidP="004430CA">
            <w:pPr>
              <w:keepLines/>
              <w:jc w:val="center"/>
              <w:rPr>
                <w:color w:val="000000"/>
                <w:sz w:val="18"/>
                <w:szCs w:val="18"/>
              </w:rPr>
            </w:pPr>
            <w:r w:rsidRPr="004430CA">
              <w:rPr>
                <w:color w:val="000000"/>
                <w:sz w:val="18"/>
                <w:szCs w:val="18"/>
              </w:rPr>
              <w:t>&gt;45</w:t>
            </w:r>
          </w:p>
        </w:tc>
        <w:tc>
          <w:tcPr>
            <w:tcW w:w="960" w:type="dxa"/>
            <w:tcBorders>
              <w:top w:val="nil"/>
              <w:left w:val="nil"/>
              <w:bottom w:val="single" w:sz="4" w:space="0" w:color="auto"/>
              <w:right w:val="nil"/>
            </w:tcBorders>
            <w:shd w:val="clear" w:color="auto" w:fill="auto"/>
            <w:noWrap/>
            <w:vAlign w:val="bottom"/>
            <w:hideMark/>
          </w:tcPr>
          <w:p w14:paraId="7D4AE6ED" w14:textId="77777777" w:rsidR="00E62C3E" w:rsidRPr="004430CA" w:rsidRDefault="00E62C3E" w:rsidP="004430CA">
            <w:pPr>
              <w:keepLines/>
              <w:jc w:val="center"/>
              <w:rPr>
                <w:color w:val="000000"/>
                <w:sz w:val="18"/>
                <w:szCs w:val="18"/>
              </w:rPr>
            </w:pPr>
            <w:r w:rsidRPr="004430CA">
              <w:rPr>
                <w:color w:val="000000"/>
                <w:sz w:val="18"/>
                <w:szCs w:val="18"/>
              </w:rPr>
              <w:t> </w:t>
            </w:r>
          </w:p>
        </w:tc>
        <w:tc>
          <w:tcPr>
            <w:tcW w:w="960" w:type="dxa"/>
            <w:tcBorders>
              <w:top w:val="nil"/>
              <w:left w:val="nil"/>
              <w:bottom w:val="single" w:sz="4" w:space="0" w:color="auto"/>
              <w:right w:val="nil"/>
            </w:tcBorders>
            <w:shd w:val="clear" w:color="auto" w:fill="auto"/>
            <w:noWrap/>
            <w:vAlign w:val="bottom"/>
            <w:hideMark/>
          </w:tcPr>
          <w:p w14:paraId="3D8A1752" w14:textId="77777777" w:rsidR="00E62C3E" w:rsidRPr="004430CA" w:rsidRDefault="00E62C3E" w:rsidP="004430CA">
            <w:pPr>
              <w:keepLines/>
              <w:jc w:val="center"/>
              <w:rPr>
                <w:color w:val="000000"/>
                <w:sz w:val="18"/>
                <w:szCs w:val="18"/>
              </w:rPr>
            </w:pPr>
            <w:r w:rsidRPr="004430CA">
              <w:rPr>
                <w:color w:val="000000"/>
                <w:sz w:val="18"/>
                <w:szCs w:val="18"/>
              </w:rPr>
              <w:t> </w:t>
            </w:r>
          </w:p>
        </w:tc>
        <w:tc>
          <w:tcPr>
            <w:tcW w:w="960" w:type="dxa"/>
            <w:tcBorders>
              <w:top w:val="nil"/>
              <w:left w:val="nil"/>
              <w:bottom w:val="single" w:sz="4" w:space="0" w:color="auto"/>
              <w:right w:val="nil"/>
            </w:tcBorders>
            <w:shd w:val="clear" w:color="auto" w:fill="auto"/>
            <w:noWrap/>
            <w:vAlign w:val="bottom"/>
            <w:hideMark/>
          </w:tcPr>
          <w:p w14:paraId="75AD7D20" w14:textId="77777777" w:rsidR="00E62C3E" w:rsidRPr="004430CA" w:rsidRDefault="00E62C3E" w:rsidP="004430CA">
            <w:pPr>
              <w:keepLines/>
              <w:jc w:val="center"/>
              <w:rPr>
                <w:color w:val="000000"/>
                <w:sz w:val="18"/>
                <w:szCs w:val="18"/>
              </w:rPr>
            </w:pPr>
            <w:r w:rsidRPr="004430CA">
              <w:rPr>
                <w:color w:val="000000"/>
                <w:sz w:val="18"/>
                <w:szCs w:val="18"/>
              </w:rPr>
              <w:t> </w:t>
            </w:r>
          </w:p>
        </w:tc>
        <w:tc>
          <w:tcPr>
            <w:tcW w:w="960" w:type="dxa"/>
            <w:tcBorders>
              <w:top w:val="nil"/>
              <w:left w:val="nil"/>
              <w:bottom w:val="single" w:sz="4" w:space="0" w:color="auto"/>
              <w:right w:val="nil"/>
            </w:tcBorders>
            <w:shd w:val="clear" w:color="auto" w:fill="auto"/>
            <w:noWrap/>
            <w:vAlign w:val="bottom"/>
            <w:hideMark/>
          </w:tcPr>
          <w:p w14:paraId="1BA63AC0" w14:textId="77777777" w:rsidR="00E62C3E" w:rsidRPr="004430CA" w:rsidRDefault="00E62C3E" w:rsidP="004430CA">
            <w:pPr>
              <w:keepLines/>
              <w:jc w:val="center"/>
              <w:rPr>
                <w:color w:val="000000"/>
                <w:sz w:val="18"/>
                <w:szCs w:val="18"/>
              </w:rPr>
            </w:pPr>
            <w:r w:rsidRPr="004430CA">
              <w:rPr>
                <w:color w:val="000000"/>
                <w:sz w:val="18"/>
                <w:szCs w:val="18"/>
              </w:rPr>
              <w:t>1.0000</w:t>
            </w:r>
          </w:p>
        </w:tc>
        <w:tc>
          <w:tcPr>
            <w:tcW w:w="960" w:type="dxa"/>
            <w:tcBorders>
              <w:top w:val="nil"/>
              <w:left w:val="nil"/>
              <w:bottom w:val="single" w:sz="4" w:space="0" w:color="auto"/>
              <w:right w:val="nil"/>
            </w:tcBorders>
            <w:shd w:val="clear" w:color="auto" w:fill="auto"/>
            <w:noWrap/>
            <w:vAlign w:val="bottom"/>
            <w:hideMark/>
          </w:tcPr>
          <w:p w14:paraId="5328909F" w14:textId="77777777" w:rsidR="00E62C3E" w:rsidRPr="004430CA" w:rsidRDefault="00E62C3E" w:rsidP="004430CA">
            <w:pPr>
              <w:keepLines/>
              <w:jc w:val="center"/>
              <w:rPr>
                <w:color w:val="000000"/>
                <w:sz w:val="18"/>
                <w:szCs w:val="18"/>
              </w:rPr>
            </w:pPr>
            <w:r w:rsidRPr="004430CA">
              <w:rPr>
                <w:color w:val="000000"/>
                <w:sz w:val="18"/>
                <w:szCs w:val="18"/>
              </w:rPr>
              <w:t> </w:t>
            </w:r>
          </w:p>
        </w:tc>
        <w:tc>
          <w:tcPr>
            <w:tcW w:w="960" w:type="dxa"/>
            <w:tcBorders>
              <w:top w:val="nil"/>
              <w:left w:val="nil"/>
              <w:bottom w:val="single" w:sz="4" w:space="0" w:color="auto"/>
              <w:right w:val="nil"/>
            </w:tcBorders>
            <w:shd w:val="clear" w:color="auto" w:fill="auto"/>
            <w:noWrap/>
            <w:vAlign w:val="bottom"/>
            <w:hideMark/>
          </w:tcPr>
          <w:p w14:paraId="5640F86E" w14:textId="77777777" w:rsidR="00E62C3E" w:rsidRPr="004430CA" w:rsidRDefault="00E62C3E" w:rsidP="004430CA">
            <w:pPr>
              <w:keepLines/>
              <w:jc w:val="center"/>
              <w:rPr>
                <w:color w:val="000000"/>
                <w:sz w:val="18"/>
                <w:szCs w:val="18"/>
              </w:rPr>
            </w:pPr>
            <w:r w:rsidRPr="004430CA">
              <w:rPr>
                <w:color w:val="000000"/>
                <w:sz w:val="18"/>
                <w:szCs w:val="18"/>
              </w:rPr>
              <w:t> </w:t>
            </w:r>
          </w:p>
        </w:tc>
        <w:tc>
          <w:tcPr>
            <w:tcW w:w="960" w:type="dxa"/>
            <w:tcBorders>
              <w:top w:val="nil"/>
              <w:left w:val="nil"/>
              <w:bottom w:val="single" w:sz="4" w:space="0" w:color="auto"/>
              <w:right w:val="nil"/>
            </w:tcBorders>
            <w:shd w:val="clear" w:color="auto" w:fill="auto"/>
            <w:noWrap/>
            <w:vAlign w:val="bottom"/>
            <w:hideMark/>
          </w:tcPr>
          <w:p w14:paraId="1587778B" w14:textId="77777777" w:rsidR="00E62C3E" w:rsidRPr="004430CA" w:rsidRDefault="00E62C3E" w:rsidP="004430CA">
            <w:pPr>
              <w:keepLines/>
              <w:jc w:val="center"/>
              <w:rPr>
                <w:color w:val="000000"/>
                <w:sz w:val="18"/>
                <w:szCs w:val="18"/>
              </w:rPr>
            </w:pPr>
            <w:r w:rsidRPr="004430CA">
              <w:rPr>
                <w:color w:val="000000"/>
                <w:sz w:val="18"/>
                <w:szCs w:val="18"/>
              </w:rPr>
              <w:t> </w:t>
            </w:r>
          </w:p>
        </w:tc>
        <w:tc>
          <w:tcPr>
            <w:tcW w:w="960" w:type="dxa"/>
            <w:tcBorders>
              <w:top w:val="nil"/>
              <w:left w:val="nil"/>
              <w:bottom w:val="single" w:sz="4" w:space="0" w:color="auto"/>
              <w:right w:val="nil"/>
            </w:tcBorders>
            <w:shd w:val="clear" w:color="auto" w:fill="auto"/>
            <w:noWrap/>
            <w:vAlign w:val="bottom"/>
            <w:hideMark/>
          </w:tcPr>
          <w:p w14:paraId="0901D256" w14:textId="77777777" w:rsidR="00E62C3E" w:rsidRPr="004430CA" w:rsidRDefault="00E62C3E" w:rsidP="004430CA">
            <w:pPr>
              <w:keepLines/>
              <w:jc w:val="center"/>
              <w:rPr>
                <w:color w:val="000000"/>
                <w:sz w:val="18"/>
                <w:szCs w:val="18"/>
              </w:rPr>
            </w:pPr>
            <w:r w:rsidRPr="004430CA">
              <w:rPr>
                <w:color w:val="000000"/>
                <w:sz w:val="18"/>
                <w:szCs w:val="18"/>
              </w:rPr>
              <w:t>1.0000</w:t>
            </w:r>
          </w:p>
        </w:tc>
      </w:tr>
    </w:tbl>
    <w:p w14:paraId="585242F6" w14:textId="77777777" w:rsidR="00E62C3E" w:rsidRDefault="00E62C3E" w:rsidP="00AF5984">
      <w:pPr>
        <w:pStyle w:val="FootnoteText"/>
      </w:pPr>
    </w:p>
    <w:p w14:paraId="66DFCC07" w14:textId="77777777" w:rsidR="00E62C3E" w:rsidRPr="00003A33" w:rsidRDefault="00E62C3E" w:rsidP="00AF5984">
      <w:pPr>
        <w:pStyle w:val="FootnoteText"/>
      </w:pPr>
    </w:p>
  </w:footnote>
  <w:footnote w:id="2">
    <w:p w14:paraId="392B14EA" w14:textId="255803CE" w:rsidR="00303360" w:rsidRDefault="00303360">
      <w:pPr>
        <w:pStyle w:val="FootnoteText"/>
      </w:pPr>
      <w:r>
        <w:rPr>
          <w:rStyle w:val="FootnoteReference"/>
        </w:rPr>
        <w:footnoteRef/>
      </w:r>
      <w:r>
        <w:t xml:space="preserve"> </w:t>
      </w:r>
      <w:r w:rsidR="00A24968">
        <w:rPr>
          <w:rFonts w:eastAsia="Times New Roman"/>
        </w:rPr>
        <w:t>P</w:t>
      </w:r>
      <w:r w:rsidR="00A24968" w:rsidRPr="00524D50">
        <w:rPr>
          <w:rFonts w:eastAsia="Times New Roman"/>
        </w:rPr>
        <w:t>ooling</w:t>
      </w:r>
      <w:r w:rsidR="00A24968">
        <w:rPr>
          <w:rFonts w:eastAsia="Times New Roman"/>
        </w:rPr>
        <w:t xml:space="preserve"> response data to ensure monotonicity is standard practice when applying the Turnbull estimator and calculating confidence intervals (Haab and McConnell 2002), although excessive pooling can mask issues with the data</w:t>
      </w:r>
      <w:r w:rsidR="00CB3BC1">
        <w:rPr>
          <w:rFonts w:eastAsia="Times New Roman"/>
        </w:rPr>
        <w:t xml:space="preserve"> by understating true confidence intervals (Whitehead 2017)</w:t>
      </w:r>
      <w:r w:rsidR="00A24968">
        <w:rPr>
          <w:rFonts w:eastAsia="Times New Roman"/>
        </w:rPr>
        <w:t>.</w:t>
      </w:r>
      <w:r w:rsidR="00C361B5">
        <w:rPr>
          <w:rFonts w:eastAsia="Times New Roman"/>
        </w:rPr>
        <w:t xml:space="preserve"> The confidence intervals we report here should be interpreted with caution.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5AF"/>
    <w:multiLevelType w:val="hybridMultilevel"/>
    <w:tmpl w:val="716238A4"/>
    <w:lvl w:ilvl="0" w:tplc="723CDC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3E"/>
    <w:rsid w:val="00016B1E"/>
    <w:rsid w:val="000267DE"/>
    <w:rsid w:val="00027240"/>
    <w:rsid w:val="000313F9"/>
    <w:rsid w:val="000468F9"/>
    <w:rsid w:val="00053291"/>
    <w:rsid w:val="00081483"/>
    <w:rsid w:val="0008371D"/>
    <w:rsid w:val="000B1D83"/>
    <w:rsid w:val="000E04C1"/>
    <w:rsid w:val="000E1A42"/>
    <w:rsid w:val="00113F84"/>
    <w:rsid w:val="0012258E"/>
    <w:rsid w:val="001237EF"/>
    <w:rsid w:val="00125AED"/>
    <w:rsid w:val="00127D8E"/>
    <w:rsid w:val="001315C7"/>
    <w:rsid w:val="001430A0"/>
    <w:rsid w:val="0014476E"/>
    <w:rsid w:val="00153807"/>
    <w:rsid w:val="001728DA"/>
    <w:rsid w:val="001746D5"/>
    <w:rsid w:val="00195FEE"/>
    <w:rsid w:val="001B03D9"/>
    <w:rsid w:val="001B0D3E"/>
    <w:rsid w:val="001E239D"/>
    <w:rsid w:val="001F279A"/>
    <w:rsid w:val="00201C01"/>
    <w:rsid w:val="0022268A"/>
    <w:rsid w:val="00225A40"/>
    <w:rsid w:val="0024665D"/>
    <w:rsid w:val="00263129"/>
    <w:rsid w:val="00263542"/>
    <w:rsid w:val="0028693D"/>
    <w:rsid w:val="00297A79"/>
    <w:rsid w:val="002B5649"/>
    <w:rsid w:val="002D7440"/>
    <w:rsid w:val="002E3B42"/>
    <w:rsid w:val="002E3F5F"/>
    <w:rsid w:val="002F7355"/>
    <w:rsid w:val="00300BE5"/>
    <w:rsid w:val="00303360"/>
    <w:rsid w:val="00322429"/>
    <w:rsid w:val="00332E74"/>
    <w:rsid w:val="00347AC8"/>
    <w:rsid w:val="003516EA"/>
    <w:rsid w:val="00366254"/>
    <w:rsid w:val="0036690C"/>
    <w:rsid w:val="0037453D"/>
    <w:rsid w:val="003765D8"/>
    <w:rsid w:val="003765EA"/>
    <w:rsid w:val="0039050C"/>
    <w:rsid w:val="00391CE3"/>
    <w:rsid w:val="003927CC"/>
    <w:rsid w:val="0039734C"/>
    <w:rsid w:val="003D3C9E"/>
    <w:rsid w:val="003D4474"/>
    <w:rsid w:val="003F48B8"/>
    <w:rsid w:val="0041082F"/>
    <w:rsid w:val="00412E56"/>
    <w:rsid w:val="00440CBD"/>
    <w:rsid w:val="00440E2E"/>
    <w:rsid w:val="004430CA"/>
    <w:rsid w:val="004612E6"/>
    <w:rsid w:val="0046239D"/>
    <w:rsid w:val="004A1C96"/>
    <w:rsid w:val="004A75E3"/>
    <w:rsid w:val="004B29CB"/>
    <w:rsid w:val="004C0130"/>
    <w:rsid w:val="004C0AB0"/>
    <w:rsid w:val="004D3AC2"/>
    <w:rsid w:val="004E226F"/>
    <w:rsid w:val="004F23A9"/>
    <w:rsid w:val="005059BD"/>
    <w:rsid w:val="005163C7"/>
    <w:rsid w:val="00521E82"/>
    <w:rsid w:val="00525382"/>
    <w:rsid w:val="005359F3"/>
    <w:rsid w:val="0054215D"/>
    <w:rsid w:val="00557338"/>
    <w:rsid w:val="00566710"/>
    <w:rsid w:val="00580522"/>
    <w:rsid w:val="00582A43"/>
    <w:rsid w:val="00586083"/>
    <w:rsid w:val="005B4D10"/>
    <w:rsid w:val="005B7417"/>
    <w:rsid w:val="005C4E8E"/>
    <w:rsid w:val="005F2BAD"/>
    <w:rsid w:val="0060503B"/>
    <w:rsid w:val="00610883"/>
    <w:rsid w:val="00613B56"/>
    <w:rsid w:val="006301FB"/>
    <w:rsid w:val="006406EB"/>
    <w:rsid w:val="006670EB"/>
    <w:rsid w:val="00691404"/>
    <w:rsid w:val="0069252D"/>
    <w:rsid w:val="006B555E"/>
    <w:rsid w:val="006C06AD"/>
    <w:rsid w:val="006E02BC"/>
    <w:rsid w:val="00705DC4"/>
    <w:rsid w:val="00723CA9"/>
    <w:rsid w:val="00732E4B"/>
    <w:rsid w:val="00733897"/>
    <w:rsid w:val="00755AE7"/>
    <w:rsid w:val="007635BB"/>
    <w:rsid w:val="0076549A"/>
    <w:rsid w:val="00770FB4"/>
    <w:rsid w:val="00782CFA"/>
    <w:rsid w:val="007B4D3E"/>
    <w:rsid w:val="007C0060"/>
    <w:rsid w:val="007D2A59"/>
    <w:rsid w:val="007E3002"/>
    <w:rsid w:val="007E4106"/>
    <w:rsid w:val="007E59C4"/>
    <w:rsid w:val="007F615A"/>
    <w:rsid w:val="00803C97"/>
    <w:rsid w:val="0081043A"/>
    <w:rsid w:val="008406DF"/>
    <w:rsid w:val="00844CC1"/>
    <w:rsid w:val="00847342"/>
    <w:rsid w:val="00864FF1"/>
    <w:rsid w:val="00891712"/>
    <w:rsid w:val="008A2140"/>
    <w:rsid w:val="008A556D"/>
    <w:rsid w:val="008C6B01"/>
    <w:rsid w:val="008E5248"/>
    <w:rsid w:val="00927EBF"/>
    <w:rsid w:val="009650B4"/>
    <w:rsid w:val="00970A15"/>
    <w:rsid w:val="00985EEF"/>
    <w:rsid w:val="00991547"/>
    <w:rsid w:val="009A4953"/>
    <w:rsid w:val="009A535D"/>
    <w:rsid w:val="009C7DEF"/>
    <w:rsid w:val="009D2503"/>
    <w:rsid w:val="009D60EF"/>
    <w:rsid w:val="00A125B2"/>
    <w:rsid w:val="00A2286B"/>
    <w:rsid w:val="00A24968"/>
    <w:rsid w:val="00A335F2"/>
    <w:rsid w:val="00A46915"/>
    <w:rsid w:val="00A824E2"/>
    <w:rsid w:val="00A8427B"/>
    <w:rsid w:val="00AB0F3E"/>
    <w:rsid w:val="00AE7570"/>
    <w:rsid w:val="00AF5984"/>
    <w:rsid w:val="00B04690"/>
    <w:rsid w:val="00B04E67"/>
    <w:rsid w:val="00B11EE6"/>
    <w:rsid w:val="00B14E63"/>
    <w:rsid w:val="00B17203"/>
    <w:rsid w:val="00B22C8A"/>
    <w:rsid w:val="00B25A6F"/>
    <w:rsid w:val="00B26218"/>
    <w:rsid w:val="00B752CC"/>
    <w:rsid w:val="00B75BA7"/>
    <w:rsid w:val="00B76CCD"/>
    <w:rsid w:val="00B925F4"/>
    <w:rsid w:val="00BA21F6"/>
    <w:rsid w:val="00BA5D52"/>
    <w:rsid w:val="00BB6188"/>
    <w:rsid w:val="00BC0245"/>
    <w:rsid w:val="00BC3A77"/>
    <w:rsid w:val="00BC57FE"/>
    <w:rsid w:val="00BC717A"/>
    <w:rsid w:val="00BD1322"/>
    <w:rsid w:val="00C054F9"/>
    <w:rsid w:val="00C26611"/>
    <w:rsid w:val="00C3081A"/>
    <w:rsid w:val="00C324DF"/>
    <w:rsid w:val="00C361B5"/>
    <w:rsid w:val="00C371EF"/>
    <w:rsid w:val="00C43A06"/>
    <w:rsid w:val="00C51D05"/>
    <w:rsid w:val="00C663DF"/>
    <w:rsid w:val="00C6680E"/>
    <w:rsid w:val="00C851AA"/>
    <w:rsid w:val="00C9413D"/>
    <w:rsid w:val="00C94F30"/>
    <w:rsid w:val="00C95EC0"/>
    <w:rsid w:val="00CB3BC1"/>
    <w:rsid w:val="00CC5C1E"/>
    <w:rsid w:val="00CD4FFD"/>
    <w:rsid w:val="00CE0026"/>
    <w:rsid w:val="00D022D0"/>
    <w:rsid w:val="00D11BD8"/>
    <w:rsid w:val="00D20923"/>
    <w:rsid w:val="00D3358F"/>
    <w:rsid w:val="00D35EB8"/>
    <w:rsid w:val="00D41CA6"/>
    <w:rsid w:val="00D51D25"/>
    <w:rsid w:val="00D6050D"/>
    <w:rsid w:val="00D81600"/>
    <w:rsid w:val="00D81F30"/>
    <w:rsid w:val="00DA3EC4"/>
    <w:rsid w:val="00DC0780"/>
    <w:rsid w:val="00DD01C3"/>
    <w:rsid w:val="00DD20ED"/>
    <w:rsid w:val="00DE55F8"/>
    <w:rsid w:val="00DF2C90"/>
    <w:rsid w:val="00E05162"/>
    <w:rsid w:val="00E30E93"/>
    <w:rsid w:val="00E37F1E"/>
    <w:rsid w:val="00E40AC4"/>
    <w:rsid w:val="00E40DD0"/>
    <w:rsid w:val="00E46091"/>
    <w:rsid w:val="00E62C3E"/>
    <w:rsid w:val="00E91511"/>
    <w:rsid w:val="00EB3EAF"/>
    <w:rsid w:val="00ED40E3"/>
    <w:rsid w:val="00EE26E9"/>
    <w:rsid w:val="00EE5F50"/>
    <w:rsid w:val="00EE7933"/>
    <w:rsid w:val="00F00058"/>
    <w:rsid w:val="00F03C80"/>
    <w:rsid w:val="00F24CF0"/>
    <w:rsid w:val="00F3179A"/>
    <w:rsid w:val="00F435CA"/>
    <w:rsid w:val="00F45FC7"/>
    <w:rsid w:val="00F62CFB"/>
    <w:rsid w:val="00F727F5"/>
    <w:rsid w:val="00F76FDD"/>
    <w:rsid w:val="00F948B6"/>
    <w:rsid w:val="00F95965"/>
    <w:rsid w:val="00F97DF0"/>
    <w:rsid w:val="00FA2102"/>
    <w:rsid w:val="00FA4FDA"/>
    <w:rsid w:val="00FF01F8"/>
    <w:rsid w:val="00FF18EF"/>
    <w:rsid w:val="00FF1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BADF"/>
  <w15:chartTrackingRefBased/>
  <w15:docId w15:val="{1F0904E5-B4DB-4612-8E35-C76224AE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AB0F3E"/>
    <w:pPr>
      <w:spacing w:after="120" w:line="360" w:lineRule="auto"/>
      <w:jc w:val="left"/>
    </w:pPr>
    <w:rPr>
      <w:rFonts w:ascii="Times New Roman" w:eastAsia="Times New Roman" w:hAnsi="Times New Roman" w:cs="Times New Roman"/>
      <w:b/>
      <w:sz w:val="28"/>
      <w:szCs w:val="24"/>
      <w:lang w:eastAsia="en-GB"/>
    </w:rPr>
  </w:style>
  <w:style w:type="character" w:styleId="PlaceholderText">
    <w:name w:val="Placeholder Text"/>
    <w:basedOn w:val="DefaultParagraphFont"/>
    <w:uiPriority w:val="99"/>
    <w:semiHidden/>
    <w:rsid w:val="00AB0F3E"/>
    <w:rPr>
      <w:color w:val="808080"/>
    </w:rPr>
  </w:style>
  <w:style w:type="paragraph" w:styleId="EndnoteText">
    <w:name w:val="endnote text"/>
    <w:basedOn w:val="Normal"/>
    <w:link w:val="EndnoteTextChar"/>
    <w:autoRedefine/>
    <w:rsid w:val="00AF5984"/>
    <w:pPr>
      <w:ind w:left="284" w:hanging="284"/>
      <w:jc w:val="left"/>
    </w:pPr>
    <w:rPr>
      <w:rFonts w:ascii="Times New Roman" w:eastAsia="Times New Roman" w:hAnsi="Times New Roman" w:cs="Times New Roman"/>
      <w:sz w:val="22"/>
      <w:szCs w:val="20"/>
      <w:lang w:eastAsia="en-GB"/>
    </w:rPr>
  </w:style>
  <w:style w:type="character" w:customStyle="1" w:styleId="EndnoteTextChar">
    <w:name w:val="Endnote Text Char"/>
    <w:basedOn w:val="DefaultParagraphFont"/>
    <w:link w:val="EndnoteText"/>
    <w:rsid w:val="00AF5984"/>
    <w:rPr>
      <w:rFonts w:ascii="Times New Roman" w:eastAsia="Times New Roman" w:hAnsi="Times New Roman" w:cs="Times New Roman"/>
      <w:sz w:val="22"/>
      <w:szCs w:val="20"/>
      <w:lang w:eastAsia="en-GB"/>
    </w:rPr>
  </w:style>
  <w:style w:type="character" w:styleId="EndnoteReference">
    <w:name w:val="endnote reference"/>
    <w:basedOn w:val="DefaultParagraphFont"/>
    <w:rsid w:val="00AF5984"/>
    <w:rPr>
      <w:vertAlign w:val="superscript"/>
    </w:rPr>
  </w:style>
  <w:style w:type="paragraph" w:styleId="FootnoteText">
    <w:name w:val="footnote text"/>
    <w:basedOn w:val="Normal"/>
    <w:link w:val="FootnoteTextChar"/>
    <w:uiPriority w:val="99"/>
    <w:semiHidden/>
    <w:unhideWhenUsed/>
    <w:rsid w:val="00E62C3E"/>
    <w:rPr>
      <w:sz w:val="20"/>
      <w:szCs w:val="20"/>
    </w:rPr>
  </w:style>
  <w:style w:type="character" w:customStyle="1" w:styleId="FootnoteTextChar">
    <w:name w:val="Footnote Text Char"/>
    <w:basedOn w:val="DefaultParagraphFont"/>
    <w:link w:val="FootnoteText"/>
    <w:uiPriority w:val="99"/>
    <w:semiHidden/>
    <w:rsid w:val="00E62C3E"/>
    <w:rPr>
      <w:sz w:val="20"/>
      <w:szCs w:val="20"/>
    </w:rPr>
  </w:style>
  <w:style w:type="character" w:styleId="FootnoteReference">
    <w:name w:val="footnote reference"/>
    <w:basedOn w:val="DefaultParagraphFont"/>
    <w:uiPriority w:val="99"/>
    <w:semiHidden/>
    <w:unhideWhenUsed/>
    <w:rsid w:val="00E62C3E"/>
    <w:rPr>
      <w:vertAlign w:val="superscript"/>
    </w:rPr>
  </w:style>
  <w:style w:type="paragraph" w:styleId="ListParagraph">
    <w:name w:val="List Paragraph"/>
    <w:basedOn w:val="Normal"/>
    <w:rsid w:val="00FA2102"/>
    <w:pPr>
      <w:spacing w:line="480" w:lineRule="auto"/>
      <w:ind w:left="720"/>
      <w:contextualSpacing/>
      <w:jc w:val="left"/>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B25A6F"/>
    <w:rPr>
      <w:sz w:val="16"/>
      <w:szCs w:val="16"/>
    </w:rPr>
  </w:style>
  <w:style w:type="paragraph" w:styleId="CommentText">
    <w:name w:val="annotation text"/>
    <w:basedOn w:val="Normal"/>
    <w:link w:val="CommentTextChar"/>
    <w:uiPriority w:val="99"/>
    <w:semiHidden/>
    <w:unhideWhenUsed/>
    <w:rsid w:val="00B25A6F"/>
    <w:rPr>
      <w:sz w:val="20"/>
      <w:szCs w:val="20"/>
    </w:rPr>
  </w:style>
  <w:style w:type="character" w:customStyle="1" w:styleId="CommentTextChar">
    <w:name w:val="Comment Text Char"/>
    <w:basedOn w:val="DefaultParagraphFont"/>
    <w:link w:val="CommentText"/>
    <w:uiPriority w:val="99"/>
    <w:semiHidden/>
    <w:rsid w:val="00B25A6F"/>
    <w:rPr>
      <w:sz w:val="20"/>
      <w:szCs w:val="20"/>
    </w:rPr>
  </w:style>
  <w:style w:type="paragraph" w:styleId="CommentSubject">
    <w:name w:val="annotation subject"/>
    <w:basedOn w:val="CommentText"/>
    <w:next w:val="CommentText"/>
    <w:link w:val="CommentSubjectChar"/>
    <w:uiPriority w:val="99"/>
    <w:semiHidden/>
    <w:unhideWhenUsed/>
    <w:rsid w:val="00B25A6F"/>
    <w:rPr>
      <w:b/>
      <w:bCs/>
    </w:rPr>
  </w:style>
  <w:style w:type="character" w:customStyle="1" w:styleId="CommentSubjectChar">
    <w:name w:val="Comment Subject Char"/>
    <w:basedOn w:val="CommentTextChar"/>
    <w:link w:val="CommentSubject"/>
    <w:uiPriority w:val="99"/>
    <w:semiHidden/>
    <w:rsid w:val="00B25A6F"/>
    <w:rPr>
      <w:b/>
      <w:bCs/>
      <w:sz w:val="20"/>
      <w:szCs w:val="20"/>
    </w:rPr>
  </w:style>
  <w:style w:type="paragraph" w:styleId="Header">
    <w:name w:val="header"/>
    <w:basedOn w:val="Normal"/>
    <w:link w:val="HeaderChar"/>
    <w:uiPriority w:val="99"/>
    <w:unhideWhenUsed/>
    <w:rsid w:val="00125AED"/>
    <w:pPr>
      <w:tabs>
        <w:tab w:val="center" w:pos="4680"/>
        <w:tab w:val="right" w:pos="9360"/>
      </w:tabs>
    </w:pPr>
  </w:style>
  <w:style w:type="character" w:customStyle="1" w:styleId="HeaderChar">
    <w:name w:val="Header Char"/>
    <w:basedOn w:val="DefaultParagraphFont"/>
    <w:link w:val="Header"/>
    <w:uiPriority w:val="99"/>
    <w:rsid w:val="00125AED"/>
  </w:style>
  <w:style w:type="paragraph" w:styleId="Footer">
    <w:name w:val="footer"/>
    <w:basedOn w:val="Normal"/>
    <w:link w:val="FooterChar"/>
    <w:uiPriority w:val="99"/>
    <w:unhideWhenUsed/>
    <w:rsid w:val="00125AED"/>
    <w:pPr>
      <w:tabs>
        <w:tab w:val="center" w:pos="4680"/>
        <w:tab w:val="right" w:pos="9360"/>
      </w:tabs>
    </w:pPr>
  </w:style>
  <w:style w:type="character" w:customStyle="1" w:styleId="FooterChar">
    <w:name w:val="Footer Char"/>
    <w:basedOn w:val="DefaultParagraphFont"/>
    <w:link w:val="Footer"/>
    <w:uiPriority w:val="99"/>
    <w:rsid w:val="0012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B805-64E1-478E-8637-FA30E2E4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5</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Reeling, Carson J</dc:creator>
  <cp:keywords/>
  <dc:description/>
  <cp:lastModifiedBy>Reeling, Carson J</cp:lastModifiedBy>
  <cp:revision>223</cp:revision>
  <dcterms:created xsi:type="dcterms:W3CDTF">2023-09-19T13:41:00Z</dcterms:created>
  <dcterms:modified xsi:type="dcterms:W3CDTF">2023-10-04T16:59:00Z</dcterms:modified>
</cp:coreProperties>
</file>