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F99F" w14:textId="537928C2" w:rsidR="0077040E" w:rsidRPr="00BA6F0C" w:rsidRDefault="0077040E" w:rsidP="00DE6B36">
      <w:pPr>
        <w:jc w:val="center"/>
        <w:rPr>
          <w:rFonts w:ascii="Times New Roman" w:hAnsi="Times New Roman" w:cs="Times New Roman"/>
          <w:b/>
          <w:bCs/>
          <w:u w:val="single"/>
        </w:rPr>
      </w:pPr>
      <w:r w:rsidRPr="00BA6F0C">
        <w:rPr>
          <w:rFonts w:ascii="Times New Roman" w:hAnsi="Times New Roman" w:cs="Times New Roman"/>
          <w:b/>
          <w:bCs/>
          <w:u w:val="single"/>
        </w:rPr>
        <w:t>Supplemental Materials</w:t>
      </w:r>
    </w:p>
    <w:p w14:paraId="3B8CEC75" w14:textId="77777777" w:rsidR="00DE6B36" w:rsidRPr="00DE6B36" w:rsidRDefault="00DE6B36" w:rsidP="00DE6B36">
      <w:pPr>
        <w:jc w:val="center"/>
        <w:rPr>
          <w:rFonts w:ascii="Times New Roman" w:hAnsi="Times New Roman" w:cs="Times New Roman"/>
        </w:rPr>
      </w:pPr>
    </w:p>
    <w:p w14:paraId="176C49E7" w14:textId="77777777" w:rsidR="00DE6B36" w:rsidRPr="00DE6B36" w:rsidRDefault="00DE6B36" w:rsidP="00DE6B36">
      <w:pPr>
        <w:jc w:val="center"/>
        <w:rPr>
          <w:rFonts w:ascii="Times New Roman" w:hAnsi="Times New Roman" w:cs="Times New Roman"/>
        </w:rPr>
      </w:pPr>
    </w:p>
    <w:p w14:paraId="3B008702" w14:textId="77777777" w:rsidR="00DE6B36" w:rsidRPr="00DE6B36" w:rsidRDefault="00DE6B36" w:rsidP="00DE6B36">
      <w:pPr>
        <w:jc w:val="center"/>
        <w:rPr>
          <w:rFonts w:ascii="Times New Roman" w:hAnsi="Times New Roman" w:cs="Times New Roman"/>
          <w:b/>
          <w:bCs/>
        </w:rPr>
      </w:pPr>
      <w:r w:rsidRPr="00DE6B36">
        <w:rPr>
          <w:rFonts w:ascii="Times New Roman" w:hAnsi="Times New Roman" w:cs="Times New Roman"/>
          <w:b/>
          <w:bCs/>
        </w:rPr>
        <w:t>Impact of age and apolipoprotein E ε4 status on regional white matter hyperintensity volume and cognition in healthy aging</w:t>
      </w:r>
    </w:p>
    <w:p w14:paraId="1E482EDF" w14:textId="77777777" w:rsidR="00DE6B36" w:rsidRPr="00DE6B36" w:rsidRDefault="00DE6B36" w:rsidP="00DE6B36">
      <w:pPr>
        <w:pStyle w:val="NormalWeb"/>
      </w:pPr>
    </w:p>
    <w:p w14:paraId="523ADE01" w14:textId="727EBB94" w:rsidR="00DE6B36" w:rsidRDefault="00DE6B36" w:rsidP="00DE6B36">
      <w:pPr>
        <w:pStyle w:val="NormalWeb"/>
        <w:rPr>
          <w:b/>
          <w:bCs/>
        </w:rPr>
      </w:pPr>
    </w:p>
    <w:p w14:paraId="49C13A7E" w14:textId="77777777" w:rsidR="00BA6F0C" w:rsidRDefault="00BA6F0C" w:rsidP="00DE6B36">
      <w:pPr>
        <w:pStyle w:val="NormalWeb"/>
        <w:rPr>
          <w:b/>
          <w:bCs/>
        </w:rPr>
      </w:pPr>
    </w:p>
    <w:p w14:paraId="5BB00A8C" w14:textId="77777777" w:rsidR="00BA6F0C" w:rsidRPr="00DE6B36" w:rsidRDefault="00BA6F0C" w:rsidP="00DE6B36">
      <w:pPr>
        <w:pStyle w:val="NormalWeb"/>
        <w:rPr>
          <w:b/>
          <w:bCs/>
        </w:rPr>
      </w:pPr>
    </w:p>
    <w:p w14:paraId="04173423" w14:textId="77777777" w:rsidR="00DE6B36" w:rsidRPr="00DE6B36" w:rsidRDefault="00DE6B36" w:rsidP="00DE6B36">
      <w:pPr>
        <w:jc w:val="center"/>
        <w:rPr>
          <w:rFonts w:ascii="Times New Roman" w:hAnsi="Times New Roman" w:cs="Times New Roman"/>
        </w:rPr>
      </w:pPr>
    </w:p>
    <w:p w14:paraId="0937D3CC" w14:textId="77777777" w:rsidR="00DE6B36" w:rsidRPr="00DE6B36" w:rsidRDefault="00DE6B36" w:rsidP="00DE6B36">
      <w:pPr>
        <w:jc w:val="center"/>
        <w:rPr>
          <w:rFonts w:ascii="Times New Roman" w:hAnsi="Times New Roman" w:cs="Times New Roman"/>
        </w:rPr>
      </w:pPr>
    </w:p>
    <w:p w14:paraId="1C754421" w14:textId="77777777" w:rsidR="009A170A" w:rsidRDefault="00DE6B36" w:rsidP="009A170A">
      <w:pPr>
        <w:jc w:val="center"/>
        <w:rPr>
          <w:rFonts w:ascii="Times New Roman" w:hAnsi="Times New Roman" w:cs="Times New Roman"/>
        </w:rPr>
      </w:pPr>
      <w:r w:rsidRPr="00DE6B36">
        <w:rPr>
          <w:rFonts w:ascii="Times New Roman" w:hAnsi="Times New Roman" w:cs="Times New Roman"/>
        </w:rPr>
        <w:t xml:space="preserve">Emily J. Van </w:t>
      </w:r>
      <w:proofErr w:type="spellStart"/>
      <w:proofErr w:type="gramStart"/>
      <w:r w:rsidRPr="00DE6B36">
        <w:rPr>
          <w:rFonts w:ascii="Times New Roman" w:hAnsi="Times New Roman" w:cs="Times New Roman"/>
        </w:rPr>
        <w:t>Etten</w:t>
      </w:r>
      <w:r w:rsidRPr="00DE6B36">
        <w:rPr>
          <w:rFonts w:ascii="Times New Roman" w:hAnsi="Times New Roman" w:cs="Times New Roman"/>
          <w:vertAlign w:val="superscript"/>
        </w:rPr>
        <w:t>a,b</w:t>
      </w:r>
      <w:proofErr w:type="spellEnd"/>
      <w:proofErr w:type="gramEnd"/>
      <w:r w:rsidRPr="00DE6B36">
        <w:rPr>
          <w:rFonts w:ascii="Times New Roman" w:hAnsi="Times New Roman" w:cs="Times New Roman"/>
        </w:rPr>
        <w:t xml:space="preserve">, Pradyumna K. </w:t>
      </w:r>
      <w:proofErr w:type="spellStart"/>
      <w:r w:rsidRPr="00DE6B36">
        <w:rPr>
          <w:rFonts w:ascii="Times New Roman" w:hAnsi="Times New Roman" w:cs="Times New Roman"/>
        </w:rPr>
        <w:t>Bharadwaj</w:t>
      </w:r>
      <w:r w:rsidRPr="00DE6B36">
        <w:rPr>
          <w:rFonts w:ascii="Times New Roman" w:hAnsi="Times New Roman" w:cs="Times New Roman"/>
          <w:vertAlign w:val="superscript"/>
        </w:rPr>
        <w:t>a,b</w:t>
      </w:r>
      <w:proofErr w:type="spellEnd"/>
      <w:r w:rsidRPr="00DE6B36">
        <w:rPr>
          <w:rFonts w:ascii="Times New Roman" w:hAnsi="Times New Roman" w:cs="Times New Roman"/>
        </w:rPr>
        <w:t xml:space="preserve">, Matthew D. </w:t>
      </w:r>
      <w:proofErr w:type="spellStart"/>
      <w:r w:rsidRPr="00DE6B36">
        <w:rPr>
          <w:rFonts w:ascii="Times New Roman" w:hAnsi="Times New Roman" w:cs="Times New Roman"/>
        </w:rPr>
        <w:t>Grilli</w:t>
      </w:r>
      <w:r w:rsidRPr="00DE6B36">
        <w:rPr>
          <w:rFonts w:ascii="Times New Roman" w:hAnsi="Times New Roman" w:cs="Times New Roman"/>
          <w:vertAlign w:val="superscript"/>
        </w:rPr>
        <w:t>a,b,c</w:t>
      </w:r>
      <w:proofErr w:type="spellEnd"/>
      <w:r w:rsidRPr="00DE6B36">
        <w:rPr>
          <w:rFonts w:ascii="Times New Roman" w:hAnsi="Times New Roman" w:cs="Times New Roman"/>
        </w:rPr>
        <w:t xml:space="preserve">, David A. </w:t>
      </w:r>
      <w:proofErr w:type="spellStart"/>
      <w:r w:rsidRPr="00DE6B36">
        <w:rPr>
          <w:rFonts w:ascii="Times New Roman" w:hAnsi="Times New Roman" w:cs="Times New Roman"/>
        </w:rPr>
        <w:t>Raichlen</w:t>
      </w:r>
      <w:r w:rsidRPr="00DE6B36">
        <w:rPr>
          <w:rFonts w:ascii="Times New Roman" w:hAnsi="Times New Roman" w:cs="Times New Roman"/>
          <w:vertAlign w:val="superscript"/>
        </w:rPr>
        <w:t>d</w:t>
      </w:r>
      <w:proofErr w:type="spellEnd"/>
      <w:r w:rsidRPr="00DE6B36">
        <w:rPr>
          <w:rFonts w:ascii="Times New Roman" w:hAnsi="Times New Roman" w:cs="Times New Roman"/>
        </w:rPr>
        <w:t xml:space="preserve">, Georg A. </w:t>
      </w:r>
      <w:proofErr w:type="spellStart"/>
      <w:r w:rsidRPr="00DE6B36">
        <w:rPr>
          <w:rFonts w:ascii="Times New Roman" w:hAnsi="Times New Roman" w:cs="Times New Roman"/>
        </w:rPr>
        <w:t>Hishaw</w:t>
      </w:r>
      <w:r w:rsidRPr="00DE6B36">
        <w:rPr>
          <w:rFonts w:ascii="Times New Roman" w:hAnsi="Times New Roman" w:cs="Times New Roman"/>
          <w:vertAlign w:val="superscript"/>
        </w:rPr>
        <w:t>c</w:t>
      </w:r>
      <w:proofErr w:type="spellEnd"/>
      <w:r w:rsidRPr="00DE6B36">
        <w:rPr>
          <w:rFonts w:ascii="Times New Roman" w:hAnsi="Times New Roman" w:cs="Times New Roman"/>
        </w:rPr>
        <w:t xml:space="preserve">, Matthew J. </w:t>
      </w:r>
      <w:proofErr w:type="spellStart"/>
      <w:r w:rsidRPr="00DE6B36">
        <w:rPr>
          <w:rFonts w:ascii="Times New Roman" w:hAnsi="Times New Roman" w:cs="Times New Roman"/>
        </w:rPr>
        <w:t>Huentelman</w:t>
      </w:r>
      <w:r w:rsidRPr="00DE6B36">
        <w:rPr>
          <w:rFonts w:ascii="Times New Roman" w:hAnsi="Times New Roman" w:cs="Times New Roman"/>
          <w:vertAlign w:val="superscript"/>
        </w:rPr>
        <w:t>b,e</w:t>
      </w:r>
      <w:proofErr w:type="spellEnd"/>
      <w:r w:rsidRPr="00DE6B36">
        <w:rPr>
          <w:rFonts w:ascii="Times New Roman" w:hAnsi="Times New Roman" w:cs="Times New Roman"/>
          <w:vertAlign w:val="superscript"/>
        </w:rPr>
        <w:t>,</w:t>
      </w:r>
      <w:r w:rsidRPr="00DE6B36">
        <w:rPr>
          <w:rFonts w:ascii="Times New Roman" w:hAnsi="Times New Roman" w:cs="Times New Roman"/>
        </w:rPr>
        <w:t xml:space="preserve">, Theodore P. </w:t>
      </w:r>
      <w:proofErr w:type="spellStart"/>
      <w:r w:rsidRPr="00DE6B36">
        <w:rPr>
          <w:rFonts w:ascii="Times New Roman" w:hAnsi="Times New Roman" w:cs="Times New Roman"/>
        </w:rPr>
        <w:t>Trouard</w:t>
      </w:r>
      <w:r w:rsidRPr="00DE6B36">
        <w:rPr>
          <w:rFonts w:ascii="Times New Roman" w:hAnsi="Times New Roman" w:cs="Times New Roman"/>
          <w:vertAlign w:val="superscript"/>
        </w:rPr>
        <w:t>b,f,g</w:t>
      </w:r>
      <w:proofErr w:type="spellEnd"/>
      <w:r w:rsidRPr="00DE6B36">
        <w:rPr>
          <w:rFonts w:ascii="Times New Roman" w:hAnsi="Times New Roman" w:cs="Times New Roman"/>
        </w:rPr>
        <w:t xml:space="preserve">, &amp; </w:t>
      </w:r>
    </w:p>
    <w:p w14:paraId="3DC4EB9D" w14:textId="104E0728" w:rsidR="00DE6B36" w:rsidRPr="00AA39A6" w:rsidRDefault="00DE6B36" w:rsidP="009A170A">
      <w:pPr>
        <w:jc w:val="center"/>
        <w:rPr>
          <w:rFonts w:ascii="Times New Roman" w:hAnsi="Times New Roman" w:cs="Times New Roman"/>
        </w:rPr>
      </w:pPr>
      <w:r w:rsidRPr="00DE6B36">
        <w:rPr>
          <w:rFonts w:ascii="Times New Roman" w:hAnsi="Times New Roman" w:cs="Times New Roman"/>
        </w:rPr>
        <w:t xml:space="preserve">Gene E. </w:t>
      </w:r>
      <w:proofErr w:type="spellStart"/>
      <w:proofErr w:type="gramStart"/>
      <w:r w:rsidRPr="00DE6B36">
        <w:rPr>
          <w:rFonts w:ascii="Times New Roman" w:hAnsi="Times New Roman" w:cs="Times New Roman"/>
        </w:rPr>
        <w:t>Alexander</w:t>
      </w:r>
      <w:r w:rsidRPr="00DE6B36">
        <w:rPr>
          <w:rFonts w:ascii="Times New Roman" w:hAnsi="Times New Roman" w:cs="Times New Roman"/>
          <w:vertAlign w:val="superscript"/>
        </w:rPr>
        <w:t>a,b</w:t>
      </w:r>
      <w:proofErr w:type="gramEnd"/>
      <w:r w:rsidRPr="00DE6B36">
        <w:rPr>
          <w:rFonts w:ascii="Times New Roman" w:hAnsi="Times New Roman" w:cs="Times New Roman"/>
          <w:vertAlign w:val="superscript"/>
        </w:rPr>
        <w:t>,f,h,i,j</w:t>
      </w:r>
      <w:proofErr w:type="spellEnd"/>
    </w:p>
    <w:p w14:paraId="468FA9D8" w14:textId="77777777" w:rsidR="00DE6B36" w:rsidRPr="00DE6B36" w:rsidRDefault="00DE6B36" w:rsidP="00DE6B36">
      <w:pPr>
        <w:jc w:val="center"/>
        <w:rPr>
          <w:rFonts w:ascii="Times New Roman" w:hAnsi="Times New Roman" w:cs="Times New Roman"/>
          <w:vertAlign w:val="superscript"/>
        </w:rPr>
      </w:pPr>
    </w:p>
    <w:p w14:paraId="1073AC12" w14:textId="77777777" w:rsidR="00DE6B36" w:rsidRPr="00DE6B36" w:rsidRDefault="00DE6B36" w:rsidP="00DE6B36">
      <w:pPr>
        <w:jc w:val="center"/>
        <w:rPr>
          <w:rFonts w:ascii="Times New Roman" w:hAnsi="Times New Roman" w:cs="Times New Roman"/>
          <w:vertAlign w:val="superscript"/>
        </w:rPr>
      </w:pPr>
    </w:p>
    <w:p w14:paraId="546F3147" w14:textId="77777777" w:rsidR="00DE6B36" w:rsidRDefault="00DE6B36" w:rsidP="00DE6B36">
      <w:pPr>
        <w:rPr>
          <w:rFonts w:ascii="Times New Roman" w:hAnsi="Times New Roman" w:cs="Times New Roman"/>
          <w:vertAlign w:val="superscript"/>
        </w:rPr>
      </w:pPr>
    </w:p>
    <w:p w14:paraId="2F9738B1" w14:textId="77777777" w:rsidR="00BA6F0C" w:rsidRDefault="00BA6F0C" w:rsidP="00DE6B36">
      <w:pPr>
        <w:rPr>
          <w:rFonts w:ascii="Times New Roman" w:hAnsi="Times New Roman" w:cs="Times New Roman"/>
          <w:vertAlign w:val="superscript"/>
        </w:rPr>
      </w:pPr>
    </w:p>
    <w:p w14:paraId="2888CD4A" w14:textId="77777777" w:rsidR="00BA6F0C" w:rsidRPr="00DE6B36" w:rsidRDefault="00BA6F0C" w:rsidP="00DE6B36">
      <w:pPr>
        <w:rPr>
          <w:rFonts w:ascii="Times New Roman" w:hAnsi="Times New Roman" w:cs="Times New Roman"/>
          <w:vertAlign w:val="superscript"/>
        </w:rPr>
      </w:pPr>
    </w:p>
    <w:p w14:paraId="48C265E8" w14:textId="77777777" w:rsidR="00DE6B36" w:rsidRPr="00DE6B36" w:rsidRDefault="00DE6B36" w:rsidP="00DE6B36">
      <w:pPr>
        <w:rPr>
          <w:rFonts w:ascii="Times New Roman" w:hAnsi="Times New Roman" w:cs="Times New Roman"/>
          <w:vertAlign w:val="superscript"/>
        </w:rPr>
      </w:pPr>
    </w:p>
    <w:p w14:paraId="64CC4B72"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a</w:t>
      </w:r>
      <w:r w:rsidRPr="00DE6B36">
        <w:rPr>
          <w:rFonts w:ascii="Times New Roman" w:hAnsi="Times New Roman" w:cs="Times New Roman"/>
        </w:rPr>
        <w:t>Department</w:t>
      </w:r>
      <w:proofErr w:type="spellEnd"/>
      <w:r w:rsidRPr="00DE6B36">
        <w:rPr>
          <w:rFonts w:ascii="Times New Roman" w:hAnsi="Times New Roman" w:cs="Times New Roman"/>
        </w:rPr>
        <w:t xml:space="preserve"> of Psychology, University of Arizona, Tucson, AZ, USA</w:t>
      </w:r>
    </w:p>
    <w:p w14:paraId="0C775046"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b</w:t>
      </w:r>
      <w:r w:rsidRPr="00DE6B36">
        <w:rPr>
          <w:rFonts w:ascii="Times New Roman" w:hAnsi="Times New Roman" w:cs="Times New Roman"/>
        </w:rPr>
        <w:t>Evelyn</w:t>
      </w:r>
      <w:proofErr w:type="spellEnd"/>
      <w:r w:rsidRPr="00DE6B36">
        <w:rPr>
          <w:rFonts w:ascii="Times New Roman" w:hAnsi="Times New Roman" w:cs="Times New Roman"/>
        </w:rPr>
        <w:t xml:space="preserve"> F. McKnight Brain Institute, University of Arizona, Tucson, AZ, USA</w:t>
      </w:r>
    </w:p>
    <w:p w14:paraId="584F4A92"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c</w:t>
      </w:r>
      <w:r w:rsidRPr="00DE6B36">
        <w:rPr>
          <w:rFonts w:ascii="Times New Roman" w:hAnsi="Times New Roman" w:cs="Times New Roman"/>
        </w:rPr>
        <w:t>Department</w:t>
      </w:r>
      <w:proofErr w:type="spellEnd"/>
      <w:r w:rsidRPr="00DE6B36">
        <w:rPr>
          <w:rFonts w:ascii="Times New Roman" w:hAnsi="Times New Roman" w:cs="Times New Roman"/>
        </w:rPr>
        <w:t xml:space="preserve"> of Neurology, University of Arizona, Tucson, AZ, USA</w:t>
      </w:r>
    </w:p>
    <w:p w14:paraId="74ECA544"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d</w:t>
      </w:r>
      <w:r w:rsidRPr="00DE6B36">
        <w:rPr>
          <w:rFonts w:ascii="Times New Roman" w:hAnsi="Times New Roman" w:cs="Times New Roman"/>
        </w:rPr>
        <w:t>Human</w:t>
      </w:r>
      <w:proofErr w:type="spellEnd"/>
      <w:r w:rsidRPr="00DE6B36">
        <w:rPr>
          <w:rFonts w:ascii="Times New Roman" w:hAnsi="Times New Roman" w:cs="Times New Roman"/>
        </w:rPr>
        <w:t xml:space="preserve"> and Evolutionary Biology Section, Department of Biological Sciences, University of Southern California, Los Angeles, CA, USA.</w:t>
      </w:r>
    </w:p>
    <w:p w14:paraId="358D26ED"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e</w:t>
      </w:r>
      <w:r w:rsidRPr="00DE6B36">
        <w:rPr>
          <w:rFonts w:ascii="Times New Roman" w:hAnsi="Times New Roman" w:cs="Times New Roman"/>
        </w:rPr>
        <w:t>Neurogenomics</w:t>
      </w:r>
      <w:proofErr w:type="spellEnd"/>
      <w:r w:rsidRPr="00DE6B36">
        <w:rPr>
          <w:rFonts w:ascii="Times New Roman" w:hAnsi="Times New Roman" w:cs="Times New Roman"/>
        </w:rPr>
        <w:t xml:space="preserve"> Division, The Translational Genomics Research Institute (TGen), Phoenix, AZ, USA</w:t>
      </w:r>
    </w:p>
    <w:p w14:paraId="031B2A71"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f</w:t>
      </w:r>
      <w:r w:rsidRPr="00DE6B36">
        <w:rPr>
          <w:rFonts w:ascii="Times New Roman" w:hAnsi="Times New Roman" w:cs="Times New Roman"/>
        </w:rPr>
        <w:t>Arizona</w:t>
      </w:r>
      <w:proofErr w:type="spellEnd"/>
      <w:r w:rsidRPr="00DE6B36">
        <w:rPr>
          <w:rFonts w:ascii="Times New Roman" w:hAnsi="Times New Roman" w:cs="Times New Roman"/>
        </w:rPr>
        <w:t xml:space="preserve"> Alzheimer’s Consortium, Phoenix, AZ, USA</w:t>
      </w:r>
    </w:p>
    <w:p w14:paraId="4437EA72"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g</w:t>
      </w:r>
      <w:r w:rsidRPr="00DE6B36">
        <w:rPr>
          <w:rFonts w:ascii="Times New Roman" w:hAnsi="Times New Roman" w:cs="Times New Roman"/>
        </w:rPr>
        <w:t>Department</w:t>
      </w:r>
      <w:proofErr w:type="spellEnd"/>
      <w:r w:rsidRPr="00DE6B36">
        <w:rPr>
          <w:rFonts w:ascii="Times New Roman" w:hAnsi="Times New Roman" w:cs="Times New Roman"/>
        </w:rPr>
        <w:t xml:space="preserve"> of Biomedical Engineering, University of Arizona, Tucson, AZ, USA</w:t>
      </w:r>
    </w:p>
    <w:p w14:paraId="3029F680"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h</w:t>
      </w:r>
      <w:r w:rsidRPr="00DE6B36">
        <w:rPr>
          <w:rFonts w:ascii="Times New Roman" w:hAnsi="Times New Roman" w:cs="Times New Roman"/>
        </w:rPr>
        <w:t>Department</w:t>
      </w:r>
      <w:proofErr w:type="spellEnd"/>
      <w:r w:rsidRPr="00DE6B36">
        <w:rPr>
          <w:rFonts w:ascii="Times New Roman" w:hAnsi="Times New Roman" w:cs="Times New Roman"/>
        </w:rPr>
        <w:t xml:space="preserve"> of Psychiatry, University of Arizona, Tucson, AZ 85721, USA </w:t>
      </w:r>
    </w:p>
    <w:p w14:paraId="54E26A3C"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i</w:t>
      </w:r>
      <w:r w:rsidRPr="00DE6B36">
        <w:rPr>
          <w:rFonts w:ascii="Times New Roman" w:hAnsi="Times New Roman" w:cs="Times New Roman"/>
        </w:rPr>
        <w:t>Neuroscience</w:t>
      </w:r>
      <w:proofErr w:type="spellEnd"/>
      <w:r w:rsidRPr="00DE6B36">
        <w:rPr>
          <w:rFonts w:ascii="Times New Roman" w:hAnsi="Times New Roman" w:cs="Times New Roman"/>
        </w:rPr>
        <w:t xml:space="preserve"> Graduate Interdisciplinary Program, University of Arizona, Tucson, AZ 85721, USA</w:t>
      </w:r>
    </w:p>
    <w:p w14:paraId="0D12628E" w14:textId="77777777" w:rsidR="00DE6B36" w:rsidRPr="00DE6B36" w:rsidRDefault="00DE6B36" w:rsidP="00BA6F0C">
      <w:pPr>
        <w:rPr>
          <w:rFonts w:ascii="Times New Roman" w:hAnsi="Times New Roman" w:cs="Times New Roman"/>
        </w:rPr>
      </w:pPr>
      <w:proofErr w:type="spellStart"/>
      <w:r w:rsidRPr="00DE6B36">
        <w:rPr>
          <w:rFonts w:ascii="Times New Roman" w:hAnsi="Times New Roman" w:cs="Times New Roman"/>
          <w:vertAlign w:val="superscript"/>
        </w:rPr>
        <w:t>j</w:t>
      </w:r>
      <w:r w:rsidRPr="00DE6B36">
        <w:rPr>
          <w:rFonts w:ascii="Times New Roman" w:hAnsi="Times New Roman" w:cs="Times New Roman"/>
        </w:rPr>
        <w:t>Physiological</w:t>
      </w:r>
      <w:proofErr w:type="spellEnd"/>
      <w:r w:rsidRPr="00DE6B36">
        <w:rPr>
          <w:rFonts w:ascii="Times New Roman" w:hAnsi="Times New Roman" w:cs="Times New Roman"/>
        </w:rPr>
        <w:t xml:space="preserve"> Sciences Graduate Interdisciplinary Program, University of Arizona, Tucson, AZ 85721, USA</w:t>
      </w:r>
    </w:p>
    <w:p w14:paraId="6C02A392" w14:textId="77777777" w:rsidR="0077040E" w:rsidRDefault="0077040E" w:rsidP="0077040E">
      <w:pPr>
        <w:rPr>
          <w:rFonts w:ascii="Times New Roman" w:hAnsi="Times New Roman" w:cs="Times New Roman"/>
        </w:rPr>
      </w:pPr>
    </w:p>
    <w:p w14:paraId="3F1D5AD3" w14:textId="77777777" w:rsidR="00DE6B36" w:rsidRDefault="00DE6B36">
      <w:pPr>
        <w:rPr>
          <w:rFonts w:ascii="Times New Roman" w:hAnsi="Times New Roman" w:cs="Times New Roman"/>
        </w:rPr>
      </w:pPr>
      <w:r>
        <w:rPr>
          <w:rFonts w:ascii="Times New Roman" w:hAnsi="Times New Roman" w:cs="Times New Roman"/>
        </w:rPr>
        <w:br w:type="page"/>
      </w:r>
    </w:p>
    <w:p w14:paraId="6920A5D1" w14:textId="5A33A77E" w:rsidR="00DE6B36" w:rsidRDefault="00DE6B36" w:rsidP="00DE6B36">
      <w:pPr>
        <w:ind w:firstLine="720"/>
        <w:jc w:val="center"/>
        <w:rPr>
          <w:rFonts w:ascii="Times New Roman" w:hAnsi="Times New Roman" w:cs="Times New Roman"/>
          <w:u w:val="single"/>
        </w:rPr>
      </w:pPr>
      <w:r>
        <w:rPr>
          <w:rFonts w:ascii="Times New Roman" w:hAnsi="Times New Roman" w:cs="Times New Roman"/>
          <w:u w:val="single"/>
        </w:rPr>
        <w:lastRenderedPageBreak/>
        <w:t>Description of the Overall Study</w:t>
      </w:r>
    </w:p>
    <w:p w14:paraId="7AC08CC1" w14:textId="77777777" w:rsidR="00DE6B36" w:rsidRPr="00DE6B36" w:rsidRDefault="00DE6B36" w:rsidP="00DE6B36">
      <w:pPr>
        <w:ind w:firstLine="720"/>
        <w:jc w:val="center"/>
        <w:rPr>
          <w:rFonts w:ascii="Times New Roman" w:hAnsi="Times New Roman" w:cs="Times New Roman"/>
          <w:u w:val="single"/>
        </w:rPr>
      </w:pPr>
    </w:p>
    <w:p w14:paraId="41404EDE" w14:textId="169E5EF3" w:rsidR="0077040E" w:rsidRDefault="0077040E" w:rsidP="0077040E">
      <w:pPr>
        <w:ind w:firstLine="720"/>
      </w:pPr>
      <w:r w:rsidRPr="0077040E">
        <w:rPr>
          <w:rFonts w:ascii="Times New Roman" w:hAnsi="Times New Roman" w:cs="Times New Roman"/>
        </w:rPr>
        <w:t>The goal of th</w:t>
      </w:r>
      <w:r>
        <w:rPr>
          <w:rFonts w:ascii="Times New Roman" w:hAnsi="Times New Roman" w:cs="Times New Roman"/>
        </w:rPr>
        <w:t xml:space="preserve">e overall </w:t>
      </w:r>
      <w:r w:rsidRPr="0077040E">
        <w:rPr>
          <w:rFonts w:ascii="Times New Roman" w:hAnsi="Times New Roman" w:cs="Times New Roman"/>
        </w:rPr>
        <w:t>study</w:t>
      </w:r>
      <w:r>
        <w:rPr>
          <w:rFonts w:ascii="Times New Roman" w:hAnsi="Times New Roman" w:cs="Times New Roman"/>
        </w:rPr>
        <w:t xml:space="preserve"> (Brain </w:t>
      </w:r>
      <w:r w:rsidR="00CF03BB">
        <w:rPr>
          <w:rFonts w:ascii="Times New Roman" w:hAnsi="Times New Roman" w:cs="Times New Roman"/>
        </w:rPr>
        <w:t xml:space="preserve">Aging </w:t>
      </w:r>
      <w:r>
        <w:rPr>
          <w:rFonts w:ascii="Times New Roman" w:hAnsi="Times New Roman" w:cs="Times New Roman"/>
        </w:rPr>
        <w:t>and Memory Study; BAMS)</w:t>
      </w:r>
      <w:r w:rsidRPr="0077040E">
        <w:rPr>
          <w:rFonts w:ascii="Times New Roman" w:hAnsi="Times New Roman" w:cs="Times New Roman"/>
        </w:rPr>
        <w:t xml:space="preserve"> </w:t>
      </w:r>
      <w:r w:rsidR="009A170A">
        <w:rPr>
          <w:rFonts w:ascii="Times New Roman" w:hAnsi="Times New Roman" w:cs="Times New Roman"/>
        </w:rPr>
        <w:t xml:space="preserve">from </w:t>
      </w:r>
      <w:r>
        <w:rPr>
          <w:rFonts w:ascii="Times New Roman" w:hAnsi="Times New Roman" w:cs="Times New Roman"/>
        </w:rPr>
        <w:t xml:space="preserve">which the data for the present study was </w:t>
      </w:r>
      <w:r w:rsidR="00CF03BB">
        <w:rPr>
          <w:rFonts w:ascii="Times New Roman" w:hAnsi="Times New Roman" w:cs="Times New Roman"/>
        </w:rPr>
        <w:t>derived</w:t>
      </w:r>
      <w:r>
        <w:rPr>
          <w:rFonts w:ascii="Times New Roman" w:hAnsi="Times New Roman" w:cs="Times New Roman"/>
        </w:rPr>
        <w:t xml:space="preserve">, </w:t>
      </w:r>
      <w:r w:rsidRPr="0077040E">
        <w:rPr>
          <w:rFonts w:ascii="Times New Roman" w:hAnsi="Times New Roman" w:cs="Times New Roman"/>
        </w:rPr>
        <w:t xml:space="preserve">was to investigate how individual differences in health status and genetic risk for cognitive impairment affect the regional distribution and severity of brain changes associated with aging and age-related cognitive decline. </w:t>
      </w:r>
      <w:r>
        <w:rPr>
          <w:rFonts w:ascii="Times New Roman" w:hAnsi="Times New Roman" w:cs="Times New Roman"/>
        </w:rPr>
        <w:t>D</w:t>
      </w:r>
      <w:r w:rsidRPr="0077040E">
        <w:rPr>
          <w:rFonts w:ascii="Times New Roman" w:hAnsi="Times New Roman" w:cs="Times New Roman"/>
        </w:rPr>
        <w:t xml:space="preserve">ifferences in blood pressure, aerobic fitness, and the presence of the apolipoprotein E (APOE) </w:t>
      </w:r>
      <w:r w:rsidRPr="00DE6B36">
        <w:rPr>
          <w:rFonts w:ascii="Symbol" w:hAnsi="Symbol" w:cs="Times New Roman"/>
        </w:rPr>
        <w:t>e</w:t>
      </w:r>
      <w:r w:rsidRPr="0077040E">
        <w:rPr>
          <w:rFonts w:ascii="Times New Roman" w:hAnsi="Times New Roman" w:cs="Times New Roman"/>
        </w:rPr>
        <w:t>4 allele, a common susceptibility gene for Alzheimer's disease</w:t>
      </w:r>
      <w:r>
        <w:rPr>
          <w:rFonts w:ascii="Times New Roman" w:hAnsi="Times New Roman" w:cs="Times New Roman"/>
        </w:rPr>
        <w:t xml:space="preserve">, were factors of particular interest. </w:t>
      </w:r>
    </w:p>
    <w:p w14:paraId="66F4A852" w14:textId="1AA5D3AE" w:rsidR="0077040E" w:rsidRDefault="00B03FAC" w:rsidP="0077040E">
      <w:pPr>
        <w:ind w:firstLine="720"/>
        <w:rPr>
          <w:rFonts w:ascii="Times New Roman" w:hAnsi="Times New Roman" w:cs="Times New Roman"/>
        </w:rPr>
      </w:pPr>
      <w:r>
        <w:rPr>
          <w:rFonts w:ascii="Times New Roman" w:hAnsi="Times New Roman" w:cs="Times New Roman"/>
        </w:rPr>
        <w:t>Participants</w:t>
      </w:r>
      <w:r w:rsidR="0077040E">
        <w:rPr>
          <w:rFonts w:ascii="Times New Roman" w:hAnsi="Times New Roman" w:cs="Times New Roman"/>
        </w:rPr>
        <w:t xml:space="preserve"> were recruited from </w:t>
      </w:r>
      <w:r w:rsidR="0077040E" w:rsidRPr="0077040E">
        <w:rPr>
          <w:rFonts w:ascii="Times New Roman" w:hAnsi="Times New Roman" w:cs="Times New Roman"/>
        </w:rPr>
        <w:t>the Tucson-metro area by newspaper advertisement.</w:t>
      </w:r>
      <w:r w:rsidR="0077040E" w:rsidRPr="0077040E">
        <w:t xml:space="preserve"> </w:t>
      </w:r>
      <w:r w:rsidR="0077040E" w:rsidRPr="0077040E">
        <w:rPr>
          <w:rFonts w:ascii="Times New Roman" w:hAnsi="Times New Roman" w:cs="Times New Roman"/>
        </w:rPr>
        <w:t>Before they were enrolled in the study, participants underwent an extensive medical screen to exclude significant neurological</w:t>
      </w:r>
      <w:r w:rsidR="00B54852">
        <w:rPr>
          <w:rFonts w:ascii="Times New Roman" w:hAnsi="Times New Roman" w:cs="Times New Roman"/>
        </w:rPr>
        <w:t xml:space="preserve">, </w:t>
      </w:r>
      <w:r w:rsidR="0077040E" w:rsidRPr="0077040E">
        <w:rPr>
          <w:rFonts w:ascii="Times New Roman" w:hAnsi="Times New Roman" w:cs="Times New Roman"/>
        </w:rPr>
        <w:t>psychiatric</w:t>
      </w:r>
      <w:r w:rsidR="00B54852">
        <w:rPr>
          <w:rFonts w:ascii="Times New Roman" w:hAnsi="Times New Roman" w:cs="Times New Roman"/>
        </w:rPr>
        <w:t>, and medical</w:t>
      </w:r>
      <w:r w:rsidR="0077040E" w:rsidRPr="0077040E">
        <w:rPr>
          <w:rFonts w:ascii="Times New Roman" w:hAnsi="Times New Roman" w:cs="Times New Roman"/>
        </w:rPr>
        <w:t xml:space="preserve"> disorders</w:t>
      </w:r>
      <w:r w:rsidR="00B54852">
        <w:rPr>
          <w:rFonts w:ascii="Times New Roman" w:hAnsi="Times New Roman" w:cs="Times New Roman"/>
        </w:rPr>
        <w:t xml:space="preserve"> that could affect cognitive function</w:t>
      </w:r>
      <w:r w:rsidR="0077040E" w:rsidRPr="0077040E">
        <w:rPr>
          <w:rFonts w:ascii="Times New Roman" w:hAnsi="Times New Roman" w:cs="Times New Roman"/>
        </w:rPr>
        <w:t xml:space="preserve">. Information on their medical history and medication status were obtained </w:t>
      </w:r>
      <w:r w:rsidR="0077040E">
        <w:rPr>
          <w:rFonts w:ascii="Times New Roman" w:hAnsi="Times New Roman" w:cs="Times New Roman"/>
        </w:rPr>
        <w:t xml:space="preserve">by self-report </w:t>
      </w:r>
      <w:r w:rsidR="0077040E" w:rsidRPr="0077040E">
        <w:rPr>
          <w:rFonts w:ascii="Times New Roman" w:hAnsi="Times New Roman" w:cs="Times New Roman"/>
        </w:rPr>
        <w:t>and they had a physical and neurological examination performed by a neurologist who specializes in age-related cognitive disorders</w:t>
      </w:r>
      <w:r w:rsidR="0077040E">
        <w:rPr>
          <w:rFonts w:ascii="Times New Roman" w:hAnsi="Times New Roman" w:cs="Times New Roman"/>
        </w:rPr>
        <w:t xml:space="preserve"> (Franchetti et al., 2021; Nguyen et al., 2016; Van Etten et al., 2020)</w:t>
      </w:r>
      <w:r w:rsidR="0077040E" w:rsidRPr="0077040E">
        <w:rPr>
          <w:rFonts w:ascii="Times New Roman" w:hAnsi="Times New Roman" w:cs="Times New Roman"/>
        </w:rPr>
        <w:t>.</w:t>
      </w:r>
      <w:r w:rsidR="0077040E">
        <w:rPr>
          <w:rFonts w:ascii="Times New Roman" w:hAnsi="Times New Roman" w:cs="Times New Roman"/>
        </w:rPr>
        <w:t xml:space="preserve"> During this medical screen, their height, weight, and blood pressure readings were obtained.</w:t>
      </w:r>
      <w:r w:rsidR="0077040E" w:rsidRPr="0077040E">
        <w:rPr>
          <w:rFonts w:ascii="Times New Roman" w:hAnsi="Times New Roman" w:cs="Times New Roman"/>
        </w:rPr>
        <w:t xml:space="preserve"> The participants </w:t>
      </w:r>
      <w:r w:rsidR="0077040E">
        <w:rPr>
          <w:rFonts w:ascii="Times New Roman" w:hAnsi="Times New Roman" w:cs="Times New Roman"/>
        </w:rPr>
        <w:t xml:space="preserve">also </w:t>
      </w:r>
      <w:r w:rsidR="0077040E" w:rsidRPr="0077040E">
        <w:rPr>
          <w:rFonts w:ascii="Times New Roman" w:hAnsi="Times New Roman" w:cs="Times New Roman"/>
        </w:rPr>
        <w:t xml:space="preserve">completed rating scales and questionnaires to assess functional capacity (Lawton and Brody, 1969), </w:t>
      </w:r>
      <w:r w:rsidR="0077040E">
        <w:rPr>
          <w:rFonts w:ascii="Times New Roman" w:hAnsi="Times New Roman" w:cs="Times New Roman"/>
        </w:rPr>
        <w:t xml:space="preserve">self-reported </w:t>
      </w:r>
      <w:r w:rsidR="0077040E" w:rsidRPr="0077040E">
        <w:rPr>
          <w:rFonts w:ascii="Times New Roman" w:hAnsi="Times New Roman" w:cs="Times New Roman"/>
        </w:rPr>
        <w:t>family history, quality of sleep (</w:t>
      </w:r>
      <w:proofErr w:type="spellStart"/>
      <w:r w:rsidR="0077040E" w:rsidRPr="0077040E">
        <w:rPr>
          <w:rFonts w:ascii="Times New Roman" w:hAnsi="Times New Roman" w:cs="Times New Roman"/>
        </w:rPr>
        <w:t>Buysse</w:t>
      </w:r>
      <w:proofErr w:type="spellEnd"/>
      <w:r w:rsidR="0077040E" w:rsidRPr="0077040E">
        <w:rPr>
          <w:rFonts w:ascii="Times New Roman" w:hAnsi="Times New Roman" w:cs="Times New Roman"/>
        </w:rPr>
        <w:t xml:space="preserve"> et al., 1989), and the presence of current symptoms of depression with the Hamilton Depression Rating Scale (HAM-D; Hamilton, 1960). </w:t>
      </w:r>
      <w:r w:rsidR="0077040E">
        <w:rPr>
          <w:rFonts w:ascii="Times New Roman" w:hAnsi="Times New Roman" w:cs="Times New Roman"/>
        </w:rPr>
        <w:t xml:space="preserve">Participants </w:t>
      </w:r>
      <w:r w:rsidR="0077040E" w:rsidRPr="0077040E">
        <w:rPr>
          <w:rFonts w:ascii="Times New Roman" w:hAnsi="Times New Roman" w:cs="Times New Roman"/>
        </w:rPr>
        <w:t xml:space="preserve">were excluded from </w:t>
      </w:r>
      <w:r w:rsidR="0077040E">
        <w:rPr>
          <w:rFonts w:ascii="Times New Roman" w:hAnsi="Times New Roman" w:cs="Times New Roman"/>
        </w:rPr>
        <w:t xml:space="preserve">participating in </w:t>
      </w:r>
      <w:r w:rsidR="0077040E" w:rsidRPr="0077040E">
        <w:rPr>
          <w:rFonts w:ascii="Times New Roman" w:hAnsi="Times New Roman" w:cs="Times New Roman"/>
        </w:rPr>
        <w:t>the</w:t>
      </w:r>
      <w:r w:rsidR="0077040E">
        <w:rPr>
          <w:rFonts w:ascii="Times New Roman" w:hAnsi="Times New Roman" w:cs="Times New Roman"/>
        </w:rPr>
        <w:t xml:space="preserve"> overall</w:t>
      </w:r>
      <w:r w:rsidR="0077040E" w:rsidRPr="0077040E">
        <w:rPr>
          <w:rFonts w:ascii="Times New Roman" w:hAnsi="Times New Roman" w:cs="Times New Roman"/>
        </w:rPr>
        <w:t xml:space="preserve"> study if they had a HAM-D score ≥10 or MMSE score &lt;26. Procedures for this study were approved by the University of Arizona Institutional Review Board and all participants gave their informed written consent for participation. </w:t>
      </w:r>
    </w:p>
    <w:p w14:paraId="016C998E" w14:textId="18F8732A" w:rsidR="0077040E" w:rsidRDefault="0077040E" w:rsidP="0077040E">
      <w:pPr>
        <w:ind w:firstLine="720"/>
        <w:rPr>
          <w:rFonts w:ascii="Times New Roman" w:hAnsi="Times New Roman" w:cs="Times New Roman"/>
        </w:rPr>
      </w:pPr>
      <w:r>
        <w:rPr>
          <w:rFonts w:ascii="Times New Roman" w:hAnsi="Times New Roman" w:cs="Times New Roman"/>
        </w:rPr>
        <w:t xml:space="preserve">After the screening visit, 210 </w:t>
      </w:r>
      <w:r w:rsidRPr="0077040E">
        <w:rPr>
          <w:rFonts w:ascii="Times New Roman" w:hAnsi="Times New Roman" w:cs="Times New Roman"/>
        </w:rPr>
        <w:t xml:space="preserve">community dwelling, neurologically healthy </w:t>
      </w:r>
      <w:r w:rsidR="009A170A">
        <w:rPr>
          <w:rFonts w:ascii="Times New Roman" w:hAnsi="Times New Roman" w:cs="Times New Roman"/>
        </w:rPr>
        <w:t xml:space="preserve">older </w:t>
      </w:r>
      <w:r w:rsidR="00CF03BB">
        <w:rPr>
          <w:rFonts w:ascii="Times New Roman" w:hAnsi="Times New Roman" w:cs="Times New Roman"/>
        </w:rPr>
        <w:t>adults</w:t>
      </w:r>
      <w:r w:rsidRPr="0077040E">
        <w:rPr>
          <w:rFonts w:ascii="Times New Roman" w:hAnsi="Times New Roman" w:cs="Times New Roman"/>
        </w:rPr>
        <w:t xml:space="preserve"> </w:t>
      </w:r>
      <w:r>
        <w:rPr>
          <w:rFonts w:ascii="Times New Roman" w:hAnsi="Times New Roman" w:cs="Times New Roman"/>
        </w:rPr>
        <w:t xml:space="preserve">met our inclusion criteria and were enrolled into the study. The participants returned to the laboratory to complete </w:t>
      </w:r>
      <w:r w:rsidRPr="0077040E">
        <w:rPr>
          <w:rFonts w:ascii="Times New Roman" w:hAnsi="Times New Roman" w:cs="Times New Roman"/>
        </w:rPr>
        <w:t>tests of aerobic fitness</w:t>
      </w:r>
      <w:r w:rsidR="00CF03BB">
        <w:rPr>
          <w:rFonts w:ascii="Times New Roman" w:hAnsi="Times New Roman" w:cs="Times New Roman"/>
        </w:rPr>
        <w:t xml:space="preserve"> assessed by a graded</w:t>
      </w:r>
      <w:r w:rsidR="00B54852">
        <w:rPr>
          <w:rFonts w:ascii="Times New Roman" w:hAnsi="Times New Roman" w:cs="Times New Roman"/>
        </w:rPr>
        <w:t xml:space="preserve"> exercise</w:t>
      </w:r>
      <w:r w:rsidR="00CF03BB">
        <w:rPr>
          <w:rFonts w:ascii="Times New Roman" w:hAnsi="Times New Roman" w:cs="Times New Roman"/>
        </w:rPr>
        <w:t xml:space="preserve"> treadmill test</w:t>
      </w:r>
      <w:r w:rsidRPr="0077040E">
        <w:rPr>
          <w:rFonts w:ascii="Times New Roman" w:hAnsi="Times New Roman" w:cs="Times New Roman"/>
        </w:rPr>
        <w:t xml:space="preserve">, magnetic resonance imaging </w:t>
      </w:r>
      <w:r>
        <w:rPr>
          <w:rFonts w:ascii="Times New Roman" w:hAnsi="Times New Roman" w:cs="Times New Roman"/>
        </w:rPr>
        <w:t>(</w:t>
      </w:r>
      <w:r w:rsidRPr="0077040E">
        <w:rPr>
          <w:rFonts w:ascii="Times New Roman" w:hAnsi="Times New Roman" w:cs="Times New Roman"/>
        </w:rPr>
        <w:t xml:space="preserve">MRI) scans, </w:t>
      </w:r>
      <w:r>
        <w:rPr>
          <w:rFonts w:ascii="Times New Roman" w:hAnsi="Times New Roman" w:cs="Times New Roman"/>
        </w:rPr>
        <w:t xml:space="preserve">a blood draw for </w:t>
      </w:r>
      <w:r w:rsidRPr="0077040E">
        <w:rPr>
          <w:rFonts w:ascii="Times New Roman" w:hAnsi="Times New Roman" w:cs="Times New Roman"/>
        </w:rPr>
        <w:t xml:space="preserve">APOE genotyping, and assessments of cognitive function using a battery of standardized neuropsychological tests. </w:t>
      </w:r>
      <w:r>
        <w:rPr>
          <w:rFonts w:ascii="Times New Roman" w:hAnsi="Times New Roman" w:cs="Times New Roman"/>
        </w:rPr>
        <w:t>During the MRI</w:t>
      </w:r>
      <w:r w:rsidR="009A170A">
        <w:rPr>
          <w:rFonts w:ascii="Times New Roman" w:hAnsi="Times New Roman" w:cs="Times New Roman"/>
        </w:rPr>
        <w:t xml:space="preserve"> session</w:t>
      </w:r>
      <w:r>
        <w:rPr>
          <w:rFonts w:ascii="Times New Roman" w:hAnsi="Times New Roman" w:cs="Times New Roman"/>
        </w:rPr>
        <w:t xml:space="preserve">, multiple scans </w:t>
      </w:r>
      <w:r w:rsidRPr="0077040E">
        <w:rPr>
          <w:rFonts w:ascii="Times New Roman" w:hAnsi="Times New Roman" w:cs="Times New Roman"/>
        </w:rPr>
        <w:t>were acquired on a 3T GE Signa scanner (HD Signa Excite, General Electric, Milwaukee, WI)</w:t>
      </w:r>
      <w:r>
        <w:rPr>
          <w:rFonts w:ascii="Times New Roman" w:hAnsi="Times New Roman" w:cs="Times New Roman"/>
        </w:rPr>
        <w:t xml:space="preserve">, including volumetric T1-weighted Spoiled Gradient Echo (SPGR) scans, a T2 Fluid-Attenuation Inversion Recovery (FLAIR) scan, and diffusion tensor imaging (DTI) scans. A neuropsychological battery included tests across a variety of cognitive domains of global cognition, intelligence, memory, processing speed, executive functions, language, and motor functions. </w:t>
      </w:r>
      <w:r w:rsidR="00B54852">
        <w:rPr>
          <w:rFonts w:ascii="Times New Roman" w:hAnsi="Times New Roman" w:cs="Times New Roman"/>
        </w:rPr>
        <w:t xml:space="preserve">Participants were asked to return every two years for follow-up </w:t>
      </w:r>
      <w:r w:rsidR="003D14B1">
        <w:rPr>
          <w:rFonts w:ascii="Times New Roman" w:hAnsi="Times New Roman" w:cs="Times New Roman"/>
        </w:rPr>
        <w:t xml:space="preserve">MRI scans, medical and cognitive </w:t>
      </w:r>
      <w:r w:rsidR="00B54852">
        <w:rPr>
          <w:rFonts w:ascii="Times New Roman" w:hAnsi="Times New Roman" w:cs="Times New Roman"/>
        </w:rPr>
        <w:t>assessments</w:t>
      </w:r>
      <w:r w:rsidR="003D14B1">
        <w:rPr>
          <w:rFonts w:ascii="Times New Roman" w:hAnsi="Times New Roman" w:cs="Times New Roman"/>
        </w:rPr>
        <w:t>, and health status rating-scale questionnaires.</w:t>
      </w:r>
    </w:p>
    <w:p w14:paraId="379FCDD7" w14:textId="635C9F9B" w:rsidR="0077040E" w:rsidRDefault="0077040E" w:rsidP="0077040E">
      <w:pPr>
        <w:ind w:firstLine="720"/>
        <w:rPr>
          <w:rFonts w:ascii="Times New Roman" w:hAnsi="Times New Roman" w:cs="Times New Roman"/>
        </w:rPr>
      </w:pPr>
      <w:r w:rsidRPr="0077040E">
        <w:rPr>
          <w:rFonts w:ascii="Times New Roman" w:hAnsi="Times New Roman" w:cs="Times New Roman"/>
        </w:rPr>
        <w:t xml:space="preserve">Overall, the </w:t>
      </w:r>
      <w:r>
        <w:rPr>
          <w:rFonts w:ascii="Times New Roman" w:hAnsi="Times New Roman" w:cs="Times New Roman"/>
        </w:rPr>
        <w:t xml:space="preserve">BAMS </w:t>
      </w:r>
      <w:r w:rsidRPr="0077040E">
        <w:rPr>
          <w:rFonts w:ascii="Times New Roman" w:hAnsi="Times New Roman" w:cs="Times New Roman"/>
        </w:rPr>
        <w:t>study aimed to determine how age interacts with three potentially modifying factors: a) blood pressure, b) aerobic fitness, and c) APOE genotype to alter the regional distribution and severity of gray and white matter changes in aging; and to evaluate how specific brain regions identified by the interactive effects of aging with health status and genetic risk for cognitive impairment are associated with cognition. The study was designed to enhance our understanding of the brain changes associated with aging and related cognitive decline, help to identify those at greatest risk for age-related cognitive dysfunction, and provide a foundation to develop and test focused strategies to delay or prevent the brain changes that lead to cognitive decline in aging.</w:t>
      </w:r>
      <w:r>
        <w:rPr>
          <w:rFonts w:ascii="Times New Roman" w:hAnsi="Times New Roman" w:cs="Times New Roman"/>
        </w:rPr>
        <w:t xml:space="preserve"> </w:t>
      </w:r>
    </w:p>
    <w:p w14:paraId="45855079" w14:textId="77777777" w:rsidR="0077040E" w:rsidRDefault="0077040E">
      <w:pPr>
        <w:rPr>
          <w:rFonts w:ascii="Times New Roman" w:hAnsi="Times New Roman" w:cs="Times New Roman"/>
        </w:rPr>
      </w:pPr>
      <w:r>
        <w:rPr>
          <w:rFonts w:ascii="Times New Roman" w:hAnsi="Times New Roman" w:cs="Times New Roman"/>
        </w:rPr>
        <w:br w:type="page"/>
      </w:r>
    </w:p>
    <w:p w14:paraId="1F8E8B85" w14:textId="08A88F12" w:rsidR="0077040E" w:rsidRPr="0077040E" w:rsidRDefault="0077040E" w:rsidP="00DE6B36">
      <w:pPr>
        <w:ind w:firstLine="720"/>
        <w:jc w:val="center"/>
        <w:rPr>
          <w:rFonts w:ascii="Times New Roman" w:hAnsi="Times New Roman" w:cs="Times New Roman"/>
        </w:rPr>
      </w:pPr>
      <w:r>
        <w:rPr>
          <w:rFonts w:ascii="Times New Roman" w:hAnsi="Times New Roman" w:cs="Times New Roman"/>
          <w:u w:val="single"/>
        </w:rPr>
        <w:lastRenderedPageBreak/>
        <w:t>References</w:t>
      </w:r>
    </w:p>
    <w:p w14:paraId="055843D6" w14:textId="77777777" w:rsidR="0077040E" w:rsidRDefault="0077040E" w:rsidP="00DE6B36">
      <w:pPr>
        <w:ind w:left="720" w:hanging="720"/>
        <w:rPr>
          <w:rFonts w:ascii="Times New Roman" w:hAnsi="Times New Roman" w:cs="Times New Roman"/>
        </w:rPr>
      </w:pPr>
      <w:proofErr w:type="spellStart"/>
      <w:r w:rsidRPr="0077040E">
        <w:rPr>
          <w:rFonts w:ascii="Times New Roman" w:hAnsi="Times New Roman" w:cs="Times New Roman"/>
        </w:rPr>
        <w:t>Buysse</w:t>
      </w:r>
      <w:proofErr w:type="spellEnd"/>
      <w:r w:rsidRPr="0077040E">
        <w:rPr>
          <w:rFonts w:ascii="Times New Roman" w:hAnsi="Times New Roman" w:cs="Times New Roman"/>
        </w:rPr>
        <w:t>, D. J., Reynolds III, C. F., Monk, T. H., Berman, S. R., &amp; Kupfer, D. J. (1989). The Pittsburgh Sleep Quality Index: a new instrument for psychiatric practice and research. </w:t>
      </w:r>
      <w:r w:rsidRPr="0077040E">
        <w:rPr>
          <w:rFonts w:ascii="Times New Roman" w:hAnsi="Times New Roman" w:cs="Times New Roman"/>
          <w:i/>
          <w:iCs/>
        </w:rPr>
        <w:t>Psychiatry research</w:t>
      </w:r>
      <w:r w:rsidRPr="0077040E">
        <w:rPr>
          <w:rFonts w:ascii="Times New Roman" w:hAnsi="Times New Roman" w:cs="Times New Roman"/>
        </w:rPr>
        <w:t>, </w:t>
      </w:r>
      <w:r w:rsidRPr="0077040E">
        <w:rPr>
          <w:rFonts w:ascii="Times New Roman" w:hAnsi="Times New Roman" w:cs="Times New Roman"/>
          <w:i/>
          <w:iCs/>
        </w:rPr>
        <w:t>28</w:t>
      </w:r>
      <w:r w:rsidRPr="0077040E">
        <w:rPr>
          <w:rFonts w:ascii="Times New Roman" w:hAnsi="Times New Roman" w:cs="Times New Roman"/>
        </w:rPr>
        <w:t>(2), 193-213.</w:t>
      </w:r>
    </w:p>
    <w:p w14:paraId="10F96A3E" w14:textId="22C1F171" w:rsidR="0077040E" w:rsidRDefault="0077040E" w:rsidP="00DE6B36">
      <w:pPr>
        <w:ind w:left="720" w:hanging="720"/>
        <w:rPr>
          <w:rFonts w:ascii="Times New Roman" w:hAnsi="Times New Roman" w:cs="Times New Roman"/>
        </w:rPr>
      </w:pPr>
      <w:r w:rsidRPr="0077040E">
        <w:rPr>
          <w:rFonts w:ascii="Times New Roman" w:hAnsi="Times New Roman" w:cs="Times New Roman"/>
        </w:rPr>
        <w:t xml:space="preserve">Franchetti, M. K., Bharadwaj, P. K., Nguyen, L. A., Van Etten, E. J., </w:t>
      </w:r>
      <w:proofErr w:type="spellStart"/>
      <w:r w:rsidRPr="0077040E">
        <w:rPr>
          <w:rFonts w:ascii="Times New Roman" w:hAnsi="Times New Roman" w:cs="Times New Roman"/>
        </w:rPr>
        <w:t>Klimentidis</w:t>
      </w:r>
      <w:proofErr w:type="spellEnd"/>
      <w:r w:rsidRPr="0077040E">
        <w:rPr>
          <w:rFonts w:ascii="Times New Roman" w:hAnsi="Times New Roman" w:cs="Times New Roman"/>
        </w:rPr>
        <w:t xml:space="preserve">, Y. C., </w:t>
      </w:r>
      <w:proofErr w:type="spellStart"/>
      <w:r w:rsidRPr="0077040E">
        <w:rPr>
          <w:rFonts w:ascii="Times New Roman" w:hAnsi="Times New Roman" w:cs="Times New Roman"/>
        </w:rPr>
        <w:t>Hishaw</w:t>
      </w:r>
      <w:proofErr w:type="spellEnd"/>
      <w:r w:rsidRPr="0077040E">
        <w:rPr>
          <w:rFonts w:ascii="Times New Roman" w:hAnsi="Times New Roman" w:cs="Times New Roman"/>
        </w:rPr>
        <w:t>, G. A., ... &amp; Alexander, G. E. (2020). Interaction of age and self-reported physical sports activity on white matter hyperintensity volume in healthy older adults. </w:t>
      </w:r>
      <w:r w:rsidRPr="0077040E">
        <w:rPr>
          <w:rFonts w:ascii="Times New Roman" w:hAnsi="Times New Roman" w:cs="Times New Roman"/>
          <w:i/>
          <w:iCs/>
        </w:rPr>
        <w:t>Frontiers in aging neuroscience</w:t>
      </w:r>
      <w:r w:rsidRPr="0077040E">
        <w:rPr>
          <w:rFonts w:ascii="Times New Roman" w:hAnsi="Times New Roman" w:cs="Times New Roman"/>
        </w:rPr>
        <w:t>, </w:t>
      </w:r>
      <w:r w:rsidRPr="0077040E">
        <w:rPr>
          <w:rFonts w:ascii="Times New Roman" w:hAnsi="Times New Roman" w:cs="Times New Roman"/>
          <w:i/>
          <w:iCs/>
        </w:rPr>
        <w:t>12</w:t>
      </w:r>
      <w:r w:rsidRPr="0077040E">
        <w:rPr>
          <w:rFonts w:ascii="Times New Roman" w:hAnsi="Times New Roman" w:cs="Times New Roman"/>
        </w:rPr>
        <w:t xml:space="preserve">, 576025. </w:t>
      </w:r>
      <w:proofErr w:type="spellStart"/>
      <w:r>
        <w:rPr>
          <w:rFonts w:ascii="Times New Roman" w:hAnsi="Times New Roman" w:cs="Times New Roman"/>
        </w:rPr>
        <w:t>doi</w:t>
      </w:r>
      <w:proofErr w:type="spellEnd"/>
      <w:r>
        <w:rPr>
          <w:rFonts w:ascii="Times New Roman" w:hAnsi="Times New Roman" w:cs="Times New Roman"/>
        </w:rPr>
        <w:t xml:space="preserve">: </w:t>
      </w:r>
      <w:r w:rsidRPr="0077040E">
        <w:rPr>
          <w:rFonts w:ascii="Times New Roman" w:hAnsi="Times New Roman" w:cs="Times New Roman"/>
        </w:rPr>
        <w:t>10.3389/fnagi.2020.576025</w:t>
      </w:r>
    </w:p>
    <w:p w14:paraId="5C3B1AD8" w14:textId="296FD717" w:rsidR="0077040E" w:rsidRDefault="0077040E" w:rsidP="00DE6B36">
      <w:pPr>
        <w:ind w:left="720" w:hanging="720"/>
        <w:rPr>
          <w:rFonts w:ascii="Times New Roman" w:hAnsi="Times New Roman" w:cs="Times New Roman"/>
        </w:rPr>
      </w:pPr>
      <w:r w:rsidRPr="0077040E">
        <w:rPr>
          <w:rFonts w:ascii="Times New Roman" w:hAnsi="Times New Roman" w:cs="Times New Roman"/>
        </w:rPr>
        <w:t>Hamilton, M. (1960). A rating scale for depression. </w:t>
      </w:r>
      <w:r w:rsidRPr="0077040E">
        <w:rPr>
          <w:rFonts w:ascii="Times New Roman" w:hAnsi="Times New Roman" w:cs="Times New Roman"/>
          <w:i/>
          <w:iCs/>
        </w:rPr>
        <w:t>Journal of neurology, neurosurgery, and psychiatry</w:t>
      </w:r>
      <w:r w:rsidRPr="0077040E">
        <w:rPr>
          <w:rFonts w:ascii="Times New Roman" w:hAnsi="Times New Roman" w:cs="Times New Roman"/>
        </w:rPr>
        <w:t>, </w:t>
      </w:r>
      <w:r w:rsidRPr="0077040E">
        <w:rPr>
          <w:rFonts w:ascii="Times New Roman" w:hAnsi="Times New Roman" w:cs="Times New Roman"/>
          <w:i/>
          <w:iCs/>
        </w:rPr>
        <w:t>23</w:t>
      </w:r>
      <w:r w:rsidRPr="0077040E">
        <w:rPr>
          <w:rFonts w:ascii="Times New Roman" w:hAnsi="Times New Roman" w:cs="Times New Roman"/>
        </w:rPr>
        <w:t>(1), 56.</w:t>
      </w:r>
    </w:p>
    <w:p w14:paraId="1A148528" w14:textId="08109D08" w:rsidR="0077040E" w:rsidRDefault="0077040E" w:rsidP="00DE6B36">
      <w:pPr>
        <w:ind w:left="720" w:hanging="720"/>
        <w:rPr>
          <w:rFonts w:ascii="Times New Roman" w:hAnsi="Times New Roman" w:cs="Times New Roman"/>
        </w:rPr>
      </w:pPr>
      <w:r w:rsidRPr="0077040E">
        <w:rPr>
          <w:rFonts w:ascii="Times New Roman" w:hAnsi="Times New Roman" w:cs="Times New Roman"/>
        </w:rPr>
        <w:t>Lawton, M. P., &amp; Brody, E. M. (1969). Assessment of older people: self-maintaining and instrumental activities of daily living. </w:t>
      </w:r>
      <w:r w:rsidRPr="0077040E">
        <w:rPr>
          <w:rFonts w:ascii="Times New Roman" w:hAnsi="Times New Roman" w:cs="Times New Roman"/>
          <w:i/>
          <w:iCs/>
        </w:rPr>
        <w:t>The gerontologist</w:t>
      </w:r>
      <w:r w:rsidRPr="0077040E">
        <w:rPr>
          <w:rFonts w:ascii="Times New Roman" w:hAnsi="Times New Roman" w:cs="Times New Roman"/>
        </w:rPr>
        <w:t>, </w:t>
      </w:r>
      <w:r w:rsidRPr="0077040E">
        <w:rPr>
          <w:rFonts w:ascii="Times New Roman" w:hAnsi="Times New Roman" w:cs="Times New Roman"/>
          <w:i/>
          <w:iCs/>
        </w:rPr>
        <w:t>9</w:t>
      </w:r>
      <w:r w:rsidRPr="0077040E">
        <w:rPr>
          <w:rFonts w:ascii="Times New Roman" w:hAnsi="Times New Roman" w:cs="Times New Roman"/>
        </w:rPr>
        <w:t>(3_Part_1), 179-186.</w:t>
      </w:r>
      <w:r>
        <w:rPr>
          <w:rFonts w:ascii="Times New Roman" w:hAnsi="Times New Roman" w:cs="Times New Roman"/>
        </w:rPr>
        <w:t xml:space="preserve"> </w:t>
      </w:r>
    </w:p>
    <w:p w14:paraId="27FF5E75" w14:textId="6565E46F" w:rsidR="0077040E" w:rsidRDefault="0077040E" w:rsidP="00DE6B36">
      <w:pPr>
        <w:ind w:left="720" w:hanging="720"/>
        <w:rPr>
          <w:rFonts w:ascii="Times New Roman" w:hAnsi="Times New Roman" w:cs="Times New Roman"/>
        </w:rPr>
      </w:pPr>
      <w:r w:rsidRPr="0077040E">
        <w:rPr>
          <w:rFonts w:ascii="Times New Roman" w:hAnsi="Times New Roman" w:cs="Times New Roman"/>
        </w:rPr>
        <w:t xml:space="preserve">Nguyen, L. A., Haws, K. A., Fitzhugh, M. C., Torre, G. A., </w:t>
      </w:r>
      <w:proofErr w:type="spellStart"/>
      <w:r w:rsidRPr="0077040E">
        <w:rPr>
          <w:rFonts w:ascii="Times New Roman" w:hAnsi="Times New Roman" w:cs="Times New Roman"/>
        </w:rPr>
        <w:t>Hishaw</w:t>
      </w:r>
      <w:proofErr w:type="spellEnd"/>
      <w:r w:rsidRPr="0077040E">
        <w:rPr>
          <w:rFonts w:ascii="Times New Roman" w:hAnsi="Times New Roman" w:cs="Times New Roman"/>
        </w:rPr>
        <w:t xml:space="preserve">, G. A., &amp; Alexander, G. E. (2016). Interactive effects of subjective memory complaints and hypertension on learning and memory performance in the elderly. </w:t>
      </w:r>
      <w:r w:rsidRPr="0077040E">
        <w:rPr>
          <w:rFonts w:ascii="Times New Roman" w:hAnsi="Times New Roman" w:cs="Times New Roman"/>
          <w:i/>
          <w:iCs/>
        </w:rPr>
        <w:t>Aging, Neuropsychology, and Cognition, 23</w:t>
      </w:r>
      <w:r w:rsidRPr="0077040E">
        <w:rPr>
          <w:rFonts w:ascii="Times New Roman" w:hAnsi="Times New Roman" w:cs="Times New Roman"/>
        </w:rPr>
        <w:t>(2), 154-170.</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77040E">
        <w:rPr>
          <w:rFonts w:ascii="Times New Roman" w:hAnsi="Times New Roman" w:cs="Times New Roman"/>
        </w:rPr>
        <w:t>10.1080/13825585.2015.1063580</w:t>
      </w:r>
    </w:p>
    <w:p w14:paraId="6BFF8E63" w14:textId="2421FD56" w:rsidR="0077040E" w:rsidRPr="0077040E" w:rsidRDefault="0077040E" w:rsidP="00DE6B36">
      <w:pPr>
        <w:ind w:left="720" w:hanging="720"/>
        <w:rPr>
          <w:rFonts w:ascii="Times New Roman" w:hAnsi="Times New Roman" w:cs="Times New Roman"/>
        </w:rPr>
      </w:pPr>
      <w:r w:rsidRPr="0077040E">
        <w:rPr>
          <w:rFonts w:ascii="Times New Roman" w:hAnsi="Times New Roman" w:cs="Times New Roman"/>
        </w:rPr>
        <w:t xml:space="preserve">Van Etten, E. J., Bharadwaj, P. K., Nguyen, L. A., </w:t>
      </w:r>
      <w:proofErr w:type="spellStart"/>
      <w:r w:rsidRPr="0077040E">
        <w:rPr>
          <w:rFonts w:ascii="Times New Roman" w:hAnsi="Times New Roman" w:cs="Times New Roman"/>
        </w:rPr>
        <w:t>Hishaw</w:t>
      </w:r>
      <w:proofErr w:type="spellEnd"/>
      <w:r w:rsidRPr="0077040E">
        <w:rPr>
          <w:rFonts w:ascii="Times New Roman" w:hAnsi="Times New Roman" w:cs="Times New Roman"/>
        </w:rPr>
        <w:t xml:space="preserve">, G. A., </w:t>
      </w:r>
      <w:proofErr w:type="spellStart"/>
      <w:r w:rsidRPr="0077040E">
        <w:rPr>
          <w:rFonts w:ascii="Times New Roman" w:hAnsi="Times New Roman" w:cs="Times New Roman"/>
        </w:rPr>
        <w:t>Trouard</w:t>
      </w:r>
      <w:proofErr w:type="spellEnd"/>
      <w:r w:rsidRPr="0077040E">
        <w:rPr>
          <w:rFonts w:ascii="Times New Roman" w:hAnsi="Times New Roman" w:cs="Times New Roman"/>
        </w:rPr>
        <w:t>, T. P., &amp; Alexander, G. E. (2020). Right hippocampal volume mediation of subjective memory complaints differs by hypertension status in healthy aging. </w:t>
      </w:r>
      <w:r w:rsidRPr="0077040E">
        <w:rPr>
          <w:rFonts w:ascii="Times New Roman" w:hAnsi="Times New Roman" w:cs="Times New Roman"/>
          <w:i/>
          <w:iCs/>
        </w:rPr>
        <w:t xml:space="preserve">Neurobiology of </w:t>
      </w:r>
      <w:r>
        <w:rPr>
          <w:rFonts w:ascii="Times New Roman" w:hAnsi="Times New Roman" w:cs="Times New Roman"/>
          <w:i/>
          <w:iCs/>
        </w:rPr>
        <w:t>A</w:t>
      </w:r>
      <w:r w:rsidRPr="0077040E">
        <w:rPr>
          <w:rFonts w:ascii="Times New Roman" w:hAnsi="Times New Roman" w:cs="Times New Roman"/>
          <w:i/>
          <w:iCs/>
        </w:rPr>
        <w:t>ging</w:t>
      </w:r>
      <w:r w:rsidRPr="0077040E">
        <w:rPr>
          <w:rFonts w:ascii="Times New Roman" w:hAnsi="Times New Roman" w:cs="Times New Roman"/>
        </w:rPr>
        <w:t>, </w:t>
      </w:r>
      <w:r w:rsidRPr="0077040E">
        <w:rPr>
          <w:rFonts w:ascii="Times New Roman" w:hAnsi="Times New Roman" w:cs="Times New Roman"/>
          <w:i/>
          <w:iCs/>
        </w:rPr>
        <w:t>94</w:t>
      </w:r>
      <w:r w:rsidRPr="0077040E">
        <w:rPr>
          <w:rFonts w:ascii="Times New Roman" w:hAnsi="Times New Roman" w:cs="Times New Roman"/>
        </w:rPr>
        <w:t>, 271-280.</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77040E">
        <w:rPr>
          <w:rFonts w:ascii="Times New Roman" w:hAnsi="Times New Roman" w:cs="Times New Roman"/>
        </w:rPr>
        <w:t>10.1016/j.neurobiolaging.2020.06.012</w:t>
      </w:r>
    </w:p>
    <w:sectPr w:rsidR="0077040E" w:rsidRPr="00770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0E"/>
    <w:rsid w:val="00030C1A"/>
    <w:rsid w:val="000C1D2A"/>
    <w:rsid w:val="00214C47"/>
    <w:rsid w:val="003D14B1"/>
    <w:rsid w:val="00572BBB"/>
    <w:rsid w:val="0067006C"/>
    <w:rsid w:val="0077040E"/>
    <w:rsid w:val="00943F8F"/>
    <w:rsid w:val="00973F81"/>
    <w:rsid w:val="009A170A"/>
    <w:rsid w:val="00AA39A6"/>
    <w:rsid w:val="00B03FAC"/>
    <w:rsid w:val="00B54852"/>
    <w:rsid w:val="00B9779B"/>
    <w:rsid w:val="00BA6F0C"/>
    <w:rsid w:val="00CC3385"/>
    <w:rsid w:val="00CF03BB"/>
    <w:rsid w:val="00D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B6559"/>
  <w15:chartTrackingRefBased/>
  <w15:docId w15:val="{E47B3BBD-A2FA-D345-918F-B470119B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40E"/>
    <w:pPr>
      <w:ind w:left="720"/>
      <w:contextualSpacing/>
    </w:pPr>
  </w:style>
  <w:style w:type="character" w:styleId="Hyperlink">
    <w:name w:val="Hyperlink"/>
    <w:basedOn w:val="DefaultParagraphFont"/>
    <w:uiPriority w:val="99"/>
    <w:unhideWhenUsed/>
    <w:rsid w:val="0077040E"/>
    <w:rPr>
      <w:color w:val="0563C1" w:themeColor="hyperlink"/>
      <w:u w:val="single"/>
    </w:rPr>
  </w:style>
  <w:style w:type="character" w:styleId="UnresolvedMention">
    <w:name w:val="Unresolved Mention"/>
    <w:basedOn w:val="DefaultParagraphFont"/>
    <w:uiPriority w:val="99"/>
    <w:semiHidden/>
    <w:unhideWhenUsed/>
    <w:rsid w:val="0077040E"/>
    <w:rPr>
      <w:color w:val="605E5C"/>
      <w:shd w:val="clear" w:color="auto" w:fill="E1DFDD"/>
    </w:rPr>
  </w:style>
  <w:style w:type="paragraph" w:styleId="Revision">
    <w:name w:val="Revision"/>
    <w:hidden/>
    <w:uiPriority w:val="99"/>
    <w:semiHidden/>
    <w:rsid w:val="00CF03BB"/>
  </w:style>
  <w:style w:type="paragraph" w:styleId="NormalWeb">
    <w:name w:val="Normal (Web)"/>
    <w:basedOn w:val="Normal"/>
    <w:uiPriority w:val="99"/>
    <w:unhideWhenUsed/>
    <w:rsid w:val="00DE6B3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331">
      <w:bodyDiv w:val="1"/>
      <w:marLeft w:val="0"/>
      <w:marRight w:val="0"/>
      <w:marTop w:val="0"/>
      <w:marBottom w:val="0"/>
      <w:divBdr>
        <w:top w:val="none" w:sz="0" w:space="0" w:color="auto"/>
        <w:left w:val="none" w:sz="0" w:space="0" w:color="auto"/>
        <w:bottom w:val="none" w:sz="0" w:space="0" w:color="auto"/>
        <w:right w:val="none" w:sz="0" w:space="0" w:color="auto"/>
      </w:divBdr>
      <w:divsChild>
        <w:div w:id="998458301">
          <w:marLeft w:val="0"/>
          <w:marRight w:val="0"/>
          <w:marTop w:val="600"/>
          <w:marBottom w:val="300"/>
          <w:divBdr>
            <w:top w:val="none" w:sz="0" w:space="0" w:color="auto"/>
            <w:left w:val="none" w:sz="0" w:space="0" w:color="auto"/>
            <w:bottom w:val="none" w:sz="0" w:space="0" w:color="auto"/>
            <w:right w:val="none" w:sz="0" w:space="0" w:color="auto"/>
          </w:divBdr>
        </w:div>
        <w:div w:id="235091241">
          <w:marLeft w:val="0"/>
          <w:marRight w:val="0"/>
          <w:marTop w:val="0"/>
          <w:marBottom w:val="300"/>
          <w:divBdr>
            <w:top w:val="none" w:sz="0" w:space="0" w:color="auto"/>
            <w:left w:val="none" w:sz="0" w:space="0" w:color="auto"/>
            <w:bottom w:val="none" w:sz="0" w:space="0" w:color="auto"/>
            <w:right w:val="none" w:sz="0" w:space="0" w:color="auto"/>
          </w:divBdr>
          <w:divsChild>
            <w:div w:id="960067115">
              <w:marLeft w:val="0"/>
              <w:marRight w:val="0"/>
              <w:marTop w:val="0"/>
              <w:marBottom w:val="0"/>
              <w:divBdr>
                <w:top w:val="none" w:sz="0" w:space="0" w:color="auto"/>
                <w:left w:val="none" w:sz="0" w:space="0" w:color="auto"/>
                <w:bottom w:val="none" w:sz="0" w:space="0" w:color="auto"/>
                <w:right w:val="none" w:sz="0" w:space="0" w:color="auto"/>
              </w:divBdr>
            </w:div>
            <w:div w:id="724259229">
              <w:marLeft w:val="0"/>
              <w:marRight w:val="0"/>
              <w:marTop w:val="0"/>
              <w:marBottom w:val="0"/>
              <w:divBdr>
                <w:top w:val="none" w:sz="0" w:space="0" w:color="auto"/>
                <w:left w:val="none" w:sz="0" w:space="0" w:color="auto"/>
                <w:bottom w:val="none" w:sz="0" w:space="0" w:color="auto"/>
                <w:right w:val="none" w:sz="0" w:space="0" w:color="auto"/>
              </w:divBdr>
              <w:divsChild>
                <w:div w:id="503059812">
                  <w:marLeft w:val="0"/>
                  <w:marRight w:val="0"/>
                  <w:marTop w:val="0"/>
                  <w:marBottom w:val="0"/>
                  <w:divBdr>
                    <w:top w:val="none" w:sz="0" w:space="0" w:color="auto"/>
                    <w:left w:val="none" w:sz="0" w:space="0" w:color="auto"/>
                    <w:bottom w:val="none" w:sz="0" w:space="0" w:color="auto"/>
                    <w:right w:val="none" w:sz="0" w:space="0" w:color="auto"/>
                  </w:divBdr>
                  <w:divsChild>
                    <w:div w:id="20514180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72480595">
      <w:bodyDiv w:val="1"/>
      <w:marLeft w:val="0"/>
      <w:marRight w:val="0"/>
      <w:marTop w:val="0"/>
      <w:marBottom w:val="0"/>
      <w:divBdr>
        <w:top w:val="none" w:sz="0" w:space="0" w:color="auto"/>
        <w:left w:val="none" w:sz="0" w:space="0" w:color="auto"/>
        <w:bottom w:val="none" w:sz="0" w:space="0" w:color="auto"/>
        <w:right w:val="none" w:sz="0" w:space="0" w:color="auto"/>
      </w:divBdr>
    </w:div>
    <w:div w:id="1477992674">
      <w:bodyDiv w:val="1"/>
      <w:marLeft w:val="0"/>
      <w:marRight w:val="0"/>
      <w:marTop w:val="0"/>
      <w:marBottom w:val="0"/>
      <w:divBdr>
        <w:top w:val="none" w:sz="0" w:space="0" w:color="auto"/>
        <w:left w:val="none" w:sz="0" w:space="0" w:color="auto"/>
        <w:bottom w:val="none" w:sz="0" w:space="0" w:color="auto"/>
        <w:right w:val="none" w:sz="0" w:space="0" w:color="auto"/>
      </w:divBdr>
    </w:div>
    <w:div w:id="16061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Etten, Emily Joy - (emilyvanetten)</dc:creator>
  <cp:keywords/>
  <dc:description/>
  <cp:lastModifiedBy>Van Etten, Emily Joy - (emilyvanetten)</cp:lastModifiedBy>
  <cp:revision>2</cp:revision>
  <dcterms:created xsi:type="dcterms:W3CDTF">2023-12-14T23:43:00Z</dcterms:created>
  <dcterms:modified xsi:type="dcterms:W3CDTF">2023-12-14T23:43:00Z</dcterms:modified>
</cp:coreProperties>
</file>