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71EE" w14:textId="46AC671E" w:rsidR="00EB2A21" w:rsidRPr="002612CF" w:rsidRDefault="00B908BD">
      <w:pPr>
        <w:rPr>
          <w:rFonts w:ascii="Times New Roman" w:hAnsi="Times New Roman" w:cs="Times New Roman"/>
          <w:b/>
        </w:rPr>
      </w:pPr>
      <w:bookmarkStart w:id="0" w:name="_GoBack"/>
      <w:r w:rsidRPr="002612CF">
        <w:rPr>
          <w:b/>
        </w:rPr>
        <w:t>Detailed m</w:t>
      </w:r>
      <w:r w:rsidR="00EB2A21" w:rsidRPr="002612CF">
        <w:rPr>
          <w:b/>
        </w:rPr>
        <w:t>ethods</w:t>
      </w:r>
    </w:p>
    <w:p w14:paraId="1FE5A0CF" w14:textId="77777777" w:rsidR="000C4B1C" w:rsidRPr="002612CF" w:rsidRDefault="000C4B1C" w:rsidP="00E8733B">
      <w:pPr>
        <w:jc w:val="left"/>
        <w:rPr>
          <w:rFonts w:ascii="Times New Roman" w:hAnsi="Times New Roman" w:cs="Times New Roman"/>
          <w:b/>
          <w:bCs/>
          <w:i/>
          <w:sz w:val="24"/>
          <w:szCs w:val="24"/>
        </w:rPr>
      </w:pPr>
      <w:bookmarkStart w:id="1" w:name="_Hlk158543865"/>
    </w:p>
    <w:p w14:paraId="63926D6D" w14:textId="1418E954" w:rsidR="00E8733B" w:rsidRPr="002612CF" w:rsidRDefault="00E8733B" w:rsidP="00A31679">
      <w:pPr>
        <w:pStyle w:val="ae"/>
        <w:numPr>
          <w:ilvl w:val="0"/>
          <w:numId w:val="4"/>
        </w:numPr>
        <w:ind w:leftChars="0"/>
        <w:jc w:val="left"/>
        <w:rPr>
          <w:rFonts w:ascii="Times New Roman" w:hAnsi="Times New Roman" w:cs="Times New Roman"/>
          <w:b/>
          <w:bCs/>
          <w:i/>
          <w:sz w:val="24"/>
          <w:szCs w:val="24"/>
        </w:rPr>
      </w:pPr>
      <w:bookmarkStart w:id="2" w:name="_Hlk157892598"/>
      <w:r w:rsidRPr="002612CF">
        <w:rPr>
          <w:rFonts w:ascii="Times New Roman" w:hAnsi="Times New Roman" w:cs="Times New Roman"/>
          <w:b/>
          <w:bCs/>
          <w:i/>
          <w:sz w:val="24"/>
          <w:szCs w:val="24"/>
        </w:rPr>
        <w:t>Serum 25(OH)D concentration-related variables as outcomes</w:t>
      </w:r>
    </w:p>
    <w:p w14:paraId="037CCE96" w14:textId="60ECC576" w:rsidR="00E8733B" w:rsidRPr="002612CF" w:rsidRDefault="00E8733B" w:rsidP="00E8733B">
      <w:pPr>
        <w:ind w:firstLine="840"/>
        <w:rPr>
          <w:rFonts w:ascii="Times New Roman" w:hAnsi="Times New Roman" w:cs="Times New Roman"/>
          <w:sz w:val="24"/>
          <w:szCs w:val="24"/>
        </w:rPr>
      </w:pPr>
      <w:r w:rsidRPr="002612CF">
        <w:rPr>
          <w:rFonts w:ascii="Times New Roman" w:hAnsi="Times New Roman" w:cs="Times New Roman"/>
          <w:sz w:val="24"/>
          <w:szCs w:val="24"/>
        </w:rPr>
        <w:t>Serum vitamin D metabolites, 25(OH)D</w:t>
      </w:r>
      <w:r w:rsidRPr="002612CF">
        <w:rPr>
          <w:rFonts w:ascii="Times New Roman" w:hAnsi="Times New Roman" w:cs="Times New Roman"/>
          <w:sz w:val="24"/>
          <w:szCs w:val="24"/>
          <w:vertAlign w:val="subscript"/>
        </w:rPr>
        <w:t>2</w:t>
      </w:r>
      <w:r w:rsidRPr="002612CF">
        <w:rPr>
          <w:rFonts w:ascii="Times New Roman" w:hAnsi="Times New Roman" w:cs="Times New Roman"/>
          <w:sz w:val="24"/>
          <w:szCs w:val="24"/>
        </w:rPr>
        <w:t>, 25(OH)D</w:t>
      </w:r>
      <w:r w:rsidRPr="002612CF">
        <w:rPr>
          <w:rFonts w:ascii="Times New Roman" w:hAnsi="Times New Roman" w:cs="Times New Roman"/>
          <w:sz w:val="24"/>
          <w:szCs w:val="24"/>
          <w:vertAlign w:val="subscript"/>
        </w:rPr>
        <w:t>3</w:t>
      </w:r>
      <w:r w:rsidRPr="002612CF">
        <w:rPr>
          <w:rFonts w:ascii="Times New Roman" w:hAnsi="Times New Roman" w:cs="Times New Roman"/>
          <w:sz w:val="24"/>
          <w:szCs w:val="24"/>
        </w:rPr>
        <w:t xml:space="preserve"> and 24,25-dihydroxycholecalciferol (24,25(OH)</w:t>
      </w:r>
      <w:r w:rsidRPr="002612CF">
        <w:rPr>
          <w:rFonts w:ascii="Times New Roman" w:hAnsi="Times New Roman" w:cs="Times New Roman"/>
          <w:sz w:val="24"/>
          <w:szCs w:val="24"/>
          <w:vertAlign w:val="subscript"/>
        </w:rPr>
        <w:t>2</w:t>
      </w:r>
      <w:r w:rsidRPr="002612CF">
        <w:rPr>
          <w:rFonts w:ascii="Times New Roman" w:hAnsi="Times New Roman" w:cs="Times New Roman"/>
          <w:sz w:val="24"/>
          <w:szCs w:val="24"/>
        </w:rPr>
        <w:t>D</w:t>
      </w:r>
      <w:r w:rsidRPr="002612CF">
        <w:rPr>
          <w:rFonts w:ascii="Times New Roman" w:hAnsi="Times New Roman" w:cs="Times New Roman"/>
          <w:sz w:val="24"/>
          <w:szCs w:val="24"/>
          <w:vertAlign w:val="subscript"/>
        </w:rPr>
        <w:t>3</w:t>
      </w:r>
      <w:r w:rsidRPr="002612CF">
        <w:rPr>
          <w:rFonts w:ascii="Times New Roman" w:hAnsi="Times New Roman" w:cs="Times New Roman"/>
          <w:sz w:val="24"/>
          <w:szCs w:val="24"/>
        </w:rPr>
        <w:t xml:space="preserve">), were measured </w:t>
      </w:r>
      <w:r w:rsidR="004E4B1D" w:rsidRPr="002612CF">
        <w:rPr>
          <w:rFonts w:ascii="Times New Roman" w:hAnsi="Times New Roman" w:cs="Times New Roman"/>
          <w:sz w:val="24"/>
          <w:szCs w:val="24"/>
        </w:rPr>
        <w:t>using</w:t>
      </w:r>
      <w:r w:rsidRPr="002612CF">
        <w:rPr>
          <w:rFonts w:ascii="Times New Roman" w:hAnsi="Times New Roman" w:cs="Times New Roman"/>
          <w:sz w:val="24"/>
          <w:szCs w:val="24"/>
        </w:rPr>
        <w:t xml:space="preserve"> modified method of liquid chromatography</w:t>
      </w:r>
      <w:r w:rsidR="00EB1D77" w:rsidRPr="002612CF">
        <w:rPr>
          <w:rFonts w:ascii="Times New Roman" w:hAnsi="Times New Roman" w:cs="Times New Roman"/>
          <w:sz w:val="24"/>
          <w:szCs w:val="24"/>
        </w:rPr>
        <w:t xml:space="preserve">- </w:t>
      </w:r>
      <w:r w:rsidRPr="002612CF">
        <w:rPr>
          <w:rFonts w:ascii="Times New Roman" w:hAnsi="Times New Roman" w:cs="Times New Roman"/>
          <w:sz w:val="24"/>
          <w:szCs w:val="24"/>
        </w:rPr>
        <w:t>tandem mass spectrometry (LC-APCI-MS/MS)</w:t>
      </w:r>
      <w:r w:rsidR="00AA3372" w:rsidRPr="002612CF">
        <w:rPr>
          <w:rFonts w:ascii="Times New Roman" w:hAnsi="Times New Roman" w:cs="Times New Roman"/>
          <w:sz w:val="24"/>
          <w:szCs w:val="24"/>
        </w:rPr>
        <w:t xml:space="preserve"> </w:t>
      </w:r>
      <w:r w:rsidR="00AA3372" w:rsidRPr="002612CF">
        <w:rPr>
          <w:rFonts w:ascii="Times New Roman" w:hAnsi="Times New Roman" w:cs="Times New Roman"/>
          <w:sz w:val="24"/>
          <w:szCs w:val="24"/>
          <w:vertAlign w:val="superscript"/>
        </w:rPr>
        <w:t>(1)</w:t>
      </w:r>
      <w:r w:rsidRPr="002612CF">
        <w:rPr>
          <w:rFonts w:ascii="Times New Roman" w:hAnsi="Times New Roman" w:cs="Times New Roman"/>
          <w:sz w:val="24"/>
          <w:szCs w:val="24"/>
        </w:rPr>
        <w:t>. The modification point was derivation of extracted vitamin D metabolites with 4-[2-(6,7-dimethoxy-4-methyl-3-oxo-3,4-dihydroquinoxalyl) ethyl]-1,2,4-triazoline-3,5-dione (DMEQ-TAD) to obtain high sensitivity by increasing ionization efficiency</w:t>
      </w:r>
      <w:r w:rsidR="00AA3372" w:rsidRPr="002612CF">
        <w:rPr>
          <w:rFonts w:ascii="Times New Roman" w:hAnsi="Times New Roman" w:cs="Times New Roman"/>
          <w:sz w:val="24"/>
          <w:szCs w:val="24"/>
          <w:vertAlign w:val="superscript"/>
        </w:rPr>
        <w:t xml:space="preserve"> (2)</w:t>
      </w:r>
      <w:r w:rsidRPr="002612CF">
        <w:rPr>
          <w:rFonts w:ascii="Times New Roman" w:hAnsi="Times New Roman" w:cs="Times New Roman"/>
          <w:sz w:val="24"/>
          <w:szCs w:val="24"/>
        </w:rPr>
        <w:t>.</w:t>
      </w:r>
      <w:r w:rsidRPr="002612CF">
        <w:rPr>
          <w:rFonts w:ascii="Times New Roman" w:hAnsi="Times New Roman" w:cs="Times New Roman"/>
          <w:sz w:val="24"/>
          <w:szCs w:val="24"/>
          <w:vertAlign w:val="superscript"/>
        </w:rPr>
        <w:t xml:space="preserve"> </w:t>
      </w:r>
      <w:r w:rsidRPr="002612CF">
        <w:rPr>
          <w:rFonts w:ascii="Times New Roman" w:hAnsi="Times New Roman" w:cs="Times New Roman"/>
          <w:sz w:val="24"/>
          <w:szCs w:val="24"/>
        </w:rPr>
        <w:t>Their summation was used to calculate the total serum 25(OH)D level</w:t>
      </w:r>
      <w:r w:rsidR="008211CF" w:rsidRPr="002612CF">
        <w:rPr>
          <w:rFonts w:ascii="Times New Roman" w:hAnsi="Times New Roman" w:cs="Times New Roman"/>
          <w:sz w:val="24"/>
          <w:szCs w:val="24"/>
        </w:rPr>
        <w:t>s</w:t>
      </w:r>
      <w:r w:rsidRPr="002612CF">
        <w:rPr>
          <w:rFonts w:ascii="Times New Roman" w:hAnsi="Times New Roman" w:cs="Times New Roman"/>
          <w:sz w:val="24"/>
          <w:szCs w:val="24"/>
        </w:rPr>
        <w:t xml:space="preserve">. </w:t>
      </w:r>
    </w:p>
    <w:p w14:paraId="660DF7C1" w14:textId="4FBD2CB9" w:rsidR="00E8733B" w:rsidRPr="002612CF" w:rsidRDefault="00D6787A" w:rsidP="003E2831">
      <w:pPr>
        <w:pStyle w:val="ac"/>
        <w:ind w:firstLine="840"/>
        <w:rPr>
          <w:rFonts w:ascii="Times New Roman" w:hAnsi="Times New Roman" w:cs="Times New Roman"/>
          <w:sz w:val="24"/>
          <w:szCs w:val="24"/>
        </w:rPr>
      </w:pPr>
      <w:r w:rsidRPr="002612CF">
        <w:rPr>
          <w:rFonts w:ascii="Times New Roman" w:hAnsi="Times New Roman" w:cs="Times New Roman"/>
          <w:sz w:val="24"/>
          <w:szCs w:val="28"/>
        </w:rPr>
        <w:t xml:space="preserve">All </w:t>
      </w:r>
      <w:r w:rsidR="008211CF" w:rsidRPr="002612CF">
        <w:rPr>
          <w:rFonts w:ascii="Times New Roman" w:hAnsi="Times New Roman" w:cs="Times New Roman"/>
          <w:sz w:val="24"/>
          <w:szCs w:val="28"/>
        </w:rPr>
        <w:t xml:space="preserve">the </w:t>
      </w:r>
      <w:r w:rsidRPr="002612CF">
        <w:rPr>
          <w:rFonts w:ascii="Times New Roman" w:hAnsi="Times New Roman" w:cs="Times New Roman"/>
          <w:sz w:val="24"/>
          <w:szCs w:val="28"/>
        </w:rPr>
        <w:t>serum samples were collected from a single laboratory.</w:t>
      </w:r>
      <w:r w:rsidR="00E8733B" w:rsidRPr="002612CF">
        <w:rPr>
          <w:rFonts w:ascii="Times New Roman" w:hAnsi="Times New Roman" w:cs="Times New Roman"/>
          <w:sz w:val="24"/>
          <w:szCs w:val="28"/>
        </w:rPr>
        <w:t xml:space="preserve"> SRM 972a (The National Institute of Standards and Technology</w:t>
      </w:r>
      <w:r w:rsidR="00974DC0" w:rsidRPr="002612CF">
        <w:rPr>
          <w:rFonts w:ascii="Times New Roman" w:hAnsi="Times New Roman" w:cs="Times New Roman"/>
          <w:sz w:val="24"/>
          <w:szCs w:val="28"/>
        </w:rPr>
        <w:t xml:space="preserve">, </w:t>
      </w:r>
      <w:r w:rsidR="00E8733B" w:rsidRPr="002612CF">
        <w:rPr>
          <w:rFonts w:ascii="Times New Roman" w:hAnsi="Times New Roman" w:cs="Times New Roman"/>
          <w:sz w:val="24"/>
          <w:szCs w:val="28"/>
        </w:rPr>
        <w:t>NIST) which consists of four vials of level 1-4 frozen serum from healthy donors with different 25(OH)D concentrations</w:t>
      </w:r>
      <w:r w:rsidR="008211CF" w:rsidRPr="002612CF">
        <w:rPr>
          <w:rFonts w:ascii="Times New Roman" w:hAnsi="Times New Roman" w:cs="Times New Roman"/>
          <w:sz w:val="24"/>
          <w:szCs w:val="28"/>
        </w:rPr>
        <w:t>,</w:t>
      </w:r>
      <w:r w:rsidR="00E8733B" w:rsidRPr="002612CF">
        <w:rPr>
          <w:rFonts w:ascii="Times New Roman" w:hAnsi="Times New Roman" w:cs="Times New Roman"/>
          <w:sz w:val="24"/>
          <w:szCs w:val="28"/>
        </w:rPr>
        <w:t xml:space="preserve"> was used </w:t>
      </w:r>
      <w:r w:rsidR="008211CF" w:rsidRPr="002612CF">
        <w:rPr>
          <w:rFonts w:ascii="Times New Roman" w:hAnsi="Times New Roman" w:cs="Times New Roman"/>
          <w:sz w:val="24"/>
          <w:szCs w:val="28"/>
        </w:rPr>
        <w:t>to estimate</w:t>
      </w:r>
      <w:r w:rsidR="00E8733B" w:rsidRPr="002612CF">
        <w:rPr>
          <w:rFonts w:ascii="Times New Roman" w:hAnsi="Times New Roman" w:cs="Times New Roman"/>
          <w:sz w:val="24"/>
          <w:szCs w:val="28"/>
        </w:rPr>
        <w:t xml:space="preserve"> </w:t>
      </w:r>
      <w:r w:rsidR="008211CF" w:rsidRPr="002612CF">
        <w:rPr>
          <w:rFonts w:ascii="Times New Roman" w:hAnsi="Times New Roman" w:cs="Times New Roman"/>
          <w:sz w:val="24"/>
          <w:szCs w:val="28"/>
        </w:rPr>
        <w:t>the</w:t>
      </w:r>
      <w:r w:rsidR="00E8733B" w:rsidRPr="002612CF">
        <w:rPr>
          <w:rFonts w:ascii="Times New Roman" w:hAnsi="Times New Roman" w:cs="Times New Roman"/>
          <w:sz w:val="24"/>
          <w:szCs w:val="28"/>
        </w:rPr>
        <w:t xml:space="preserve"> accuracy. </w:t>
      </w:r>
      <w:bookmarkStart w:id="3" w:name="_Hlk155248635"/>
      <w:r w:rsidR="00E8733B" w:rsidRPr="002612CF">
        <w:rPr>
          <w:rFonts w:ascii="Times New Roman" w:hAnsi="Times New Roman" w:cs="Times New Roman"/>
          <w:sz w:val="24"/>
          <w:szCs w:val="28"/>
        </w:rPr>
        <w:t>The concentrations of 25(OH)D</w:t>
      </w:r>
      <w:r w:rsidR="00E8733B" w:rsidRPr="002612CF">
        <w:rPr>
          <w:rFonts w:ascii="Times New Roman" w:hAnsi="Times New Roman" w:cs="Times New Roman"/>
          <w:sz w:val="24"/>
          <w:szCs w:val="28"/>
          <w:vertAlign w:val="subscript"/>
        </w:rPr>
        <w:t>2</w:t>
      </w:r>
      <w:r w:rsidR="00E8733B" w:rsidRPr="002612CF">
        <w:rPr>
          <w:rFonts w:ascii="Times New Roman" w:hAnsi="Times New Roman" w:cs="Times New Roman"/>
          <w:sz w:val="24"/>
          <w:szCs w:val="28"/>
        </w:rPr>
        <w:t xml:space="preserve"> and 25(OH)D</w:t>
      </w:r>
      <w:r w:rsidR="00E8733B" w:rsidRPr="002612CF">
        <w:rPr>
          <w:rFonts w:ascii="Times New Roman" w:hAnsi="Times New Roman" w:cs="Times New Roman"/>
          <w:sz w:val="24"/>
          <w:szCs w:val="28"/>
          <w:vertAlign w:val="subscript"/>
        </w:rPr>
        <w:t>3</w:t>
      </w:r>
      <w:r w:rsidR="00E8733B" w:rsidRPr="002612CF">
        <w:rPr>
          <w:rFonts w:ascii="Times New Roman" w:hAnsi="Times New Roman" w:cs="Times New Roman"/>
          <w:sz w:val="24"/>
          <w:szCs w:val="28"/>
        </w:rPr>
        <w:t xml:space="preserve"> in SRM 972a measured by our LC-APCI-MS/MS were 0.8±1.0% and 0.9±1.9% to the assigned values, respectively. Th</w:t>
      </w:r>
      <w:r w:rsidR="008211CF" w:rsidRPr="002612CF">
        <w:rPr>
          <w:rFonts w:ascii="Times New Roman" w:hAnsi="Times New Roman" w:cs="Times New Roman"/>
          <w:sz w:val="24"/>
          <w:szCs w:val="28"/>
        </w:rPr>
        <w:t>e</w:t>
      </w:r>
      <w:r w:rsidR="00E8733B" w:rsidRPr="002612CF">
        <w:rPr>
          <w:rFonts w:ascii="Times New Roman" w:hAnsi="Times New Roman" w:cs="Times New Roman"/>
          <w:sz w:val="24"/>
          <w:szCs w:val="28"/>
        </w:rPr>
        <w:t xml:space="preserve"> result</w:t>
      </w:r>
      <w:r w:rsidR="008211CF" w:rsidRPr="002612CF">
        <w:rPr>
          <w:rFonts w:ascii="Times New Roman" w:hAnsi="Times New Roman" w:cs="Times New Roman"/>
          <w:sz w:val="24"/>
          <w:szCs w:val="28"/>
        </w:rPr>
        <w:t>s</w:t>
      </w:r>
      <w:r w:rsidR="00E8733B" w:rsidRPr="002612CF">
        <w:rPr>
          <w:rFonts w:ascii="Times New Roman" w:hAnsi="Times New Roman" w:cs="Times New Roman"/>
          <w:sz w:val="24"/>
          <w:szCs w:val="28"/>
        </w:rPr>
        <w:t xml:space="preserve"> satisfied the criteria for the LC-</w:t>
      </w:r>
      <w:r w:rsidR="00C201E1" w:rsidRPr="002612CF">
        <w:rPr>
          <w:rFonts w:ascii="Times New Roman" w:hAnsi="Times New Roman" w:cs="Times New Roman"/>
          <w:sz w:val="24"/>
          <w:szCs w:val="28"/>
        </w:rPr>
        <w:t>MS</w:t>
      </w:r>
      <w:r w:rsidR="00E8733B" w:rsidRPr="002612CF">
        <w:rPr>
          <w:rFonts w:ascii="Times New Roman" w:hAnsi="Times New Roman" w:cs="Times New Roman"/>
          <w:sz w:val="24"/>
          <w:szCs w:val="28"/>
        </w:rPr>
        <w:t>/MS performance threshold of the AOAC procedure for 25OH vitamin D standardization/validation (VDSP</w:t>
      </w:r>
      <w:r w:rsidR="00E8733B" w:rsidRPr="002612CF">
        <w:rPr>
          <w:rFonts w:ascii="Times New Roman" w:hAnsi="Times New Roman" w:cs="Times New Roman"/>
          <w:sz w:val="24"/>
          <w:szCs w:val="24"/>
        </w:rPr>
        <w:t xml:space="preserve">) </w:t>
      </w:r>
      <w:r w:rsidR="00DC313E" w:rsidRPr="002612CF">
        <w:rPr>
          <w:rFonts w:ascii="Times New Roman" w:hAnsi="Times New Roman" w:cs="Times New Roman"/>
          <w:sz w:val="24"/>
          <w:szCs w:val="24"/>
          <w:vertAlign w:val="superscript"/>
        </w:rPr>
        <w:t>(3)</w:t>
      </w:r>
      <w:r w:rsidR="00E8733B" w:rsidRPr="002612CF">
        <w:rPr>
          <w:rFonts w:ascii="Times New Roman" w:hAnsi="Times New Roman" w:cs="Times New Roman"/>
          <w:sz w:val="24"/>
          <w:szCs w:val="24"/>
        </w:rPr>
        <w:t>.</w:t>
      </w:r>
      <w:bookmarkEnd w:id="3"/>
      <w:r w:rsidR="00E8733B" w:rsidRPr="002612CF">
        <w:rPr>
          <w:rFonts w:ascii="Times New Roman" w:hAnsi="Times New Roman" w:cs="Times New Roman"/>
          <w:sz w:val="24"/>
          <w:szCs w:val="24"/>
        </w:rPr>
        <w:t xml:space="preserve"> The</w:t>
      </w:r>
      <w:r w:rsidR="00DC313E" w:rsidRPr="002612CF">
        <w:rPr>
          <w:rFonts w:ascii="Times New Roman" w:hAnsi="Times New Roman" w:cs="Times New Roman"/>
        </w:rPr>
        <w:t xml:space="preserve"> </w:t>
      </w:r>
      <w:r w:rsidR="00DC313E" w:rsidRPr="002612CF">
        <w:rPr>
          <w:rFonts w:ascii="Times New Roman" w:hAnsi="Times New Roman" w:cs="Times New Roman"/>
          <w:sz w:val="24"/>
          <w:szCs w:val="24"/>
        </w:rPr>
        <w:t>coefficients of variation (CV) of intra- and inter-assay for Total 25(OH)D level in this study were 1.5- 8.3% and 4.6%.</w:t>
      </w:r>
    </w:p>
    <w:bookmarkEnd w:id="1"/>
    <w:p w14:paraId="6CAA5EAD" w14:textId="77777777" w:rsidR="00E8733B" w:rsidRPr="002612CF" w:rsidRDefault="00E8733B" w:rsidP="00E027E1">
      <w:pPr>
        <w:pStyle w:val="ac"/>
        <w:rPr>
          <w:rFonts w:ascii="Times New Roman" w:hAnsi="Times New Roman" w:cs="Times New Roman"/>
          <w:bCs/>
          <w:iCs/>
        </w:rPr>
      </w:pPr>
    </w:p>
    <w:p w14:paraId="02C08F9A" w14:textId="77777777" w:rsidR="00AA3372" w:rsidRPr="002612CF" w:rsidRDefault="00AA3372" w:rsidP="00E027E1">
      <w:pPr>
        <w:pStyle w:val="ac"/>
        <w:rPr>
          <w:rFonts w:ascii="Times New Roman" w:hAnsi="Times New Roman" w:cs="Times New Roman"/>
          <w:bCs/>
          <w:iCs/>
        </w:rPr>
      </w:pPr>
    </w:p>
    <w:p w14:paraId="2E339D31" w14:textId="74AFD805" w:rsidR="00AA3372" w:rsidRPr="002612CF" w:rsidRDefault="00AA3372" w:rsidP="00E027E1">
      <w:pPr>
        <w:pStyle w:val="ac"/>
        <w:rPr>
          <w:rFonts w:ascii="Times New Roman" w:hAnsi="Times New Roman" w:cs="Times New Roman"/>
          <w:bCs/>
          <w:iCs/>
        </w:rPr>
      </w:pPr>
      <w:r w:rsidRPr="002612CF">
        <w:rPr>
          <w:rFonts w:ascii="Times New Roman" w:hAnsi="Times New Roman" w:cs="Times New Roman"/>
          <w:bCs/>
          <w:iCs/>
        </w:rPr>
        <w:t>References</w:t>
      </w:r>
    </w:p>
    <w:p w14:paraId="61162314" w14:textId="77777777" w:rsidR="00AA3372" w:rsidRPr="002612CF" w:rsidRDefault="00AA3372" w:rsidP="00AA3372">
      <w:pPr>
        <w:pStyle w:val="EndNoteBibliography"/>
        <w:numPr>
          <w:ilvl w:val="0"/>
          <w:numId w:val="1"/>
        </w:numPr>
        <w:spacing w:line="240" w:lineRule="auto"/>
      </w:pPr>
      <w:r w:rsidRPr="002612CF">
        <w:t xml:space="preserve">Tsugawa N, Suhara Y, Kamao M et al (2005) Determination of 25-hydroxyvitamin D in human plasma using high-performance liquid chromatography--tandem mass spectrometry. </w:t>
      </w:r>
      <w:r w:rsidRPr="002612CF">
        <w:rPr>
          <w:i/>
        </w:rPr>
        <w:t>Anal Chem</w:t>
      </w:r>
      <w:r w:rsidRPr="002612CF">
        <w:t xml:space="preserve"> </w:t>
      </w:r>
      <w:r w:rsidRPr="002612CF">
        <w:rPr>
          <w:b/>
        </w:rPr>
        <w:t>77</w:t>
      </w:r>
      <w:r w:rsidRPr="002612CF">
        <w:t>, 3001-3007.</w:t>
      </w:r>
    </w:p>
    <w:p w14:paraId="294CA7EF" w14:textId="77777777" w:rsidR="00AA3372" w:rsidRPr="002612CF" w:rsidRDefault="00AA3372" w:rsidP="00AA3372">
      <w:pPr>
        <w:pStyle w:val="EndNoteBibliography"/>
        <w:numPr>
          <w:ilvl w:val="0"/>
          <w:numId w:val="1"/>
        </w:numPr>
        <w:spacing w:line="240" w:lineRule="auto"/>
      </w:pPr>
      <w:r w:rsidRPr="002612CF">
        <w:t>Higashi T, Awada D, Shimada K (2001) Simultaneous determination of 25-hydroxyvitamin D2 and 25-hydroxyvitamin D3 in human plasma by liquid chromatography-tandem mass spectrometry employing derivatization with a Cookson-type reagent.</w:t>
      </w:r>
      <w:r w:rsidRPr="002612CF">
        <w:rPr>
          <w:i/>
        </w:rPr>
        <w:t xml:space="preserve"> Biol Pharm Bull</w:t>
      </w:r>
      <w:r w:rsidRPr="002612CF">
        <w:t xml:space="preserve"> </w:t>
      </w:r>
      <w:r w:rsidRPr="002612CF">
        <w:rPr>
          <w:b/>
        </w:rPr>
        <w:t>24</w:t>
      </w:r>
      <w:r w:rsidRPr="002612CF">
        <w:t>, 738-743.</w:t>
      </w:r>
    </w:p>
    <w:p w14:paraId="1A092871" w14:textId="040D5983" w:rsidR="00AA3372" w:rsidRPr="002612CF" w:rsidRDefault="00AA3372" w:rsidP="00AA3372">
      <w:pPr>
        <w:pStyle w:val="EndNoteBibliography"/>
        <w:numPr>
          <w:ilvl w:val="0"/>
          <w:numId w:val="1"/>
        </w:numPr>
        <w:spacing w:line="240" w:lineRule="auto"/>
      </w:pPr>
      <w:r w:rsidRPr="002612CF">
        <w:t xml:space="preserve">Ihara H, Kiuchi S, Ishige T et al (2018) Surveillance evaluation of the standardization of assay values for serum total 25-hydroxyvitamin D concentration in Japan. </w:t>
      </w:r>
      <w:r w:rsidRPr="002612CF">
        <w:rPr>
          <w:i/>
          <w:iCs/>
        </w:rPr>
        <w:t>Ann Clin Biochem</w:t>
      </w:r>
      <w:r w:rsidRPr="002612CF">
        <w:t xml:space="preserve"> </w:t>
      </w:r>
      <w:r w:rsidRPr="002612CF">
        <w:rPr>
          <w:b/>
          <w:bCs/>
        </w:rPr>
        <w:t>55</w:t>
      </w:r>
      <w:r w:rsidRPr="002612CF">
        <w:t>, 647-656.</w:t>
      </w:r>
    </w:p>
    <w:bookmarkEnd w:id="2"/>
    <w:p w14:paraId="11AA8E6D" w14:textId="77777777" w:rsidR="00AA3372" w:rsidRPr="002612CF" w:rsidRDefault="00AA3372" w:rsidP="00E027E1">
      <w:pPr>
        <w:pStyle w:val="ac"/>
        <w:rPr>
          <w:rFonts w:ascii="Times New Roman" w:hAnsi="Times New Roman" w:cs="Times New Roman"/>
          <w:bCs/>
          <w:iCs/>
        </w:rPr>
      </w:pPr>
    </w:p>
    <w:p w14:paraId="4D5F7EDB" w14:textId="77777777" w:rsidR="00E8733B" w:rsidRPr="002612CF" w:rsidRDefault="00E8733B" w:rsidP="003D3B69">
      <w:pPr>
        <w:widowControl/>
        <w:rPr>
          <w:rFonts w:ascii="Times New Roman" w:hAnsi="Times New Roman" w:cs="Times New Roman"/>
          <w:b/>
          <w:i/>
          <w:sz w:val="24"/>
          <w:szCs w:val="24"/>
        </w:rPr>
      </w:pPr>
      <w:r w:rsidRPr="002612CF">
        <w:rPr>
          <w:rFonts w:ascii="Times New Roman" w:hAnsi="Times New Roman" w:cs="Times New Roman"/>
          <w:b/>
          <w:i/>
          <w:sz w:val="24"/>
          <w:szCs w:val="24"/>
        </w:rPr>
        <w:br w:type="page"/>
      </w:r>
    </w:p>
    <w:p w14:paraId="73AF0557" w14:textId="4D8033B0" w:rsidR="00687FE2" w:rsidRPr="002612CF" w:rsidRDefault="00687FE2" w:rsidP="00A31679">
      <w:pPr>
        <w:pStyle w:val="ae"/>
        <w:numPr>
          <w:ilvl w:val="0"/>
          <w:numId w:val="4"/>
        </w:numPr>
        <w:ind w:leftChars="0"/>
        <w:rPr>
          <w:rFonts w:ascii="Times New Roman" w:hAnsi="Times New Roman" w:cs="Times New Roman"/>
          <w:b/>
          <w:i/>
          <w:sz w:val="24"/>
          <w:szCs w:val="24"/>
        </w:rPr>
      </w:pPr>
      <w:r w:rsidRPr="002612CF">
        <w:rPr>
          <w:rFonts w:ascii="Times New Roman" w:hAnsi="Times New Roman" w:cs="Times New Roman"/>
          <w:b/>
          <w:i/>
          <w:sz w:val="24"/>
          <w:szCs w:val="24"/>
        </w:rPr>
        <w:lastRenderedPageBreak/>
        <w:t>Estimation of the cumulative ambient UV-B irradiation</w:t>
      </w:r>
    </w:p>
    <w:p w14:paraId="1C6CDC4F" w14:textId="2268411E" w:rsidR="00687FE2" w:rsidRPr="002612CF" w:rsidRDefault="00687FE2" w:rsidP="00687FE2">
      <w:pPr>
        <w:ind w:leftChars="100" w:left="210" w:firstLine="840"/>
        <w:jc w:val="left"/>
        <w:rPr>
          <w:rFonts w:ascii="Times New Roman" w:hAnsi="Times New Roman" w:cs="Times New Roman"/>
          <w:sz w:val="24"/>
          <w:szCs w:val="24"/>
        </w:rPr>
      </w:pPr>
      <w:bookmarkStart w:id="4" w:name="_Hlk158545041"/>
      <w:r w:rsidRPr="002612CF">
        <w:rPr>
          <w:rFonts w:ascii="Times New Roman" w:hAnsi="Times New Roman" w:cs="Times New Roman"/>
          <w:sz w:val="24"/>
          <w:szCs w:val="24"/>
        </w:rPr>
        <w:t>The ultraviolet-B (UV-B) radiation flux density was calculated using a radiative-transfer code called ‘Simple Model of the Atmospheric Radiative Transfer of Sunshine, version 2</w:t>
      </w:r>
      <w:r w:rsidR="00974DC0" w:rsidRPr="002612CF">
        <w:rPr>
          <w:rFonts w:ascii="Times New Roman" w:hAnsi="Times New Roman" w:cs="Times New Roman"/>
          <w:sz w:val="24"/>
          <w:szCs w:val="24"/>
        </w:rPr>
        <w:t xml:space="preserve"> (SMARTS2</w:t>
      </w:r>
      <w:r w:rsidRPr="002612CF">
        <w:rPr>
          <w:rFonts w:ascii="Times New Roman" w:hAnsi="Times New Roman" w:cs="Times New Roman"/>
          <w:sz w:val="24"/>
          <w:szCs w:val="24"/>
        </w:rPr>
        <w:t>)’ developed by Gueymard to calculate the flux density of solar radiation on the ground surface E(λ) for wavelengths between 280 and 4,000 nm</w:t>
      </w:r>
      <w:r w:rsidR="00DC313E" w:rsidRPr="002612CF">
        <w:rPr>
          <w:rFonts w:ascii="Times New Roman" w:hAnsi="Times New Roman" w:cs="Times New Roman"/>
          <w:sz w:val="24"/>
          <w:szCs w:val="24"/>
          <w:vertAlign w:val="superscript"/>
        </w:rPr>
        <w:t xml:space="preserve"> (1)</w:t>
      </w:r>
      <w:r w:rsidRPr="002612CF">
        <w:rPr>
          <w:rFonts w:ascii="Times New Roman" w:hAnsi="Times New Roman" w:cs="Times New Roman"/>
          <w:sz w:val="24"/>
          <w:szCs w:val="24"/>
        </w:rPr>
        <w:t>. Based on this, we estimated the cumulative ambient UV-B irradiation from 1 month to 1 d before the blood was drawn.</w:t>
      </w:r>
    </w:p>
    <w:p w14:paraId="174C865D" w14:textId="77777777" w:rsidR="00687FE2" w:rsidRPr="002612CF" w:rsidRDefault="00687FE2" w:rsidP="00687FE2">
      <w:pPr>
        <w:ind w:leftChars="100" w:left="210" w:firstLineChars="381" w:firstLine="914"/>
        <w:rPr>
          <w:rFonts w:ascii="Times New Roman" w:hAnsi="Times New Roman" w:cs="Times New Roman"/>
          <w:sz w:val="24"/>
          <w:szCs w:val="24"/>
        </w:rPr>
      </w:pPr>
      <w:r w:rsidRPr="002612CF">
        <w:rPr>
          <w:rFonts w:ascii="Times New Roman" w:hAnsi="Times New Roman" w:cs="Times New Roman"/>
          <w:sz w:val="24"/>
          <w:szCs w:val="24"/>
        </w:rPr>
        <w:t xml:space="preserve">In particular, for wavelengths from 280 to 1,700 nm, calculations can be made at 1 nm intervals. UV spectrum of wavelength </w:t>
      </w:r>
      <w:r w:rsidRPr="002612CF">
        <w:rPr>
          <w:rFonts w:ascii="Times New Roman" w:hAnsi="Times New Roman" w:cs="Times New Roman"/>
          <w:i/>
          <w:iCs/>
          <w:sz w:val="24"/>
          <w:szCs w:val="24"/>
        </w:rPr>
        <w:t>λ</w:t>
      </w:r>
      <w:r w:rsidRPr="002612CF">
        <w:rPr>
          <w:rFonts w:ascii="Times New Roman" w:hAnsi="Times New Roman" w:cs="Times New Roman"/>
          <w:sz w:val="24"/>
          <w:szCs w:val="24"/>
        </w:rPr>
        <w:t xml:space="preserve"> at the horizontal plane surface is expressed as follows; </w:t>
      </w:r>
    </w:p>
    <w:p w14:paraId="6DCB5215" w14:textId="5AE37CA9" w:rsidR="00687FE2" w:rsidRPr="002612CF" w:rsidRDefault="00687FE2" w:rsidP="00687FE2">
      <w:pPr>
        <w:ind w:leftChars="100" w:left="210" w:firstLineChars="50" w:firstLine="120"/>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m:rPr>
                  <m:sty m:val="p"/>
                </m:rPr>
                <w:rPr>
                  <w:rFonts w:ascii="Cambria Math" w:hAnsi="Cambria Math" w:cs="Times New Roman"/>
                  <w:sz w:val="24"/>
                  <w:szCs w:val="24"/>
                </w:rPr>
                <m:t>λ</m:t>
              </m:r>
              <m:ctrlPr>
                <w:rPr>
                  <w:rFonts w:ascii="Cambria Math" w:hAnsi="Cambria Math" w:cs="Times New Roman"/>
                  <w:sz w:val="24"/>
                  <w:szCs w:val="24"/>
                </w:rPr>
              </m:ctrlP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bn</m:t>
              </m:r>
            </m:sub>
          </m:sSub>
          <m:d>
            <m:dPr>
              <m:ctrlPr>
                <w:rPr>
                  <w:rFonts w:ascii="Cambria Math" w:hAnsi="Cambria Math" w:cs="Times New Roman"/>
                  <w:i/>
                  <w:sz w:val="24"/>
                  <w:szCs w:val="24"/>
                </w:rPr>
              </m:ctrlPr>
            </m:dPr>
            <m:e>
              <m:r>
                <m:rPr>
                  <m:sty m:val="p"/>
                </m:rPr>
                <w:rPr>
                  <w:rFonts w:ascii="Cambria Math" w:hAnsi="Cambria Math" w:cs="Times New Roman"/>
                  <w:sz w:val="24"/>
                  <w:szCs w:val="24"/>
                </w:rPr>
                <m:t>λ</m:t>
              </m:r>
              <m:ctrlPr>
                <w:rPr>
                  <w:rFonts w:ascii="Cambria Math" w:hAnsi="Cambria Math" w:cs="Times New Roman"/>
                  <w:sz w:val="24"/>
                  <w:szCs w:val="24"/>
                </w:rPr>
              </m:ctrlPr>
            </m:e>
          </m: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sSub>
                <m:sSubPr>
                  <m:ctrlPr>
                    <w:rPr>
                      <w:rFonts w:ascii="Cambria Math" w:hAnsi="Cambria Math" w:cs="Times New Roman"/>
                      <w:iCs/>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z</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d</m:t>
              </m:r>
            </m:sub>
          </m:sSub>
          <m:r>
            <m:rPr>
              <m:sty m:val="p"/>
            </m:rPr>
            <w:rPr>
              <w:rFonts w:ascii="Cambria Math" w:hAnsi="Cambria Math" w:cs="Times New Roman"/>
              <w:sz w:val="24"/>
              <w:szCs w:val="24"/>
            </w:rPr>
            <m:t>(λ)</m:t>
          </m:r>
        </m:oMath>
      </m:oMathPara>
    </w:p>
    <w:p w14:paraId="2C18E797" w14:textId="77777777" w:rsidR="00687FE2" w:rsidRPr="002612CF" w:rsidRDefault="00687FE2" w:rsidP="00687FE2">
      <w:pPr>
        <w:ind w:leftChars="100" w:left="210"/>
        <w:rPr>
          <w:rFonts w:ascii="Times New Roman" w:hAnsi="Times New Roman" w:cs="Times New Roman"/>
          <w:sz w:val="24"/>
          <w:szCs w:val="24"/>
        </w:rPr>
      </w:pPr>
      <w:r w:rsidRPr="002612CF">
        <w:rPr>
          <w:rFonts w:ascii="Times New Roman" w:hAnsi="Times New Roman" w:cs="Times New Roman"/>
          <w:sz w:val="24"/>
          <w:szCs w:val="24"/>
        </w:rPr>
        <w:t>where</w:t>
      </w:r>
    </w:p>
    <w:p w14:paraId="52795E5A" w14:textId="77777777" w:rsidR="00687FE2" w:rsidRPr="002612CF" w:rsidRDefault="00687FE2" w:rsidP="00687FE2">
      <w:pPr>
        <w:ind w:leftChars="100" w:left="210" w:firstLineChars="50" w:firstLine="120"/>
        <w:rPr>
          <w:rFonts w:ascii="Times New Roman" w:hAnsi="Times New Roman" w:cs="Times New Roman"/>
          <w:sz w:val="24"/>
          <w:szCs w:val="24"/>
        </w:rPr>
      </w:pPr>
      <w:r w:rsidRPr="002612CF">
        <w:rPr>
          <w:rFonts w:ascii="Times New Roman" w:hAnsi="Times New Roman" w:cs="Times New Roman"/>
          <w:i/>
          <w:iCs/>
          <w:sz w:val="24"/>
          <w:szCs w:val="24"/>
        </w:rPr>
        <w:t xml:space="preserve">E </w:t>
      </w:r>
      <w:r w:rsidRPr="002612CF">
        <w:rPr>
          <w:rFonts w:ascii="Times New Roman" w:hAnsi="Times New Roman" w:cs="Times New Roman"/>
          <w:sz w:val="24"/>
          <w:szCs w:val="24"/>
        </w:rPr>
        <w:t>(</w:t>
      </w:r>
      <w:r w:rsidRPr="002612CF">
        <w:rPr>
          <w:rFonts w:ascii="Times New Roman" w:hAnsi="Times New Roman" w:cs="Times New Roman"/>
          <w:i/>
          <w:iCs/>
          <w:sz w:val="24"/>
          <w:szCs w:val="24"/>
        </w:rPr>
        <w:t>λ</w:t>
      </w:r>
      <w:r w:rsidRPr="002612CF">
        <w:rPr>
          <w:rFonts w:ascii="Times New Roman" w:hAnsi="Times New Roman" w:cs="Times New Roman"/>
          <w:sz w:val="24"/>
          <w:szCs w:val="24"/>
        </w:rPr>
        <w:t xml:space="preserve">): UV flux density of the wavelength, </w:t>
      </w:r>
      <w:r w:rsidRPr="002612CF">
        <w:rPr>
          <w:rFonts w:ascii="Times New Roman" w:hAnsi="Times New Roman" w:cs="Times New Roman"/>
          <w:i/>
          <w:iCs/>
          <w:sz w:val="24"/>
          <w:szCs w:val="24"/>
        </w:rPr>
        <w:t>λ</w:t>
      </w:r>
      <w:r w:rsidRPr="002612CF">
        <w:rPr>
          <w:rFonts w:ascii="Times New Roman" w:hAnsi="Times New Roman" w:cs="Times New Roman"/>
          <w:sz w:val="24"/>
          <w:szCs w:val="24"/>
        </w:rPr>
        <w:t>,</w:t>
      </w:r>
    </w:p>
    <w:p w14:paraId="15257C03" w14:textId="77777777" w:rsidR="00687FE2" w:rsidRPr="002612CF" w:rsidRDefault="00687FE2" w:rsidP="00687FE2">
      <w:pPr>
        <w:ind w:leftChars="100" w:left="210" w:firstLineChars="50" w:firstLine="120"/>
        <w:rPr>
          <w:rFonts w:ascii="Times New Roman" w:hAnsi="Times New Roman" w:cs="Times New Roman"/>
          <w:sz w:val="24"/>
          <w:szCs w:val="24"/>
        </w:rPr>
      </w:pPr>
      <w:r w:rsidRPr="002612CF">
        <w:rPr>
          <w:rFonts w:ascii="Times New Roman" w:hAnsi="Times New Roman" w:cs="Times New Roman"/>
          <w:i/>
          <w:iCs/>
          <w:sz w:val="24"/>
          <w:szCs w:val="24"/>
        </w:rPr>
        <w:t>E</w:t>
      </w:r>
      <w:r w:rsidRPr="002612CF">
        <w:rPr>
          <w:rFonts w:ascii="Times New Roman" w:hAnsi="Times New Roman" w:cs="Times New Roman"/>
          <w:i/>
          <w:iCs/>
          <w:sz w:val="24"/>
          <w:szCs w:val="24"/>
          <w:vertAlign w:val="subscript"/>
        </w:rPr>
        <w:t xml:space="preserve">bn </w:t>
      </w:r>
      <w:r w:rsidRPr="002612CF">
        <w:rPr>
          <w:rFonts w:ascii="Times New Roman" w:hAnsi="Times New Roman" w:cs="Times New Roman"/>
          <w:sz w:val="24"/>
          <w:szCs w:val="24"/>
        </w:rPr>
        <w:t>(</w:t>
      </w:r>
      <w:r w:rsidRPr="002612CF">
        <w:rPr>
          <w:rFonts w:ascii="Times New Roman" w:hAnsi="Times New Roman" w:cs="Times New Roman"/>
          <w:i/>
          <w:iCs/>
          <w:sz w:val="24"/>
          <w:szCs w:val="24"/>
        </w:rPr>
        <w:t>λ</w:t>
      </w:r>
      <w:r w:rsidRPr="002612CF">
        <w:rPr>
          <w:rFonts w:ascii="Times New Roman" w:hAnsi="Times New Roman" w:cs="Times New Roman"/>
          <w:sz w:val="24"/>
          <w:szCs w:val="24"/>
        </w:rPr>
        <w:t>): UV spectrum of the direct component of solar radiation,</w:t>
      </w:r>
    </w:p>
    <w:p w14:paraId="5A134658" w14:textId="77777777" w:rsidR="00687FE2" w:rsidRPr="002612CF" w:rsidRDefault="00687FE2" w:rsidP="00687FE2">
      <w:pPr>
        <w:ind w:leftChars="100" w:left="210" w:firstLineChars="50" w:firstLine="120"/>
        <w:rPr>
          <w:rFonts w:ascii="Times New Roman" w:hAnsi="Times New Roman" w:cs="Times New Roman"/>
          <w:sz w:val="24"/>
          <w:szCs w:val="24"/>
        </w:rPr>
      </w:pPr>
      <w:r w:rsidRPr="002612CF">
        <w:rPr>
          <w:rFonts w:ascii="Times New Roman" w:hAnsi="Times New Roman" w:cs="Times New Roman"/>
          <w:i/>
          <w:iCs/>
          <w:sz w:val="24"/>
          <w:szCs w:val="24"/>
        </w:rPr>
        <w:t>θ</w:t>
      </w:r>
      <w:r w:rsidRPr="002612CF">
        <w:rPr>
          <w:rFonts w:ascii="Times New Roman" w:hAnsi="Times New Roman" w:cs="Times New Roman"/>
          <w:i/>
          <w:iCs/>
          <w:sz w:val="24"/>
          <w:szCs w:val="24"/>
          <w:vertAlign w:val="subscript"/>
        </w:rPr>
        <w:t>z</w:t>
      </w:r>
      <w:r w:rsidRPr="002612CF">
        <w:rPr>
          <w:rFonts w:ascii="Times New Roman" w:hAnsi="Times New Roman" w:cs="Times New Roman"/>
          <w:sz w:val="24"/>
          <w:szCs w:val="24"/>
        </w:rPr>
        <w:t>: solar zenith angle,</w:t>
      </w:r>
    </w:p>
    <w:p w14:paraId="307E9435" w14:textId="77777777" w:rsidR="00687FE2" w:rsidRPr="002612CF" w:rsidRDefault="00687FE2" w:rsidP="00687FE2">
      <w:pPr>
        <w:ind w:leftChars="100" w:left="210" w:firstLineChars="50" w:firstLine="120"/>
        <w:rPr>
          <w:rFonts w:ascii="Times New Roman" w:hAnsi="Times New Roman" w:cs="Times New Roman"/>
          <w:sz w:val="24"/>
          <w:szCs w:val="24"/>
        </w:rPr>
      </w:pPr>
      <w:r w:rsidRPr="002612CF">
        <w:rPr>
          <w:rFonts w:ascii="Times New Roman" w:hAnsi="Times New Roman" w:cs="Times New Roman"/>
          <w:i/>
          <w:iCs/>
          <w:sz w:val="24"/>
          <w:szCs w:val="24"/>
        </w:rPr>
        <w:t>I</w:t>
      </w:r>
      <w:r w:rsidRPr="002612CF">
        <w:rPr>
          <w:rFonts w:ascii="Times New Roman" w:hAnsi="Times New Roman" w:cs="Times New Roman"/>
          <w:i/>
          <w:iCs/>
          <w:sz w:val="24"/>
          <w:szCs w:val="24"/>
          <w:vertAlign w:val="subscript"/>
        </w:rPr>
        <w:t>d</w:t>
      </w:r>
      <w:r w:rsidRPr="002612CF">
        <w:rPr>
          <w:rFonts w:ascii="Times New Roman" w:hAnsi="Times New Roman" w:cs="Times New Roman"/>
          <w:i/>
          <w:iCs/>
          <w:sz w:val="24"/>
          <w:szCs w:val="24"/>
        </w:rPr>
        <w:t xml:space="preserve"> </w:t>
      </w:r>
      <w:r w:rsidRPr="002612CF">
        <w:rPr>
          <w:rFonts w:ascii="Times New Roman" w:hAnsi="Times New Roman" w:cs="Times New Roman"/>
          <w:sz w:val="24"/>
          <w:szCs w:val="24"/>
        </w:rPr>
        <w:t>(</w:t>
      </w:r>
      <w:r w:rsidRPr="002612CF">
        <w:rPr>
          <w:rFonts w:ascii="Times New Roman" w:hAnsi="Times New Roman" w:cs="Times New Roman"/>
          <w:i/>
          <w:iCs/>
          <w:sz w:val="24"/>
          <w:szCs w:val="24"/>
        </w:rPr>
        <w:t>λ</w:t>
      </w:r>
      <w:r w:rsidRPr="002612CF">
        <w:rPr>
          <w:rFonts w:ascii="Times New Roman" w:hAnsi="Times New Roman" w:cs="Times New Roman"/>
          <w:sz w:val="24"/>
          <w:szCs w:val="24"/>
        </w:rPr>
        <w:t>): UV spectrum of the diffusive component of solar radiation.</w:t>
      </w:r>
    </w:p>
    <w:p w14:paraId="030880DC" w14:textId="6A8F097F" w:rsidR="00687FE2" w:rsidRPr="002612CF" w:rsidRDefault="00687FE2" w:rsidP="00687FE2">
      <w:pPr>
        <w:ind w:leftChars="100" w:left="210"/>
        <w:rPr>
          <w:rFonts w:ascii="Times New Roman" w:hAnsi="Times New Roman" w:cs="Times New Roman"/>
          <w:sz w:val="24"/>
          <w:szCs w:val="24"/>
        </w:rPr>
      </w:pPr>
      <w:r w:rsidRPr="002612CF">
        <w:rPr>
          <w:rFonts w:ascii="Times New Roman" w:hAnsi="Times New Roman" w:cs="Times New Roman"/>
          <w:sz w:val="24"/>
          <w:szCs w:val="24"/>
        </w:rPr>
        <w:tab/>
        <w:t>This equation allows us to calculate the UV spectrum Ebn (λ) and Id (λ) at the ground surface for a given season, time, and location under a cloudless sky. We applied this calculation to the sites where the subjects were recruited at each participating university or college. The UV flux reaching the top of the atmosphere from the sun was corrected for the distance between the earth and sun for each day of the year. The total ozone at each site is given by measurements from NASA’s OM</w:t>
      </w:r>
      <w:r w:rsidR="00DC313E" w:rsidRPr="002612CF">
        <w:rPr>
          <w:rFonts w:ascii="Times New Roman" w:hAnsi="Times New Roman" w:cs="Times New Roman"/>
          <w:sz w:val="24"/>
          <w:szCs w:val="24"/>
          <w:vertAlign w:val="superscript"/>
        </w:rPr>
        <w:t xml:space="preserve"> (2)</w:t>
      </w:r>
      <w:r w:rsidRPr="002612CF">
        <w:rPr>
          <w:rFonts w:ascii="Times New Roman" w:hAnsi="Times New Roman" w:cs="Times New Roman"/>
          <w:sz w:val="24"/>
          <w:szCs w:val="24"/>
          <w:vertAlign w:val="superscript"/>
        </w:rPr>
        <w:t xml:space="preserve"> </w:t>
      </w:r>
      <w:r w:rsidRPr="002612CF">
        <w:rPr>
          <w:rFonts w:ascii="Times New Roman" w:hAnsi="Times New Roman" w:cs="Times New Roman"/>
          <w:sz w:val="24"/>
          <w:szCs w:val="24"/>
        </w:rPr>
        <w:t>and OMPS</w:t>
      </w:r>
      <w:r w:rsidR="00DC313E" w:rsidRPr="002612CF">
        <w:rPr>
          <w:rFonts w:ascii="Times New Roman" w:hAnsi="Times New Roman" w:cs="Times New Roman"/>
          <w:sz w:val="24"/>
          <w:szCs w:val="24"/>
          <w:vertAlign w:val="superscript"/>
        </w:rPr>
        <w:t xml:space="preserve"> (3)</w:t>
      </w:r>
      <w:r w:rsidRPr="002612CF">
        <w:rPr>
          <w:rFonts w:ascii="Times New Roman" w:hAnsi="Times New Roman" w:cs="Times New Roman"/>
          <w:sz w:val="24"/>
          <w:szCs w:val="24"/>
        </w:rPr>
        <w:t xml:space="preserve"> satellites that regularly report ozone total column data. The optical thickness of aerosols was observed under a cloudless sky at the Tsukuba station, Japan Meteorological Agency, using a sun-photometer that split the direct solar radiation into 368, 500, 675, 778, and 862 nm, yielding the Ångström parameters α and β. The aerosol data for Tsukuba were used when there were no data available for aerosols at the study sites. Rayleigh scattering is related to the number of air molecules that can generate atmospheric pressure. UV spectra have been observed by the Japan Meteorological Agency, every hour </w:t>
      </w:r>
      <w:r w:rsidR="008E003A" w:rsidRPr="002612CF">
        <w:rPr>
          <w:rFonts w:ascii="Times New Roman" w:hAnsi="Times New Roman" w:cs="Times New Roman"/>
          <w:sz w:val="24"/>
          <w:szCs w:val="24"/>
        </w:rPr>
        <w:t>daily</w:t>
      </w:r>
      <w:r w:rsidRPr="002612CF">
        <w:rPr>
          <w:rFonts w:ascii="Times New Roman" w:hAnsi="Times New Roman" w:cs="Times New Roman"/>
          <w:sz w:val="24"/>
          <w:szCs w:val="24"/>
        </w:rPr>
        <w:t xml:space="preserve"> with Brewer spectra available for every 0.5 nm interval</w:t>
      </w:r>
      <w:r w:rsidR="0068669A" w:rsidRPr="002612CF">
        <w:rPr>
          <w:rFonts w:ascii="Times New Roman" w:hAnsi="Times New Roman" w:cs="Times New Roman"/>
          <w:sz w:val="24"/>
          <w:szCs w:val="24"/>
          <w:vertAlign w:val="superscript"/>
        </w:rPr>
        <w:t xml:space="preserve"> (4)</w:t>
      </w:r>
      <w:r w:rsidR="0068669A" w:rsidRPr="002612CF">
        <w:rPr>
          <w:rFonts w:ascii="Times New Roman" w:hAnsi="Times New Roman" w:cs="Times New Roman"/>
          <w:sz w:val="24"/>
          <w:szCs w:val="24"/>
        </w:rPr>
        <w:t>.</w:t>
      </w:r>
      <w:r w:rsidRPr="002612CF">
        <w:rPr>
          <w:rFonts w:ascii="Times New Roman" w:hAnsi="Times New Roman" w:cs="Times New Roman"/>
          <w:sz w:val="24"/>
          <w:szCs w:val="24"/>
        </w:rPr>
        <w:t xml:space="preserve"> </w:t>
      </w:r>
    </w:p>
    <w:p w14:paraId="506AF0CF" w14:textId="3584D243" w:rsidR="00EB2A21" w:rsidRPr="002612CF" w:rsidRDefault="00EB2A21" w:rsidP="00687FE2">
      <w:pPr>
        <w:rPr>
          <w:rFonts w:ascii="Times New Roman" w:hAnsi="Times New Roman" w:cs="Times New Roman"/>
          <w:sz w:val="24"/>
          <w:szCs w:val="24"/>
          <w:vertAlign w:val="superscript"/>
        </w:rPr>
      </w:pPr>
    </w:p>
    <w:p w14:paraId="18D149A9" w14:textId="77777777" w:rsidR="00DC313E" w:rsidRPr="002612CF" w:rsidRDefault="00DC313E" w:rsidP="00552943">
      <w:pPr>
        <w:rPr>
          <w:rFonts w:ascii="Times New Roman" w:hAnsi="Times New Roman" w:cs="Times New Roman"/>
          <w:sz w:val="24"/>
          <w:szCs w:val="24"/>
        </w:rPr>
      </w:pPr>
      <w:r w:rsidRPr="002612CF">
        <w:rPr>
          <w:rFonts w:ascii="Times New Roman" w:hAnsi="Times New Roman" w:cs="Times New Roman"/>
          <w:sz w:val="24"/>
          <w:szCs w:val="24"/>
        </w:rPr>
        <w:t>References</w:t>
      </w:r>
    </w:p>
    <w:p w14:paraId="5A7D6D27" w14:textId="67C9EE28" w:rsidR="00DC313E" w:rsidRPr="002612CF" w:rsidRDefault="00DC313E" w:rsidP="00482CAA">
      <w:pPr>
        <w:pStyle w:val="ae"/>
        <w:numPr>
          <w:ilvl w:val="0"/>
          <w:numId w:val="5"/>
        </w:numPr>
        <w:ind w:leftChars="0"/>
        <w:rPr>
          <w:rFonts w:ascii="Times New Roman" w:hAnsi="Times New Roman" w:cs="Times New Roman"/>
          <w:sz w:val="24"/>
          <w:szCs w:val="24"/>
        </w:rPr>
      </w:pPr>
      <w:r w:rsidRPr="002612CF">
        <w:rPr>
          <w:rFonts w:ascii="Times New Roman" w:hAnsi="Times New Roman" w:cs="Times New Roman"/>
          <w:sz w:val="24"/>
          <w:szCs w:val="24"/>
        </w:rPr>
        <w:t>Florida Solar Energy Center (1995) Report FSEC-PF-270-95. http://www.fsec.ucf.edu/en/publications/pdf/FSEC-PF-270-95.pdf (accessed by May 2023)</w:t>
      </w:r>
    </w:p>
    <w:p w14:paraId="281CC43F" w14:textId="77777777" w:rsidR="00DC313E" w:rsidRPr="002612CF" w:rsidRDefault="00DC313E" w:rsidP="00482CAA">
      <w:pPr>
        <w:pStyle w:val="ae"/>
        <w:numPr>
          <w:ilvl w:val="0"/>
          <w:numId w:val="5"/>
        </w:numPr>
        <w:ind w:leftChars="0"/>
        <w:rPr>
          <w:rFonts w:ascii="Times New Roman" w:hAnsi="Times New Roman" w:cs="Times New Roman"/>
          <w:sz w:val="24"/>
          <w:szCs w:val="24"/>
        </w:rPr>
      </w:pPr>
      <w:r w:rsidRPr="002612CF">
        <w:rPr>
          <w:rFonts w:ascii="Times New Roman" w:hAnsi="Times New Roman" w:cs="Times New Roman"/>
          <w:sz w:val="24"/>
          <w:szCs w:val="24"/>
        </w:rPr>
        <w:t xml:space="preserve">Liu X, Bhartia PK, Chance K, Spurr RJD, Kurosu TP. Ozone profile retrievals from the Ozone Monitoring Instrument. Atmos. Chem. Phys. 2010;10, 2521-2537. https://doi.org/10.5194/acp-10-2521-2010.] </w:t>
      </w:r>
    </w:p>
    <w:p w14:paraId="350E20C2" w14:textId="77777777" w:rsidR="0068669A" w:rsidRPr="002612CF" w:rsidRDefault="00DC313E" w:rsidP="00482CAA">
      <w:pPr>
        <w:pStyle w:val="ae"/>
        <w:numPr>
          <w:ilvl w:val="0"/>
          <w:numId w:val="5"/>
        </w:numPr>
        <w:ind w:leftChars="0"/>
        <w:rPr>
          <w:rFonts w:ascii="Times New Roman" w:hAnsi="Times New Roman" w:cs="Times New Roman"/>
          <w:sz w:val="24"/>
          <w:szCs w:val="24"/>
        </w:rPr>
      </w:pPr>
      <w:r w:rsidRPr="002612CF">
        <w:rPr>
          <w:rFonts w:ascii="Times New Roman" w:hAnsi="Times New Roman" w:cs="Times New Roman"/>
          <w:sz w:val="24"/>
          <w:szCs w:val="24"/>
        </w:rPr>
        <w:t>Flynn L, Long C, Wu X, Evans R, Beck CT, Petropavlovskikh I, et al. Performance of the Ozone Mapping and Profiler Suite (OMPS) products. J Geophys Res Atmos. 2014;199: 6181-6195, doi:10.1002/2013JD020467)</w:t>
      </w:r>
      <w:r w:rsidR="0068669A" w:rsidRPr="002612CF">
        <w:rPr>
          <w:rFonts w:ascii="Times New Roman" w:hAnsi="Times New Roman" w:cs="Times New Roman"/>
          <w:sz w:val="24"/>
          <w:szCs w:val="24"/>
          <w:vertAlign w:val="superscript"/>
        </w:rPr>
        <w:t xml:space="preserve"> </w:t>
      </w:r>
    </w:p>
    <w:p w14:paraId="25AEC3F0" w14:textId="3144BCDC" w:rsidR="00DC313E" w:rsidRPr="002612CF" w:rsidRDefault="0068669A" w:rsidP="00482CAA">
      <w:pPr>
        <w:pStyle w:val="ae"/>
        <w:numPr>
          <w:ilvl w:val="0"/>
          <w:numId w:val="5"/>
        </w:numPr>
        <w:ind w:leftChars="0"/>
        <w:rPr>
          <w:rFonts w:ascii="Times New Roman" w:hAnsi="Times New Roman" w:cs="Times New Roman"/>
          <w:sz w:val="24"/>
          <w:szCs w:val="24"/>
        </w:rPr>
      </w:pPr>
      <w:r w:rsidRPr="002612CF">
        <w:rPr>
          <w:rFonts w:ascii="Times New Roman" w:hAnsi="Times New Roman" w:cs="Times New Roman"/>
          <w:sz w:val="24"/>
          <w:szCs w:val="24"/>
        </w:rPr>
        <w:t>Japan Meteorological Agency. Ozone La</w:t>
      </w:r>
      <w:r w:rsidRPr="002612CF">
        <w:rPr>
          <w:rFonts w:ascii="Times New Roman" w:hAnsi="Times New Roman"/>
          <w:sz w:val="24"/>
          <w:szCs w:val="24"/>
        </w:rPr>
        <w:t>yer and Ultraviolet Radiation; 2021. Available from: https://www.data.jma.go.jp/gmd/env/ozonehp/ozone_daily.html]</w:t>
      </w:r>
      <w:bookmarkEnd w:id="4"/>
      <w:bookmarkEnd w:id="0"/>
    </w:p>
    <w:sectPr w:rsidR="00DC313E" w:rsidRPr="002612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A0DE" w14:textId="77777777" w:rsidR="00EA39D3" w:rsidRDefault="00EA39D3" w:rsidP="006B350D">
      <w:r>
        <w:separator/>
      </w:r>
    </w:p>
  </w:endnote>
  <w:endnote w:type="continuationSeparator" w:id="0">
    <w:p w14:paraId="180E150A" w14:textId="77777777" w:rsidR="00EA39D3" w:rsidRDefault="00EA39D3" w:rsidP="006B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69F45" w14:textId="77777777" w:rsidR="00EA39D3" w:rsidRDefault="00EA39D3" w:rsidP="006B350D">
      <w:r>
        <w:separator/>
      </w:r>
    </w:p>
  </w:footnote>
  <w:footnote w:type="continuationSeparator" w:id="0">
    <w:p w14:paraId="1AF87019" w14:textId="77777777" w:rsidR="00EA39D3" w:rsidRDefault="00EA39D3" w:rsidP="006B35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3792"/>
    <w:multiLevelType w:val="hybridMultilevel"/>
    <w:tmpl w:val="1138D740"/>
    <w:lvl w:ilvl="0" w:tplc="0409000F">
      <w:start w:val="1"/>
      <w:numFmt w:val="decimal"/>
      <w:lvlText w:val="%1."/>
      <w:lvlJc w:val="left"/>
      <w:pPr>
        <w:ind w:left="5686" w:hanging="440"/>
      </w:pPr>
    </w:lvl>
    <w:lvl w:ilvl="1" w:tplc="04090017" w:tentative="1">
      <w:start w:val="1"/>
      <w:numFmt w:val="aiueoFullWidth"/>
      <w:lvlText w:val="(%2)"/>
      <w:lvlJc w:val="left"/>
      <w:pPr>
        <w:ind w:left="6126" w:hanging="440"/>
      </w:pPr>
    </w:lvl>
    <w:lvl w:ilvl="2" w:tplc="04090011" w:tentative="1">
      <w:start w:val="1"/>
      <w:numFmt w:val="decimalEnclosedCircle"/>
      <w:lvlText w:val="%3"/>
      <w:lvlJc w:val="left"/>
      <w:pPr>
        <w:ind w:left="6566" w:hanging="440"/>
      </w:pPr>
    </w:lvl>
    <w:lvl w:ilvl="3" w:tplc="0409000F" w:tentative="1">
      <w:start w:val="1"/>
      <w:numFmt w:val="decimal"/>
      <w:lvlText w:val="%4."/>
      <w:lvlJc w:val="left"/>
      <w:pPr>
        <w:ind w:left="7006" w:hanging="440"/>
      </w:pPr>
    </w:lvl>
    <w:lvl w:ilvl="4" w:tplc="04090017" w:tentative="1">
      <w:start w:val="1"/>
      <w:numFmt w:val="aiueoFullWidth"/>
      <w:lvlText w:val="(%5)"/>
      <w:lvlJc w:val="left"/>
      <w:pPr>
        <w:ind w:left="7446" w:hanging="440"/>
      </w:pPr>
    </w:lvl>
    <w:lvl w:ilvl="5" w:tplc="04090011" w:tentative="1">
      <w:start w:val="1"/>
      <w:numFmt w:val="decimalEnclosedCircle"/>
      <w:lvlText w:val="%6"/>
      <w:lvlJc w:val="left"/>
      <w:pPr>
        <w:ind w:left="7886" w:hanging="440"/>
      </w:pPr>
    </w:lvl>
    <w:lvl w:ilvl="6" w:tplc="0409000F" w:tentative="1">
      <w:start w:val="1"/>
      <w:numFmt w:val="decimal"/>
      <w:lvlText w:val="%7."/>
      <w:lvlJc w:val="left"/>
      <w:pPr>
        <w:ind w:left="8326" w:hanging="440"/>
      </w:pPr>
    </w:lvl>
    <w:lvl w:ilvl="7" w:tplc="04090017" w:tentative="1">
      <w:start w:val="1"/>
      <w:numFmt w:val="aiueoFullWidth"/>
      <w:lvlText w:val="(%8)"/>
      <w:lvlJc w:val="left"/>
      <w:pPr>
        <w:ind w:left="8766" w:hanging="440"/>
      </w:pPr>
    </w:lvl>
    <w:lvl w:ilvl="8" w:tplc="04090011" w:tentative="1">
      <w:start w:val="1"/>
      <w:numFmt w:val="decimalEnclosedCircle"/>
      <w:lvlText w:val="%9"/>
      <w:lvlJc w:val="left"/>
      <w:pPr>
        <w:ind w:left="9206" w:hanging="440"/>
      </w:pPr>
    </w:lvl>
  </w:abstractNum>
  <w:abstractNum w:abstractNumId="1" w15:restartNumberingAfterBreak="0">
    <w:nsid w:val="3087771B"/>
    <w:multiLevelType w:val="hybridMultilevel"/>
    <w:tmpl w:val="1BEEC7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6830E4"/>
    <w:multiLevelType w:val="hybridMultilevel"/>
    <w:tmpl w:val="A7D8AD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C35A7B"/>
    <w:multiLevelType w:val="hybridMultilevel"/>
    <w:tmpl w:val="E2B256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2425A8"/>
    <w:multiLevelType w:val="hybridMultilevel"/>
    <w:tmpl w:val="2E7A4A8C"/>
    <w:lvl w:ilvl="0" w:tplc="73EC9C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7E"/>
    <w:rsid w:val="000C4B1C"/>
    <w:rsid w:val="000E3DCF"/>
    <w:rsid w:val="001E5F1C"/>
    <w:rsid w:val="002612CF"/>
    <w:rsid w:val="002B0A63"/>
    <w:rsid w:val="002C4055"/>
    <w:rsid w:val="003D3B69"/>
    <w:rsid w:val="003E2831"/>
    <w:rsid w:val="003E3E43"/>
    <w:rsid w:val="00412489"/>
    <w:rsid w:val="0045477E"/>
    <w:rsid w:val="0046100D"/>
    <w:rsid w:val="00482CAA"/>
    <w:rsid w:val="004955E7"/>
    <w:rsid w:val="004B3056"/>
    <w:rsid w:val="004C4B85"/>
    <w:rsid w:val="004E4B1D"/>
    <w:rsid w:val="004F0AEE"/>
    <w:rsid w:val="00521245"/>
    <w:rsid w:val="00552943"/>
    <w:rsid w:val="0068669A"/>
    <w:rsid w:val="00687FE2"/>
    <w:rsid w:val="006B350D"/>
    <w:rsid w:val="00753C9C"/>
    <w:rsid w:val="007D6234"/>
    <w:rsid w:val="007E78F0"/>
    <w:rsid w:val="008211CF"/>
    <w:rsid w:val="00853210"/>
    <w:rsid w:val="008549A7"/>
    <w:rsid w:val="008C52E0"/>
    <w:rsid w:val="008E003A"/>
    <w:rsid w:val="00974DC0"/>
    <w:rsid w:val="00A31679"/>
    <w:rsid w:val="00A5002B"/>
    <w:rsid w:val="00AA3372"/>
    <w:rsid w:val="00B908BD"/>
    <w:rsid w:val="00C05469"/>
    <w:rsid w:val="00C201E1"/>
    <w:rsid w:val="00C37F2A"/>
    <w:rsid w:val="00D0707D"/>
    <w:rsid w:val="00D6787A"/>
    <w:rsid w:val="00DC313E"/>
    <w:rsid w:val="00E027E1"/>
    <w:rsid w:val="00E10F45"/>
    <w:rsid w:val="00E8733B"/>
    <w:rsid w:val="00EA39D3"/>
    <w:rsid w:val="00EB1D77"/>
    <w:rsid w:val="00EB2A21"/>
    <w:rsid w:val="00F55F7F"/>
    <w:rsid w:val="00F7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A50E5"/>
  <w15:chartTrackingRefBased/>
  <w15:docId w15:val="{3631D28C-0AD6-4384-94DA-8082FA04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477E"/>
    <w:rPr>
      <w:sz w:val="18"/>
      <w:szCs w:val="18"/>
    </w:rPr>
  </w:style>
  <w:style w:type="paragraph" w:styleId="a4">
    <w:name w:val="annotation text"/>
    <w:basedOn w:val="a"/>
    <w:link w:val="a5"/>
    <w:uiPriority w:val="99"/>
    <w:unhideWhenUsed/>
    <w:rsid w:val="0045477E"/>
    <w:pPr>
      <w:jc w:val="left"/>
    </w:pPr>
  </w:style>
  <w:style w:type="character" w:customStyle="1" w:styleId="a5">
    <w:name w:val="コメント文字列 (文字)"/>
    <w:basedOn w:val="a0"/>
    <w:link w:val="a4"/>
    <w:uiPriority w:val="99"/>
    <w:rsid w:val="0045477E"/>
  </w:style>
  <w:style w:type="paragraph" w:styleId="a6">
    <w:name w:val="Balloon Text"/>
    <w:basedOn w:val="a"/>
    <w:link w:val="a7"/>
    <w:uiPriority w:val="99"/>
    <w:semiHidden/>
    <w:unhideWhenUsed/>
    <w:rsid w:val="004547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5477E"/>
    <w:rPr>
      <w:rFonts w:asciiTheme="majorHAnsi" w:eastAsiaTheme="majorEastAsia" w:hAnsiTheme="majorHAnsi" w:cstheme="majorBidi"/>
      <w:sz w:val="18"/>
      <w:szCs w:val="18"/>
    </w:rPr>
  </w:style>
  <w:style w:type="paragraph" w:styleId="a8">
    <w:name w:val="header"/>
    <w:basedOn w:val="a"/>
    <w:link w:val="a9"/>
    <w:uiPriority w:val="99"/>
    <w:unhideWhenUsed/>
    <w:rsid w:val="006B350D"/>
    <w:pPr>
      <w:tabs>
        <w:tab w:val="center" w:pos="4252"/>
        <w:tab w:val="right" w:pos="8504"/>
      </w:tabs>
      <w:snapToGrid w:val="0"/>
    </w:pPr>
  </w:style>
  <w:style w:type="character" w:customStyle="1" w:styleId="a9">
    <w:name w:val="ヘッダー (文字)"/>
    <w:basedOn w:val="a0"/>
    <w:link w:val="a8"/>
    <w:uiPriority w:val="99"/>
    <w:rsid w:val="006B350D"/>
  </w:style>
  <w:style w:type="paragraph" w:styleId="aa">
    <w:name w:val="footer"/>
    <w:basedOn w:val="a"/>
    <w:link w:val="ab"/>
    <w:uiPriority w:val="99"/>
    <w:unhideWhenUsed/>
    <w:rsid w:val="006B350D"/>
    <w:pPr>
      <w:tabs>
        <w:tab w:val="center" w:pos="4252"/>
        <w:tab w:val="right" w:pos="8504"/>
      </w:tabs>
      <w:snapToGrid w:val="0"/>
    </w:pPr>
  </w:style>
  <w:style w:type="character" w:customStyle="1" w:styleId="ab">
    <w:name w:val="フッター (文字)"/>
    <w:basedOn w:val="a0"/>
    <w:link w:val="aa"/>
    <w:uiPriority w:val="99"/>
    <w:rsid w:val="006B350D"/>
  </w:style>
  <w:style w:type="paragraph" w:styleId="ac">
    <w:name w:val="No Spacing"/>
    <w:uiPriority w:val="1"/>
    <w:qFormat/>
    <w:rsid w:val="00E027E1"/>
    <w:pPr>
      <w:widowControl w:val="0"/>
      <w:jc w:val="both"/>
    </w:pPr>
  </w:style>
  <w:style w:type="paragraph" w:customStyle="1" w:styleId="EndNoteBibliography">
    <w:name w:val="EndNote Bibliography"/>
    <w:basedOn w:val="a"/>
    <w:link w:val="EndNoteBibliography0"/>
    <w:rsid w:val="00AA3372"/>
    <w:pPr>
      <w:spacing w:line="360" w:lineRule="auto"/>
    </w:pPr>
    <w:rPr>
      <w:rFonts w:ascii="Times New Roman" w:eastAsia="游明朝" w:hAnsi="Times New Roman" w:cs="Times New Roman"/>
      <w:noProof/>
      <w:sz w:val="24"/>
    </w:rPr>
  </w:style>
  <w:style w:type="character" w:customStyle="1" w:styleId="EndNoteBibliography0">
    <w:name w:val="EndNote Bibliography (文字)"/>
    <w:basedOn w:val="a0"/>
    <w:link w:val="EndNoteBibliography"/>
    <w:rsid w:val="00AA3372"/>
    <w:rPr>
      <w:rFonts w:ascii="Times New Roman" w:eastAsia="游明朝" w:hAnsi="Times New Roman" w:cs="Times New Roman"/>
      <w:noProof/>
      <w:sz w:val="24"/>
    </w:rPr>
  </w:style>
  <w:style w:type="character" w:styleId="ad">
    <w:name w:val="Hyperlink"/>
    <w:basedOn w:val="a0"/>
    <w:uiPriority w:val="99"/>
    <w:unhideWhenUsed/>
    <w:rsid w:val="00DC313E"/>
    <w:rPr>
      <w:color w:val="0563C1" w:themeColor="hyperlink"/>
      <w:u w:val="single"/>
    </w:rPr>
  </w:style>
  <w:style w:type="paragraph" w:styleId="ae">
    <w:name w:val="List Paragraph"/>
    <w:basedOn w:val="a"/>
    <w:uiPriority w:val="34"/>
    <w:qFormat/>
    <w:rsid w:val="00686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Kuwabara Akiko</dc:creator>
  <cp:keywords/>
  <dc:description/>
  <cp:lastModifiedBy>Kuwabara Akiko</cp:lastModifiedBy>
  <cp:revision>29</cp:revision>
  <dcterms:created xsi:type="dcterms:W3CDTF">2024-01-31T02:32:00Z</dcterms:created>
  <dcterms:modified xsi:type="dcterms:W3CDTF">2024-06-18T06:13:00Z</dcterms:modified>
</cp:coreProperties>
</file>