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65" w:rsidRPr="003D3CB5" w:rsidRDefault="007E2065" w:rsidP="007E2065">
      <w:pPr>
        <w:spacing w:line="360" w:lineRule="auto"/>
        <w:rPr>
          <w:b/>
        </w:rPr>
      </w:pPr>
      <w:r>
        <w:rPr>
          <w:b/>
        </w:rPr>
        <w:t>Online Appendix</w:t>
      </w:r>
    </w:p>
    <w:p w:rsidR="007E2065" w:rsidRDefault="007E2065" w:rsidP="007E2065">
      <w:pPr>
        <w:spacing w:line="360" w:lineRule="auto"/>
      </w:pPr>
      <w:r>
        <w:t>Appendix Table 1: Spending on FFV and redemptions outside of the SNAP issuance window relative to inside of the SNAP issuance window (detailed regression output)</w:t>
      </w:r>
    </w:p>
    <w:tbl>
      <w:tblPr>
        <w:tblW w:w="10177" w:type="dxa"/>
        <w:tblLayout w:type="fixed"/>
        <w:tblLook w:val="0000" w:firstRow="0" w:lastRow="0" w:firstColumn="0" w:lastColumn="0" w:noHBand="0" w:noVBand="0"/>
      </w:tblPr>
      <w:tblGrid>
        <w:gridCol w:w="2070"/>
        <w:gridCol w:w="1800"/>
        <w:gridCol w:w="1656"/>
        <w:gridCol w:w="1944"/>
        <w:gridCol w:w="2707"/>
      </w:tblGrid>
      <w:tr w:rsidR="007E2065" w:rsidTr="00481F72">
        <w:tc>
          <w:tcPr>
            <w:tcW w:w="2070" w:type="dxa"/>
            <w:tcBorders>
              <w:top w:val="nil"/>
              <w:left w:val="nil"/>
              <w:right w:val="nil"/>
            </w:tcBorders>
          </w:tcPr>
          <w:p w:rsidR="007E2065" w:rsidRDefault="007E2065" w:rsidP="00481F72">
            <w:pPr>
              <w:widowControl w:val="0"/>
              <w:autoSpaceDE w:val="0"/>
              <w:autoSpaceDN w:val="0"/>
              <w:adjustRightInd w:val="0"/>
              <w:spacing w:after="0" w:line="360" w:lineRule="auto"/>
            </w:pPr>
          </w:p>
        </w:tc>
        <w:tc>
          <w:tcPr>
            <w:tcW w:w="8107" w:type="dxa"/>
            <w:gridSpan w:val="4"/>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Outcome</w:t>
            </w:r>
          </w:p>
        </w:tc>
      </w:tr>
      <w:tr w:rsidR="007E2065" w:rsidTr="00481F72">
        <w:tc>
          <w:tcPr>
            <w:tcW w:w="2070"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Variable</w:t>
            </w:r>
          </w:p>
        </w:tc>
        <w:tc>
          <w:tcPr>
            <w:tcW w:w="1800"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Redemptions, $</w:t>
            </w:r>
          </w:p>
        </w:tc>
        <w:tc>
          <w:tcPr>
            <w:tcW w:w="1656"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Total FFV spending, $</w:t>
            </w:r>
          </w:p>
        </w:tc>
        <w:tc>
          <w:tcPr>
            <w:tcW w:w="1944"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total spending on FFV</w:t>
            </w:r>
          </w:p>
        </w:tc>
        <w:tc>
          <w:tcPr>
            <w:tcW w:w="2707"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FFV from redemptions</w:t>
            </w:r>
          </w:p>
        </w:tc>
      </w:tr>
      <w:tr w:rsidR="007E2065" w:rsidTr="00481F72">
        <w:tc>
          <w:tcPr>
            <w:tcW w:w="207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2707"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2070" w:type="dxa"/>
            <w:vMerge w:val="restart"/>
            <w:tcBorders>
              <w:left w:val="nil"/>
              <w:right w:val="nil"/>
            </w:tcBorders>
          </w:tcPr>
          <w:p w:rsidR="007E2065" w:rsidRDefault="007E2065" w:rsidP="00481F72">
            <w:pPr>
              <w:widowControl w:val="0"/>
              <w:autoSpaceDE w:val="0"/>
              <w:autoSpaceDN w:val="0"/>
              <w:adjustRightInd w:val="0"/>
              <w:spacing w:after="0" w:line="360" w:lineRule="auto"/>
            </w:pPr>
            <w:r>
              <w:t>Out of window</w:t>
            </w:r>
          </w:p>
        </w:tc>
        <w:tc>
          <w:tcPr>
            <w:tcW w:w="1800"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-8.903</w:t>
            </w:r>
          </w:p>
        </w:tc>
        <w:tc>
          <w:tcPr>
            <w:tcW w:w="1656"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-272.2</w:t>
            </w:r>
            <w:r>
              <w:rPr>
                <w:vertAlign w:val="superscript"/>
              </w:rPr>
              <w:t>*</w:t>
            </w:r>
          </w:p>
        </w:tc>
        <w:tc>
          <w:tcPr>
            <w:tcW w:w="1944"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2.321</w:t>
            </w:r>
            <w:r>
              <w:rPr>
                <w:vertAlign w:val="superscript"/>
              </w:rPr>
              <w:t>***</w:t>
            </w:r>
          </w:p>
        </w:tc>
        <w:tc>
          <w:tcPr>
            <w:tcW w:w="2707"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9.864</w:t>
            </w:r>
            <w:r>
              <w:rPr>
                <w:vertAlign w:val="superscript"/>
              </w:rPr>
              <w:t>***</w:t>
            </w:r>
          </w:p>
        </w:tc>
      </w:tr>
      <w:tr w:rsidR="007E2065" w:rsidTr="00481F72">
        <w:tc>
          <w:tcPr>
            <w:tcW w:w="2070" w:type="dxa"/>
            <w:vMerge/>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(9.703)</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(73.15)</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(0.186)</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(0.531)</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r>
              <w:t>Month (ref: April)</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r>
              <w:t>May</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-10.48</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-23.95</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0.0122</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-0.866</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(6.191)</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(23.85)</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(0.475)</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(0.648)</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r>
              <w:t>June</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4.914</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15.22</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0.333</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1.256</w:t>
            </w:r>
            <w:r>
              <w:rPr>
                <w:vertAlign w:val="superscript"/>
              </w:rPr>
              <w:t>**</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(7.957)</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(42.80)</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(0.594)</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(0.275)</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r>
              <w:t>July</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-3.359</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-39.57</w:t>
            </w:r>
            <w:r>
              <w:rPr>
                <w:vertAlign w:val="superscript"/>
              </w:rPr>
              <w:t>*</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-0.560</w:t>
            </w:r>
            <w:r>
              <w:rPr>
                <w:vertAlign w:val="superscript"/>
              </w:rPr>
              <w:t>*</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1.665</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(6.885)</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(9.627)</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(0.154)</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(1.557)</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r>
              <w:t>Adj R2</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0.346</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0.597</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0.602</w:t>
            </w:r>
          </w:p>
        </w:tc>
        <w:tc>
          <w:tcPr>
            <w:tcW w:w="2707"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0.359</w:t>
            </w:r>
          </w:p>
        </w:tc>
      </w:tr>
      <w:tr w:rsidR="007E2065" w:rsidTr="00481F72">
        <w:tc>
          <w:tcPr>
            <w:tcW w:w="207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left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left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left w:val="nil"/>
              <w:right w:val="nil"/>
            </w:tcBorders>
          </w:tcPr>
          <w:p w:rsidR="007E2065" w:rsidRDefault="007E2065" w:rsidP="00481F72">
            <w:pPr>
              <w:widowControl w:val="0"/>
              <w:autoSpaceDE w:val="0"/>
              <w:autoSpaceDN w:val="0"/>
              <w:adjustRightInd w:val="0"/>
              <w:spacing w:after="0" w:line="360" w:lineRule="auto"/>
              <w:jc w:val="center"/>
            </w:pPr>
          </w:p>
        </w:tc>
        <w:tc>
          <w:tcPr>
            <w:tcW w:w="2707" w:type="dxa"/>
            <w:tcBorders>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207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N</w:t>
            </w:r>
          </w:p>
        </w:tc>
        <w:tc>
          <w:tcPr>
            <w:tcW w:w="180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1656"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1944"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2707"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r>
    </w:tbl>
    <w:p w:rsidR="007E2065" w:rsidRDefault="007E2065" w:rsidP="007E2065">
      <w:pPr>
        <w:spacing w:line="360" w:lineRule="auto"/>
      </w:pPr>
      <w:r>
        <w:t xml:space="preserve">Source: Authors’ analysis of daily grocery store transaction data. Notes: FFV=fresh fruits and vegetables. Spending is daily store-level SNAP expenditures plus incentive redemption. </w:t>
      </w:r>
      <w:r w:rsidRPr="00097C42">
        <w:t>Redemptions is incentive redemptions in dollars.</w:t>
      </w:r>
      <w:r>
        <w:t xml:space="preserve"> </w:t>
      </w:r>
      <w:r w:rsidRPr="00097C42">
        <w:t>Total FFV</w:t>
      </w:r>
      <w:r>
        <w:t xml:space="preserve"> spending</w:t>
      </w:r>
      <w:r w:rsidRPr="00097C42">
        <w:t xml:space="preserve"> is </w:t>
      </w:r>
      <w:r>
        <w:t xml:space="preserve">daily SNAP store-level </w:t>
      </w:r>
      <w:r w:rsidRPr="00097C42">
        <w:t>spending in</w:t>
      </w:r>
      <w:r>
        <w:t xml:space="preserve"> </w:t>
      </w:r>
      <w:r w:rsidRPr="00097C42">
        <w:t xml:space="preserve">dollars on incentive-eligible fresh fruits and vegetables, including incentive </w:t>
      </w:r>
      <w:r w:rsidRPr="001D139C">
        <w:t xml:space="preserve">redemptions. % of total spending on FFV is the percentage of total daily SNAP spending that goes to FFV. % of FFV from redemptions is the percentage of SNAP FFV spending that comes from redemptions. </w:t>
      </w:r>
      <w:r>
        <w:t xml:space="preserve">* </w:t>
      </w:r>
      <w:r w:rsidRPr="00330271">
        <w:rPr>
          <w:i/>
          <w:iCs/>
        </w:rPr>
        <w:t>p</w:t>
      </w:r>
      <w:r w:rsidRPr="00330271">
        <w:t xml:space="preserve"> &lt; 0.10, ** </w:t>
      </w:r>
      <w:r w:rsidRPr="00330271">
        <w:rPr>
          <w:i/>
          <w:iCs/>
        </w:rPr>
        <w:t>p</w:t>
      </w:r>
      <w:r w:rsidRPr="00330271">
        <w:t xml:space="preserve"> &lt; 0.05, *** </w:t>
      </w:r>
      <w:r w:rsidRPr="00330271">
        <w:rPr>
          <w:i/>
          <w:iCs/>
        </w:rPr>
        <w:t>p</w:t>
      </w:r>
      <w:r w:rsidRPr="00330271">
        <w:t xml:space="preserve"> &lt; 0.01</w:t>
      </w:r>
      <w:r>
        <w:t>.</w:t>
      </w:r>
    </w:p>
    <w:p w:rsidR="007E2065" w:rsidRDefault="007E2065" w:rsidP="007E2065">
      <w:pPr>
        <w:spacing w:line="360" w:lineRule="auto"/>
      </w:pPr>
    </w:p>
    <w:p w:rsidR="007E2065" w:rsidRDefault="007E2065" w:rsidP="007E2065">
      <w:pPr>
        <w:spacing w:line="360" w:lineRule="auto"/>
      </w:pPr>
      <w:r>
        <w:lastRenderedPageBreak/>
        <w:t>Appendix Table 2: Spending on FFV and incentive use over days outside of the SNAP issuance window relative to inside of the SNAP issuance window (detailed regression output)</w:t>
      </w:r>
    </w:p>
    <w:tbl>
      <w:tblPr>
        <w:tblW w:w="9460" w:type="dxa"/>
        <w:tblLayout w:type="fixed"/>
        <w:tblLook w:val="0000" w:firstRow="0" w:lastRow="0" w:firstColumn="0" w:lastColumn="0" w:noHBand="0" w:noVBand="0"/>
      </w:tblPr>
      <w:tblGrid>
        <w:gridCol w:w="1349"/>
        <w:gridCol w:w="1801"/>
        <w:gridCol w:w="1656"/>
        <w:gridCol w:w="1944"/>
        <w:gridCol w:w="2710"/>
      </w:tblGrid>
      <w:tr w:rsidR="007E2065" w:rsidTr="00481F72">
        <w:tc>
          <w:tcPr>
            <w:tcW w:w="1349" w:type="dxa"/>
            <w:tcBorders>
              <w:top w:val="nil"/>
              <w:left w:val="nil"/>
              <w:right w:val="nil"/>
            </w:tcBorders>
          </w:tcPr>
          <w:p w:rsidR="007E2065" w:rsidRDefault="007E2065" w:rsidP="00481F72">
            <w:pPr>
              <w:widowControl w:val="0"/>
              <w:autoSpaceDE w:val="0"/>
              <w:autoSpaceDN w:val="0"/>
              <w:adjustRightInd w:val="0"/>
              <w:spacing w:after="0" w:line="360" w:lineRule="auto"/>
            </w:pPr>
          </w:p>
        </w:tc>
        <w:tc>
          <w:tcPr>
            <w:tcW w:w="8111" w:type="dxa"/>
            <w:gridSpan w:val="4"/>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Outcome</w:t>
            </w:r>
          </w:p>
        </w:tc>
      </w:tr>
      <w:tr w:rsidR="007E2065" w:rsidTr="00481F72">
        <w:tc>
          <w:tcPr>
            <w:tcW w:w="1349"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Variable</w:t>
            </w:r>
          </w:p>
        </w:tc>
        <w:tc>
          <w:tcPr>
            <w:tcW w:w="1801"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Redemptions, $</w:t>
            </w:r>
          </w:p>
        </w:tc>
        <w:tc>
          <w:tcPr>
            <w:tcW w:w="1656"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Total FFV spending, $</w:t>
            </w:r>
          </w:p>
        </w:tc>
        <w:tc>
          <w:tcPr>
            <w:tcW w:w="1944"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total spending on FFV</w:t>
            </w:r>
          </w:p>
        </w:tc>
        <w:tc>
          <w:tcPr>
            <w:tcW w:w="2710"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FFV from redemptions</w:t>
            </w:r>
          </w:p>
        </w:tc>
      </w:tr>
      <w:tr w:rsidR="007E2065" w:rsidTr="00481F72">
        <w:tc>
          <w:tcPr>
            <w:tcW w:w="9460" w:type="dxa"/>
            <w:gridSpan w:val="5"/>
            <w:tcBorders>
              <w:left w:val="nil"/>
              <w:right w:val="nil"/>
            </w:tcBorders>
          </w:tcPr>
          <w:p w:rsidR="007E2065" w:rsidRPr="00585AE3" w:rsidRDefault="007E2065" w:rsidP="00481F72">
            <w:pPr>
              <w:widowControl w:val="0"/>
              <w:autoSpaceDE w:val="0"/>
              <w:autoSpaceDN w:val="0"/>
              <w:adjustRightInd w:val="0"/>
              <w:spacing w:after="0" w:line="360" w:lineRule="auto"/>
              <w:rPr>
                <w:i/>
              </w:rPr>
            </w:pPr>
            <w:r>
              <w:rPr>
                <w:i/>
              </w:rPr>
              <w:t>Number of days after end of SNAP issuance</w:t>
            </w:r>
            <w:r w:rsidRPr="00585AE3">
              <w:rPr>
                <w:i/>
              </w:rPr>
              <w:t xml:space="preserve"> </w:t>
            </w:r>
            <w:r>
              <w:rPr>
                <w:i/>
              </w:rPr>
              <w:t>window (</w:t>
            </w:r>
            <w:r w:rsidRPr="00585AE3">
              <w:rPr>
                <w:i/>
              </w:rPr>
              <w:t xml:space="preserve">vs. </w:t>
            </w:r>
            <w:r>
              <w:rPr>
                <w:i/>
              </w:rPr>
              <w:t>inside</w:t>
            </w:r>
            <w:r w:rsidRPr="00585AE3">
              <w:rPr>
                <w:i/>
              </w:rPr>
              <w:t xml:space="preserve"> of SNAP issuance window</w:t>
            </w:r>
            <w:r>
              <w:rPr>
                <w:i/>
              </w:rPr>
              <w:t>)</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1-3 days</w:t>
            </w:r>
          </w:p>
        </w:tc>
        <w:tc>
          <w:tcPr>
            <w:tcW w:w="1801"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1.085</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-155.2</w:t>
            </w:r>
            <w:r>
              <w:rPr>
                <w:vertAlign w:val="superscript"/>
              </w:rPr>
              <w:t>*</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1.004</w:t>
            </w:r>
            <w:r>
              <w:rPr>
                <w:vertAlign w:val="superscript"/>
              </w:rPr>
              <w:t>**</w:t>
            </w:r>
          </w:p>
        </w:tc>
        <w:tc>
          <w:tcPr>
            <w:tcW w:w="2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5.289</w:t>
            </w:r>
            <w:r>
              <w:rPr>
                <w:vertAlign w:val="superscript"/>
              </w:rPr>
              <w:t>**</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(4.538)</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(46.34)</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(0.145)</w:t>
            </w:r>
          </w:p>
        </w:tc>
        <w:tc>
          <w:tcPr>
            <w:tcW w:w="2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(0.642)</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4-6 days</w:t>
            </w:r>
          </w:p>
        </w:tc>
        <w:tc>
          <w:tcPr>
            <w:tcW w:w="1801"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-8.728</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-266.7</w:t>
            </w:r>
            <w:r>
              <w:rPr>
                <w:vertAlign w:val="superscript"/>
              </w:rPr>
              <w:t>*</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2.448</w:t>
            </w:r>
            <w:r>
              <w:rPr>
                <w:vertAlign w:val="superscript"/>
              </w:rPr>
              <w:t>***</w:t>
            </w:r>
          </w:p>
        </w:tc>
        <w:tc>
          <w:tcPr>
            <w:tcW w:w="2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9.008</w:t>
            </w:r>
            <w:r>
              <w:rPr>
                <w:vertAlign w:val="superscript"/>
              </w:rPr>
              <w:t>**</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(12.26)</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(72.64)</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(0.225)</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(1.242)</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7-10 days</w:t>
            </w: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-16.31</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-361.3</w:t>
            </w:r>
            <w:r>
              <w:rPr>
                <w:vertAlign w:val="superscript"/>
              </w:rPr>
              <w:t>*</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3.187</w:t>
            </w:r>
            <w:r>
              <w:rPr>
                <w:vertAlign w:val="superscript"/>
              </w:rPr>
              <w:t>**</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13.82</w:t>
            </w:r>
            <w:r>
              <w:rPr>
                <w:vertAlign w:val="superscript"/>
              </w:rPr>
              <w:t>***</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(12.33)</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(92.33)</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(0.384)</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(0.611)</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2710"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Month (ref: April)</w:t>
            </w:r>
          </w:p>
        </w:tc>
        <w:tc>
          <w:tcPr>
            <w:tcW w:w="1801"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2710"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May</w:t>
            </w: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-10.48</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-23.95</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0.0122</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-0.866</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(6.208)</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(23.90)</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(0.476)</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(0.650)</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June</w:t>
            </w: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4.914</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15.23</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0.332</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1.256</w:t>
            </w:r>
            <w:r>
              <w:rPr>
                <w:vertAlign w:val="superscript"/>
              </w:rPr>
              <w:t>**</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(7.979)</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(42.91)</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(0.596)</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(0.275)</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July</w:t>
            </w: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-3.243</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-38.17</w:t>
            </w:r>
            <w:r>
              <w:rPr>
                <w:vertAlign w:val="superscript"/>
              </w:rPr>
              <w:t>**</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-0.574</w:t>
            </w:r>
            <w:r>
              <w:rPr>
                <w:vertAlign w:val="superscript"/>
              </w:rPr>
              <w:t>*</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1.603</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(6.785)</w:t>
            </w:r>
          </w:p>
        </w:tc>
        <w:tc>
          <w:tcPr>
            <w:tcW w:w="165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(8.112)</w:t>
            </w:r>
          </w:p>
        </w:tc>
        <w:tc>
          <w:tcPr>
            <w:tcW w:w="194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(0.144)</w:t>
            </w:r>
          </w:p>
        </w:tc>
        <w:tc>
          <w:tcPr>
            <w:tcW w:w="2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(1.593)</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2710"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r>
              <w:t>Adj R2</w:t>
            </w:r>
          </w:p>
        </w:tc>
        <w:tc>
          <w:tcPr>
            <w:tcW w:w="1801"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0.348</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0.622</w:t>
            </w: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0.653</w:t>
            </w:r>
          </w:p>
        </w:tc>
        <w:tc>
          <w:tcPr>
            <w:tcW w:w="2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0.423</w:t>
            </w:r>
          </w:p>
        </w:tc>
      </w:tr>
      <w:tr w:rsidR="007E2065" w:rsidTr="00481F72">
        <w:tc>
          <w:tcPr>
            <w:tcW w:w="1349" w:type="dxa"/>
            <w:tcBorders>
              <w:left w:val="nil"/>
              <w:right w:val="nil"/>
            </w:tcBorders>
          </w:tcPr>
          <w:p w:rsidR="007E2065" w:rsidRDefault="007E2065" w:rsidP="00481F72">
            <w:pPr>
              <w:widowControl w:val="0"/>
              <w:autoSpaceDE w:val="0"/>
              <w:autoSpaceDN w:val="0"/>
              <w:adjustRightInd w:val="0"/>
              <w:spacing w:after="0" w:line="360" w:lineRule="auto"/>
            </w:pPr>
          </w:p>
        </w:tc>
        <w:tc>
          <w:tcPr>
            <w:tcW w:w="1801"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944"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271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1349"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N</w:t>
            </w:r>
          </w:p>
        </w:tc>
        <w:tc>
          <w:tcPr>
            <w:tcW w:w="1801"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1656"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1944"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2710"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r>
    </w:tbl>
    <w:p w:rsidR="007E2065" w:rsidRPr="00097C42" w:rsidRDefault="007E2065" w:rsidP="007E2065">
      <w:pPr>
        <w:spacing w:line="360" w:lineRule="auto"/>
      </w:pPr>
      <w:r>
        <w:t xml:space="preserve">Source: Authors’ analysis of daily grocery store transaction data. Notes: FFV=fresh fruits and vegetables. Spending is daily store-level SNAP expenditures plus incentive redemption. </w:t>
      </w:r>
      <w:r w:rsidRPr="00097C42">
        <w:t>Redemptions is incentive redemptions in dollars.</w:t>
      </w:r>
      <w:r>
        <w:t xml:space="preserve"> </w:t>
      </w:r>
      <w:r w:rsidRPr="00097C42">
        <w:t>Total FFV</w:t>
      </w:r>
      <w:r>
        <w:t xml:space="preserve"> spending</w:t>
      </w:r>
      <w:r w:rsidRPr="00097C42">
        <w:t xml:space="preserve"> is </w:t>
      </w:r>
      <w:r>
        <w:t xml:space="preserve">daily SNAP store-level </w:t>
      </w:r>
      <w:r w:rsidRPr="00097C42">
        <w:t>spending in</w:t>
      </w:r>
      <w:r>
        <w:t xml:space="preserve"> </w:t>
      </w:r>
      <w:r w:rsidRPr="00097C42">
        <w:t xml:space="preserve">dollars on incentive-eligible fresh fruits and vegetables, including incentive redemptions. </w:t>
      </w:r>
      <w:r>
        <w:t xml:space="preserve">% of total spending on FFV is the percentage of total daily SNAP spending that </w:t>
      </w:r>
      <w:r>
        <w:lastRenderedPageBreak/>
        <w:t xml:space="preserve">goes to FFV. % of FFV from redemptions is the percentage of SNAP FFV spending that comes from redemptions. * </w:t>
      </w:r>
      <w:r w:rsidRPr="00330271">
        <w:rPr>
          <w:i/>
          <w:iCs/>
        </w:rPr>
        <w:t>p</w:t>
      </w:r>
      <w:r w:rsidRPr="00330271">
        <w:t xml:space="preserve"> &lt; 0.10, ** </w:t>
      </w:r>
      <w:r w:rsidRPr="00330271">
        <w:rPr>
          <w:i/>
          <w:iCs/>
        </w:rPr>
        <w:t>p</w:t>
      </w:r>
      <w:r w:rsidRPr="00330271">
        <w:t xml:space="preserve"> &lt; 0.05, *** </w:t>
      </w:r>
      <w:r w:rsidRPr="00330271">
        <w:rPr>
          <w:i/>
          <w:iCs/>
        </w:rPr>
        <w:t>p</w:t>
      </w:r>
      <w:r w:rsidRPr="00330271">
        <w:t xml:space="preserve"> &lt; 0.01</w:t>
      </w:r>
      <w:r>
        <w:t>.</w:t>
      </w:r>
    </w:p>
    <w:p w:rsidR="007E2065" w:rsidRDefault="007E2065" w:rsidP="007E2065">
      <w:pPr>
        <w:spacing w:line="360" w:lineRule="auto"/>
      </w:pPr>
      <w:bookmarkStart w:id="0" w:name="_GoBack"/>
      <w:bookmarkEnd w:id="0"/>
    </w:p>
    <w:p w:rsidR="007E2065" w:rsidRDefault="007E2065" w:rsidP="007E2065">
      <w:pPr>
        <w:spacing w:line="360" w:lineRule="auto"/>
      </w:pPr>
      <w:r>
        <w:t>Appendix Table 3: Spending on FFV and incentive use outside of the SNAP issuance window relative to inside of the SNAP issuance window (wild cluster bootstrap)</w:t>
      </w:r>
    </w:p>
    <w:tbl>
      <w:tblPr>
        <w:tblW w:w="9450" w:type="dxa"/>
        <w:tblLayout w:type="fixed"/>
        <w:tblLook w:val="0000" w:firstRow="0" w:lastRow="0" w:firstColumn="0" w:lastColumn="0" w:noHBand="0" w:noVBand="0"/>
      </w:tblPr>
      <w:tblGrid>
        <w:gridCol w:w="1350"/>
        <w:gridCol w:w="1800"/>
        <w:gridCol w:w="1854"/>
        <w:gridCol w:w="1980"/>
        <w:gridCol w:w="2466"/>
      </w:tblGrid>
      <w:tr w:rsidR="007E2065" w:rsidTr="00481F72">
        <w:tc>
          <w:tcPr>
            <w:tcW w:w="1350" w:type="dxa"/>
            <w:tcBorders>
              <w:top w:val="nil"/>
              <w:left w:val="nil"/>
              <w:right w:val="nil"/>
            </w:tcBorders>
          </w:tcPr>
          <w:p w:rsidR="007E2065" w:rsidRDefault="007E2065" w:rsidP="00481F72">
            <w:pPr>
              <w:widowControl w:val="0"/>
              <w:autoSpaceDE w:val="0"/>
              <w:autoSpaceDN w:val="0"/>
              <w:adjustRightInd w:val="0"/>
              <w:spacing w:after="0" w:line="360" w:lineRule="auto"/>
            </w:pPr>
          </w:p>
        </w:tc>
        <w:tc>
          <w:tcPr>
            <w:tcW w:w="8100" w:type="dxa"/>
            <w:gridSpan w:val="4"/>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Outcome</w:t>
            </w:r>
          </w:p>
        </w:tc>
      </w:tr>
      <w:tr w:rsidR="007E2065" w:rsidTr="00481F72">
        <w:tc>
          <w:tcPr>
            <w:tcW w:w="1350"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Variable</w:t>
            </w:r>
          </w:p>
        </w:tc>
        <w:tc>
          <w:tcPr>
            <w:tcW w:w="1800"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Redemptions, $</w:t>
            </w:r>
          </w:p>
        </w:tc>
        <w:tc>
          <w:tcPr>
            <w:tcW w:w="1854"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Total FFV spending, $</w:t>
            </w:r>
          </w:p>
        </w:tc>
        <w:tc>
          <w:tcPr>
            <w:tcW w:w="1980"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total spending on FFV</w:t>
            </w:r>
          </w:p>
        </w:tc>
        <w:tc>
          <w:tcPr>
            <w:tcW w:w="2466"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FFV from redemptions</w:t>
            </w:r>
          </w:p>
        </w:tc>
      </w:tr>
      <w:tr w:rsidR="007E2065" w:rsidTr="00481F72">
        <w:tc>
          <w:tcPr>
            <w:tcW w:w="135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1854"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198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2466"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9450" w:type="dxa"/>
            <w:gridSpan w:val="5"/>
            <w:tcBorders>
              <w:left w:val="nil"/>
              <w:right w:val="nil"/>
            </w:tcBorders>
          </w:tcPr>
          <w:p w:rsidR="007E2065" w:rsidRDefault="007E2065" w:rsidP="00481F72">
            <w:pPr>
              <w:widowControl w:val="0"/>
              <w:autoSpaceDE w:val="0"/>
              <w:autoSpaceDN w:val="0"/>
              <w:adjustRightInd w:val="0"/>
              <w:spacing w:after="0" w:line="360" w:lineRule="auto"/>
            </w:pPr>
            <w:r>
              <w:rPr>
                <w:i/>
              </w:rPr>
              <w:t>Outside of SNAP issuance window (vs. within window)</w:t>
            </w:r>
          </w:p>
        </w:tc>
      </w:tr>
      <w:tr w:rsidR="007E2065" w:rsidTr="00481F72">
        <w:tc>
          <w:tcPr>
            <w:tcW w:w="1350" w:type="dxa"/>
            <w:vMerge w:val="restart"/>
            <w:tcBorders>
              <w:left w:val="nil"/>
              <w:right w:val="nil"/>
            </w:tcBorders>
          </w:tcPr>
          <w:p w:rsidR="007E2065" w:rsidRDefault="007E2065" w:rsidP="00481F72">
            <w:pPr>
              <w:widowControl w:val="0"/>
              <w:autoSpaceDE w:val="0"/>
              <w:autoSpaceDN w:val="0"/>
              <w:adjustRightInd w:val="0"/>
              <w:spacing w:after="0" w:line="360" w:lineRule="auto"/>
            </w:pPr>
            <w:r>
              <w:t>Out of window</w:t>
            </w:r>
          </w:p>
        </w:tc>
        <w:tc>
          <w:tcPr>
            <w:tcW w:w="1800"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-8.903</w:t>
            </w:r>
          </w:p>
        </w:tc>
        <w:tc>
          <w:tcPr>
            <w:tcW w:w="1854"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-272.2</w:t>
            </w:r>
            <w:r>
              <w:rPr>
                <w:vertAlign w:val="superscript"/>
              </w:rPr>
              <w:t>*</w:t>
            </w:r>
          </w:p>
        </w:tc>
        <w:tc>
          <w:tcPr>
            <w:tcW w:w="1980"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2.321</w:t>
            </w:r>
            <w:r>
              <w:rPr>
                <w:vertAlign w:val="superscript"/>
              </w:rPr>
              <w:t>**</w:t>
            </w:r>
          </w:p>
        </w:tc>
        <w:tc>
          <w:tcPr>
            <w:tcW w:w="2466"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9.864</w:t>
            </w:r>
            <w:r>
              <w:rPr>
                <w:vertAlign w:val="superscript"/>
              </w:rPr>
              <w:t>***</w:t>
            </w:r>
          </w:p>
        </w:tc>
      </w:tr>
      <w:tr w:rsidR="007E2065" w:rsidTr="00481F72">
        <w:tc>
          <w:tcPr>
            <w:tcW w:w="1350" w:type="dxa"/>
            <w:vMerge/>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w:t>
            </w:r>
            <w:r w:rsidRPr="00AC5395">
              <w:t>0.3615</w:t>
            </w:r>
            <w:r w:rsidRPr="007C1669">
              <w:t>]</w:t>
            </w:r>
          </w:p>
        </w:tc>
        <w:tc>
          <w:tcPr>
            <w:tcW w:w="1854"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w:t>
            </w:r>
            <w:r w:rsidRPr="00AB72D3">
              <w:t>0.0832</w:t>
            </w:r>
            <w:r w:rsidRPr="00CB417F">
              <w:t>]</w:t>
            </w:r>
          </w:p>
        </w:tc>
        <w:tc>
          <w:tcPr>
            <w:tcW w:w="198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w:t>
            </w:r>
            <w:r w:rsidRPr="00900B1B">
              <w:t>0.0328</w:t>
            </w:r>
            <w:r w:rsidRPr="00E56C18">
              <w:t>]</w:t>
            </w:r>
          </w:p>
        </w:tc>
        <w:tc>
          <w:tcPr>
            <w:tcW w:w="2466" w:type="dxa"/>
            <w:tcBorders>
              <w:top w:val="nil"/>
              <w:left w:val="nil"/>
              <w:bottom w:val="nil"/>
              <w:right w:val="nil"/>
            </w:tcBorders>
          </w:tcPr>
          <w:p w:rsidR="007E2065" w:rsidRDefault="007E2065" w:rsidP="00481F72">
            <w:pPr>
              <w:jc w:val="center"/>
            </w:pPr>
            <w:r>
              <w:t>[</w:t>
            </w:r>
            <w:r w:rsidRPr="0037136E">
              <w:t>0.0372</w:t>
            </w:r>
            <w:r>
              <w:t>]</w:t>
            </w:r>
          </w:p>
        </w:tc>
      </w:tr>
      <w:tr w:rsidR="007E2065" w:rsidTr="00481F72">
        <w:tc>
          <w:tcPr>
            <w:tcW w:w="135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854"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98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246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9450" w:type="dxa"/>
            <w:gridSpan w:val="5"/>
            <w:tcBorders>
              <w:left w:val="nil"/>
              <w:right w:val="nil"/>
            </w:tcBorders>
          </w:tcPr>
          <w:p w:rsidR="007E2065" w:rsidRPr="00585AE3" w:rsidRDefault="007E2065" w:rsidP="00481F72">
            <w:pPr>
              <w:widowControl w:val="0"/>
              <w:autoSpaceDE w:val="0"/>
              <w:autoSpaceDN w:val="0"/>
              <w:adjustRightInd w:val="0"/>
              <w:spacing w:after="0" w:line="360" w:lineRule="auto"/>
              <w:rPr>
                <w:i/>
              </w:rPr>
            </w:pPr>
            <w:r>
              <w:rPr>
                <w:i/>
              </w:rPr>
              <w:t>Number of days after end of SNAP issuance</w:t>
            </w:r>
            <w:r w:rsidRPr="00585AE3">
              <w:rPr>
                <w:i/>
              </w:rPr>
              <w:t xml:space="preserve"> </w:t>
            </w:r>
            <w:r>
              <w:rPr>
                <w:i/>
              </w:rPr>
              <w:t>window (</w:t>
            </w:r>
            <w:r w:rsidRPr="00585AE3">
              <w:rPr>
                <w:i/>
              </w:rPr>
              <w:t xml:space="preserve">vs. </w:t>
            </w:r>
            <w:r>
              <w:rPr>
                <w:i/>
              </w:rPr>
              <w:t>inside</w:t>
            </w:r>
            <w:r w:rsidRPr="00585AE3">
              <w:rPr>
                <w:i/>
              </w:rPr>
              <w:t xml:space="preserve"> of SNAP issuance window</w:t>
            </w:r>
            <w:r>
              <w:rPr>
                <w:i/>
              </w:rPr>
              <w:t>)</w:t>
            </w:r>
          </w:p>
        </w:tc>
      </w:tr>
      <w:tr w:rsidR="007E2065" w:rsidTr="00481F72">
        <w:tc>
          <w:tcPr>
            <w:tcW w:w="1350" w:type="dxa"/>
            <w:tcBorders>
              <w:left w:val="nil"/>
              <w:right w:val="nil"/>
            </w:tcBorders>
          </w:tcPr>
          <w:p w:rsidR="007E2065" w:rsidRDefault="007E2065" w:rsidP="00481F72">
            <w:pPr>
              <w:widowControl w:val="0"/>
              <w:autoSpaceDE w:val="0"/>
              <w:autoSpaceDN w:val="0"/>
              <w:adjustRightInd w:val="0"/>
              <w:spacing w:after="0" w:line="360" w:lineRule="auto"/>
            </w:pPr>
            <w:r>
              <w:t>1-3 days</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1.085</w:t>
            </w:r>
          </w:p>
        </w:tc>
        <w:tc>
          <w:tcPr>
            <w:tcW w:w="185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-155.2</w:t>
            </w:r>
            <w:r>
              <w:rPr>
                <w:vertAlign w:val="superscript"/>
              </w:rPr>
              <w:t>*</w:t>
            </w:r>
          </w:p>
        </w:tc>
        <w:tc>
          <w:tcPr>
            <w:tcW w:w="198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1.004</w:t>
            </w:r>
          </w:p>
        </w:tc>
        <w:tc>
          <w:tcPr>
            <w:tcW w:w="246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5.289</w:t>
            </w:r>
            <w:r>
              <w:rPr>
                <w:vertAlign w:val="superscript"/>
              </w:rPr>
              <w:t>*</w:t>
            </w:r>
          </w:p>
        </w:tc>
      </w:tr>
      <w:tr w:rsidR="007E2065" w:rsidTr="00481F72">
        <w:tc>
          <w:tcPr>
            <w:tcW w:w="135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w:t>
            </w:r>
            <w:r w:rsidRPr="004A1B66">
              <w:t>0.8100</w:t>
            </w:r>
            <w:r w:rsidRPr="007C1669">
              <w:t>]</w:t>
            </w:r>
          </w:p>
        </w:tc>
        <w:tc>
          <w:tcPr>
            <w:tcW w:w="185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w:t>
            </w:r>
            <w:r w:rsidRPr="00AB72D3">
              <w:t>0.0740</w:t>
            </w:r>
            <w:r>
              <w:t>]</w:t>
            </w:r>
          </w:p>
        </w:tc>
        <w:tc>
          <w:tcPr>
            <w:tcW w:w="198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w:t>
            </w:r>
            <w:r w:rsidRPr="003E6166">
              <w:t>0.1024</w:t>
            </w:r>
            <w:r>
              <w:t>]</w:t>
            </w:r>
          </w:p>
        </w:tc>
        <w:tc>
          <w:tcPr>
            <w:tcW w:w="246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w:t>
            </w:r>
            <w:r w:rsidRPr="00926EFB">
              <w:t>0.0568</w:t>
            </w:r>
            <w:r>
              <w:t>]</w:t>
            </w:r>
          </w:p>
        </w:tc>
      </w:tr>
      <w:tr w:rsidR="007E2065" w:rsidTr="00481F72">
        <w:tc>
          <w:tcPr>
            <w:tcW w:w="1350" w:type="dxa"/>
            <w:tcBorders>
              <w:left w:val="nil"/>
              <w:right w:val="nil"/>
            </w:tcBorders>
          </w:tcPr>
          <w:p w:rsidR="007E2065" w:rsidRDefault="007E2065" w:rsidP="00481F72">
            <w:pPr>
              <w:widowControl w:val="0"/>
              <w:autoSpaceDE w:val="0"/>
              <w:autoSpaceDN w:val="0"/>
              <w:adjustRightInd w:val="0"/>
              <w:spacing w:after="0" w:line="360" w:lineRule="auto"/>
            </w:pPr>
            <w:r>
              <w:t>4-6 days</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-8.728</w:t>
            </w:r>
          </w:p>
        </w:tc>
        <w:tc>
          <w:tcPr>
            <w:tcW w:w="1854"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-266.7</w:t>
            </w:r>
            <w:r>
              <w:rPr>
                <w:vertAlign w:val="superscript"/>
              </w:rPr>
              <w:t>*</w:t>
            </w:r>
          </w:p>
        </w:tc>
        <w:tc>
          <w:tcPr>
            <w:tcW w:w="198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2.448</w:t>
            </w:r>
            <w:r>
              <w:rPr>
                <w:vertAlign w:val="superscript"/>
              </w:rPr>
              <w:t>*</w:t>
            </w:r>
          </w:p>
        </w:tc>
        <w:tc>
          <w:tcPr>
            <w:tcW w:w="2466"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9.008</w:t>
            </w:r>
            <w:r>
              <w:rPr>
                <w:vertAlign w:val="superscript"/>
              </w:rPr>
              <w:t>*</w:t>
            </w:r>
          </w:p>
        </w:tc>
      </w:tr>
      <w:tr w:rsidR="007E2065" w:rsidTr="00481F72">
        <w:tc>
          <w:tcPr>
            <w:tcW w:w="135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4A1B66">
              <w:t>0.4309</w:t>
            </w:r>
            <w:r w:rsidRPr="007C1669">
              <w:t>]</w:t>
            </w:r>
          </w:p>
        </w:tc>
        <w:tc>
          <w:tcPr>
            <w:tcW w:w="185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AB72D3">
              <w:t>0.0942</w:t>
            </w:r>
            <w:r>
              <w:t>]</w:t>
            </w:r>
          </w:p>
        </w:tc>
        <w:tc>
          <w:tcPr>
            <w:tcW w:w="198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3E6166">
              <w:t>0.0530</w:t>
            </w:r>
            <w:r>
              <w:t>]</w:t>
            </w:r>
          </w:p>
        </w:tc>
        <w:tc>
          <w:tcPr>
            <w:tcW w:w="246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926EFB">
              <w:t>0.0604</w:t>
            </w:r>
            <w:r>
              <w:t>]</w:t>
            </w:r>
          </w:p>
        </w:tc>
      </w:tr>
      <w:tr w:rsidR="007E2065" w:rsidTr="00481F72">
        <w:tc>
          <w:tcPr>
            <w:tcW w:w="1350" w:type="dxa"/>
            <w:tcBorders>
              <w:left w:val="nil"/>
              <w:right w:val="nil"/>
            </w:tcBorders>
          </w:tcPr>
          <w:p w:rsidR="007E2065" w:rsidRDefault="007E2065" w:rsidP="00481F72">
            <w:pPr>
              <w:widowControl w:val="0"/>
              <w:autoSpaceDE w:val="0"/>
              <w:autoSpaceDN w:val="0"/>
              <w:adjustRightInd w:val="0"/>
              <w:spacing w:after="0" w:line="360" w:lineRule="auto"/>
            </w:pPr>
            <w:r>
              <w:t>7-10 days</w:t>
            </w:r>
          </w:p>
        </w:tc>
        <w:tc>
          <w:tcPr>
            <w:tcW w:w="180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-16.31</w:t>
            </w:r>
          </w:p>
        </w:tc>
        <w:tc>
          <w:tcPr>
            <w:tcW w:w="185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-361.3</w:t>
            </w:r>
            <w:r>
              <w:rPr>
                <w:vertAlign w:val="superscript"/>
              </w:rPr>
              <w:t>*</w:t>
            </w:r>
          </w:p>
        </w:tc>
        <w:tc>
          <w:tcPr>
            <w:tcW w:w="198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3.187</w:t>
            </w:r>
            <w:r>
              <w:rPr>
                <w:vertAlign w:val="superscript"/>
              </w:rPr>
              <w:t>*</w:t>
            </w:r>
          </w:p>
        </w:tc>
        <w:tc>
          <w:tcPr>
            <w:tcW w:w="246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13.82</w:t>
            </w:r>
            <w:r>
              <w:rPr>
                <w:vertAlign w:val="superscript"/>
              </w:rPr>
              <w:t>***</w:t>
            </w:r>
          </w:p>
        </w:tc>
      </w:tr>
      <w:tr w:rsidR="007E2065" w:rsidTr="00481F72">
        <w:tc>
          <w:tcPr>
            <w:tcW w:w="135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4A1B66">
              <w:t>0.3539</w:t>
            </w:r>
            <w:r>
              <w:t>]</w:t>
            </w:r>
          </w:p>
        </w:tc>
        <w:tc>
          <w:tcPr>
            <w:tcW w:w="1854"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AB72D3">
              <w:t>0.0956</w:t>
            </w:r>
            <w:r>
              <w:t>]</w:t>
            </w:r>
          </w:p>
        </w:tc>
        <w:tc>
          <w:tcPr>
            <w:tcW w:w="198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3126E1">
              <w:t>0.0608</w:t>
            </w:r>
            <w:r>
              <w:t>]</w:t>
            </w:r>
          </w:p>
        </w:tc>
        <w:tc>
          <w:tcPr>
            <w:tcW w:w="2466"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w:t>
            </w:r>
            <w:r w:rsidRPr="00926EFB">
              <w:t>0.0088</w:t>
            </w:r>
            <w:r>
              <w:t>]</w:t>
            </w:r>
          </w:p>
        </w:tc>
      </w:tr>
      <w:tr w:rsidR="007E2065" w:rsidTr="00481F72">
        <w:tc>
          <w:tcPr>
            <w:tcW w:w="135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N</w:t>
            </w:r>
          </w:p>
        </w:tc>
        <w:tc>
          <w:tcPr>
            <w:tcW w:w="180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1854"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198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c>
          <w:tcPr>
            <w:tcW w:w="2466"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356</w:t>
            </w:r>
          </w:p>
        </w:tc>
      </w:tr>
    </w:tbl>
    <w:p w:rsidR="007E2065" w:rsidRPr="00097C42" w:rsidRDefault="007E2065" w:rsidP="007E2065">
      <w:pPr>
        <w:spacing w:line="360" w:lineRule="auto"/>
      </w:pPr>
      <w:r>
        <w:t xml:space="preserve">Source: Authors’ analysis of grocery store transaction data. Notes: Wild cluster-robust p-values in brackets below coefficients. P-values are from wild cluster bootstrap standard errors, with clustering by store. FFV=fresh fruits and vegetables. Spending is daily store-level SNAP expenditures plus incentive redemption. </w:t>
      </w:r>
      <w:r w:rsidRPr="00097C42">
        <w:t>Redemptions is incentive redemptions in dollars.</w:t>
      </w:r>
      <w:r>
        <w:t xml:space="preserve"> </w:t>
      </w:r>
      <w:r w:rsidRPr="00097C42">
        <w:t>Total FFV</w:t>
      </w:r>
      <w:r>
        <w:t xml:space="preserve"> spending</w:t>
      </w:r>
      <w:r w:rsidRPr="00097C42">
        <w:t xml:space="preserve"> is </w:t>
      </w:r>
      <w:r>
        <w:t xml:space="preserve">daily SNAP store-level </w:t>
      </w:r>
      <w:r w:rsidRPr="00097C42">
        <w:t>spending in</w:t>
      </w:r>
      <w:r>
        <w:t xml:space="preserve"> </w:t>
      </w:r>
      <w:r w:rsidRPr="00097C42">
        <w:t xml:space="preserve">dollars on incentive-eligible fresh fruits and vegetables, including incentive redemptions. </w:t>
      </w:r>
      <w:r>
        <w:t xml:space="preserve">% of total spending on FFV is the percentage of total daily SNAP spending that goes to FFV. % of FFV from redemptions is the percentage of SNAP FFV spending that comes from redemptions. * </w:t>
      </w:r>
      <w:r w:rsidRPr="00330271">
        <w:rPr>
          <w:i/>
          <w:iCs/>
        </w:rPr>
        <w:t>p</w:t>
      </w:r>
      <w:r w:rsidRPr="00330271">
        <w:t xml:space="preserve"> &lt; 0.10, ** </w:t>
      </w:r>
      <w:r w:rsidRPr="00330271">
        <w:rPr>
          <w:i/>
          <w:iCs/>
        </w:rPr>
        <w:t>p</w:t>
      </w:r>
      <w:r w:rsidRPr="00330271">
        <w:t xml:space="preserve"> &lt; 0.05, *** </w:t>
      </w:r>
      <w:r w:rsidRPr="00330271">
        <w:rPr>
          <w:i/>
          <w:iCs/>
        </w:rPr>
        <w:t>p</w:t>
      </w:r>
      <w:r w:rsidRPr="00330271">
        <w:t xml:space="preserve"> &lt; 0.01</w:t>
      </w:r>
      <w:r>
        <w:t>.</w:t>
      </w:r>
    </w:p>
    <w:p w:rsidR="007E2065" w:rsidRDefault="007E2065" w:rsidP="007E2065">
      <w:pPr>
        <w:spacing w:line="360" w:lineRule="auto"/>
      </w:pPr>
    </w:p>
    <w:p w:rsidR="007E2065" w:rsidRDefault="007E2065" w:rsidP="007E2065">
      <w:pPr>
        <w:spacing w:line="360" w:lineRule="auto"/>
      </w:pPr>
      <w:r>
        <w:lastRenderedPageBreak/>
        <w:t>Appendix Table 4: Change in redemptions, total FFV spending, percentage of total spending on FFV, and percentage of FFV from redemptions, outside of the SNAP issuance window relative to inside of the SNAP issuance window, 2023 – Excluding the first of the month</w:t>
      </w:r>
    </w:p>
    <w:tbl>
      <w:tblPr>
        <w:tblW w:w="9822" w:type="dxa"/>
        <w:tblLayout w:type="fixed"/>
        <w:tblLook w:val="0000" w:firstRow="0" w:lastRow="0" w:firstColumn="0" w:lastColumn="0" w:noHBand="0" w:noVBand="0"/>
      </w:tblPr>
      <w:tblGrid>
        <w:gridCol w:w="1710"/>
        <w:gridCol w:w="1800"/>
        <w:gridCol w:w="1710"/>
        <w:gridCol w:w="1890"/>
        <w:gridCol w:w="2712"/>
      </w:tblGrid>
      <w:tr w:rsidR="007E2065" w:rsidTr="00481F72">
        <w:tc>
          <w:tcPr>
            <w:tcW w:w="1710" w:type="dxa"/>
            <w:tcBorders>
              <w:top w:val="nil"/>
              <w:left w:val="nil"/>
              <w:right w:val="nil"/>
            </w:tcBorders>
          </w:tcPr>
          <w:p w:rsidR="007E2065" w:rsidRDefault="007E2065" w:rsidP="00481F72">
            <w:pPr>
              <w:widowControl w:val="0"/>
              <w:autoSpaceDE w:val="0"/>
              <w:autoSpaceDN w:val="0"/>
              <w:adjustRightInd w:val="0"/>
              <w:spacing w:after="0" w:line="360" w:lineRule="auto"/>
            </w:pPr>
          </w:p>
        </w:tc>
        <w:tc>
          <w:tcPr>
            <w:tcW w:w="8112" w:type="dxa"/>
            <w:gridSpan w:val="4"/>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Outcome</w:t>
            </w:r>
          </w:p>
        </w:tc>
      </w:tr>
      <w:tr w:rsidR="007E2065" w:rsidTr="00481F72">
        <w:tc>
          <w:tcPr>
            <w:tcW w:w="1710"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Variable</w:t>
            </w:r>
          </w:p>
        </w:tc>
        <w:tc>
          <w:tcPr>
            <w:tcW w:w="1800"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Redemptions, $</w:t>
            </w:r>
          </w:p>
        </w:tc>
        <w:tc>
          <w:tcPr>
            <w:tcW w:w="1710"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Total FFV spending, $</w:t>
            </w:r>
          </w:p>
        </w:tc>
        <w:tc>
          <w:tcPr>
            <w:tcW w:w="1890"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total spending on FFV</w:t>
            </w:r>
          </w:p>
        </w:tc>
        <w:tc>
          <w:tcPr>
            <w:tcW w:w="2712" w:type="dxa"/>
            <w:tcBorders>
              <w:top w:val="single" w:sz="4" w:space="0" w:color="auto"/>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 of FFV from redemptions</w:t>
            </w:r>
          </w:p>
        </w:tc>
      </w:tr>
      <w:tr w:rsidR="007E2065" w:rsidTr="00481F72">
        <w:tc>
          <w:tcPr>
            <w:tcW w:w="171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171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1890"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c>
          <w:tcPr>
            <w:tcW w:w="2712" w:type="dxa"/>
            <w:tcBorders>
              <w:top w:val="single" w:sz="4" w:space="0" w:color="auto"/>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9822" w:type="dxa"/>
            <w:gridSpan w:val="5"/>
            <w:tcBorders>
              <w:left w:val="nil"/>
              <w:right w:val="nil"/>
            </w:tcBorders>
          </w:tcPr>
          <w:p w:rsidR="007E2065" w:rsidRDefault="007E2065" w:rsidP="00481F72">
            <w:pPr>
              <w:widowControl w:val="0"/>
              <w:autoSpaceDE w:val="0"/>
              <w:autoSpaceDN w:val="0"/>
              <w:adjustRightInd w:val="0"/>
              <w:spacing w:after="0" w:line="360" w:lineRule="auto"/>
            </w:pPr>
            <w:r>
              <w:rPr>
                <w:i/>
              </w:rPr>
              <w:t>Outside of SNAP issuance window (vs. within window)</w:t>
            </w:r>
          </w:p>
        </w:tc>
      </w:tr>
      <w:tr w:rsidR="007E2065" w:rsidTr="00481F72">
        <w:tc>
          <w:tcPr>
            <w:tcW w:w="1710" w:type="dxa"/>
            <w:vMerge w:val="restart"/>
            <w:tcBorders>
              <w:left w:val="nil"/>
              <w:right w:val="nil"/>
            </w:tcBorders>
          </w:tcPr>
          <w:p w:rsidR="007E2065" w:rsidRDefault="007E2065" w:rsidP="00481F72">
            <w:pPr>
              <w:widowControl w:val="0"/>
              <w:autoSpaceDE w:val="0"/>
              <w:autoSpaceDN w:val="0"/>
              <w:adjustRightInd w:val="0"/>
              <w:spacing w:after="0" w:line="360" w:lineRule="auto"/>
            </w:pPr>
            <w:r>
              <w:t>Out of window</w:t>
            </w:r>
          </w:p>
        </w:tc>
        <w:tc>
          <w:tcPr>
            <w:tcW w:w="1800"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-8.140</w:t>
            </w:r>
          </w:p>
        </w:tc>
        <w:tc>
          <w:tcPr>
            <w:tcW w:w="1710"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-262.7</w:t>
            </w:r>
            <w:r>
              <w:rPr>
                <w:vertAlign w:val="superscript"/>
              </w:rPr>
              <w:t>*</w:t>
            </w:r>
          </w:p>
        </w:tc>
        <w:tc>
          <w:tcPr>
            <w:tcW w:w="1890"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2.294</w:t>
            </w:r>
            <w:r>
              <w:rPr>
                <w:vertAlign w:val="superscript"/>
              </w:rPr>
              <w:t>***</w:t>
            </w:r>
          </w:p>
        </w:tc>
        <w:tc>
          <w:tcPr>
            <w:tcW w:w="2712" w:type="dxa"/>
            <w:tcBorders>
              <w:left w:val="nil"/>
              <w:bottom w:val="nil"/>
              <w:right w:val="nil"/>
            </w:tcBorders>
          </w:tcPr>
          <w:p w:rsidR="007E2065" w:rsidRDefault="007E2065" w:rsidP="00481F72">
            <w:pPr>
              <w:widowControl w:val="0"/>
              <w:autoSpaceDE w:val="0"/>
              <w:autoSpaceDN w:val="0"/>
              <w:adjustRightInd w:val="0"/>
              <w:spacing w:after="0" w:line="240" w:lineRule="auto"/>
              <w:jc w:val="center"/>
            </w:pPr>
            <w:r>
              <w:t>9.512</w:t>
            </w:r>
            <w:r>
              <w:rPr>
                <w:vertAlign w:val="superscript"/>
              </w:rPr>
              <w:t>***</w:t>
            </w:r>
          </w:p>
        </w:tc>
      </w:tr>
      <w:tr w:rsidR="007E2065" w:rsidTr="00481F72">
        <w:tc>
          <w:tcPr>
            <w:tcW w:w="1710" w:type="dxa"/>
            <w:vMerge/>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(9.783)</w:t>
            </w:r>
          </w:p>
        </w:tc>
        <w:tc>
          <w:tcPr>
            <w:tcW w:w="1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(71.37)</w:t>
            </w:r>
          </w:p>
        </w:tc>
        <w:tc>
          <w:tcPr>
            <w:tcW w:w="189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(0.185)</w:t>
            </w:r>
          </w:p>
        </w:tc>
        <w:tc>
          <w:tcPr>
            <w:tcW w:w="2712"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(0.708)</w:t>
            </w:r>
          </w:p>
        </w:tc>
      </w:tr>
      <w:tr w:rsidR="007E2065" w:rsidTr="00481F72">
        <w:tc>
          <w:tcPr>
            <w:tcW w:w="171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71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890"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2712"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9822" w:type="dxa"/>
            <w:gridSpan w:val="5"/>
            <w:tcBorders>
              <w:left w:val="nil"/>
              <w:right w:val="nil"/>
            </w:tcBorders>
          </w:tcPr>
          <w:p w:rsidR="007E2065" w:rsidRPr="00585AE3" w:rsidRDefault="007E2065" w:rsidP="00481F72">
            <w:pPr>
              <w:widowControl w:val="0"/>
              <w:autoSpaceDE w:val="0"/>
              <w:autoSpaceDN w:val="0"/>
              <w:adjustRightInd w:val="0"/>
              <w:spacing w:after="0" w:line="360" w:lineRule="auto"/>
              <w:rPr>
                <w:i/>
              </w:rPr>
            </w:pPr>
            <w:r>
              <w:rPr>
                <w:i/>
              </w:rPr>
              <w:t>Number of days after end of SNAP issuance</w:t>
            </w:r>
            <w:r w:rsidRPr="00585AE3">
              <w:rPr>
                <w:i/>
              </w:rPr>
              <w:t xml:space="preserve"> </w:t>
            </w:r>
            <w:r>
              <w:rPr>
                <w:i/>
              </w:rPr>
              <w:t>window (</w:t>
            </w:r>
            <w:r w:rsidRPr="00585AE3">
              <w:rPr>
                <w:i/>
              </w:rPr>
              <w:t xml:space="preserve">vs. </w:t>
            </w:r>
            <w:r>
              <w:rPr>
                <w:i/>
              </w:rPr>
              <w:t>inside</w:t>
            </w:r>
            <w:r w:rsidRPr="00585AE3">
              <w:rPr>
                <w:i/>
              </w:rPr>
              <w:t xml:space="preserve"> of SNAP issuance window</w:t>
            </w:r>
            <w:r>
              <w:rPr>
                <w:i/>
              </w:rPr>
              <w:t>)</w:t>
            </w:r>
          </w:p>
        </w:tc>
      </w:tr>
      <w:tr w:rsidR="007E2065" w:rsidTr="00481F72">
        <w:tc>
          <w:tcPr>
            <w:tcW w:w="1710" w:type="dxa"/>
            <w:tcBorders>
              <w:left w:val="nil"/>
              <w:right w:val="nil"/>
            </w:tcBorders>
          </w:tcPr>
          <w:p w:rsidR="007E2065" w:rsidRDefault="007E2065" w:rsidP="00481F72">
            <w:pPr>
              <w:widowControl w:val="0"/>
              <w:autoSpaceDE w:val="0"/>
              <w:autoSpaceDN w:val="0"/>
              <w:adjustRightInd w:val="0"/>
              <w:spacing w:after="0" w:line="360" w:lineRule="auto"/>
            </w:pPr>
            <w:r>
              <w:t>1-3 days</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1.073</w:t>
            </w:r>
          </w:p>
        </w:tc>
        <w:tc>
          <w:tcPr>
            <w:tcW w:w="1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-155.1</w:t>
            </w:r>
            <w:r>
              <w:rPr>
                <w:vertAlign w:val="superscript"/>
              </w:rPr>
              <w:t>*</w:t>
            </w:r>
          </w:p>
        </w:tc>
        <w:tc>
          <w:tcPr>
            <w:tcW w:w="189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1.006</w:t>
            </w:r>
            <w:r>
              <w:rPr>
                <w:vertAlign w:val="superscript"/>
              </w:rPr>
              <w:t>**</w:t>
            </w:r>
          </w:p>
        </w:tc>
        <w:tc>
          <w:tcPr>
            <w:tcW w:w="2712"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5.283</w:t>
            </w:r>
            <w:r>
              <w:rPr>
                <w:vertAlign w:val="superscript"/>
              </w:rPr>
              <w:t>**</w:t>
            </w:r>
          </w:p>
        </w:tc>
      </w:tr>
      <w:tr w:rsidR="007E2065" w:rsidTr="00481F72">
        <w:tc>
          <w:tcPr>
            <w:tcW w:w="171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(4.533)</w:t>
            </w:r>
          </w:p>
        </w:tc>
        <w:tc>
          <w:tcPr>
            <w:tcW w:w="1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(46.37)</w:t>
            </w:r>
          </w:p>
        </w:tc>
        <w:tc>
          <w:tcPr>
            <w:tcW w:w="189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(0.144)</w:t>
            </w:r>
          </w:p>
        </w:tc>
        <w:tc>
          <w:tcPr>
            <w:tcW w:w="2712"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(0.643)</w:t>
            </w:r>
          </w:p>
        </w:tc>
      </w:tr>
      <w:tr w:rsidR="007E2065" w:rsidTr="00481F72">
        <w:tc>
          <w:tcPr>
            <w:tcW w:w="1710" w:type="dxa"/>
            <w:tcBorders>
              <w:left w:val="nil"/>
              <w:right w:val="nil"/>
            </w:tcBorders>
          </w:tcPr>
          <w:p w:rsidR="007E2065" w:rsidRDefault="007E2065" w:rsidP="00481F72">
            <w:pPr>
              <w:widowControl w:val="0"/>
              <w:autoSpaceDE w:val="0"/>
              <w:autoSpaceDN w:val="0"/>
              <w:adjustRightInd w:val="0"/>
              <w:spacing w:after="0" w:line="360" w:lineRule="auto"/>
            </w:pPr>
            <w:r>
              <w:t>4-6 days</w:t>
            </w:r>
          </w:p>
        </w:tc>
        <w:tc>
          <w:tcPr>
            <w:tcW w:w="180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-8.740</w:t>
            </w:r>
          </w:p>
        </w:tc>
        <w:tc>
          <w:tcPr>
            <w:tcW w:w="171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-266.7</w:t>
            </w:r>
            <w:r>
              <w:rPr>
                <w:vertAlign w:val="superscript"/>
              </w:rPr>
              <w:t>*</w:t>
            </w:r>
          </w:p>
        </w:tc>
        <w:tc>
          <w:tcPr>
            <w:tcW w:w="1890"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2.449</w:t>
            </w:r>
            <w:r>
              <w:rPr>
                <w:vertAlign w:val="superscript"/>
              </w:rPr>
              <w:t>***</w:t>
            </w:r>
          </w:p>
        </w:tc>
        <w:tc>
          <w:tcPr>
            <w:tcW w:w="2712" w:type="dxa"/>
            <w:tcBorders>
              <w:top w:val="nil"/>
              <w:left w:val="nil"/>
              <w:bottom w:val="nil"/>
              <w:right w:val="nil"/>
            </w:tcBorders>
          </w:tcPr>
          <w:p w:rsidR="007E2065" w:rsidRDefault="007E2065" w:rsidP="00481F72">
            <w:pPr>
              <w:widowControl w:val="0"/>
              <w:autoSpaceDE w:val="0"/>
              <w:autoSpaceDN w:val="0"/>
              <w:adjustRightInd w:val="0"/>
              <w:spacing w:after="0" w:line="240" w:lineRule="auto"/>
              <w:jc w:val="center"/>
            </w:pPr>
            <w:r>
              <w:t>9.002</w:t>
            </w:r>
            <w:r>
              <w:rPr>
                <w:vertAlign w:val="superscript"/>
              </w:rPr>
              <w:t>**</w:t>
            </w:r>
          </w:p>
        </w:tc>
      </w:tr>
      <w:tr w:rsidR="007E2065" w:rsidTr="00481F72">
        <w:tc>
          <w:tcPr>
            <w:tcW w:w="171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(12.27)</w:t>
            </w:r>
          </w:p>
        </w:tc>
        <w:tc>
          <w:tcPr>
            <w:tcW w:w="1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(72.67)</w:t>
            </w:r>
          </w:p>
        </w:tc>
        <w:tc>
          <w:tcPr>
            <w:tcW w:w="189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(0.226)</w:t>
            </w:r>
          </w:p>
        </w:tc>
        <w:tc>
          <w:tcPr>
            <w:tcW w:w="2712"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(1.246)</w:t>
            </w:r>
          </w:p>
        </w:tc>
      </w:tr>
      <w:tr w:rsidR="007E2065" w:rsidTr="00481F72">
        <w:tc>
          <w:tcPr>
            <w:tcW w:w="1710" w:type="dxa"/>
            <w:tcBorders>
              <w:left w:val="nil"/>
              <w:right w:val="nil"/>
            </w:tcBorders>
          </w:tcPr>
          <w:p w:rsidR="007E2065" w:rsidRDefault="007E2065" w:rsidP="00481F72">
            <w:pPr>
              <w:widowControl w:val="0"/>
              <w:autoSpaceDE w:val="0"/>
              <w:autoSpaceDN w:val="0"/>
              <w:adjustRightInd w:val="0"/>
              <w:spacing w:after="0" w:line="360" w:lineRule="auto"/>
            </w:pPr>
            <w:r>
              <w:t>7-10 days</w:t>
            </w:r>
          </w:p>
        </w:tc>
        <w:tc>
          <w:tcPr>
            <w:tcW w:w="180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-16.51</w:t>
            </w:r>
          </w:p>
        </w:tc>
        <w:tc>
          <w:tcPr>
            <w:tcW w:w="1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-363.4</w:t>
            </w:r>
            <w:r>
              <w:rPr>
                <w:vertAlign w:val="superscript"/>
              </w:rPr>
              <w:t>*</w:t>
            </w:r>
          </w:p>
        </w:tc>
        <w:tc>
          <w:tcPr>
            <w:tcW w:w="189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3.394</w:t>
            </w:r>
            <w:r>
              <w:rPr>
                <w:vertAlign w:val="superscript"/>
              </w:rPr>
              <w:t>**</w:t>
            </w:r>
          </w:p>
        </w:tc>
        <w:tc>
          <w:tcPr>
            <w:tcW w:w="2712"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14.12</w:t>
            </w:r>
            <w:r>
              <w:rPr>
                <w:vertAlign w:val="superscript"/>
              </w:rPr>
              <w:t>***</w:t>
            </w:r>
          </w:p>
        </w:tc>
      </w:tr>
      <w:tr w:rsidR="007E2065" w:rsidTr="00481F72">
        <w:tc>
          <w:tcPr>
            <w:tcW w:w="1710" w:type="dxa"/>
            <w:tcBorders>
              <w:left w:val="nil"/>
              <w:right w:val="nil"/>
            </w:tcBorders>
          </w:tcPr>
          <w:p w:rsidR="007E2065" w:rsidRDefault="007E2065" w:rsidP="00481F72">
            <w:pPr>
              <w:widowControl w:val="0"/>
              <w:autoSpaceDE w:val="0"/>
              <w:autoSpaceDN w:val="0"/>
              <w:adjustRightInd w:val="0"/>
              <w:spacing w:after="0" w:line="360" w:lineRule="auto"/>
            </w:pPr>
          </w:p>
        </w:tc>
        <w:tc>
          <w:tcPr>
            <w:tcW w:w="180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(13.37)</w:t>
            </w:r>
          </w:p>
        </w:tc>
        <w:tc>
          <w:tcPr>
            <w:tcW w:w="171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(93.13)</w:t>
            </w:r>
          </w:p>
        </w:tc>
        <w:tc>
          <w:tcPr>
            <w:tcW w:w="1890"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(0.445)</w:t>
            </w:r>
          </w:p>
        </w:tc>
        <w:tc>
          <w:tcPr>
            <w:tcW w:w="2712" w:type="dxa"/>
            <w:tcBorders>
              <w:top w:val="nil"/>
              <w:left w:val="nil"/>
              <w:right w:val="nil"/>
            </w:tcBorders>
          </w:tcPr>
          <w:p w:rsidR="007E2065" w:rsidRDefault="007E2065" w:rsidP="00481F72">
            <w:pPr>
              <w:widowControl w:val="0"/>
              <w:autoSpaceDE w:val="0"/>
              <w:autoSpaceDN w:val="0"/>
              <w:adjustRightInd w:val="0"/>
              <w:spacing w:after="0" w:line="240" w:lineRule="auto"/>
              <w:jc w:val="center"/>
            </w:pPr>
            <w:r>
              <w:t>(1.139)</w:t>
            </w:r>
          </w:p>
        </w:tc>
      </w:tr>
      <w:tr w:rsidR="007E2065" w:rsidTr="00481F72">
        <w:tc>
          <w:tcPr>
            <w:tcW w:w="171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N</w:t>
            </w:r>
          </w:p>
        </w:tc>
        <w:tc>
          <w:tcPr>
            <w:tcW w:w="180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344</w:t>
            </w:r>
          </w:p>
        </w:tc>
        <w:tc>
          <w:tcPr>
            <w:tcW w:w="171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344</w:t>
            </w:r>
          </w:p>
        </w:tc>
        <w:tc>
          <w:tcPr>
            <w:tcW w:w="1890"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344</w:t>
            </w:r>
          </w:p>
        </w:tc>
        <w:tc>
          <w:tcPr>
            <w:tcW w:w="2712" w:type="dxa"/>
            <w:tcBorders>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344</w:t>
            </w:r>
          </w:p>
        </w:tc>
      </w:tr>
    </w:tbl>
    <w:p w:rsidR="007E2065" w:rsidRPr="00097C42" w:rsidRDefault="007E2065" w:rsidP="007E2065">
      <w:pPr>
        <w:spacing w:line="360" w:lineRule="auto"/>
      </w:pPr>
      <w:r>
        <w:t xml:space="preserve">Source: Authors’ analysis of daily grocery store transaction data. Notes: FFV=fresh fruits and vegetables. Spending is daily store-level SNAP expenditures plus DUFB redemption. </w:t>
      </w:r>
      <w:r w:rsidRPr="00097C42">
        <w:t>Redemptions is incentive redemptions in dollars.</w:t>
      </w:r>
      <w:r>
        <w:t xml:space="preserve"> </w:t>
      </w:r>
      <w:r w:rsidRPr="00097C42">
        <w:t>Total FFV</w:t>
      </w:r>
      <w:r>
        <w:t xml:space="preserve"> spending</w:t>
      </w:r>
      <w:r w:rsidRPr="00097C42">
        <w:t xml:space="preserve"> is </w:t>
      </w:r>
      <w:r>
        <w:t xml:space="preserve">daily SNAP store-level </w:t>
      </w:r>
      <w:r w:rsidRPr="00097C42">
        <w:t>spending in</w:t>
      </w:r>
      <w:r>
        <w:t xml:space="preserve"> </w:t>
      </w:r>
      <w:r w:rsidRPr="00097C42">
        <w:t xml:space="preserve">dollars on incentive-eligible fresh fruits and vegetables, including incentive redemptions. </w:t>
      </w:r>
      <w:r>
        <w:t xml:space="preserve">% of total spending on FFV is the percentage of total daily SNAP spending that goes to FFV. % of FFV from redemptions is the percentage of SNAP FFV spending that comes from redemptions. * </w:t>
      </w:r>
      <w:r w:rsidRPr="00330271">
        <w:rPr>
          <w:i/>
          <w:iCs/>
        </w:rPr>
        <w:t>p</w:t>
      </w:r>
      <w:r w:rsidRPr="00330271">
        <w:t xml:space="preserve"> &lt; 0.10, ** </w:t>
      </w:r>
      <w:r w:rsidRPr="00330271">
        <w:rPr>
          <w:i/>
          <w:iCs/>
        </w:rPr>
        <w:t>p</w:t>
      </w:r>
      <w:r w:rsidRPr="00330271">
        <w:t xml:space="preserve"> &lt; 0.05, *** </w:t>
      </w:r>
      <w:r w:rsidRPr="00330271">
        <w:rPr>
          <w:i/>
          <w:iCs/>
        </w:rPr>
        <w:t>p</w:t>
      </w:r>
      <w:r w:rsidRPr="00330271">
        <w:t xml:space="preserve"> &lt; 0.01</w:t>
      </w:r>
      <w:r>
        <w:t>.</w:t>
      </w:r>
    </w:p>
    <w:p w:rsidR="007E2065" w:rsidRDefault="007E2065" w:rsidP="007E2065">
      <w:pPr>
        <w:spacing w:line="360" w:lineRule="auto"/>
      </w:pPr>
    </w:p>
    <w:p w:rsidR="007E2065" w:rsidRDefault="007E2065" w:rsidP="007E2065">
      <w:pPr>
        <w:spacing w:line="360" w:lineRule="auto"/>
      </w:pPr>
    </w:p>
    <w:p w:rsidR="007E2065" w:rsidRDefault="007E2065" w:rsidP="007E2065">
      <w:pPr>
        <w:spacing w:line="360" w:lineRule="auto"/>
      </w:pPr>
    </w:p>
    <w:p w:rsidR="007E2065" w:rsidRDefault="007E2065" w:rsidP="007E2065">
      <w:pPr>
        <w:spacing w:line="360" w:lineRule="auto"/>
      </w:pPr>
    </w:p>
    <w:p w:rsidR="007E2065" w:rsidRDefault="007E2065" w:rsidP="007E2065">
      <w:pPr>
        <w:spacing w:line="360" w:lineRule="auto"/>
      </w:pPr>
      <w:r>
        <w:lastRenderedPageBreak/>
        <w:t>Appendix Table 5: Mean characteristics of SNAP participants, 2020 pre-pandemic</w:t>
      </w:r>
    </w:p>
    <w:tbl>
      <w:tblPr>
        <w:tblW w:w="0" w:type="auto"/>
        <w:tblLayout w:type="fixed"/>
        <w:tblLook w:val="0000" w:firstRow="0" w:lastRow="0" w:firstColumn="0" w:lastColumn="0" w:noHBand="0" w:noVBand="0"/>
      </w:tblPr>
      <w:tblGrid>
        <w:gridCol w:w="4500"/>
        <w:gridCol w:w="1656"/>
        <w:gridCol w:w="1656"/>
      </w:tblGrid>
      <w:tr w:rsidR="007E2065" w:rsidTr="00481F72">
        <w:tc>
          <w:tcPr>
            <w:tcW w:w="4500" w:type="dxa"/>
            <w:tcBorders>
              <w:top w:val="single" w:sz="4" w:space="0" w:color="auto"/>
              <w:left w:val="nil"/>
              <w:bottom w:val="nil"/>
              <w:right w:val="nil"/>
            </w:tcBorders>
          </w:tcPr>
          <w:p w:rsidR="007E2065" w:rsidRDefault="007E2065" w:rsidP="00481F72">
            <w:pPr>
              <w:widowControl w:val="0"/>
              <w:autoSpaceDE w:val="0"/>
              <w:autoSpaceDN w:val="0"/>
              <w:adjustRightInd w:val="0"/>
              <w:spacing w:after="0" w:line="360" w:lineRule="auto"/>
            </w:pPr>
          </w:p>
        </w:tc>
        <w:tc>
          <w:tcPr>
            <w:tcW w:w="1656" w:type="dxa"/>
            <w:tcBorders>
              <w:top w:val="single" w:sz="4" w:space="0" w:color="auto"/>
              <w:left w:val="nil"/>
              <w:bottom w:val="nil"/>
              <w:right w:val="nil"/>
            </w:tcBorders>
          </w:tcPr>
          <w:p w:rsidR="007E2065" w:rsidRDefault="007E2065" w:rsidP="00481F72">
            <w:pPr>
              <w:widowControl w:val="0"/>
              <w:autoSpaceDE w:val="0"/>
              <w:autoSpaceDN w:val="0"/>
              <w:adjustRightInd w:val="0"/>
              <w:spacing w:after="0" w:line="360" w:lineRule="auto"/>
              <w:jc w:val="center"/>
            </w:pPr>
            <w:r>
              <w:t>Alabama</w:t>
            </w:r>
          </w:p>
        </w:tc>
        <w:tc>
          <w:tcPr>
            <w:tcW w:w="1656" w:type="dxa"/>
            <w:tcBorders>
              <w:top w:val="single" w:sz="4" w:space="0" w:color="auto"/>
              <w:left w:val="nil"/>
              <w:bottom w:val="nil"/>
              <w:right w:val="nil"/>
            </w:tcBorders>
          </w:tcPr>
          <w:p w:rsidR="007E2065" w:rsidRDefault="007E2065" w:rsidP="00481F72">
            <w:pPr>
              <w:widowControl w:val="0"/>
              <w:autoSpaceDE w:val="0"/>
              <w:autoSpaceDN w:val="0"/>
              <w:adjustRightInd w:val="0"/>
              <w:spacing w:after="0" w:line="360" w:lineRule="auto"/>
              <w:jc w:val="center"/>
            </w:pPr>
            <w:r>
              <w:t>US</w:t>
            </w:r>
          </w:p>
        </w:tc>
      </w:tr>
      <w:tr w:rsidR="007E2065" w:rsidTr="00481F72">
        <w:tc>
          <w:tcPr>
            <w:tcW w:w="4500" w:type="dxa"/>
            <w:tcBorders>
              <w:top w:val="single" w:sz="4" w:space="0" w:color="auto"/>
              <w:left w:val="nil"/>
              <w:bottom w:val="nil"/>
              <w:right w:val="nil"/>
            </w:tcBorders>
          </w:tcPr>
          <w:p w:rsidR="007E2065" w:rsidRDefault="007E2065" w:rsidP="00481F72">
            <w:pPr>
              <w:widowControl w:val="0"/>
              <w:autoSpaceDE w:val="0"/>
              <w:autoSpaceDN w:val="0"/>
              <w:adjustRightInd w:val="0"/>
              <w:spacing w:after="0" w:line="360" w:lineRule="auto"/>
            </w:pPr>
            <w:r>
              <w:t>Income as % of poverty</w:t>
            </w:r>
          </w:p>
        </w:tc>
        <w:tc>
          <w:tcPr>
            <w:tcW w:w="1656" w:type="dxa"/>
            <w:tcBorders>
              <w:top w:val="single" w:sz="4" w:space="0" w:color="auto"/>
              <w:left w:val="nil"/>
              <w:bottom w:val="nil"/>
              <w:right w:val="nil"/>
            </w:tcBorders>
          </w:tcPr>
          <w:p w:rsidR="007E2065" w:rsidRDefault="007E2065" w:rsidP="00481F72">
            <w:pPr>
              <w:widowControl w:val="0"/>
              <w:autoSpaceDE w:val="0"/>
              <w:autoSpaceDN w:val="0"/>
              <w:adjustRightInd w:val="0"/>
              <w:spacing w:after="0" w:line="360" w:lineRule="auto"/>
              <w:jc w:val="center"/>
            </w:pPr>
            <w:r>
              <w:t>58.6</w:t>
            </w:r>
          </w:p>
        </w:tc>
        <w:tc>
          <w:tcPr>
            <w:tcW w:w="1656" w:type="dxa"/>
            <w:tcBorders>
              <w:top w:val="single" w:sz="4" w:space="0" w:color="auto"/>
              <w:left w:val="nil"/>
              <w:bottom w:val="nil"/>
              <w:right w:val="nil"/>
            </w:tcBorders>
          </w:tcPr>
          <w:p w:rsidR="007E2065" w:rsidRDefault="007E2065" w:rsidP="00481F72">
            <w:pPr>
              <w:widowControl w:val="0"/>
              <w:autoSpaceDE w:val="0"/>
              <w:autoSpaceDN w:val="0"/>
              <w:adjustRightInd w:val="0"/>
              <w:spacing w:after="0" w:line="360" w:lineRule="auto"/>
              <w:jc w:val="center"/>
            </w:pPr>
            <w:r>
              <w:t>64.5</w:t>
            </w: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r>
              <w:t>Monthly SNAP benefit ($)</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241</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230</w:t>
            </w: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r>
              <w:t>Household size (# individuals)</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2.1</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1.9</w:t>
            </w: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r>
              <w:t>% of households with children</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45.3</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38.1</w:t>
            </w: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r>
              <w:t>% of households with elderly</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23.4</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28.6</w:t>
            </w:r>
          </w:p>
        </w:tc>
      </w:tr>
      <w:tr w:rsidR="007E2065" w:rsidTr="00481F72">
        <w:tc>
          <w:tcPr>
            <w:tcW w:w="4500" w:type="dxa"/>
            <w:tcBorders>
              <w:top w:val="nil"/>
              <w:left w:val="nil"/>
              <w:right w:val="nil"/>
            </w:tcBorders>
          </w:tcPr>
          <w:p w:rsidR="007E2065" w:rsidRDefault="007E2065" w:rsidP="00481F72">
            <w:pPr>
              <w:widowControl w:val="0"/>
              <w:autoSpaceDE w:val="0"/>
              <w:autoSpaceDN w:val="0"/>
              <w:adjustRightInd w:val="0"/>
              <w:spacing w:after="0" w:line="360" w:lineRule="auto"/>
            </w:pPr>
          </w:p>
        </w:tc>
        <w:tc>
          <w:tcPr>
            <w:tcW w:w="1656"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r>
              <w:t>% of households single adults with children</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35.6</w:t>
            </w: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r>
              <w:t>23.9</w:t>
            </w:r>
          </w:p>
        </w:tc>
      </w:tr>
      <w:tr w:rsidR="007E2065" w:rsidTr="00481F72">
        <w:tc>
          <w:tcPr>
            <w:tcW w:w="4500" w:type="dxa"/>
            <w:tcBorders>
              <w:top w:val="nil"/>
              <w:left w:val="nil"/>
              <w:bottom w:val="nil"/>
              <w:right w:val="nil"/>
            </w:tcBorders>
          </w:tcPr>
          <w:p w:rsidR="007E2065" w:rsidRDefault="007E2065" w:rsidP="00481F72">
            <w:pPr>
              <w:widowControl w:val="0"/>
              <w:autoSpaceDE w:val="0"/>
              <w:autoSpaceDN w:val="0"/>
              <w:adjustRightInd w:val="0"/>
              <w:spacing w:after="0" w:line="360" w:lineRule="auto"/>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c>
          <w:tcPr>
            <w:tcW w:w="1656" w:type="dxa"/>
            <w:tcBorders>
              <w:top w:val="nil"/>
              <w:left w:val="nil"/>
              <w:bottom w:val="nil"/>
              <w:right w:val="nil"/>
            </w:tcBorders>
          </w:tcPr>
          <w:p w:rsidR="007E2065" w:rsidRDefault="007E2065" w:rsidP="00481F72">
            <w:pPr>
              <w:widowControl w:val="0"/>
              <w:autoSpaceDE w:val="0"/>
              <w:autoSpaceDN w:val="0"/>
              <w:adjustRightInd w:val="0"/>
              <w:spacing w:after="0" w:line="360" w:lineRule="auto"/>
              <w:jc w:val="center"/>
            </w:pPr>
          </w:p>
        </w:tc>
      </w:tr>
      <w:tr w:rsidR="007E2065" w:rsidTr="00481F72">
        <w:tc>
          <w:tcPr>
            <w:tcW w:w="4500"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pPr>
            <w:r>
              <w:t>% of households with able-bodied adults and no children</w:t>
            </w:r>
          </w:p>
        </w:tc>
        <w:tc>
          <w:tcPr>
            <w:tcW w:w="1656"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10.3</w:t>
            </w:r>
          </w:p>
        </w:tc>
        <w:tc>
          <w:tcPr>
            <w:tcW w:w="1656" w:type="dxa"/>
            <w:tcBorders>
              <w:top w:val="nil"/>
              <w:left w:val="nil"/>
              <w:bottom w:val="single" w:sz="4" w:space="0" w:color="auto"/>
              <w:right w:val="nil"/>
            </w:tcBorders>
          </w:tcPr>
          <w:p w:rsidR="007E2065" w:rsidRDefault="007E2065" w:rsidP="00481F72">
            <w:pPr>
              <w:widowControl w:val="0"/>
              <w:autoSpaceDE w:val="0"/>
              <w:autoSpaceDN w:val="0"/>
              <w:adjustRightInd w:val="0"/>
              <w:spacing w:after="0" w:line="360" w:lineRule="auto"/>
              <w:jc w:val="center"/>
            </w:pPr>
            <w:r>
              <w:t>13.4</w:t>
            </w:r>
          </w:p>
        </w:tc>
      </w:tr>
    </w:tbl>
    <w:p w:rsidR="007E2065" w:rsidRDefault="007E2065" w:rsidP="007E2065">
      <w:pPr>
        <w:spacing w:line="360" w:lineRule="auto"/>
      </w:pPr>
      <w:r>
        <w:t xml:space="preserve">Source: “Characteristics of Supplemental Nutrition Assistance Program Households: Fiscal Year 2020” (USDA Office of Policy Support Report No. SNAP-21-CHAR). </w:t>
      </w:r>
    </w:p>
    <w:p w:rsidR="007E2065" w:rsidRDefault="007E2065" w:rsidP="007E2065">
      <w:pPr>
        <w:spacing w:line="360" w:lineRule="auto"/>
      </w:pPr>
    </w:p>
    <w:p w:rsidR="00310091" w:rsidRDefault="00CE42CC"/>
    <w:sectPr w:rsidR="00310091" w:rsidSect="00CE4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65"/>
    <w:rsid w:val="00147A4A"/>
    <w:rsid w:val="0028539F"/>
    <w:rsid w:val="00735400"/>
    <w:rsid w:val="007874AF"/>
    <w:rsid w:val="007E2065"/>
    <w:rsid w:val="00C272B3"/>
    <w:rsid w:val="00CE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C72D"/>
  <w15:chartTrackingRefBased/>
  <w15:docId w15:val="{DAA6D82B-FBC7-467B-998F-DF0E8E7C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65"/>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E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D6C1-5AFA-44E6-B6C1-97D67E37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Cuffey</dc:creator>
  <cp:keywords/>
  <dc:description/>
  <cp:lastModifiedBy>Joel Cuffey</cp:lastModifiedBy>
  <cp:revision>2</cp:revision>
  <dcterms:created xsi:type="dcterms:W3CDTF">2024-05-29T16:09:00Z</dcterms:created>
  <dcterms:modified xsi:type="dcterms:W3CDTF">2024-05-29T16:11:00Z</dcterms:modified>
</cp:coreProperties>
</file>