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0"/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Supplementary table </w:t>
      </w:r>
      <w:bookmarkEnd w:id="0"/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 Final version of C-PCSS</w:t>
      </w:r>
    </w:p>
    <w:tbl>
      <w:tblPr>
        <w:tblStyle w:val="2"/>
        <w:tblpPr w:leftFromText="180" w:rightFromText="180" w:vertAnchor="text" w:horzAnchor="page" w:tblpX="1397" w:tblpY="311"/>
        <w:tblOverlap w:val="never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  <w:gridCol w:w="1984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D7D7D7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b/>
                <w:bCs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kern w:val="2"/>
                <w:lang w:val="en-US"/>
              </w:rPr>
              <w:t>请评估您在以下与患者/家庭互动和管理中，您的自信程度，并在对应的方框中打√</w:t>
            </w:r>
          </w:p>
        </w:tc>
        <w:tc>
          <w:tcPr>
            <w:tcW w:w="1984" w:type="dxa"/>
            <w:shd w:val="clear" w:color="auto" w:fill="D7D7D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kern w:val="2"/>
                <w:lang w:val="en-US"/>
              </w:rPr>
              <w:t>需要进一步的指导</w:t>
            </w:r>
          </w:p>
        </w:tc>
        <w:tc>
          <w:tcPr>
            <w:tcW w:w="1701" w:type="dxa"/>
            <w:shd w:val="clear" w:color="auto" w:fill="D7D7D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kern w:val="2"/>
                <w:lang w:val="en-US"/>
              </w:rPr>
              <w:t>在指导下有信心完成</w:t>
            </w:r>
          </w:p>
        </w:tc>
        <w:tc>
          <w:tcPr>
            <w:tcW w:w="1701" w:type="dxa"/>
            <w:shd w:val="clear" w:color="auto" w:fill="D7D7D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kern w:val="2"/>
                <w:lang w:val="en-US"/>
              </w:rPr>
              <w:t>在很少的咨询下就有信心完成</w:t>
            </w:r>
          </w:p>
        </w:tc>
        <w:tc>
          <w:tcPr>
            <w:tcW w:w="1843" w:type="dxa"/>
            <w:shd w:val="clear" w:color="auto" w:fill="D7D7D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kern w:val="2"/>
                <w:lang w:val="en-US"/>
              </w:rPr>
              <w:t>有信心独立完成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1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回答患者有关死亡过程的提问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2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当患者或患者家属焦虑时能提供支持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3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告知患者现有能提供的支持服务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 xml:space="preserve">4. 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与患者讨论死亡环境的选择（如医院、家、家属的陪伴）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ascii="Times New Roman Regular" w:hAnsi="Times New Roman Regular" w:eastAsia="宋体" w:cs="Times New Roman Regular"/>
                <w:kern w:val="2"/>
              </w:rPr>
              <w:t>5.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讨论患者死亡后的愿望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6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解答患者关于某种药物疗效的疑问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7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对患者疼痛的评估与处理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8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对患者终末期谵妄的评估与处理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9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对患者终末期呼吸困难的评估与处理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1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0.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对患者恶心/呕吐的评估与处理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1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1.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对患者便秘的评估与处理</w:t>
            </w:r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6658" w:type="dxa"/>
            <w:shd w:val="clear" w:color="auto" w:fill="FFFFFF" w:themeFill="background1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1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 w:eastAsia="zh-CN"/>
              </w:rPr>
              <w:t>2</w:t>
            </w:r>
            <w:r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  <w:t>.</w:t>
            </w:r>
            <w:r>
              <w:rPr>
                <w:rFonts w:hint="eastAsia" w:ascii="Times New Roman Regular" w:hAnsi="Times New Roman Regular" w:eastAsia="宋体" w:cs="Times New Roman Regular"/>
                <w:kern w:val="2"/>
                <w:lang w:val="en-US"/>
              </w:rPr>
              <w:t>对决策能力有限患者的帮助和支持</w:t>
            </w:r>
            <w:bookmarkStart w:id="1" w:name="_GoBack"/>
            <w:bookmarkEnd w:id="1"/>
          </w:p>
        </w:tc>
        <w:tc>
          <w:tcPr>
            <w:tcW w:w="1984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kern w:val="2"/>
                <w:lang w:val="en-US"/>
              </w:rPr>
            </w:pPr>
          </w:p>
        </w:tc>
      </w:tr>
    </w:tbl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WExZjhmY2E5YjJmZTQ4MDFkYjA3ZWI3NjEzZDAifQ=="/>
  </w:docVars>
  <w:rsids>
    <w:rsidRoot w:val="07AE0409"/>
    <w:rsid w:val="07AE0409"/>
    <w:rsid w:val="5DC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2024-01-02T05:13:00Z</dcterms:created>
  <dc:creator>Havana。</dc:creator>
  <cp:lastModifiedBy>Havana。</cp:lastModifiedBy>
  <dcterms:modified xsi:type="dcterms:W3CDTF">2024-01-02T05:26:04Z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723348701C0F42D89EE96FAD2E85C3CF_11</vt:lpwstr>
  </property>
</Properties>
</file>