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11DC" w14:textId="22BF6F44" w:rsidR="00C54FFA" w:rsidRPr="00142EBF" w:rsidRDefault="004B0858" w:rsidP="00B431FE">
      <w:pPr>
        <w:autoSpaceDE w:val="0"/>
        <w:autoSpaceDN w:val="0"/>
        <w:adjustRightInd w:val="0"/>
        <w:rPr>
          <w:b/>
          <w:bCs/>
        </w:rPr>
      </w:pPr>
      <w:bookmarkStart w:id="0" w:name="_GoBack"/>
      <w:bookmarkEnd w:id="0"/>
      <w:r w:rsidRPr="004B0858">
        <w:rPr>
          <w:b/>
          <w:bCs/>
        </w:rPr>
        <w:t>Appendix A</w:t>
      </w:r>
      <w:r w:rsidR="00910D8E">
        <w:rPr>
          <w:b/>
          <w:bCs/>
        </w:rPr>
        <w:t>1</w:t>
      </w:r>
      <w:r w:rsidRPr="004B0858">
        <w:rPr>
          <w:b/>
          <w:bCs/>
        </w:rPr>
        <w:t xml:space="preserve">: </w:t>
      </w:r>
      <w:r>
        <w:rPr>
          <w:b/>
          <w:bCs/>
        </w:rPr>
        <w:t>Transitivity</w:t>
      </w:r>
      <w:r w:rsidR="00C35DD4">
        <w:rPr>
          <w:b/>
          <w:bCs/>
        </w:rPr>
        <w:t xml:space="preserve"> </w:t>
      </w:r>
      <w:r w:rsidR="00C54FFA" w:rsidRPr="00142EBF">
        <w:rPr>
          <w:b/>
          <w:bCs/>
        </w:rPr>
        <w:t>Example</w:t>
      </w:r>
    </w:p>
    <w:p w14:paraId="23240069" w14:textId="77777777" w:rsidR="00C54FFA" w:rsidRDefault="00C54FFA" w:rsidP="00C54FFA">
      <w:pPr>
        <w:autoSpaceDE w:val="0"/>
        <w:autoSpaceDN w:val="0"/>
        <w:adjustRightInd w:val="0"/>
      </w:pPr>
    </w:p>
    <w:p w14:paraId="5CB7A493" w14:textId="6751C0CF" w:rsidR="00C54FFA" w:rsidRDefault="00C54FFA" w:rsidP="008E05F8">
      <w:pPr>
        <w:autoSpaceDE w:val="0"/>
        <w:autoSpaceDN w:val="0"/>
        <w:adjustRightInd w:val="0"/>
      </w:pPr>
      <w:r>
        <w:t>The adage, “a friend of a friend is my friend” (</w:t>
      </w:r>
      <w:r w:rsidRPr="00B712B1">
        <w:rPr>
          <w:i/>
          <w:iCs/>
        </w:rPr>
        <w:t>i</w:t>
      </w:r>
      <w:r>
        <w:t xml:space="preserve"> </w:t>
      </w:r>
      <w:r>
        <w:rPr>
          <w:rFonts w:ascii="Wingdings 3" w:hAnsi="Wingdings 3"/>
        </w:rPr>
        <w:t></w:t>
      </w:r>
      <w:r>
        <w:rPr>
          <w:rFonts w:ascii="arrow" w:hAnsi="arrow"/>
        </w:rPr>
        <w:t xml:space="preserve"> </w:t>
      </w:r>
      <w:r w:rsidRPr="00B712B1">
        <w:rPr>
          <w:i/>
          <w:iCs/>
        </w:rPr>
        <w:t>j</w:t>
      </w:r>
      <w:r>
        <w:t xml:space="preserve">; </w:t>
      </w:r>
      <w:r w:rsidRPr="00B712B1">
        <w:rPr>
          <w:i/>
          <w:iCs/>
        </w:rPr>
        <w:t>j</w:t>
      </w:r>
      <w:r>
        <w:t xml:space="preserve"> </w:t>
      </w:r>
      <w:r>
        <w:rPr>
          <w:rFonts w:ascii="Wingdings 3" w:hAnsi="Wingdings 3"/>
        </w:rPr>
        <w:t></w:t>
      </w:r>
      <w:r>
        <w:t xml:space="preserve"> </w:t>
      </w:r>
      <w:r w:rsidRPr="00B712B1">
        <w:rPr>
          <w:i/>
          <w:iCs/>
        </w:rPr>
        <w:t>k</w:t>
      </w:r>
      <w:r>
        <w:t xml:space="preserve">; </w:t>
      </w:r>
      <w:r w:rsidRPr="00B712B1">
        <w:rPr>
          <w:i/>
          <w:iCs/>
        </w:rPr>
        <w:t>i</w:t>
      </w:r>
      <w:r>
        <w:t xml:space="preserve"> </w:t>
      </w:r>
      <w:r>
        <w:rPr>
          <w:rFonts w:ascii="Wingdings 3" w:hAnsi="Wingdings 3"/>
        </w:rPr>
        <w:t></w:t>
      </w:r>
      <w:r>
        <w:t xml:space="preserve"> </w:t>
      </w:r>
      <w:r w:rsidRPr="00B712B1">
        <w:rPr>
          <w:i/>
          <w:iCs/>
        </w:rPr>
        <w:t>k</w:t>
      </w:r>
      <w:r>
        <w:t>), captures this phenomenon known as transitiv</w:t>
      </w:r>
      <w:r w:rsidR="0017271E">
        <w:t>ity</w:t>
      </w:r>
      <w:r>
        <w:t>. The Tennessee Supreme Court was faced with a legal question it had never decided: whether state government officials are absolutely immune from defamation claims that arise while performing their official duties.</w:t>
      </w:r>
      <w:r w:rsidRPr="00DE2818">
        <w:rPr>
          <w:rStyle w:val="FootnoteReference"/>
        </w:rPr>
        <w:footnoteReference w:id="1"/>
      </w:r>
      <w:r>
        <w:rPr>
          <w:sz w:val="16"/>
          <w:szCs w:val="16"/>
        </w:rPr>
        <w:t xml:space="preserve"> </w:t>
      </w:r>
      <w:r>
        <w:t>The text below is an excerpt of Tennessee’s written opinion. While analyzing absolute privilege, Tennessee discussed a Texas case that adopted absolute privilege as applied to the Texas Attorney General. In reaching its decision, the Texas Supreme Court cited a California Supreme Court case</w:t>
      </w:r>
      <w:r w:rsidR="0079255F">
        <w:t>, as highlighted in the text</w:t>
      </w:r>
      <w:r>
        <w:t>.</w:t>
      </w:r>
      <w:r w:rsidRPr="00DE2818">
        <w:rPr>
          <w:rStyle w:val="FootnoteReference"/>
        </w:rPr>
        <w:footnoteReference w:id="2"/>
      </w:r>
      <w:r>
        <w:rPr>
          <w:sz w:val="16"/>
          <w:szCs w:val="16"/>
        </w:rPr>
        <w:t xml:space="preserve"> </w:t>
      </w:r>
      <w:r>
        <w:t xml:space="preserve">This is an example of transitivity. Tennessee cited Texas, </w:t>
      </w:r>
      <w:r w:rsidRPr="000E3340">
        <w:rPr>
          <w:i/>
          <w:iCs/>
        </w:rPr>
        <w:t>i</w:t>
      </w:r>
      <w:r>
        <w:t xml:space="preserve"> </w:t>
      </w:r>
      <w:r>
        <w:rPr>
          <w:rFonts w:ascii="Wingdings 3" w:hAnsi="Wingdings 3"/>
        </w:rPr>
        <w:t></w:t>
      </w:r>
      <w:r>
        <w:t xml:space="preserve"> </w:t>
      </w:r>
      <w:r w:rsidRPr="000E3340">
        <w:rPr>
          <w:i/>
          <w:iCs/>
        </w:rPr>
        <w:t>j</w:t>
      </w:r>
      <w:r>
        <w:t xml:space="preserve">; the Texas Supreme Court cited a California Supreme Court decision </w:t>
      </w:r>
      <w:r w:rsidRPr="00895C50">
        <w:rPr>
          <w:i/>
          <w:iCs/>
        </w:rPr>
        <w:t>j</w:t>
      </w:r>
      <w:r>
        <w:t xml:space="preserve"> </w:t>
      </w:r>
      <w:r>
        <w:rPr>
          <w:rFonts w:ascii="Wingdings 3" w:hAnsi="Wingdings 3"/>
        </w:rPr>
        <w:t></w:t>
      </w:r>
      <w:r>
        <w:t xml:space="preserve"> </w:t>
      </w:r>
      <w:r w:rsidRPr="00895C50">
        <w:rPr>
          <w:i/>
          <w:iCs/>
        </w:rPr>
        <w:t>k</w:t>
      </w:r>
      <w:r>
        <w:t xml:space="preserve">; and Tennessee also cited the California case, </w:t>
      </w:r>
      <w:r w:rsidRPr="005C75E1">
        <w:rPr>
          <w:i/>
          <w:iCs/>
        </w:rPr>
        <w:t>i</w:t>
      </w:r>
      <w:r>
        <w:t xml:space="preserve"> </w:t>
      </w:r>
      <w:r>
        <w:rPr>
          <w:rFonts w:ascii="Wingdings 3" w:hAnsi="Wingdings 3"/>
        </w:rPr>
        <w:t></w:t>
      </w:r>
      <w:r>
        <w:t xml:space="preserve"> </w:t>
      </w:r>
      <w:r w:rsidRPr="005C75E1">
        <w:rPr>
          <w:i/>
          <w:iCs/>
        </w:rPr>
        <w:t>k</w:t>
      </w:r>
      <w:r>
        <w:t>. Transitivity occurs when Tennessee cited the California case because of Texas. Put another way, if it was not for Texas citing California, Tennessee might not have cited California</w:t>
      </w:r>
      <w:r w:rsidR="001478AD">
        <w:t xml:space="preserve"> because it might not have known about the California case</w:t>
      </w:r>
      <w:r>
        <w:t>.</w:t>
      </w:r>
    </w:p>
    <w:p w14:paraId="0C3171E0" w14:textId="77777777" w:rsidR="00C54FFA" w:rsidRDefault="00C54FFA" w:rsidP="00493F59"/>
    <w:p w14:paraId="5FEA4303" w14:textId="45540155" w:rsidR="00C54FFA" w:rsidRDefault="00C54FFA" w:rsidP="00C54FFA">
      <w:pPr>
        <w:ind w:left="720" w:right="720"/>
      </w:pPr>
      <w:r>
        <w:rPr>
          <w:rFonts w:ascii="Arial" w:hAnsi="Arial" w:cs="Arial"/>
          <w:color w:val="212121"/>
          <w:sz w:val="21"/>
          <w:szCs w:val="21"/>
        </w:rPr>
        <w:t>More recently, in </w:t>
      </w:r>
      <w:r>
        <w:rPr>
          <w:rStyle w:val="Emphasis"/>
          <w:rFonts w:ascii="Arial" w:eastAsiaTheme="majorEastAsia" w:hAnsi="Arial" w:cs="Arial"/>
          <w:color w:val="145DA4"/>
          <w:sz w:val="21"/>
          <w:szCs w:val="21"/>
        </w:rPr>
        <w:t>Salazar v. Morales,</w:t>
      </w:r>
      <w:r>
        <w:rPr>
          <w:rFonts w:ascii="Arial" w:hAnsi="Arial" w:cs="Arial"/>
          <w:color w:val="212121"/>
          <w:sz w:val="21"/>
          <w:szCs w:val="21"/>
        </w:rPr>
        <w:t> the Texas Court of Appeals adopted the absolute privilege reflected by the Restatement (Second) of Torts as applied to the Texas Attorney General. </w:t>
      </w:r>
      <w:r w:rsidRPr="00493F59">
        <w:rPr>
          <w:rFonts w:ascii="Arial" w:eastAsiaTheme="majorEastAsia" w:hAnsi="Arial" w:cs="Arial"/>
          <w:sz w:val="21"/>
          <w:szCs w:val="21"/>
        </w:rPr>
        <w:t>900 S.W.2d 929 (Tex.App.1995)</w:t>
      </w:r>
      <w:r>
        <w:rPr>
          <w:rFonts w:ascii="Arial" w:hAnsi="Arial" w:cs="Arial"/>
          <w:color w:val="212121"/>
          <w:sz w:val="21"/>
          <w:szCs w:val="21"/>
        </w:rPr>
        <w:t>. </w:t>
      </w:r>
      <w:r>
        <w:rPr>
          <w:rStyle w:val="Emphasis"/>
          <w:rFonts w:ascii="Arial" w:eastAsiaTheme="majorEastAsia" w:hAnsi="Arial" w:cs="Arial"/>
          <w:color w:val="145DA4"/>
          <w:sz w:val="21"/>
          <w:szCs w:val="21"/>
        </w:rPr>
        <w:t>Salazar</w:t>
      </w:r>
      <w:r>
        <w:rPr>
          <w:rFonts w:ascii="Arial" w:hAnsi="Arial" w:cs="Arial"/>
          <w:color w:val="212121"/>
          <w:sz w:val="21"/>
          <w:szCs w:val="21"/>
        </w:rPr>
        <w:t> involved a defamation claim asserted against the Texas Attorney General regarding comments that he had made to the press about a former employee's termination. In affirming the Texas Attorney General's motion to dismiss, the Texas Court of Appeals determined that the Texas Attorney General “ha[d] an absolute privilege to publish defamatory statements in communications made in the performance of his official duties.” </w:t>
      </w:r>
      <w:r>
        <w:rPr>
          <w:rStyle w:val="Emphasis"/>
          <w:rFonts w:ascii="Arial" w:eastAsiaTheme="majorEastAsia" w:hAnsi="Arial" w:cs="Arial"/>
          <w:color w:val="145DA4"/>
          <w:sz w:val="21"/>
          <w:szCs w:val="21"/>
        </w:rPr>
        <w:t>Id.</w:t>
      </w:r>
      <w:r w:rsidRPr="00493F59">
        <w:rPr>
          <w:rFonts w:ascii="Arial" w:eastAsiaTheme="majorEastAsia" w:hAnsi="Arial" w:cs="Arial"/>
          <w:sz w:val="21"/>
          <w:szCs w:val="21"/>
        </w:rPr>
        <w:t> at 932.</w:t>
      </w:r>
      <w:r>
        <w:rPr>
          <w:rFonts w:ascii="Arial" w:hAnsi="Arial" w:cs="Arial"/>
          <w:color w:val="212121"/>
          <w:sz w:val="21"/>
          <w:szCs w:val="21"/>
        </w:rPr>
        <w:t> The </w:t>
      </w:r>
      <w:r>
        <w:rPr>
          <w:rStyle w:val="Emphasis"/>
          <w:rFonts w:ascii="Arial" w:eastAsiaTheme="majorEastAsia" w:hAnsi="Arial" w:cs="Arial"/>
          <w:color w:val="145DA4"/>
          <w:sz w:val="21"/>
          <w:szCs w:val="21"/>
        </w:rPr>
        <w:t>Salazar</w:t>
      </w:r>
      <w:r>
        <w:rPr>
          <w:rFonts w:ascii="Arial" w:hAnsi="Arial" w:cs="Arial"/>
          <w:color w:val="212121"/>
          <w:sz w:val="21"/>
          <w:szCs w:val="21"/>
        </w:rPr>
        <w:t> court also observed that: “All of the state courts that have addressed the issue have agreed that an absolute privilege ... applies to state attorneys general.” </w:t>
      </w:r>
      <w:hyperlink r:id="rId8" w:history="1">
        <w:r>
          <w:rPr>
            <w:rStyle w:val="Emphasis"/>
            <w:rFonts w:ascii="Arial" w:eastAsiaTheme="majorEastAsia" w:hAnsi="Arial" w:cs="Arial"/>
            <w:color w:val="145DA4"/>
            <w:sz w:val="21"/>
            <w:szCs w:val="21"/>
          </w:rPr>
          <w:t>Id.,</w:t>
        </w:r>
      </w:hyperlink>
      <w:r>
        <w:rPr>
          <w:rFonts w:ascii="Arial" w:hAnsi="Arial" w:cs="Arial"/>
          <w:color w:val="212121"/>
          <w:sz w:val="21"/>
          <w:szCs w:val="21"/>
        </w:rPr>
        <w:t> </w:t>
      </w:r>
      <w:r w:rsidRPr="00B50D2E">
        <w:rPr>
          <w:rFonts w:ascii="Arial" w:hAnsi="Arial" w:cs="Arial"/>
          <w:color w:val="212121"/>
          <w:sz w:val="21"/>
          <w:szCs w:val="21"/>
          <w:highlight w:val="yellow"/>
        </w:rPr>
        <w:t>citing </w:t>
      </w:r>
      <w:r w:rsidRPr="00B50D2E">
        <w:rPr>
          <w:rStyle w:val="Emphasis"/>
          <w:rFonts w:ascii="Arial" w:eastAsiaTheme="majorEastAsia" w:hAnsi="Arial" w:cs="Arial"/>
          <w:color w:val="145DA4"/>
          <w:sz w:val="21"/>
          <w:szCs w:val="21"/>
          <w:highlight w:val="yellow"/>
        </w:rPr>
        <w:t>Kilgore v. Younger,</w:t>
      </w:r>
      <w:r w:rsidRPr="00493F59">
        <w:rPr>
          <w:rFonts w:ascii="Arial" w:eastAsiaTheme="majorEastAsia" w:hAnsi="Arial" w:cs="Arial"/>
          <w:sz w:val="21"/>
          <w:szCs w:val="21"/>
          <w:highlight w:val="yellow"/>
        </w:rPr>
        <w:t> 30 Cal.3d 770, 180 Cal.Rptr. 657, 640 P.2d 793, 797–98 (1982)</w:t>
      </w:r>
      <w:r>
        <w:rPr>
          <w:rFonts w:ascii="Arial" w:hAnsi="Arial" w:cs="Arial"/>
          <w:color w:val="212121"/>
          <w:sz w:val="21"/>
          <w:szCs w:val="21"/>
        </w:rPr>
        <w:t>; </w:t>
      </w:r>
      <w:r>
        <w:rPr>
          <w:rStyle w:val="Emphasis"/>
          <w:rFonts w:ascii="Arial" w:eastAsiaTheme="majorEastAsia" w:hAnsi="Arial" w:cs="Arial"/>
          <w:color w:val="145DA4"/>
          <w:sz w:val="21"/>
          <w:szCs w:val="21"/>
        </w:rPr>
        <w:t>Little v. Spaeth,</w:t>
      </w:r>
      <w:r w:rsidRPr="00493F59">
        <w:rPr>
          <w:rFonts w:ascii="Arial" w:eastAsiaTheme="majorEastAsia" w:hAnsi="Arial" w:cs="Arial"/>
          <w:sz w:val="21"/>
          <w:szCs w:val="21"/>
        </w:rPr>
        <w:t> 394 N.W.2d 700, 706 (N.D.1986)</w:t>
      </w:r>
      <w:r>
        <w:rPr>
          <w:rFonts w:ascii="Arial" w:hAnsi="Arial" w:cs="Arial"/>
          <w:color w:val="212121"/>
          <w:sz w:val="21"/>
          <w:szCs w:val="21"/>
        </w:rPr>
        <w:t>; </w:t>
      </w:r>
      <w:r>
        <w:rPr>
          <w:rStyle w:val="Emphasis"/>
          <w:rFonts w:ascii="Arial" w:eastAsiaTheme="majorEastAsia" w:hAnsi="Arial" w:cs="Arial"/>
          <w:color w:val="145DA4"/>
          <w:sz w:val="21"/>
          <w:szCs w:val="21"/>
        </w:rPr>
        <w:t>Matson v. Margiotti,</w:t>
      </w:r>
      <w:r w:rsidRPr="00493F59">
        <w:rPr>
          <w:rFonts w:ascii="Arial" w:eastAsiaTheme="majorEastAsia" w:hAnsi="Arial" w:cs="Arial"/>
          <w:sz w:val="21"/>
          <w:szCs w:val="21"/>
        </w:rPr>
        <w:t> 371 Pa. 188, 88 A.2d 892, 896 (1952)</w:t>
      </w:r>
      <w:r>
        <w:rPr>
          <w:rFonts w:ascii="Arial" w:hAnsi="Arial" w:cs="Arial"/>
          <w:color w:val="212121"/>
          <w:sz w:val="21"/>
          <w:szCs w:val="21"/>
        </w:rPr>
        <w:t>; </w:t>
      </w:r>
      <w:r>
        <w:rPr>
          <w:rStyle w:val="Emphasis"/>
          <w:rFonts w:ascii="Arial" w:eastAsiaTheme="majorEastAsia" w:hAnsi="Arial" w:cs="Arial"/>
          <w:color w:val="145DA4"/>
          <w:sz w:val="21"/>
          <w:szCs w:val="21"/>
        </w:rPr>
        <w:t>Levinsky v. Diamond,</w:t>
      </w:r>
      <w:r w:rsidRPr="00493F59">
        <w:rPr>
          <w:rFonts w:ascii="Arial" w:eastAsiaTheme="majorEastAsia" w:hAnsi="Arial" w:cs="Arial"/>
          <w:sz w:val="21"/>
          <w:szCs w:val="21"/>
        </w:rPr>
        <w:t> 151 Vt. 178, 559 A.2d 1073, 1078 (1989)</w:t>
      </w:r>
      <w:r>
        <w:rPr>
          <w:rFonts w:ascii="Arial" w:hAnsi="Arial" w:cs="Arial"/>
          <w:color w:val="212121"/>
          <w:sz w:val="21"/>
          <w:szCs w:val="21"/>
        </w:rPr>
        <w:t>; </w:t>
      </w:r>
      <w:r>
        <w:rPr>
          <w:rStyle w:val="Emphasis"/>
          <w:rFonts w:ascii="Arial" w:eastAsiaTheme="majorEastAsia" w:hAnsi="Arial" w:cs="Arial"/>
          <w:color w:val="145DA4"/>
          <w:sz w:val="21"/>
          <w:szCs w:val="21"/>
        </w:rPr>
        <w:t>Gold Seal Chinchillas, Inc. v. State,</w:t>
      </w:r>
      <w:r w:rsidRPr="00493F59">
        <w:rPr>
          <w:rFonts w:ascii="Arial" w:eastAsiaTheme="majorEastAsia" w:hAnsi="Arial" w:cs="Arial"/>
          <w:sz w:val="21"/>
          <w:szCs w:val="21"/>
        </w:rPr>
        <w:t> 69 Wash.2d 828, 420 P.2d 698, 701 (1966)</w:t>
      </w:r>
      <w:r>
        <w:rPr>
          <w:rFonts w:ascii="Arial" w:hAnsi="Arial" w:cs="Arial"/>
          <w:color w:val="212121"/>
          <w:sz w:val="21"/>
          <w:szCs w:val="21"/>
        </w:rPr>
        <w:t>; </w:t>
      </w:r>
      <w:r>
        <w:rPr>
          <w:rStyle w:val="Emphasis"/>
          <w:rFonts w:ascii="Arial" w:eastAsiaTheme="majorEastAsia" w:hAnsi="Arial" w:cs="Arial"/>
          <w:color w:val="145DA4"/>
          <w:sz w:val="21"/>
          <w:szCs w:val="21"/>
        </w:rPr>
        <w:t>Morton v. Hartigan,</w:t>
      </w:r>
      <w:r w:rsidRPr="00493F59">
        <w:rPr>
          <w:rFonts w:ascii="Arial" w:eastAsiaTheme="majorEastAsia" w:hAnsi="Arial" w:cs="Arial"/>
          <w:sz w:val="21"/>
          <w:szCs w:val="21"/>
        </w:rPr>
        <w:t> 145 Ill.App.3d 417, 99 Ill.Dec. 424, 495 N.E.2d 1159, 1164–65 (1986)</w:t>
      </w:r>
      <w:r>
        <w:rPr>
          <w:rFonts w:ascii="Arial" w:hAnsi="Arial" w:cs="Arial"/>
          <w:color w:val="212121"/>
          <w:sz w:val="21"/>
          <w:szCs w:val="21"/>
        </w:rPr>
        <w:t>.</w:t>
      </w:r>
    </w:p>
    <w:p w14:paraId="65E5509F" w14:textId="77777777" w:rsidR="00B431FE" w:rsidRDefault="00B431FE">
      <w:pPr>
        <w:rPr>
          <w:b/>
          <w:bCs/>
        </w:rPr>
      </w:pPr>
    </w:p>
    <w:p w14:paraId="2952E1F1" w14:textId="465EAC4D" w:rsidR="00B431FE" w:rsidRDefault="00B431FE" w:rsidP="00B431FE">
      <w:pPr>
        <w:pStyle w:val="Caption"/>
        <w:spacing w:after="0" w:line="480" w:lineRule="auto"/>
        <w:rPr>
          <w:b/>
          <w:bCs/>
        </w:rPr>
      </w:pPr>
      <w:r w:rsidRPr="005A41E5">
        <w:rPr>
          <w:b/>
          <w:bCs/>
        </w:rPr>
        <w:t>Figure</w:t>
      </w:r>
      <w:r>
        <w:rPr>
          <w:b/>
          <w:bCs/>
        </w:rPr>
        <w:t xml:space="preserve"> A.</w:t>
      </w:r>
      <w:r w:rsidRPr="005A41E5">
        <w:rPr>
          <w:b/>
          <w:bCs/>
        </w:rPr>
        <w:fldChar w:fldCharType="begin"/>
      </w:r>
      <w:r w:rsidRPr="005A41E5">
        <w:rPr>
          <w:b/>
          <w:bCs/>
        </w:rPr>
        <w:instrText xml:space="preserve"> SEQ Figure \* ARABIC </w:instrText>
      </w:r>
      <w:r w:rsidRPr="005A41E5">
        <w:rPr>
          <w:b/>
          <w:bCs/>
        </w:rPr>
        <w:fldChar w:fldCharType="separate"/>
      </w:r>
      <w:r w:rsidRPr="005A41E5">
        <w:rPr>
          <w:b/>
          <w:bCs/>
          <w:noProof/>
        </w:rPr>
        <w:t>1</w:t>
      </w:r>
      <w:r w:rsidRPr="005A41E5">
        <w:rPr>
          <w:b/>
          <w:bCs/>
          <w:noProof/>
        </w:rPr>
        <w:fldChar w:fldCharType="end"/>
      </w:r>
      <w:r w:rsidRPr="005A41E5">
        <w:rPr>
          <w:b/>
          <w:bCs/>
        </w:rPr>
        <w:t xml:space="preserve"> Tr</w:t>
      </w:r>
      <w:r>
        <w:rPr>
          <w:b/>
          <w:bCs/>
        </w:rPr>
        <w:t>ansitivity</w:t>
      </w:r>
      <w:r w:rsidR="006D72F8">
        <w:rPr>
          <w:b/>
          <w:bCs/>
        </w:rPr>
        <w:t xml:space="preserve"> </w:t>
      </w:r>
    </w:p>
    <w:p w14:paraId="6BB2AFE4" w14:textId="77777777" w:rsidR="00B431FE" w:rsidRPr="00635C67" w:rsidRDefault="00B431FE" w:rsidP="00B431FE">
      <w:pPr>
        <w:spacing w:line="480" w:lineRule="auto"/>
        <w:jc w:val="center"/>
      </w:pPr>
      <w:r w:rsidRPr="002C5C7F">
        <w:rPr>
          <w:noProof/>
          <w:lang w:val="en-IN" w:eastAsia="en-IN"/>
        </w:rPr>
        <w:drawing>
          <wp:inline distT="0" distB="0" distL="0" distR="0" wp14:anchorId="4112B9C3" wp14:editId="1C722870">
            <wp:extent cx="2011680" cy="1762709"/>
            <wp:effectExtent l="0" t="0" r="0" b="3175"/>
            <wp:docPr id="4" name="image1.png" descr="Figure 1: Triang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igure 1: Triangle&#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680" cy="1762709"/>
                    </a:xfrm>
                    <a:prstGeom prst="rect">
                      <a:avLst/>
                    </a:prstGeom>
                  </pic:spPr>
                </pic:pic>
              </a:graphicData>
            </a:graphic>
          </wp:inline>
        </w:drawing>
      </w:r>
    </w:p>
    <w:p w14:paraId="233EF011" w14:textId="28819B2F" w:rsidR="00910D8E" w:rsidRDefault="00027101" w:rsidP="00910D8E">
      <w:pPr>
        <w:autoSpaceDE w:val="0"/>
        <w:autoSpaceDN w:val="0"/>
        <w:adjustRightInd w:val="0"/>
        <w:rPr>
          <w:b/>
          <w:bCs/>
        </w:rPr>
      </w:pPr>
      <w:r>
        <w:rPr>
          <w:b/>
          <w:bCs/>
        </w:rPr>
        <w:br w:type="page"/>
      </w:r>
      <w:r w:rsidR="00910D8E" w:rsidRPr="004B0858">
        <w:rPr>
          <w:b/>
          <w:bCs/>
        </w:rPr>
        <w:lastRenderedPageBreak/>
        <w:t>Appendix A</w:t>
      </w:r>
      <w:r w:rsidR="00910D8E">
        <w:rPr>
          <w:b/>
          <w:bCs/>
        </w:rPr>
        <w:t>2</w:t>
      </w:r>
      <w:r w:rsidR="00910D8E" w:rsidRPr="004B0858">
        <w:rPr>
          <w:b/>
          <w:bCs/>
        </w:rPr>
        <w:t xml:space="preserve">: </w:t>
      </w:r>
      <w:r w:rsidR="00910D8E">
        <w:rPr>
          <w:b/>
          <w:bCs/>
        </w:rPr>
        <w:t xml:space="preserve">Cycling </w:t>
      </w:r>
      <w:r w:rsidR="00910D8E" w:rsidRPr="00142EBF">
        <w:rPr>
          <w:b/>
          <w:bCs/>
        </w:rPr>
        <w:t>Example</w:t>
      </w:r>
    </w:p>
    <w:p w14:paraId="5D12D797" w14:textId="77777777" w:rsidR="005A13CA" w:rsidRDefault="005A13CA" w:rsidP="00910D8E">
      <w:pPr>
        <w:autoSpaceDE w:val="0"/>
        <w:autoSpaceDN w:val="0"/>
        <w:adjustRightInd w:val="0"/>
        <w:rPr>
          <w:b/>
          <w:bCs/>
        </w:rPr>
      </w:pPr>
    </w:p>
    <w:p w14:paraId="53D194B4" w14:textId="6172A20A" w:rsidR="005F2A4B" w:rsidRDefault="00596655" w:rsidP="001F20DE">
      <w:pPr>
        <w:autoSpaceDE w:val="0"/>
        <w:autoSpaceDN w:val="0"/>
        <w:adjustRightInd w:val="0"/>
      </w:pPr>
      <w:r>
        <w:t>C</w:t>
      </w:r>
      <w:r w:rsidR="001F20DE">
        <w:t>ycling is when a group of three courts cite each other</w:t>
      </w:r>
      <w:r w:rsidR="00163852">
        <w:t>, beginning and ending with the same court</w:t>
      </w:r>
      <w:r w:rsidR="00C04871">
        <w:t>. Together</w:t>
      </w:r>
      <w:r w:rsidR="00737D5C">
        <w:t>,</w:t>
      </w:r>
      <w:r w:rsidR="00DC2B8E">
        <w:t xml:space="preserve"> they </w:t>
      </w:r>
      <w:r w:rsidR="00BE1AE6">
        <w:t>fo</w:t>
      </w:r>
      <w:r w:rsidR="0078728B">
        <w:t>r</w:t>
      </w:r>
      <w:r w:rsidR="00BE1AE6">
        <w:t xml:space="preserve">m a </w:t>
      </w:r>
      <w:r w:rsidR="00293F6E">
        <w:t xml:space="preserve">directed </w:t>
      </w:r>
      <w:r w:rsidR="00BE1AE6">
        <w:t>triangle.</w:t>
      </w:r>
      <w:r w:rsidR="00031746">
        <w:t xml:space="preserve"> </w:t>
      </w:r>
      <w:r w:rsidR="005F2A4B">
        <w:t xml:space="preserve">Unlike </w:t>
      </w:r>
      <w:r w:rsidR="00C04871">
        <w:t>the</w:t>
      </w:r>
      <w:r w:rsidR="005F2A4B">
        <w:t xml:space="preserve"> </w:t>
      </w:r>
      <w:r w:rsidR="00C04871">
        <w:t xml:space="preserve">previous </w:t>
      </w:r>
      <w:r w:rsidR="005F2A4B">
        <w:t>transitivit</w:t>
      </w:r>
      <w:r w:rsidR="00C04871">
        <w:t>y example</w:t>
      </w:r>
      <w:r w:rsidR="005F2A4B">
        <w:t xml:space="preserve">, </w:t>
      </w:r>
      <w:r w:rsidR="00C04871">
        <w:t xml:space="preserve">with cycling, </w:t>
      </w:r>
      <w:r w:rsidR="00EC5D4F">
        <w:t>the</w:t>
      </w:r>
      <w:r w:rsidR="00C04871">
        <w:t xml:space="preserve"> cases</w:t>
      </w:r>
      <w:r w:rsidR="00EC5D4F">
        <w:t xml:space="preserve"> do not need to be related</w:t>
      </w:r>
      <w:r w:rsidR="00B36FD1">
        <w:t xml:space="preserve">. </w:t>
      </w:r>
      <w:r w:rsidR="00C04871">
        <w:t xml:space="preserve">Instead, all we’re looking for is an instance in which </w:t>
      </w:r>
      <w:r w:rsidR="00C04871">
        <w:rPr>
          <w:rStyle w:val="mopen"/>
          <w:color w:val="000000"/>
          <w:shd w:val="clear" w:color="auto" w:fill="FFFFFF"/>
        </w:rPr>
        <w:t xml:space="preserve">court </w:t>
      </w:r>
      <w:r w:rsidR="00C04871">
        <w:rPr>
          <w:rStyle w:val="mord"/>
          <w:rFonts w:ascii="KaTeX_Math" w:hAnsi="KaTeX_Math"/>
          <w:i/>
          <w:iCs/>
          <w:color w:val="000000"/>
          <w:shd w:val="clear" w:color="auto" w:fill="FFFFFF"/>
        </w:rPr>
        <w:t>A</w:t>
      </w:r>
      <w:r w:rsidR="00C04871">
        <w:rPr>
          <w:rStyle w:val="mrel"/>
          <w:color w:val="000000"/>
          <w:shd w:val="clear" w:color="auto" w:fill="FFFFFF"/>
        </w:rPr>
        <w:t xml:space="preserve"> cites </w:t>
      </w:r>
      <w:r w:rsidR="00C04871">
        <w:rPr>
          <w:rStyle w:val="mord"/>
          <w:rFonts w:ascii="KaTeX_Math" w:hAnsi="KaTeX_Math"/>
          <w:i/>
          <w:iCs/>
          <w:color w:val="000000"/>
          <w:shd w:val="clear" w:color="auto" w:fill="FFFFFF"/>
        </w:rPr>
        <w:t>B</w:t>
      </w:r>
      <w:r w:rsidR="00C04871">
        <w:rPr>
          <w:rStyle w:val="mclose"/>
          <w:color w:val="000000"/>
          <w:shd w:val="clear" w:color="auto" w:fill="FFFFFF"/>
        </w:rPr>
        <w:t xml:space="preserve">, court </w:t>
      </w:r>
      <w:r w:rsidR="00C04871">
        <w:rPr>
          <w:rStyle w:val="mord"/>
          <w:rFonts w:ascii="KaTeX_Math" w:hAnsi="KaTeX_Math"/>
          <w:i/>
          <w:iCs/>
          <w:color w:val="000000"/>
          <w:shd w:val="clear" w:color="auto" w:fill="FFFFFF"/>
        </w:rPr>
        <w:t>B</w:t>
      </w:r>
      <w:r w:rsidR="00C04871">
        <w:rPr>
          <w:rStyle w:val="mrel"/>
          <w:color w:val="000000"/>
          <w:shd w:val="clear" w:color="auto" w:fill="FFFFFF"/>
        </w:rPr>
        <w:t xml:space="preserve">→ cites court </w:t>
      </w:r>
      <w:r w:rsidR="00C04871">
        <w:rPr>
          <w:rStyle w:val="mord"/>
          <w:rFonts w:ascii="KaTeX_Math" w:hAnsi="KaTeX_Math"/>
          <w:i/>
          <w:iCs/>
          <w:color w:val="000000"/>
          <w:shd w:val="clear" w:color="auto" w:fill="FFFFFF"/>
        </w:rPr>
        <w:t>C</w:t>
      </w:r>
      <w:r w:rsidR="00C04871">
        <w:rPr>
          <w:rStyle w:val="mpunct"/>
          <w:color w:val="000000"/>
          <w:shd w:val="clear" w:color="auto" w:fill="FFFFFF"/>
        </w:rPr>
        <w:t xml:space="preserve">, and court </w:t>
      </w:r>
      <w:r w:rsidR="00C04871">
        <w:rPr>
          <w:rStyle w:val="mord"/>
          <w:rFonts w:ascii="KaTeX_Math" w:hAnsi="KaTeX_Math"/>
          <w:i/>
          <w:iCs/>
          <w:color w:val="000000"/>
          <w:shd w:val="clear" w:color="auto" w:fill="FFFFFF"/>
        </w:rPr>
        <w:t>C</w:t>
      </w:r>
      <w:r w:rsidR="00C04871">
        <w:rPr>
          <w:rStyle w:val="mrel"/>
          <w:color w:val="000000"/>
          <w:shd w:val="clear" w:color="auto" w:fill="FFFFFF"/>
        </w:rPr>
        <w:t xml:space="preserve">→ cites court </w:t>
      </w:r>
      <w:r w:rsidR="00C04871">
        <w:rPr>
          <w:rStyle w:val="mord"/>
          <w:rFonts w:ascii="KaTeX_Math" w:hAnsi="KaTeX_Math"/>
          <w:i/>
          <w:iCs/>
          <w:color w:val="000000"/>
          <w:shd w:val="clear" w:color="auto" w:fill="FFFFFF"/>
        </w:rPr>
        <w:t>A</w:t>
      </w:r>
      <w:r w:rsidR="00C04871">
        <w:t>.</w:t>
      </w:r>
    </w:p>
    <w:p w14:paraId="5B81D822" w14:textId="77777777" w:rsidR="005F2A4B" w:rsidRDefault="005F2A4B" w:rsidP="001F20DE">
      <w:pPr>
        <w:autoSpaceDE w:val="0"/>
        <w:autoSpaceDN w:val="0"/>
        <w:adjustRightInd w:val="0"/>
      </w:pPr>
    </w:p>
    <w:p w14:paraId="4B8A933F" w14:textId="7842E0F7" w:rsidR="00371893" w:rsidRDefault="005A13CA" w:rsidP="001F20DE">
      <w:pPr>
        <w:autoSpaceDE w:val="0"/>
        <w:autoSpaceDN w:val="0"/>
        <w:adjustRightInd w:val="0"/>
      </w:pPr>
      <w:r>
        <w:t xml:space="preserve">A First Amendment example may </w:t>
      </w:r>
      <w:r w:rsidR="0038213B">
        <w:t xml:space="preserve">help </w:t>
      </w:r>
      <w:r w:rsidR="00213C15">
        <w:t>illustrate the concept</w:t>
      </w:r>
      <w:r>
        <w:t>. I</w:t>
      </w:r>
      <w:r w:rsidR="00371893">
        <w:t xml:space="preserve">n 1993, </w:t>
      </w:r>
      <w:r w:rsidR="0003183C">
        <w:t xml:space="preserve">the </w:t>
      </w:r>
      <w:r w:rsidR="00371893">
        <w:t xml:space="preserve">Colorado </w:t>
      </w:r>
      <w:r w:rsidR="0003183C">
        <w:t xml:space="preserve">Supreme Court had to </w:t>
      </w:r>
      <w:r w:rsidR="00371893">
        <w:t xml:space="preserve">decide whether one of </w:t>
      </w:r>
      <w:r w:rsidR="0003183C">
        <w:t>the state’s</w:t>
      </w:r>
      <w:r w:rsidR="00371893">
        <w:t xml:space="preserve"> harassment statutes was unconstituti</w:t>
      </w:r>
      <w:r w:rsidR="0062687D">
        <w:t>on</w:t>
      </w:r>
      <w:r w:rsidR="00371893">
        <w:t>ally vague and overbroad.</w:t>
      </w:r>
      <w:r w:rsidR="00596655" w:rsidRPr="00DE2818">
        <w:rPr>
          <w:rStyle w:val="FootnoteReference"/>
        </w:rPr>
        <w:footnoteReference w:id="3"/>
      </w:r>
      <w:r w:rsidR="00371893">
        <w:t xml:space="preserve"> In determining that </w:t>
      </w:r>
      <w:r w:rsidR="0066191C">
        <w:t>the statute was overbroad</w:t>
      </w:r>
      <w:r w:rsidR="00371893">
        <w:t xml:space="preserve">, Colorado </w:t>
      </w:r>
      <w:r w:rsidR="0066191C">
        <w:t>looked to other states to see how they interpreted their own harassment statutes</w:t>
      </w:r>
      <w:r w:rsidR="007E2342">
        <w:t>. Colorado</w:t>
      </w:r>
      <w:r w:rsidR="0066191C">
        <w:t xml:space="preserve"> </w:t>
      </w:r>
      <w:r w:rsidR="00371893">
        <w:t xml:space="preserve">cited a </w:t>
      </w:r>
      <w:r w:rsidR="0066191C">
        <w:t xml:space="preserve">1981 </w:t>
      </w:r>
      <w:r w:rsidR="00371893">
        <w:t>Missouri Supreme Court</w:t>
      </w:r>
      <w:r w:rsidR="0066191C">
        <w:t xml:space="preserve">, which </w:t>
      </w:r>
      <w:r w:rsidR="00DA4364">
        <w:t xml:space="preserve">held their statute was not overbroad because </w:t>
      </w:r>
      <w:r w:rsidR="0066191C">
        <w:t xml:space="preserve">the statute’s language </w:t>
      </w:r>
      <w:r w:rsidR="00DA4364">
        <w:t xml:space="preserve">was limited </w:t>
      </w:r>
      <w:r w:rsidR="0066191C">
        <w:t>to a specific person in the privacy of their own home.</w:t>
      </w:r>
      <w:r w:rsidR="00C77D98" w:rsidRPr="00DE2818">
        <w:rPr>
          <w:rStyle w:val="FootnoteReference"/>
        </w:rPr>
        <w:footnoteReference w:id="4"/>
      </w:r>
      <w:r w:rsidR="0066191C">
        <w:t xml:space="preserve"> </w:t>
      </w:r>
      <w:r w:rsidR="00396756">
        <w:t xml:space="preserve">These citations form a link between Colorado and Missouri. </w:t>
      </w:r>
    </w:p>
    <w:p w14:paraId="13619676" w14:textId="77777777" w:rsidR="00396756" w:rsidRDefault="00396756" w:rsidP="001F20DE">
      <w:pPr>
        <w:autoSpaceDE w:val="0"/>
        <w:autoSpaceDN w:val="0"/>
        <w:adjustRightInd w:val="0"/>
      </w:pPr>
    </w:p>
    <w:p w14:paraId="28C0F6F7" w14:textId="33744A93" w:rsidR="00396756" w:rsidRDefault="00396756" w:rsidP="001F20DE">
      <w:pPr>
        <w:autoSpaceDE w:val="0"/>
        <w:autoSpaceDN w:val="0"/>
        <w:adjustRightInd w:val="0"/>
      </w:pPr>
      <w:r>
        <w:t>Next, in 1993, the Missouri Supreme Court wrestled with whether a college’s representative’s statements were defamatory.</w:t>
      </w:r>
      <w:r w:rsidR="00C80BDE" w:rsidRPr="00DE2818">
        <w:rPr>
          <w:rStyle w:val="FootnoteReference"/>
        </w:rPr>
        <w:footnoteReference w:id="5"/>
      </w:r>
      <w:r>
        <w:t xml:space="preserve"> In arguing that subjectivity belief is not usually a defense to defamation, the court cited a Wyoming Supreme Court decision from the previous year, which held in part that </w:t>
      </w:r>
      <w:r w:rsidR="00803051">
        <w:t>the more outlandish a statement is, the more likely it is protected speech and cannot form the basis of a defamation claim.</w:t>
      </w:r>
      <w:r w:rsidR="00F95B90" w:rsidRPr="00DE2818">
        <w:rPr>
          <w:rStyle w:val="FootnoteReference"/>
        </w:rPr>
        <w:footnoteReference w:id="6"/>
      </w:r>
      <w:r w:rsidR="00803051" w:rsidRPr="00803051">
        <w:t xml:space="preserve"> </w:t>
      </w:r>
      <w:r w:rsidR="00803051">
        <w:t>These citations form a link between Missouri and Wyoming.</w:t>
      </w:r>
    </w:p>
    <w:p w14:paraId="15498CE8" w14:textId="77777777" w:rsidR="00803051" w:rsidRDefault="00803051" w:rsidP="001F20DE">
      <w:pPr>
        <w:autoSpaceDE w:val="0"/>
        <w:autoSpaceDN w:val="0"/>
        <w:adjustRightInd w:val="0"/>
      </w:pPr>
    </w:p>
    <w:p w14:paraId="004F3295" w14:textId="28023940" w:rsidR="00803051" w:rsidRDefault="00803051" w:rsidP="001F20DE">
      <w:pPr>
        <w:autoSpaceDE w:val="0"/>
        <w:autoSpaceDN w:val="0"/>
        <w:adjustRightInd w:val="0"/>
      </w:pPr>
      <w:r>
        <w:t xml:space="preserve">Last but not least, to form a </w:t>
      </w:r>
      <w:r w:rsidR="0026150A">
        <w:t xml:space="preserve">triple </w:t>
      </w:r>
      <w:r>
        <w:t xml:space="preserve">cycle, Wyoming must cite Colorado, which it did </w:t>
      </w:r>
      <w:r w:rsidR="000B356B">
        <w:t xml:space="preserve">the following year when </w:t>
      </w:r>
      <w:r w:rsidR="00336069">
        <w:t>Wyoming</w:t>
      </w:r>
      <w:r w:rsidR="000B356B">
        <w:t xml:space="preserve"> cited the Colorado Supreme Court. Gerald Miller challenged his littering ticket</w:t>
      </w:r>
      <w:r w:rsidR="007F1538">
        <w:t xml:space="preserve">, arguing the city </w:t>
      </w:r>
      <w:r w:rsidR="000B356B">
        <w:t>violat</w:t>
      </w:r>
      <w:r w:rsidR="007F1538">
        <w:t>ed</w:t>
      </w:r>
      <w:r w:rsidR="000B356B">
        <w:t xml:space="preserve"> his right to free speech </w:t>
      </w:r>
      <w:r w:rsidR="007F1538">
        <w:t xml:space="preserve">when he </w:t>
      </w:r>
      <w:r w:rsidR="000B356B">
        <w:t>distribut</w:t>
      </w:r>
      <w:r w:rsidR="007F1538">
        <w:t>ed</w:t>
      </w:r>
      <w:r w:rsidR="000B356B">
        <w:t xml:space="preserve"> his free newspaper.</w:t>
      </w:r>
      <w:r w:rsidR="002479CB" w:rsidRPr="00DE2818">
        <w:rPr>
          <w:rStyle w:val="FootnoteReference"/>
        </w:rPr>
        <w:footnoteReference w:id="7"/>
      </w:r>
      <w:r w:rsidR="000B356B">
        <w:t xml:space="preserve"> In establishing that </w:t>
      </w:r>
      <w:r w:rsidR="00B25930">
        <w:t xml:space="preserve">for fundamental rights </w:t>
      </w:r>
      <w:r w:rsidR="000B356B">
        <w:t>the city bears the burden to justify its policy, the Court cited a 1988 Colorado case, which articulates who bears the burden</w:t>
      </w:r>
      <w:r w:rsidR="0040345C">
        <w:t>.</w:t>
      </w:r>
      <w:r w:rsidR="00072A56" w:rsidRPr="00DE2818">
        <w:rPr>
          <w:rStyle w:val="FootnoteReference"/>
        </w:rPr>
        <w:footnoteReference w:id="8"/>
      </w:r>
      <w:r w:rsidR="000B356B">
        <w:t xml:space="preserve"> </w:t>
      </w:r>
      <w:r w:rsidR="00521194">
        <w:t>This citation links Wyoming and Colorado, closing the triangle.</w:t>
      </w:r>
    </w:p>
    <w:p w14:paraId="150C8EA5" w14:textId="77777777" w:rsidR="00C00FDA" w:rsidRDefault="00C00FDA" w:rsidP="001F20DE">
      <w:pPr>
        <w:autoSpaceDE w:val="0"/>
        <w:autoSpaceDN w:val="0"/>
        <w:adjustRightInd w:val="0"/>
      </w:pPr>
    </w:p>
    <w:p w14:paraId="6480B00C" w14:textId="77777777" w:rsidR="00232887" w:rsidRDefault="00232887">
      <w:pPr>
        <w:rPr>
          <w:b/>
          <w:bCs/>
          <w:iCs/>
          <w:szCs w:val="18"/>
        </w:rPr>
      </w:pPr>
      <w:r>
        <w:rPr>
          <w:b/>
          <w:bCs/>
        </w:rPr>
        <w:br w:type="page"/>
      </w:r>
    </w:p>
    <w:p w14:paraId="321C54C3" w14:textId="693655A6" w:rsidR="001F20DE" w:rsidRPr="007E2342" w:rsidRDefault="00C00FDA" w:rsidP="007E2342">
      <w:pPr>
        <w:pStyle w:val="Caption"/>
        <w:spacing w:after="0" w:line="480" w:lineRule="auto"/>
        <w:rPr>
          <w:b/>
          <w:bCs/>
        </w:rPr>
      </w:pPr>
      <w:r w:rsidRPr="005A41E5">
        <w:rPr>
          <w:b/>
          <w:bCs/>
        </w:rPr>
        <w:lastRenderedPageBreak/>
        <w:t>Figure</w:t>
      </w:r>
      <w:r>
        <w:rPr>
          <w:b/>
          <w:bCs/>
        </w:rPr>
        <w:t xml:space="preserve"> A.2</w:t>
      </w:r>
      <w:r w:rsidRPr="005A41E5">
        <w:rPr>
          <w:b/>
          <w:bCs/>
        </w:rPr>
        <w:t xml:space="preserve"> </w:t>
      </w:r>
      <w:r>
        <w:rPr>
          <w:b/>
          <w:bCs/>
        </w:rPr>
        <w:t>Cycling</w:t>
      </w:r>
    </w:p>
    <w:p w14:paraId="727F9BC4" w14:textId="664A09A8" w:rsidR="00232887" w:rsidRDefault="00C00FDA" w:rsidP="009E189C">
      <w:pPr>
        <w:jc w:val="center"/>
        <w:rPr>
          <w:b/>
          <w:bCs/>
        </w:rPr>
      </w:pPr>
      <w:r>
        <w:rPr>
          <w:noProof/>
          <w:lang w:val="en-IN" w:eastAsia="en-IN"/>
        </w:rPr>
        <w:drawing>
          <wp:inline distT="0" distB="0" distL="0" distR="0" wp14:anchorId="07DDA3EB" wp14:editId="77FB0AC1">
            <wp:extent cx="3657600" cy="2198916"/>
            <wp:effectExtent l="0" t="0" r="0" b="0"/>
            <wp:docPr id="1925418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18327" name="Picture 2"/>
                    <pic:cNvPicPr/>
                  </pic:nvPicPr>
                  <pic:blipFill rotWithShape="1">
                    <a:blip r:embed="rId10" cstate="print">
                      <a:extLst>
                        <a:ext uri="{28A0092B-C50C-407E-A947-70E740481C1C}">
                          <a14:useLocalDpi xmlns:a14="http://schemas.microsoft.com/office/drawing/2010/main" val="0"/>
                        </a:ext>
                      </a:extLst>
                    </a:blip>
                    <a:srcRect l="1732" r="4704"/>
                    <a:stretch/>
                  </pic:blipFill>
                  <pic:spPr bwMode="auto">
                    <a:xfrm>
                      <a:off x="0" y="0"/>
                      <a:ext cx="3657600" cy="2198916"/>
                    </a:xfrm>
                    <a:prstGeom prst="rect">
                      <a:avLst/>
                    </a:prstGeom>
                    <a:ln>
                      <a:noFill/>
                    </a:ln>
                    <a:extLst>
                      <a:ext uri="{53640926-AAD7-44D8-BBD7-CCE9431645EC}">
                        <a14:shadowObscured xmlns:a14="http://schemas.microsoft.com/office/drawing/2010/main"/>
                      </a:ext>
                    </a:extLst>
                  </pic:spPr>
                </pic:pic>
              </a:graphicData>
            </a:graphic>
          </wp:inline>
        </w:drawing>
      </w:r>
      <w:r w:rsidR="00232887">
        <w:rPr>
          <w:b/>
          <w:bCs/>
        </w:rPr>
        <w:br w:type="page"/>
      </w:r>
    </w:p>
    <w:p w14:paraId="4C52011E" w14:textId="77777777" w:rsidR="00232887" w:rsidRPr="00142EBF" w:rsidRDefault="00232887" w:rsidP="007E2342">
      <w:pPr>
        <w:autoSpaceDE w:val="0"/>
        <w:autoSpaceDN w:val="0"/>
        <w:adjustRightInd w:val="0"/>
        <w:jc w:val="center"/>
        <w:rPr>
          <w:b/>
          <w:bCs/>
        </w:rPr>
      </w:pPr>
    </w:p>
    <w:p w14:paraId="767FD337" w14:textId="0866301F" w:rsidR="004B0858" w:rsidRPr="004B0858" w:rsidRDefault="004B0858" w:rsidP="004B0858">
      <w:pPr>
        <w:autoSpaceDE w:val="0"/>
        <w:autoSpaceDN w:val="0"/>
        <w:adjustRightInd w:val="0"/>
        <w:rPr>
          <w:b/>
          <w:bCs/>
        </w:rPr>
      </w:pPr>
      <w:r w:rsidRPr="004B0858">
        <w:rPr>
          <w:b/>
          <w:bCs/>
        </w:rPr>
        <w:t>Appendix B: Supplemental Data Information</w:t>
      </w:r>
    </w:p>
    <w:p w14:paraId="499550E6" w14:textId="5F5C1946" w:rsidR="004B0858" w:rsidRDefault="004B0858" w:rsidP="004B0858">
      <w:pPr>
        <w:spacing w:after="70"/>
        <w:rPr>
          <w:b/>
          <w:bCs/>
        </w:rPr>
      </w:pPr>
    </w:p>
    <w:p w14:paraId="6B427D80" w14:textId="07696342" w:rsidR="004619B1" w:rsidRDefault="004619B1" w:rsidP="004B0858">
      <w:pPr>
        <w:spacing w:after="70"/>
        <w:rPr>
          <w:b/>
          <w:bCs/>
        </w:rPr>
      </w:pPr>
      <w:r>
        <w:rPr>
          <w:b/>
          <w:bCs/>
        </w:rPr>
        <w:t>Data</w:t>
      </w:r>
    </w:p>
    <w:p w14:paraId="71119EB6" w14:textId="0FBE2C05" w:rsidR="004619B1" w:rsidRDefault="004619B1" w:rsidP="004B0858">
      <w:pPr>
        <w:spacing w:after="70"/>
      </w:pPr>
      <w:r>
        <w:t xml:space="preserve">To construct the dataset, </w:t>
      </w:r>
      <w:r w:rsidRPr="00DF64BE">
        <w:t xml:space="preserve">I compiled a list of </w:t>
      </w:r>
      <w:r>
        <w:t xml:space="preserve">every </w:t>
      </w:r>
      <w:r w:rsidRPr="00DF64BE">
        <w:t>published signed and per curiam cases made available on LexisNexis Academic’s website through its topic search function. LexisNexis u</w:t>
      </w:r>
      <w:r>
        <w:t>s</w:t>
      </w:r>
      <w:r w:rsidRPr="00DF64BE">
        <w:t xml:space="preserve">es “Headnotes;” Headnotes derive the language directly from the case to display a case’s key legal points. Family law and the </w:t>
      </w:r>
      <w:r>
        <w:t xml:space="preserve">Judicial Conduct </w:t>
      </w:r>
      <w:r w:rsidRPr="00DF64BE">
        <w:t>are key topics that are searchable in LexisNexis’ database. Although there are likely several key legal issues, Headnotes identify the primary issues.</w:t>
      </w:r>
    </w:p>
    <w:p w14:paraId="58A867E3" w14:textId="77777777" w:rsidR="0079255F" w:rsidRDefault="0079255F">
      <w:pPr>
        <w:rPr>
          <w:b/>
          <w:bCs/>
        </w:rPr>
      </w:pPr>
      <w:r>
        <w:rPr>
          <w:b/>
          <w:bCs/>
        </w:rPr>
        <w:br w:type="page"/>
      </w:r>
    </w:p>
    <w:p w14:paraId="1B4F9C01" w14:textId="4687893B" w:rsidR="00D36E4A" w:rsidRPr="00D36E4A" w:rsidRDefault="00D36E4A" w:rsidP="0079255F">
      <w:pPr>
        <w:spacing w:after="70"/>
        <w:rPr>
          <w:b/>
          <w:bCs/>
        </w:rPr>
      </w:pPr>
      <w:r w:rsidRPr="00D36E4A">
        <w:rPr>
          <w:b/>
          <w:bCs/>
        </w:rPr>
        <w:t xml:space="preserve">Table </w:t>
      </w:r>
      <w:r w:rsidR="006D72F8">
        <w:rPr>
          <w:b/>
          <w:bCs/>
        </w:rPr>
        <w:t>B</w:t>
      </w:r>
      <w:r w:rsidR="00BA45C4">
        <w:rPr>
          <w:b/>
          <w:bCs/>
        </w:rPr>
        <w:t>.</w:t>
      </w:r>
      <w:r w:rsidRPr="00D36E4A">
        <w:rPr>
          <w:b/>
          <w:bCs/>
        </w:rPr>
        <w:t xml:space="preserve">1: Variables </w:t>
      </w:r>
    </w:p>
    <w:tbl>
      <w:tblPr>
        <w:tblStyle w:val="TableGrid"/>
        <w:tblW w:w="8574" w:type="dxa"/>
        <w:tblInd w:w="77" w:type="dxa"/>
        <w:tblCellMar>
          <w:top w:w="38" w:type="dxa"/>
          <w:right w:w="119" w:type="dxa"/>
        </w:tblCellMar>
        <w:tblLook w:val="04A0" w:firstRow="1" w:lastRow="0" w:firstColumn="1" w:lastColumn="0" w:noHBand="0" w:noVBand="1"/>
      </w:tblPr>
      <w:tblGrid>
        <w:gridCol w:w="2934"/>
        <w:gridCol w:w="5640"/>
      </w:tblGrid>
      <w:tr w:rsidR="00045D84" w14:paraId="3E5AFE4B" w14:textId="77777777" w:rsidTr="00045D84">
        <w:trPr>
          <w:trHeight w:val="294"/>
        </w:trPr>
        <w:tc>
          <w:tcPr>
            <w:tcW w:w="2934" w:type="dxa"/>
            <w:tcBorders>
              <w:top w:val="single" w:sz="3" w:space="0" w:color="000000"/>
              <w:left w:val="nil"/>
              <w:bottom w:val="single" w:sz="3" w:space="0" w:color="000000"/>
              <w:right w:val="nil"/>
            </w:tcBorders>
          </w:tcPr>
          <w:p w14:paraId="5820969F" w14:textId="77777777" w:rsidR="00045D84" w:rsidRDefault="00045D84" w:rsidP="00D116B9">
            <w:pPr>
              <w:jc w:val="center"/>
            </w:pPr>
            <w:r>
              <w:t>Variable</w:t>
            </w:r>
          </w:p>
        </w:tc>
        <w:tc>
          <w:tcPr>
            <w:tcW w:w="5640" w:type="dxa"/>
            <w:tcBorders>
              <w:top w:val="single" w:sz="3" w:space="0" w:color="000000"/>
              <w:left w:val="nil"/>
              <w:bottom w:val="single" w:sz="3" w:space="0" w:color="000000"/>
              <w:right w:val="nil"/>
            </w:tcBorders>
          </w:tcPr>
          <w:p w14:paraId="753F3DCE" w14:textId="77777777" w:rsidR="00045D84" w:rsidRDefault="00045D84" w:rsidP="00D116B9">
            <w:pPr>
              <w:ind w:right="118"/>
              <w:jc w:val="center"/>
            </w:pPr>
            <w:r>
              <w:t>Measure</w:t>
            </w:r>
          </w:p>
        </w:tc>
      </w:tr>
      <w:tr w:rsidR="00045D84" w14:paraId="2CC0A730" w14:textId="77777777" w:rsidTr="00045D84">
        <w:trPr>
          <w:trHeight w:val="575"/>
        </w:trPr>
        <w:tc>
          <w:tcPr>
            <w:tcW w:w="2934" w:type="dxa"/>
            <w:tcBorders>
              <w:top w:val="single" w:sz="3" w:space="0" w:color="000000"/>
              <w:left w:val="nil"/>
              <w:bottom w:val="nil"/>
              <w:right w:val="nil"/>
            </w:tcBorders>
          </w:tcPr>
          <w:p w14:paraId="43DA66C0" w14:textId="77777777" w:rsidR="00045D84" w:rsidRDefault="00045D84" w:rsidP="00A3789C">
            <w:pPr>
              <w:jc w:val="center"/>
            </w:pPr>
            <w:r>
              <w:t>Citation</w:t>
            </w:r>
          </w:p>
        </w:tc>
        <w:tc>
          <w:tcPr>
            <w:tcW w:w="5640" w:type="dxa"/>
            <w:tcBorders>
              <w:top w:val="single" w:sz="3" w:space="0" w:color="000000"/>
              <w:left w:val="nil"/>
              <w:bottom w:val="nil"/>
              <w:right w:val="nil"/>
            </w:tcBorders>
          </w:tcPr>
          <w:p w14:paraId="2CA4B5FC" w14:textId="77777777" w:rsidR="00045D84" w:rsidRDefault="00045D84" w:rsidP="00D116B9">
            <w:r>
              <w:t>Dependent variable = 1 when court A (citing court) cites court B (cited court), 0 otherwise</w:t>
            </w:r>
          </w:p>
        </w:tc>
      </w:tr>
      <w:tr w:rsidR="00045D84" w14:paraId="317C9D2A" w14:textId="77777777" w:rsidTr="00045D84">
        <w:trPr>
          <w:trHeight w:val="573"/>
        </w:trPr>
        <w:tc>
          <w:tcPr>
            <w:tcW w:w="2934" w:type="dxa"/>
            <w:tcBorders>
              <w:top w:val="nil"/>
              <w:left w:val="nil"/>
              <w:bottom w:val="nil"/>
              <w:right w:val="nil"/>
            </w:tcBorders>
          </w:tcPr>
          <w:p w14:paraId="75DAAE42" w14:textId="77777777" w:rsidR="00045D84" w:rsidRDefault="00045D84" w:rsidP="00A3789C">
            <w:pPr>
              <w:jc w:val="center"/>
            </w:pPr>
            <w:r>
              <w:t>Lagged Citation</w:t>
            </w:r>
          </w:p>
        </w:tc>
        <w:tc>
          <w:tcPr>
            <w:tcW w:w="5640" w:type="dxa"/>
            <w:tcBorders>
              <w:top w:val="nil"/>
              <w:left w:val="nil"/>
              <w:bottom w:val="nil"/>
              <w:right w:val="nil"/>
            </w:tcBorders>
          </w:tcPr>
          <w:p w14:paraId="615C014D" w14:textId="77777777" w:rsidR="00045D84" w:rsidRDefault="00045D84" w:rsidP="00D116B9">
            <w:r>
              <w:t>Citation from previous year carried forward to next time step.</w:t>
            </w:r>
          </w:p>
        </w:tc>
      </w:tr>
      <w:tr w:rsidR="00FD35A8" w14:paraId="5C642409" w14:textId="77777777" w:rsidTr="00045D84">
        <w:trPr>
          <w:trHeight w:val="573"/>
        </w:trPr>
        <w:tc>
          <w:tcPr>
            <w:tcW w:w="2934" w:type="dxa"/>
            <w:tcBorders>
              <w:top w:val="nil"/>
              <w:left w:val="nil"/>
              <w:bottom w:val="nil"/>
              <w:right w:val="nil"/>
            </w:tcBorders>
          </w:tcPr>
          <w:p w14:paraId="54281E83" w14:textId="02C01CF7" w:rsidR="00FD35A8" w:rsidRDefault="00FD35A8" w:rsidP="00A3789C">
            <w:pPr>
              <w:jc w:val="center"/>
            </w:pPr>
            <w:r>
              <w:t>Learning</w:t>
            </w:r>
          </w:p>
        </w:tc>
        <w:tc>
          <w:tcPr>
            <w:tcW w:w="5640" w:type="dxa"/>
            <w:tcBorders>
              <w:top w:val="nil"/>
              <w:left w:val="nil"/>
              <w:bottom w:val="nil"/>
              <w:right w:val="nil"/>
            </w:tcBorders>
          </w:tcPr>
          <w:p w14:paraId="22276541" w14:textId="361E2001" w:rsidR="00FD35A8" w:rsidRDefault="00FD35A8" w:rsidP="00FD35A8">
            <w:r>
              <w:t xml:space="preserve">Out-degree of two or more citations, the number of citations a court </w:t>
            </w:r>
            <w:r w:rsidR="000D6E05">
              <w:t>sends</w:t>
            </w:r>
            <w:r>
              <w:t>.</w:t>
            </w:r>
          </w:p>
        </w:tc>
      </w:tr>
      <w:tr w:rsidR="00FD35A8" w14:paraId="6E7A065D" w14:textId="77777777" w:rsidTr="00045D84">
        <w:trPr>
          <w:trHeight w:val="573"/>
        </w:trPr>
        <w:tc>
          <w:tcPr>
            <w:tcW w:w="2934" w:type="dxa"/>
            <w:tcBorders>
              <w:top w:val="nil"/>
              <w:left w:val="nil"/>
              <w:bottom w:val="nil"/>
              <w:right w:val="nil"/>
            </w:tcBorders>
          </w:tcPr>
          <w:p w14:paraId="14A61513" w14:textId="73EF6157" w:rsidR="00FD35A8" w:rsidRDefault="00FD35A8" w:rsidP="00A3789C">
            <w:pPr>
              <w:jc w:val="center"/>
            </w:pPr>
            <w:r>
              <w:t>Emulation</w:t>
            </w:r>
          </w:p>
        </w:tc>
        <w:tc>
          <w:tcPr>
            <w:tcW w:w="5640" w:type="dxa"/>
            <w:tcBorders>
              <w:top w:val="nil"/>
              <w:left w:val="nil"/>
              <w:bottom w:val="nil"/>
              <w:right w:val="nil"/>
            </w:tcBorders>
          </w:tcPr>
          <w:p w14:paraId="428331F3" w14:textId="77777777" w:rsidR="00FD35A8" w:rsidRDefault="00FD35A8" w:rsidP="00FD35A8">
            <w:r>
              <w:t>In-degree of two or more citations, the number of citations a court receives.</w:t>
            </w:r>
          </w:p>
        </w:tc>
      </w:tr>
      <w:tr w:rsidR="00FD35A8" w14:paraId="46B9405A" w14:textId="77777777" w:rsidTr="00045D84">
        <w:trPr>
          <w:trHeight w:val="860"/>
        </w:trPr>
        <w:tc>
          <w:tcPr>
            <w:tcW w:w="2934" w:type="dxa"/>
            <w:tcBorders>
              <w:top w:val="nil"/>
              <w:left w:val="nil"/>
              <w:bottom w:val="nil"/>
              <w:right w:val="nil"/>
            </w:tcBorders>
          </w:tcPr>
          <w:p w14:paraId="693C59F3" w14:textId="77777777" w:rsidR="00FD35A8" w:rsidRDefault="00FD35A8" w:rsidP="00A3789C">
            <w:pPr>
              <w:jc w:val="center"/>
            </w:pPr>
            <w:r>
              <w:t>Transitivity</w:t>
            </w:r>
          </w:p>
        </w:tc>
        <w:tc>
          <w:tcPr>
            <w:tcW w:w="5640" w:type="dxa"/>
            <w:tcBorders>
              <w:top w:val="nil"/>
              <w:left w:val="nil"/>
              <w:bottom w:val="nil"/>
              <w:right w:val="nil"/>
            </w:tcBorders>
          </w:tcPr>
          <w:p w14:paraId="4B539F56" w14:textId="2F3EF8F5" w:rsidR="00FD35A8" w:rsidRDefault="00FD35A8" w:rsidP="00FD35A8">
            <w:pPr>
              <w:ind w:right="118"/>
            </w:pPr>
            <w:r>
              <w:t xml:space="preserve">Presence of transitivity, </w:t>
            </w:r>
            <w:r w:rsidR="00376C4E">
              <w:t xml:space="preserve">the </w:t>
            </w:r>
            <w:r>
              <w:t xml:space="preserve">“friend of my friend is my friend.” Likelihood of citation </w:t>
            </w:r>
            <w:r w:rsidR="00376C4E">
              <w:t>from Court A to C, given citations from A and B</w:t>
            </w:r>
            <w:r>
              <w:t xml:space="preserve">. A </w:t>
            </w:r>
            <w:r>
              <w:rPr>
                <w:rFonts w:ascii="Cambria" w:eastAsia="Cambria" w:hAnsi="Cambria" w:cs="Cambria"/>
              </w:rPr>
              <w:t xml:space="preserve">→ </w:t>
            </w:r>
            <w:r>
              <w:t xml:space="preserve">B </w:t>
            </w:r>
            <w:r>
              <w:rPr>
                <w:rFonts w:ascii="Cambria" w:eastAsia="Cambria" w:hAnsi="Cambria" w:cs="Cambria"/>
              </w:rPr>
              <w:t xml:space="preserve">→ </w:t>
            </w:r>
            <w:r>
              <w:t xml:space="preserve">C and A </w:t>
            </w:r>
            <w:r>
              <w:rPr>
                <w:rFonts w:ascii="Cambria" w:eastAsia="Cambria" w:hAnsi="Cambria" w:cs="Cambria"/>
              </w:rPr>
              <w:t xml:space="preserve">→ </w:t>
            </w:r>
            <w:r>
              <w:t>C</w:t>
            </w:r>
            <w:r w:rsidR="00F14763">
              <w:t>. This is a proxy for learning.</w:t>
            </w:r>
          </w:p>
        </w:tc>
      </w:tr>
      <w:tr w:rsidR="008A16E4" w14:paraId="2ADB1984" w14:textId="77777777" w:rsidTr="00045D84">
        <w:trPr>
          <w:trHeight w:val="860"/>
        </w:trPr>
        <w:tc>
          <w:tcPr>
            <w:tcW w:w="2934" w:type="dxa"/>
            <w:tcBorders>
              <w:top w:val="nil"/>
              <w:left w:val="nil"/>
              <w:bottom w:val="nil"/>
              <w:right w:val="nil"/>
            </w:tcBorders>
          </w:tcPr>
          <w:p w14:paraId="361206A0" w14:textId="704CABCD" w:rsidR="008A16E4" w:rsidRDefault="008A16E4" w:rsidP="00A3789C">
            <w:pPr>
              <w:jc w:val="center"/>
            </w:pPr>
            <w:r>
              <w:t>Cycles</w:t>
            </w:r>
          </w:p>
        </w:tc>
        <w:tc>
          <w:tcPr>
            <w:tcW w:w="5640" w:type="dxa"/>
            <w:tcBorders>
              <w:top w:val="nil"/>
              <w:left w:val="nil"/>
              <w:bottom w:val="nil"/>
              <w:right w:val="nil"/>
            </w:tcBorders>
          </w:tcPr>
          <w:p w14:paraId="6C94FDD7" w14:textId="3C7AB5E8" w:rsidR="008A16E4" w:rsidRDefault="00B9732C" w:rsidP="00FD35A8">
            <w:pPr>
              <w:ind w:right="118"/>
            </w:pPr>
            <w:r>
              <w:t>Presence of cycl</w:t>
            </w:r>
            <w:r w:rsidR="00F14763">
              <w:t>ic</w:t>
            </w:r>
            <w:r>
              <w:t xml:space="preserve"> triangles. </w:t>
            </w:r>
            <w:r w:rsidR="00376C4E">
              <w:t>Likelihood of citation from Court C to A, given citations from A and B, and B to C, which closes the triangle of citations.</w:t>
            </w:r>
            <w:r>
              <w:t xml:space="preserve"> A </w:t>
            </w:r>
            <w:r>
              <w:rPr>
                <w:rFonts w:ascii="Cambria" w:eastAsia="Cambria" w:hAnsi="Cambria" w:cs="Cambria"/>
              </w:rPr>
              <w:t xml:space="preserve">→ </w:t>
            </w:r>
            <w:r>
              <w:t xml:space="preserve">B </w:t>
            </w:r>
            <w:r>
              <w:rPr>
                <w:rFonts w:ascii="Cambria" w:eastAsia="Cambria" w:hAnsi="Cambria" w:cs="Cambria"/>
              </w:rPr>
              <w:t xml:space="preserve">→ </w:t>
            </w:r>
            <w:r>
              <w:t xml:space="preserve">C and C </w:t>
            </w:r>
            <w:r>
              <w:rPr>
                <w:rFonts w:ascii="Cambria" w:eastAsia="Cambria" w:hAnsi="Cambria" w:cs="Cambria"/>
              </w:rPr>
              <w:t>→ A</w:t>
            </w:r>
            <w:r>
              <w:t>.</w:t>
            </w:r>
            <w:r w:rsidR="00F14763">
              <w:t xml:space="preserve"> This is a proxy for emulation.</w:t>
            </w:r>
          </w:p>
        </w:tc>
      </w:tr>
      <w:tr w:rsidR="00FD35A8" w14:paraId="4FB5A912" w14:textId="77777777" w:rsidTr="00045D84">
        <w:trPr>
          <w:trHeight w:val="573"/>
        </w:trPr>
        <w:tc>
          <w:tcPr>
            <w:tcW w:w="2934" w:type="dxa"/>
            <w:tcBorders>
              <w:top w:val="nil"/>
              <w:left w:val="nil"/>
              <w:bottom w:val="nil"/>
              <w:right w:val="nil"/>
            </w:tcBorders>
          </w:tcPr>
          <w:p w14:paraId="4BE6AA04" w14:textId="77777777" w:rsidR="00FD35A8" w:rsidRDefault="00FD35A8" w:rsidP="00A3789C">
            <w:pPr>
              <w:jc w:val="center"/>
            </w:pPr>
            <w:r>
              <w:t>Isolates</w:t>
            </w:r>
          </w:p>
        </w:tc>
        <w:tc>
          <w:tcPr>
            <w:tcW w:w="5640" w:type="dxa"/>
            <w:tcBorders>
              <w:top w:val="nil"/>
              <w:left w:val="nil"/>
              <w:bottom w:val="nil"/>
              <w:right w:val="nil"/>
            </w:tcBorders>
          </w:tcPr>
          <w:p w14:paraId="6B1535D0" w14:textId="77777777" w:rsidR="00FD35A8" w:rsidRDefault="00FD35A8" w:rsidP="00FD35A8">
            <w:r>
              <w:t>Number of courts that do not cite and are not cited by others.</w:t>
            </w:r>
          </w:p>
        </w:tc>
      </w:tr>
      <w:tr w:rsidR="00FD35A8" w14:paraId="345B4505" w14:textId="77777777" w:rsidTr="00045D84">
        <w:trPr>
          <w:trHeight w:val="573"/>
        </w:trPr>
        <w:tc>
          <w:tcPr>
            <w:tcW w:w="2934" w:type="dxa"/>
            <w:tcBorders>
              <w:top w:val="nil"/>
              <w:left w:val="nil"/>
              <w:bottom w:val="nil"/>
              <w:right w:val="nil"/>
            </w:tcBorders>
          </w:tcPr>
          <w:p w14:paraId="0723EF5C" w14:textId="77777777" w:rsidR="00FD35A8" w:rsidRDefault="00FD35A8" w:rsidP="00A3789C">
            <w:pPr>
              <w:jc w:val="center"/>
            </w:pPr>
            <w:r>
              <w:t>Court Ideology</w:t>
            </w:r>
          </w:p>
        </w:tc>
        <w:tc>
          <w:tcPr>
            <w:tcW w:w="5640" w:type="dxa"/>
            <w:tcBorders>
              <w:top w:val="nil"/>
              <w:left w:val="nil"/>
              <w:bottom w:val="nil"/>
              <w:right w:val="nil"/>
            </w:tcBorders>
          </w:tcPr>
          <w:p w14:paraId="08A24B68" w14:textId="77777777" w:rsidR="00FD35A8" w:rsidRDefault="00FD35A8" w:rsidP="00FD35A8">
            <w:r>
              <w:t>Absolute difference between the median justice of the two courts.</w:t>
            </w:r>
          </w:p>
        </w:tc>
      </w:tr>
      <w:tr w:rsidR="00FD35A8" w14:paraId="5638AC97" w14:textId="77777777" w:rsidTr="00045D84">
        <w:trPr>
          <w:trHeight w:val="573"/>
        </w:trPr>
        <w:tc>
          <w:tcPr>
            <w:tcW w:w="2934" w:type="dxa"/>
            <w:tcBorders>
              <w:top w:val="nil"/>
              <w:left w:val="nil"/>
              <w:bottom w:val="nil"/>
              <w:right w:val="nil"/>
            </w:tcBorders>
          </w:tcPr>
          <w:p w14:paraId="2C73AEEE" w14:textId="77777777" w:rsidR="00FD35A8" w:rsidRDefault="00FD35A8" w:rsidP="00A3789C">
            <w:pPr>
              <w:jc w:val="center"/>
            </w:pPr>
            <w:r>
              <w:t>Citizen Ideology</w:t>
            </w:r>
          </w:p>
        </w:tc>
        <w:tc>
          <w:tcPr>
            <w:tcW w:w="5640" w:type="dxa"/>
            <w:tcBorders>
              <w:top w:val="nil"/>
              <w:left w:val="nil"/>
              <w:bottom w:val="nil"/>
              <w:right w:val="nil"/>
            </w:tcBorders>
          </w:tcPr>
          <w:p w14:paraId="6D0A9954" w14:textId="77777777" w:rsidR="00FD35A8" w:rsidRDefault="00FD35A8" w:rsidP="00FD35A8">
            <w:r>
              <w:t>Absolute difference between citizens’ ideology in the two states.</w:t>
            </w:r>
          </w:p>
        </w:tc>
      </w:tr>
      <w:tr w:rsidR="00FD35A8" w14:paraId="30D6348B" w14:textId="77777777" w:rsidTr="00045D84">
        <w:trPr>
          <w:trHeight w:val="573"/>
        </w:trPr>
        <w:tc>
          <w:tcPr>
            <w:tcW w:w="2934" w:type="dxa"/>
            <w:tcBorders>
              <w:top w:val="nil"/>
              <w:left w:val="nil"/>
              <w:bottom w:val="nil"/>
              <w:right w:val="nil"/>
            </w:tcBorders>
          </w:tcPr>
          <w:p w14:paraId="5741EDA1" w14:textId="77777777" w:rsidR="00FD35A8" w:rsidRDefault="00FD35A8" w:rsidP="00A3789C">
            <w:pPr>
              <w:jc w:val="center"/>
            </w:pPr>
            <w:r>
              <w:t>Population</w:t>
            </w:r>
          </w:p>
        </w:tc>
        <w:tc>
          <w:tcPr>
            <w:tcW w:w="5640" w:type="dxa"/>
            <w:tcBorders>
              <w:top w:val="nil"/>
              <w:left w:val="nil"/>
              <w:bottom w:val="nil"/>
              <w:right w:val="nil"/>
            </w:tcBorders>
          </w:tcPr>
          <w:p w14:paraId="17460BFD" w14:textId="77777777" w:rsidR="00FD35A8" w:rsidRDefault="00FD35A8" w:rsidP="00FD35A8">
            <w:r>
              <w:t>Absolute difference between the populations of the two states.</w:t>
            </w:r>
          </w:p>
        </w:tc>
      </w:tr>
      <w:tr w:rsidR="00FD35A8" w14:paraId="3C018E9D" w14:textId="77777777" w:rsidTr="00045D84">
        <w:trPr>
          <w:trHeight w:val="573"/>
        </w:trPr>
        <w:tc>
          <w:tcPr>
            <w:tcW w:w="2934" w:type="dxa"/>
            <w:tcBorders>
              <w:top w:val="nil"/>
              <w:left w:val="nil"/>
              <w:bottom w:val="nil"/>
              <w:right w:val="nil"/>
            </w:tcBorders>
          </w:tcPr>
          <w:p w14:paraId="4B475433" w14:textId="77777777" w:rsidR="00FD35A8" w:rsidRDefault="00FD35A8" w:rsidP="00A3789C">
            <w:pPr>
              <w:ind w:left="369"/>
              <w:jc w:val="center"/>
            </w:pPr>
            <w:r>
              <w:t>Gross State Product</w:t>
            </w:r>
          </w:p>
        </w:tc>
        <w:tc>
          <w:tcPr>
            <w:tcW w:w="5640" w:type="dxa"/>
            <w:tcBorders>
              <w:top w:val="nil"/>
              <w:left w:val="nil"/>
              <w:bottom w:val="nil"/>
              <w:right w:val="nil"/>
            </w:tcBorders>
          </w:tcPr>
          <w:p w14:paraId="0A7616FA" w14:textId="77777777" w:rsidR="00FD35A8" w:rsidRDefault="00FD35A8" w:rsidP="00FD35A8">
            <w:r>
              <w:t>Absolute difference between the gross state product of the two states.</w:t>
            </w:r>
          </w:p>
        </w:tc>
      </w:tr>
      <w:tr w:rsidR="00FD35A8" w14:paraId="6D660DE6" w14:textId="77777777" w:rsidTr="00045D84">
        <w:trPr>
          <w:trHeight w:val="573"/>
        </w:trPr>
        <w:tc>
          <w:tcPr>
            <w:tcW w:w="2934" w:type="dxa"/>
            <w:tcBorders>
              <w:top w:val="nil"/>
              <w:left w:val="nil"/>
              <w:bottom w:val="nil"/>
              <w:right w:val="nil"/>
            </w:tcBorders>
          </w:tcPr>
          <w:p w14:paraId="22C8DF33" w14:textId="77777777" w:rsidR="00FD35A8" w:rsidRDefault="00FD35A8" w:rsidP="00A3789C">
            <w:pPr>
              <w:ind w:left="119"/>
              <w:jc w:val="center"/>
            </w:pPr>
            <w:r>
              <w:t>Judicial Selection System</w:t>
            </w:r>
          </w:p>
        </w:tc>
        <w:tc>
          <w:tcPr>
            <w:tcW w:w="5640" w:type="dxa"/>
            <w:tcBorders>
              <w:top w:val="nil"/>
              <w:left w:val="nil"/>
              <w:bottom w:val="nil"/>
              <w:right w:val="nil"/>
            </w:tcBorders>
          </w:tcPr>
          <w:p w14:paraId="0F2769EB" w14:textId="77777777" w:rsidR="00FD35A8" w:rsidRDefault="00FD35A8" w:rsidP="00FD35A8">
            <w:r>
              <w:t>Indicator variable = 1 when courts share same judicial selection system.</w:t>
            </w:r>
          </w:p>
        </w:tc>
      </w:tr>
      <w:tr w:rsidR="00FD35A8" w14:paraId="6B32EF8F" w14:textId="77777777" w:rsidTr="00045D84">
        <w:trPr>
          <w:trHeight w:val="573"/>
        </w:trPr>
        <w:tc>
          <w:tcPr>
            <w:tcW w:w="2934" w:type="dxa"/>
            <w:tcBorders>
              <w:top w:val="nil"/>
              <w:left w:val="nil"/>
              <w:bottom w:val="nil"/>
              <w:right w:val="nil"/>
            </w:tcBorders>
          </w:tcPr>
          <w:p w14:paraId="5D5E6CEA" w14:textId="27C4F0D0" w:rsidR="00FD35A8" w:rsidRDefault="00FD35A8" w:rsidP="00A3789C">
            <w:pPr>
              <w:ind w:left="255"/>
              <w:jc w:val="center"/>
            </w:pPr>
            <w:r>
              <w:t>Federal Circuit</w:t>
            </w:r>
          </w:p>
        </w:tc>
        <w:tc>
          <w:tcPr>
            <w:tcW w:w="5640" w:type="dxa"/>
            <w:tcBorders>
              <w:top w:val="nil"/>
              <w:left w:val="nil"/>
              <w:bottom w:val="nil"/>
              <w:right w:val="nil"/>
            </w:tcBorders>
          </w:tcPr>
          <w:p w14:paraId="0A853D41" w14:textId="74F4C4AD" w:rsidR="00FD35A8" w:rsidRDefault="00FD35A8" w:rsidP="00FD35A8">
            <w:r>
              <w:t>Indicator variable = 1 when courts share same federal circuit court.</w:t>
            </w:r>
          </w:p>
        </w:tc>
      </w:tr>
      <w:tr w:rsidR="00FD35A8" w14:paraId="0DB5E387" w14:textId="77777777" w:rsidTr="00045D84">
        <w:trPr>
          <w:trHeight w:val="573"/>
        </w:trPr>
        <w:tc>
          <w:tcPr>
            <w:tcW w:w="2934" w:type="dxa"/>
            <w:tcBorders>
              <w:top w:val="nil"/>
              <w:left w:val="nil"/>
              <w:bottom w:val="nil"/>
              <w:right w:val="nil"/>
            </w:tcBorders>
          </w:tcPr>
          <w:p w14:paraId="63EF8673" w14:textId="7901C24E" w:rsidR="00FD35A8" w:rsidRDefault="00FD35A8" w:rsidP="00FD35A8">
            <w:pPr>
              <w:ind w:left="255"/>
            </w:pPr>
            <w:r>
              <w:t xml:space="preserve">West Court Reporter </w:t>
            </w:r>
          </w:p>
        </w:tc>
        <w:tc>
          <w:tcPr>
            <w:tcW w:w="5640" w:type="dxa"/>
            <w:tcBorders>
              <w:top w:val="nil"/>
              <w:left w:val="nil"/>
              <w:bottom w:val="nil"/>
              <w:right w:val="nil"/>
            </w:tcBorders>
          </w:tcPr>
          <w:p w14:paraId="7705C543" w14:textId="24FF172F" w:rsidR="00FD35A8" w:rsidRDefault="00FD35A8" w:rsidP="00FD35A8">
            <w:r>
              <w:t>Indicator variable = 1 when courts share same West Regional Court Reporter.</w:t>
            </w:r>
          </w:p>
        </w:tc>
      </w:tr>
      <w:tr w:rsidR="00FD35A8" w14:paraId="4F8B63EA" w14:textId="77777777" w:rsidTr="00045D84">
        <w:trPr>
          <w:trHeight w:val="573"/>
        </w:trPr>
        <w:tc>
          <w:tcPr>
            <w:tcW w:w="2934" w:type="dxa"/>
            <w:tcBorders>
              <w:top w:val="nil"/>
              <w:left w:val="nil"/>
              <w:bottom w:val="nil"/>
              <w:right w:val="nil"/>
            </w:tcBorders>
          </w:tcPr>
          <w:p w14:paraId="7F3022F7" w14:textId="77777777" w:rsidR="00FD35A8" w:rsidRDefault="00FD35A8" w:rsidP="00FD35A8">
            <w:pPr>
              <w:ind w:left="255"/>
            </w:pPr>
            <w:r>
              <w:t>Geographic Contiguity</w:t>
            </w:r>
          </w:p>
        </w:tc>
        <w:tc>
          <w:tcPr>
            <w:tcW w:w="5640" w:type="dxa"/>
            <w:tcBorders>
              <w:top w:val="nil"/>
              <w:left w:val="nil"/>
              <w:bottom w:val="nil"/>
              <w:right w:val="nil"/>
            </w:tcBorders>
          </w:tcPr>
          <w:p w14:paraId="74BA6C04" w14:textId="77777777" w:rsidR="00FD35A8" w:rsidRDefault="00FD35A8" w:rsidP="00FD35A8">
            <w:r>
              <w:t>Indicator variable = 1 when states in which court sits share geographic border.</w:t>
            </w:r>
          </w:p>
        </w:tc>
      </w:tr>
      <w:tr w:rsidR="00FD35A8" w14:paraId="71C79BE5" w14:textId="77777777" w:rsidTr="00045D84">
        <w:trPr>
          <w:trHeight w:val="292"/>
        </w:trPr>
        <w:tc>
          <w:tcPr>
            <w:tcW w:w="2934" w:type="dxa"/>
            <w:tcBorders>
              <w:top w:val="nil"/>
              <w:left w:val="nil"/>
              <w:bottom w:val="single" w:sz="3" w:space="0" w:color="000000"/>
              <w:right w:val="nil"/>
            </w:tcBorders>
          </w:tcPr>
          <w:p w14:paraId="3184F927" w14:textId="77777777" w:rsidR="00FD35A8" w:rsidRDefault="00FD35A8" w:rsidP="00FD35A8">
            <w:pPr>
              <w:ind w:left="237"/>
            </w:pPr>
            <w:r>
              <w:t>No. of Published Cases</w:t>
            </w:r>
          </w:p>
        </w:tc>
        <w:tc>
          <w:tcPr>
            <w:tcW w:w="5640" w:type="dxa"/>
            <w:tcBorders>
              <w:top w:val="nil"/>
              <w:left w:val="nil"/>
              <w:bottom w:val="single" w:sz="3" w:space="0" w:color="000000"/>
              <w:right w:val="nil"/>
            </w:tcBorders>
          </w:tcPr>
          <w:p w14:paraId="55570B48" w14:textId="77777777" w:rsidR="00FD35A8" w:rsidRDefault="00FD35A8" w:rsidP="00FD35A8">
            <w:r>
              <w:t>Number of cases the cited court published.</w:t>
            </w:r>
          </w:p>
        </w:tc>
      </w:tr>
    </w:tbl>
    <w:p w14:paraId="4CC2FA3C" w14:textId="6F06A4D7" w:rsidR="00D36E4A" w:rsidRDefault="00D36E4A" w:rsidP="00D36E4A"/>
    <w:p w14:paraId="4DE3DA66" w14:textId="0599ED11" w:rsidR="004A5ACB" w:rsidRDefault="004A5ACB">
      <w:pPr>
        <w:rPr>
          <w:rFonts w:eastAsiaTheme="majorEastAsia"/>
          <w:b/>
          <w:bCs/>
          <w:color w:val="000000" w:themeColor="text1"/>
        </w:rPr>
      </w:pPr>
    </w:p>
    <w:p w14:paraId="106778DE" w14:textId="6C9494FE" w:rsidR="004A5ACB" w:rsidRDefault="004A5ACB" w:rsidP="00F13E2F">
      <w:pPr>
        <w:pStyle w:val="BodyText"/>
        <w:tabs>
          <w:tab w:val="left" w:pos="720"/>
        </w:tabs>
      </w:pPr>
    </w:p>
    <w:p w14:paraId="2DE411BF" w14:textId="77777777" w:rsidR="001254BC" w:rsidRDefault="001254BC">
      <w:pPr>
        <w:rPr>
          <w:b/>
          <w:bCs/>
        </w:rPr>
      </w:pPr>
      <w:r>
        <w:rPr>
          <w:b/>
          <w:bCs/>
        </w:rPr>
        <w:br w:type="page"/>
      </w:r>
    </w:p>
    <w:p w14:paraId="105D20F5" w14:textId="65F9B6C7" w:rsidR="00292293" w:rsidRDefault="001254BC" w:rsidP="001254BC">
      <w:pPr>
        <w:spacing w:after="70"/>
        <w:rPr>
          <w:b/>
          <w:bCs/>
        </w:rPr>
      </w:pPr>
      <w:r w:rsidRPr="00D36E4A">
        <w:rPr>
          <w:b/>
          <w:bCs/>
        </w:rPr>
        <w:t xml:space="preserve">Table </w:t>
      </w:r>
      <w:r>
        <w:rPr>
          <w:b/>
          <w:bCs/>
        </w:rPr>
        <w:t>B.2</w:t>
      </w:r>
      <w:r w:rsidRPr="00D36E4A">
        <w:rPr>
          <w:b/>
          <w:bCs/>
        </w:rPr>
        <w:t xml:space="preserve">: </w:t>
      </w:r>
      <w:r w:rsidR="00292293">
        <w:rPr>
          <w:b/>
          <w:bCs/>
        </w:rPr>
        <w:t>Descriptive Statistics for Independent Variables</w:t>
      </w:r>
      <w:r w:rsidR="00614017">
        <w:rPr>
          <w:b/>
          <w:bCs/>
        </w:rPr>
        <w:t>, 1960-2010</w:t>
      </w:r>
      <w:r w:rsidR="00292293">
        <w:rPr>
          <w:b/>
          <w:bCs/>
        </w:rPr>
        <w:t xml:space="preserve"> </w:t>
      </w:r>
    </w:p>
    <w:tbl>
      <w:tblPr>
        <w:tblStyle w:val="TableGrid0"/>
        <w:tblW w:w="9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1440"/>
        <w:gridCol w:w="1440"/>
        <w:gridCol w:w="1440"/>
        <w:gridCol w:w="1440"/>
      </w:tblGrid>
      <w:tr w:rsidR="0067211C" w14:paraId="70F848DA" w14:textId="77777777" w:rsidTr="000E4274">
        <w:trPr>
          <w:jc w:val="center"/>
        </w:trPr>
        <w:tc>
          <w:tcPr>
            <w:tcW w:w="0" w:type="auto"/>
            <w:tcBorders>
              <w:top w:val="single" w:sz="4" w:space="0" w:color="auto"/>
              <w:bottom w:val="single" w:sz="4" w:space="0" w:color="auto"/>
            </w:tcBorders>
            <w:vAlign w:val="bottom"/>
          </w:tcPr>
          <w:p w14:paraId="34036755" w14:textId="3F655DCF" w:rsidR="00292293" w:rsidRPr="000E4274" w:rsidRDefault="00292293" w:rsidP="009259BB">
            <w:pPr>
              <w:spacing w:after="70"/>
            </w:pPr>
            <w:r w:rsidRPr="000E4274">
              <w:t>Variable</w:t>
            </w:r>
          </w:p>
        </w:tc>
        <w:tc>
          <w:tcPr>
            <w:tcW w:w="1440" w:type="dxa"/>
            <w:tcBorders>
              <w:top w:val="single" w:sz="4" w:space="0" w:color="auto"/>
              <w:bottom w:val="single" w:sz="4" w:space="0" w:color="auto"/>
            </w:tcBorders>
            <w:vAlign w:val="bottom"/>
          </w:tcPr>
          <w:p w14:paraId="01EEB294" w14:textId="4AA2FED2" w:rsidR="0067211C" w:rsidRPr="000E4274" w:rsidRDefault="00292293" w:rsidP="00696981">
            <w:pPr>
              <w:spacing w:after="70"/>
              <w:jc w:val="center"/>
            </w:pPr>
            <w:r w:rsidRPr="000E4274">
              <w:t>Mean</w:t>
            </w:r>
            <w:r w:rsidR="00CD2BC1" w:rsidRPr="000E4274">
              <w:t>/</w:t>
            </w:r>
          </w:p>
          <w:p w14:paraId="019FF582" w14:textId="13A37C92" w:rsidR="00292293" w:rsidRPr="000E4274" w:rsidRDefault="00292293" w:rsidP="000E4274">
            <w:pPr>
              <w:spacing w:after="70"/>
              <w:jc w:val="center"/>
            </w:pPr>
            <w:r w:rsidRPr="000E4274">
              <w:t>Median</w:t>
            </w:r>
          </w:p>
        </w:tc>
        <w:tc>
          <w:tcPr>
            <w:tcW w:w="1440" w:type="dxa"/>
            <w:tcBorders>
              <w:top w:val="single" w:sz="4" w:space="0" w:color="auto"/>
              <w:bottom w:val="single" w:sz="4" w:space="0" w:color="auto"/>
            </w:tcBorders>
            <w:vAlign w:val="bottom"/>
          </w:tcPr>
          <w:p w14:paraId="709A3698" w14:textId="73F7BE8A" w:rsidR="00292293" w:rsidRPr="000E4274" w:rsidRDefault="00292293" w:rsidP="000E4274">
            <w:pPr>
              <w:spacing w:after="70"/>
              <w:jc w:val="center"/>
            </w:pPr>
            <w:r w:rsidRPr="000E4274">
              <w:t>Standard Deviation</w:t>
            </w:r>
          </w:p>
        </w:tc>
        <w:tc>
          <w:tcPr>
            <w:tcW w:w="1440" w:type="dxa"/>
            <w:tcBorders>
              <w:top w:val="single" w:sz="4" w:space="0" w:color="auto"/>
              <w:bottom w:val="single" w:sz="4" w:space="0" w:color="auto"/>
            </w:tcBorders>
            <w:vAlign w:val="bottom"/>
          </w:tcPr>
          <w:p w14:paraId="672D522A" w14:textId="174C6E03" w:rsidR="00292293" w:rsidRPr="000E4274" w:rsidRDefault="00292293" w:rsidP="000E4274">
            <w:pPr>
              <w:spacing w:after="70"/>
              <w:jc w:val="center"/>
            </w:pPr>
            <w:r w:rsidRPr="000E4274">
              <w:t>Minimum</w:t>
            </w:r>
          </w:p>
        </w:tc>
        <w:tc>
          <w:tcPr>
            <w:tcW w:w="1440" w:type="dxa"/>
            <w:tcBorders>
              <w:top w:val="single" w:sz="4" w:space="0" w:color="auto"/>
              <w:bottom w:val="single" w:sz="4" w:space="0" w:color="auto"/>
            </w:tcBorders>
            <w:vAlign w:val="bottom"/>
          </w:tcPr>
          <w:p w14:paraId="50B5FEAE" w14:textId="2778BD95" w:rsidR="00292293" w:rsidRPr="000E4274" w:rsidRDefault="00292293" w:rsidP="000E4274">
            <w:pPr>
              <w:spacing w:after="70"/>
              <w:jc w:val="center"/>
            </w:pPr>
            <w:r w:rsidRPr="000E4274">
              <w:t>Maximum</w:t>
            </w:r>
          </w:p>
        </w:tc>
      </w:tr>
      <w:tr w:rsidR="0067211C" w14:paraId="711EF4B6" w14:textId="77777777" w:rsidTr="000E4274">
        <w:trPr>
          <w:jc w:val="center"/>
        </w:trPr>
        <w:tc>
          <w:tcPr>
            <w:tcW w:w="0" w:type="auto"/>
            <w:tcBorders>
              <w:top w:val="single" w:sz="4" w:space="0" w:color="auto"/>
            </w:tcBorders>
          </w:tcPr>
          <w:p w14:paraId="000FC5C4" w14:textId="643A0139" w:rsidR="00292293" w:rsidRPr="000E4274" w:rsidRDefault="006942E5" w:rsidP="001254BC">
            <w:pPr>
              <w:spacing w:after="70"/>
            </w:pPr>
            <w:r w:rsidRPr="000E4274">
              <w:t>Citing</w:t>
            </w:r>
            <w:r>
              <w:t xml:space="preserve"> Year</w:t>
            </w:r>
          </w:p>
        </w:tc>
        <w:tc>
          <w:tcPr>
            <w:tcW w:w="1440" w:type="dxa"/>
            <w:tcBorders>
              <w:top w:val="single" w:sz="4" w:space="0" w:color="auto"/>
            </w:tcBorders>
          </w:tcPr>
          <w:p w14:paraId="78229956" w14:textId="4E308173" w:rsidR="00292293" w:rsidRPr="000E4274" w:rsidRDefault="00B107D1" w:rsidP="000E4274">
            <w:pPr>
              <w:tabs>
                <w:tab w:val="decimal" w:pos="425"/>
              </w:tabs>
              <w:spacing w:after="70"/>
              <w:jc w:val="right"/>
            </w:pPr>
            <w:r>
              <w:t>1985</w:t>
            </w:r>
          </w:p>
        </w:tc>
        <w:tc>
          <w:tcPr>
            <w:tcW w:w="1440" w:type="dxa"/>
            <w:tcBorders>
              <w:top w:val="single" w:sz="4" w:space="0" w:color="auto"/>
            </w:tcBorders>
          </w:tcPr>
          <w:p w14:paraId="62616DBB" w14:textId="2AF86B88" w:rsidR="00292293" w:rsidRPr="000E4274" w:rsidRDefault="00B107D1" w:rsidP="000E4274">
            <w:pPr>
              <w:tabs>
                <w:tab w:val="decimal" w:pos="846"/>
              </w:tabs>
              <w:spacing w:after="70"/>
              <w:jc w:val="right"/>
            </w:pPr>
            <w:r>
              <w:t>14.7</w:t>
            </w:r>
            <w:r w:rsidR="007A3222">
              <w:t>2</w:t>
            </w:r>
          </w:p>
        </w:tc>
        <w:tc>
          <w:tcPr>
            <w:tcW w:w="1440" w:type="dxa"/>
            <w:tcBorders>
              <w:top w:val="single" w:sz="4" w:space="0" w:color="auto"/>
            </w:tcBorders>
          </w:tcPr>
          <w:p w14:paraId="4EBB7F5E" w14:textId="22944D9B" w:rsidR="00292293" w:rsidRPr="000E4274" w:rsidRDefault="00B107D1" w:rsidP="000E4274">
            <w:pPr>
              <w:tabs>
                <w:tab w:val="decimal" w:pos="257"/>
              </w:tabs>
              <w:spacing w:after="70"/>
              <w:jc w:val="right"/>
            </w:pPr>
            <w:r>
              <w:t>1960</w:t>
            </w:r>
          </w:p>
        </w:tc>
        <w:tc>
          <w:tcPr>
            <w:tcW w:w="1440" w:type="dxa"/>
            <w:tcBorders>
              <w:top w:val="single" w:sz="4" w:space="0" w:color="auto"/>
            </w:tcBorders>
          </w:tcPr>
          <w:p w14:paraId="0A120A39" w14:textId="230E65B5" w:rsidR="00292293" w:rsidRPr="000E4274" w:rsidRDefault="00B107D1" w:rsidP="000E4274">
            <w:pPr>
              <w:tabs>
                <w:tab w:val="decimal" w:pos="186"/>
                <w:tab w:val="decimal" w:pos="259"/>
              </w:tabs>
              <w:spacing w:after="70"/>
              <w:jc w:val="right"/>
            </w:pPr>
            <w:r>
              <w:t>2010</w:t>
            </w:r>
          </w:p>
        </w:tc>
      </w:tr>
      <w:tr w:rsidR="00A04A6B" w14:paraId="1508A394" w14:textId="77777777" w:rsidTr="000E4274">
        <w:trPr>
          <w:jc w:val="center"/>
        </w:trPr>
        <w:tc>
          <w:tcPr>
            <w:tcW w:w="0" w:type="auto"/>
          </w:tcPr>
          <w:p w14:paraId="5D00BF4F" w14:textId="05242F75" w:rsidR="00A04A6B" w:rsidRPr="000E4274" w:rsidRDefault="00A04A6B" w:rsidP="00A04A6B">
            <w:pPr>
              <w:spacing w:after="70"/>
            </w:pPr>
            <w:r>
              <w:t>Court Ideology</w:t>
            </w:r>
          </w:p>
        </w:tc>
        <w:tc>
          <w:tcPr>
            <w:tcW w:w="1440" w:type="dxa"/>
          </w:tcPr>
          <w:p w14:paraId="00B81E1B" w14:textId="583D471C" w:rsidR="00A04A6B" w:rsidRPr="000E4274" w:rsidRDefault="00A04A6B" w:rsidP="000E4274">
            <w:pPr>
              <w:tabs>
                <w:tab w:val="decimal" w:pos="425"/>
              </w:tabs>
              <w:spacing w:after="70"/>
              <w:jc w:val="right"/>
            </w:pPr>
            <w:r>
              <w:t>-0.14</w:t>
            </w:r>
          </w:p>
        </w:tc>
        <w:tc>
          <w:tcPr>
            <w:tcW w:w="1440" w:type="dxa"/>
          </w:tcPr>
          <w:p w14:paraId="3267B492" w14:textId="41DDF26F" w:rsidR="00A04A6B" w:rsidRPr="000E4274" w:rsidRDefault="00A04A6B" w:rsidP="000E4274">
            <w:pPr>
              <w:tabs>
                <w:tab w:val="decimal" w:pos="846"/>
              </w:tabs>
              <w:spacing w:after="70"/>
              <w:jc w:val="right"/>
            </w:pPr>
            <w:r>
              <w:t>0.97</w:t>
            </w:r>
          </w:p>
        </w:tc>
        <w:tc>
          <w:tcPr>
            <w:tcW w:w="1440" w:type="dxa"/>
          </w:tcPr>
          <w:p w14:paraId="4F8718CF" w14:textId="7AAA706D" w:rsidR="00A04A6B" w:rsidRPr="000E4274" w:rsidRDefault="00A04A6B" w:rsidP="000E4274">
            <w:pPr>
              <w:tabs>
                <w:tab w:val="decimal" w:pos="257"/>
              </w:tabs>
              <w:spacing w:after="70"/>
              <w:jc w:val="right"/>
            </w:pPr>
            <w:r>
              <w:t>-9.99</w:t>
            </w:r>
          </w:p>
        </w:tc>
        <w:tc>
          <w:tcPr>
            <w:tcW w:w="1440" w:type="dxa"/>
          </w:tcPr>
          <w:p w14:paraId="0CCFA564" w14:textId="77A7F935" w:rsidR="00A04A6B" w:rsidRPr="000E4274" w:rsidRDefault="00A04A6B" w:rsidP="000E4274">
            <w:pPr>
              <w:tabs>
                <w:tab w:val="decimal" w:pos="186"/>
                <w:tab w:val="decimal" w:pos="259"/>
              </w:tabs>
              <w:spacing w:after="70"/>
              <w:jc w:val="right"/>
            </w:pPr>
            <w:r>
              <w:t>6.17</w:t>
            </w:r>
          </w:p>
        </w:tc>
      </w:tr>
      <w:tr w:rsidR="00A04A6B" w14:paraId="3957E214" w14:textId="77777777" w:rsidTr="000E4274">
        <w:trPr>
          <w:jc w:val="center"/>
        </w:trPr>
        <w:tc>
          <w:tcPr>
            <w:tcW w:w="0" w:type="auto"/>
          </w:tcPr>
          <w:p w14:paraId="07782BBA" w14:textId="69390640" w:rsidR="00A04A6B" w:rsidRPr="000E4274" w:rsidRDefault="00A04A6B" w:rsidP="00A04A6B">
            <w:pPr>
              <w:spacing w:after="70"/>
            </w:pPr>
            <w:r>
              <w:t>Citizen Ideology</w:t>
            </w:r>
          </w:p>
        </w:tc>
        <w:tc>
          <w:tcPr>
            <w:tcW w:w="1440" w:type="dxa"/>
          </w:tcPr>
          <w:p w14:paraId="28323293" w14:textId="4BB1B857" w:rsidR="00A04A6B" w:rsidRPr="000E4274" w:rsidRDefault="00A04A6B" w:rsidP="000E4274">
            <w:pPr>
              <w:tabs>
                <w:tab w:val="decimal" w:pos="425"/>
              </w:tabs>
              <w:spacing w:after="70"/>
              <w:jc w:val="right"/>
            </w:pPr>
            <w:r>
              <w:t>47.78</w:t>
            </w:r>
          </w:p>
        </w:tc>
        <w:tc>
          <w:tcPr>
            <w:tcW w:w="1440" w:type="dxa"/>
          </w:tcPr>
          <w:p w14:paraId="28CAE721" w14:textId="7BF9BB71" w:rsidR="00A04A6B" w:rsidRPr="000E4274" w:rsidRDefault="00A04A6B" w:rsidP="000E4274">
            <w:pPr>
              <w:tabs>
                <w:tab w:val="decimal" w:pos="846"/>
              </w:tabs>
              <w:spacing w:after="70"/>
              <w:jc w:val="right"/>
            </w:pPr>
            <w:r>
              <w:t>16.66</w:t>
            </w:r>
          </w:p>
        </w:tc>
        <w:tc>
          <w:tcPr>
            <w:tcW w:w="1440" w:type="dxa"/>
          </w:tcPr>
          <w:p w14:paraId="0B119989" w14:textId="3698D616" w:rsidR="00A04A6B" w:rsidRPr="000E4274" w:rsidRDefault="00A04A6B" w:rsidP="000E4274">
            <w:pPr>
              <w:tabs>
                <w:tab w:val="decimal" w:pos="257"/>
              </w:tabs>
              <w:spacing w:after="70"/>
              <w:jc w:val="right"/>
            </w:pPr>
            <w:r>
              <w:t>0.96</w:t>
            </w:r>
          </w:p>
        </w:tc>
        <w:tc>
          <w:tcPr>
            <w:tcW w:w="1440" w:type="dxa"/>
          </w:tcPr>
          <w:p w14:paraId="3D3BC741" w14:textId="2059E389" w:rsidR="00A04A6B" w:rsidRPr="000E4274" w:rsidRDefault="00A04A6B" w:rsidP="000E4274">
            <w:pPr>
              <w:tabs>
                <w:tab w:val="decimal" w:pos="186"/>
                <w:tab w:val="decimal" w:pos="259"/>
              </w:tabs>
              <w:spacing w:after="70"/>
              <w:jc w:val="right"/>
            </w:pPr>
            <w:r>
              <w:t>95.97</w:t>
            </w:r>
          </w:p>
        </w:tc>
      </w:tr>
      <w:tr w:rsidR="00A04A6B" w14:paraId="5C42A4CD" w14:textId="77777777" w:rsidTr="000E4274">
        <w:trPr>
          <w:jc w:val="center"/>
        </w:trPr>
        <w:tc>
          <w:tcPr>
            <w:tcW w:w="0" w:type="auto"/>
          </w:tcPr>
          <w:p w14:paraId="7B88EE75" w14:textId="1A6F839C" w:rsidR="00A04A6B" w:rsidRPr="000E4274" w:rsidRDefault="00A04A6B" w:rsidP="00A04A6B">
            <w:pPr>
              <w:spacing w:after="70"/>
            </w:pPr>
            <w:r>
              <w:t>Population (in millions)</w:t>
            </w:r>
          </w:p>
        </w:tc>
        <w:tc>
          <w:tcPr>
            <w:tcW w:w="1440" w:type="dxa"/>
          </w:tcPr>
          <w:p w14:paraId="4F30EC7F" w14:textId="4318BC3B" w:rsidR="00A04A6B" w:rsidRPr="000E4274" w:rsidRDefault="00A04A6B" w:rsidP="000E4274">
            <w:pPr>
              <w:tabs>
                <w:tab w:val="decimal" w:pos="425"/>
              </w:tabs>
              <w:spacing w:after="70"/>
              <w:jc w:val="right"/>
            </w:pPr>
            <w:r>
              <w:t>4.82</w:t>
            </w:r>
          </w:p>
        </w:tc>
        <w:tc>
          <w:tcPr>
            <w:tcW w:w="1440" w:type="dxa"/>
          </w:tcPr>
          <w:p w14:paraId="22EDB6DB" w14:textId="26FA04FE" w:rsidR="00A04A6B" w:rsidRPr="000E4274" w:rsidRDefault="00A04A6B" w:rsidP="000E4274">
            <w:pPr>
              <w:tabs>
                <w:tab w:val="decimal" w:pos="846"/>
              </w:tabs>
              <w:spacing w:after="70"/>
              <w:jc w:val="right"/>
            </w:pPr>
            <w:r>
              <w:t>5.30</w:t>
            </w:r>
          </w:p>
        </w:tc>
        <w:tc>
          <w:tcPr>
            <w:tcW w:w="1440" w:type="dxa"/>
          </w:tcPr>
          <w:p w14:paraId="148CA68F" w14:textId="609E4AC8" w:rsidR="00A04A6B" w:rsidRPr="000E4274" w:rsidRDefault="00A04A6B" w:rsidP="000E4274">
            <w:pPr>
              <w:tabs>
                <w:tab w:val="decimal" w:pos="257"/>
              </w:tabs>
              <w:spacing w:after="70"/>
              <w:jc w:val="right"/>
            </w:pPr>
            <w:r>
              <w:t>0</w:t>
            </w:r>
            <w:r w:rsidRPr="00475297">
              <w:t>.2</w:t>
            </w:r>
            <w:r>
              <w:t>3</w:t>
            </w:r>
          </w:p>
        </w:tc>
        <w:tc>
          <w:tcPr>
            <w:tcW w:w="1440" w:type="dxa"/>
          </w:tcPr>
          <w:p w14:paraId="72DE7BDC" w14:textId="33A7B193" w:rsidR="00A04A6B" w:rsidRPr="000E4274" w:rsidRDefault="00A04A6B" w:rsidP="000E4274">
            <w:pPr>
              <w:tabs>
                <w:tab w:val="decimal" w:pos="186"/>
                <w:tab w:val="decimal" w:pos="259"/>
              </w:tabs>
              <w:spacing w:after="70"/>
              <w:jc w:val="right"/>
            </w:pPr>
            <w:r w:rsidRPr="00475297">
              <w:t>37.3</w:t>
            </w:r>
            <w:r>
              <w:t>4</w:t>
            </w:r>
          </w:p>
        </w:tc>
      </w:tr>
      <w:tr w:rsidR="00A04A6B" w14:paraId="30827F79" w14:textId="77777777" w:rsidTr="000E4274">
        <w:trPr>
          <w:jc w:val="center"/>
        </w:trPr>
        <w:tc>
          <w:tcPr>
            <w:tcW w:w="0" w:type="auto"/>
          </w:tcPr>
          <w:p w14:paraId="03B92C4F" w14:textId="7A1A0AE9" w:rsidR="00A04A6B" w:rsidRPr="000E4274" w:rsidRDefault="00A04A6B" w:rsidP="00A04A6B">
            <w:pPr>
              <w:spacing w:after="70"/>
            </w:pPr>
            <w:r>
              <w:t>Gross State Product (in thousands)</w:t>
            </w:r>
          </w:p>
        </w:tc>
        <w:tc>
          <w:tcPr>
            <w:tcW w:w="1440" w:type="dxa"/>
          </w:tcPr>
          <w:p w14:paraId="71E59263" w14:textId="542173BF" w:rsidR="00A04A6B" w:rsidRPr="000E4274" w:rsidRDefault="00A04A6B" w:rsidP="000E4274">
            <w:pPr>
              <w:tabs>
                <w:tab w:val="decimal" w:pos="425"/>
              </w:tabs>
              <w:spacing w:after="70"/>
              <w:jc w:val="right"/>
            </w:pPr>
            <w:r>
              <w:t>105.82</w:t>
            </w:r>
          </w:p>
        </w:tc>
        <w:tc>
          <w:tcPr>
            <w:tcW w:w="1440" w:type="dxa"/>
          </w:tcPr>
          <w:p w14:paraId="0F2DC8F1" w14:textId="22623DD5" w:rsidR="00A04A6B" w:rsidRPr="000E4274" w:rsidRDefault="00A04A6B" w:rsidP="000E4274">
            <w:pPr>
              <w:tabs>
                <w:tab w:val="decimal" w:pos="846"/>
              </w:tabs>
              <w:spacing w:after="70"/>
              <w:jc w:val="right"/>
            </w:pPr>
            <w:r>
              <w:t>185.38</w:t>
            </w:r>
          </w:p>
        </w:tc>
        <w:tc>
          <w:tcPr>
            <w:tcW w:w="1440" w:type="dxa"/>
          </w:tcPr>
          <w:p w14:paraId="6A828B75" w14:textId="2DEAC6E2" w:rsidR="00A04A6B" w:rsidRPr="000E4274" w:rsidRDefault="00A04A6B" w:rsidP="000E4274">
            <w:pPr>
              <w:tabs>
                <w:tab w:val="decimal" w:pos="257"/>
              </w:tabs>
              <w:spacing w:after="70"/>
              <w:jc w:val="right"/>
            </w:pPr>
            <w:r>
              <w:t>0</w:t>
            </w:r>
            <w:r w:rsidRPr="009D0C05">
              <w:t>.845</w:t>
            </w:r>
          </w:p>
        </w:tc>
        <w:tc>
          <w:tcPr>
            <w:tcW w:w="1440" w:type="dxa"/>
          </w:tcPr>
          <w:p w14:paraId="2D2CF367" w14:textId="22DC8FEA" w:rsidR="00A04A6B" w:rsidRPr="000E4274" w:rsidRDefault="00A04A6B" w:rsidP="000E4274">
            <w:pPr>
              <w:tabs>
                <w:tab w:val="decimal" w:pos="186"/>
                <w:tab w:val="decimal" w:pos="259"/>
              </w:tabs>
              <w:spacing w:after="70"/>
              <w:jc w:val="right"/>
            </w:pPr>
            <w:r w:rsidRPr="009D0C05">
              <w:t>1911.74</w:t>
            </w:r>
          </w:p>
        </w:tc>
      </w:tr>
      <w:tr w:rsidR="00A04A6B" w14:paraId="55EA9C17" w14:textId="77777777" w:rsidTr="000E4274">
        <w:trPr>
          <w:jc w:val="center"/>
        </w:trPr>
        <w:tc>
          <w:tcPr>
            <w:tcW w:w="0" w:type="auto"/>
          </w:tcPr>
          <w:p w14:paraId="1961229F" w14:textId="108FC87B" w:rsidR="00A04A6B" w:rsidRPr="000E4274" w:rsidRDefault="00A04A6B" w:rsidP="00A04A6B">
            <w:pPr>
              <w:spacing w:after="70"/>
            </w:pPr>
            <w:r>
              <w:t>Squire Index</w:t>
            </w:r>
          </w:p>
        </w:tc>
        <w:tc>
          <w:tcPr>
            <w:tcW w:w="1440" w:type="dxa"/>
          </w:tcPr>
          <w:p w14:paraId="3E79E330" w14:textId="05503C19" w:rsidR="00A04A6B" w:rsidRPr="000E4274" w:rsidRDefault="00A04A6B" w:rsidP="000E4274">
            <w:pPr>
              <w:tabs>
                <w:tab w:val="decimal" w:pos="425"/>
              </w:tabs>
              <w:spacing w:after="70"/>
              <w:jc w:val="right"/>
            </w:pPr>
            <w:r>
              <w:t>0.58</w:t>
            </w:r>
          </w:p>
        </w:tc>
        <w:tc>
          <w:tcPr>
            <w:tcW w:w="1440" w:type="dxa"/>
          </w:tcPr>
          <w:p w14:paraId="650D6F78" w14:textId="73AD5854" w:rsidR="00A04A6B" w:rsidRPr="000E4274" w:rsidRDefault="00A04A6B" w:rsidP="000E4274">
            <w:pPr>
              <w:tabs>
                <w:tab w:val="decimal" w:pos="846"/>
              </w:tabs>
              <w:spacing w:after="70"/>
              <w:jc w:val="right"/>
            </w:pPr>
            <w:r>
              <w:t>0.15</w:t>
            </w:r>
          </w:p>
        </w:tc>
        <w:tc>
          <w:tcPr>
            <w:tcW w:w="1440" w:type="dxa"/>
          </w:tcPr>
          <w:p w14:paraId="4F7A2FED" w14:textId="43C2CF4C" w:rsidR="00A04A6B" w:rsidRPr="000E4274" w:rsidRDefault="00A04A6B" w:rsidP="000E4274">
            <w:pPr>
              <w:tabs>
                <w:tab w:val="decimal" w:pos="257"/>
              </w:tabs>
              <w:spacing w:after="70"/>
              <w:jc w:val="right"/>
            </w:pPr>
            <w:r>
              <w:t>0.25</w:t>
            </w:r>
          </w:p>
        </w:tc>
        <w:tc>
          <w:tcPr>
            <w:tcW w:w="1440" w:type="dxa"/>
          </w:tcPr>
          <w:p w14:paraId="1D8D6F11" w14:textId="605BE6D8" w:rsidR="00A04A6B" w:rsidRPr="000E4274" w:rsidRDefault="00A04A6B" w:rsidP="000E4274">
            <w:pPr>
              <w:tabs>
                <w:tab w:val="decimal" w:pos="186"/>
                <w:tab w:val="decimal" w:pos="259"/>
              </w:tabs>
              <w:spacing w:after="70"/>
              <w:jc w:val="right"/>
            </w:pPr>
            <w:r>
              <w:t>1.00</w:t>
            </w:r>
          </w:p>
        </w:tc>
      </w:tr>
      <w:tr w:rsidR="00A04A6B" w14:paraId="39FEC2F5" w14:textId="77777777" w:rsidTr="000E4274">
        <w:trPr>
          <w:jc w:val="center"/>
        </w:trPr>
        <w:tc>
          <w:tcPr>
            <w:tcW w:w="0" w:type="auto"/>
          </w:tcPr>
          <w:p w14:paraId="77910BE9" w14:textId="719CA8A2" w:rsidR="00A04A6B" w:rsidRPr="000E4274" w:rsidRDefault="00A04A6B" w:rsidP="00A04A6B">
            <w:pPr>
              <w:spacing w:after="70"/>
            </w:pPr>
            <w:r>
              <w:t>Judicial Selection Method</w:t>
            </w:r>
          </w:p>
        </w:tc>
        <w:tc>
          <w:tcPr>
            <w:tcW w:w="1440" w:type="dxa"/>
          </w:tcPr>
          <w:p w14:paraId="1282D95E" w14:textId="21FE4338" w:rsidR="00A04A6B" w:rsidRPr="000E4274" w:rsidRDefault="00A04A6B" w:rsidP="000E4274">
            <w:pPr>
              <w:tabs>
                <w:tab w:val="decimal" w:pos="425"/>
              </w:tabs>
              <w:spacing w:after="70"/>
              <w:jc w:val="right"/>
            </w:pPr>
            <w:r>
              <w:t>3</w:t>
            </w:r>
          </w:p>
        </w:tc>
        <w:tc>
          <w:tcPr>
            <w:tcW w:w="1440" w:type="dxa"/>
          </w:tcPr>
          <w:p w14:paraId="40D99808" w14:textId="32657244" w:rsidR="00A04A6B" w:rsidRPr="000E4274" w:rsidRDefault="00A04A6B" w:rsidP="000E4274">
            <w:pPr>
              <w:tabs>
                <w:tab w:val="decimal" w:pos="846"/>
              </w:tabs>
              <w:spacing w:after="70"/>
              <w:jc w:val="right"/>
            </w:pPr>
            <w:r>
              <w:t>3.41</w:t>
            </w:r>
          </w:p>
        </w:tc>
        <w:tc>
          <w:tcPr>
            <w:tcW w:w="1440" w:type="dxa"/>
          </w:tcPr>
          <w:p w14:paraId="76AA3D2D" w14:textId="78DD7A02" w:rsidR="00A04A6B" w:rsidRPr="000E4274" w:rsidRDefault="00A04A6B" w:rsidP="000E4274">
            <w:pPr>
              <w:tabs>
                <w:tab w:val="decimal" w:pos="257"/>
              </w:tabs>
              <w:spacing w:after="70"/>
              <w:jc w:val="right"/>
            </w:pPr>
            <w:r>
              <w:t>1</w:t>
            </w:r>
          </w:p>
        </w:tc>
        <w:tc>
          <w:tcPr>
            <w:tcW w:w="1440" w:type="dxa"/>
          </w:tcPr>
          <w:p w14:paraId="7BF9D21E" w14:textId="639EA0BA" w:rsidR="00A04A6B" w:rsidRPr="000E4274" w:rsidRDefault="00A04A6B" w:rsidP="000E4274">
            <w:pPr>
              <w:tabs>
                <w:tab w:val="decimal" w:pos="186"/>
                <w:tab w:val="decimal" w:pos="259"/>
              </w:tabs>
              <w:spacing w:after="70"/>
              <w:jc w:val="right"/>
            </w:pPr>
            <w:r>
              <w:t>5</w:t>
            </w:r>
          </w:p>
        </w:tc>
      </w:tr>
      <w:tr w:rsidR="00A04A6B" w14:paraId="675C8206" w14:textId="77777777" w:rsidTr="000E4274">
        <w:trPr>
          <w:jc w:val="center"/>
        </w:trPr>
        <w:tc>
          <w:tcPr>
            <w:tcW w:w="0" w:type="auto"/>
          </w:tcPr>
          <w:p w14:paraId="7D8A06CB" w14:textId="609B8299" w:rsidR="00A04A6B" w:rsidRPr="000E4274" w:rsidRDefault="00A04A6B" w:rsidP="00A04A6B">
            <w:pPr>
              <w:spacing w:after="70"/>
            </w:pPr>
            <w:r>
              <w:t>Federal Circuit</w:t>
            </w:r>
          </w:p>
        </w:tc>
        <w:tc>
          <w:tcPr>
            <w:tcW w:w="1440" w:type="dxa"/>
          </w:tcPr>
          <w:p w14:paraId="33339920" w14:textId="2C7EE647" w:rsidR="00A04A6B" w:rsidRPr="000E4274" w:rsidRDefault="00A04A6B" w:rsidP="000E4274">
            <w:pPr>
              <w:tabs>
                <w:tab w:val="decimal" w:pos="425"/>
              </w:tabs>
              <w:spacing w:after="70"/>
              <w:jc w:val="right"/>
            </w:pPr>
            <w:r>
              <w:t>7</w:t>
            </w:r>
          </w:p>
        </w:tc>
        <w:tc>
          <w:tcPr>
            <w:tcW w:w="1440" w:type="dxa"/>
          </w:tcPr>
          <w:p w14:paraId="5D86325F" w14:textId="72064C5F" w:rsidR="00A04A6B" w:rsidRPr="000E4274" w:rsidRDefault="00A04A6B" w:rsidP="000E4274">
            <w:pPr>
              <w:tabs>
                <w:tab w:val="decimal" w:pos="846"/>
              </w:tabs>
              <w:spacing w:after="70"/>
              <w:jc w:val="right"/>
            </w:pPr>
            <w:r>
              <w:t>3.05</w:t>
            </w:r>
          </w:p>
        </w:tc>
        <w:tc>
          <w:tcPr>
            <w:tcW w:w="1440" w:type="dxa"/>
          </w:tcPr>
          <w:p w14:paraId="004746E0" w14:textId="76ACD2CB" w:rsidR="00A04A6B" w:rsidRPr="000E4274" w:rsidRDefault="00A04A6B" w:rsidP="000E4274">
            <w:pPr>
              <w:tabs>
                <w:tab w:val="decimal" w:pos="257"/>
              </w:tabs>
              <w:spacing w:after="70"/>
              <w:jc w:val="right"/>
            </w:pPr>
            <w:r>
              <w:t>1</w:t>
            </w:r>
          </w:p>
        </w:tc>
        <w:tc>
          <w:tcPr>
            <w:tcW w:w="1440" w:type="dxa"/>
          </w:tcPr>
          <w:p w14:paraId="4976A31E" w14:textId="5F1FA05E" w:rsidR="00A04A6B" w:rsidRPr="000E4274" w:rsidRDefault="00A04A6B" w:rsidP="000E4274">
            <w:pPr>
              <w:tabs>
                <w:tab w:val="decimal" w:pos="186"/>
                <w:tab w:val="decimal" w:pos="259"/>
              </w:tabs>
              <w:spacing w:after="70"/>
              <w:jc w:val="right"/>
            </w:pPr>
            <w:r>
              <w:t>11</w:t>
            </w:r>
          </w:p>
        </w:tc>
      </w:tr>
      <w:tr w:rsidR="00A04A6B" w14:paraId="1D131C46" w14:textId="77777777" w:rsidTr="000E4274">
        <w:trPr>
          <w:jc w:val="center"/>
        </w:trPr>
        <w:tc>
          <w:tcPr>
            <w:tcW w:w="0" w:type="auto"/>
          </w:tcPr>
          <w:p w14:paraId="013961DE" w14:textId="28C67BB6" w:rsidR="00A04A6B" w:rsidRDefault="00A04A6B" w:rsidP="00A04A6B">
            <w:pPr>
              <w:spacing w:after="70"/>
            </w:pPr>
            <w:r>
              <w:t>Court Reporter</w:t>
            </w:r>
          </w:p>
        </w:tc>
        <w:tc>
          <w:tcPr>
            <w:tcW w:w="1440" w:type="dxa"/>
          </w:tcPr>
          <w:p w14:paraId="116C41DD" w14:textId="7BBD7684" w:rsidR="00A04A6B" w:rsidRPr="006942E5" w:rsidRDefault="00A04A6B" w:rsidP="000E4274">
            <w:pPr>
              <w:tabs>
                <w:tab w:val="decimal" w:pos="425"/>
              </w:tabs>
              <w:spacing w:after="70"/>
              <w:jc w:val="right"/>
            </w:pPr>
            <w:r>
              <w:t>5</w:t>
            </w:r>
          </w:p>
        </w:tc>
        <w:tc>
          <w:tcPr>
            <w:tcW w:w="1440" w:type="dxa"/>
          </w:tcPr>
          <w:p w14:paraId="01278851" w14:textId="2CACE4FA" w:rsidR="00A04A6B" w:rsidRPr="006942E5" w:rsidRDefault="00A04A6B" w:rsidP="000E4274">
            <w:pPr>
              <w:tabs>
                <w:tab w:val="decimal" w:pos="846"/>
              </w:tabs>
              <w:spacing w:after="70"/>
              <w:jc w:val="right"/>
            </w:pPr>
            <w:r>
              <w:t>4.4</w:t>
            </w:r>
          </w:p>
        </w:tc>
        <w:tc>
          <w:tcPr>
            <w:tcW w:w="1440" w:type="dxa"/>
          </w:tcPr>
          <w:p w14:paraId="64A53FE9" w14:textId="0F4E32CD" w:rsidR="00A04A6B" w:rsidRPr="006942E5" w:rsidRDefault="00A04A6B" w:rsidP="000E4274">
            <w:pPr>
              <w:tabs>
                <w:tab w:val="decimal" w:pos="257"/>
              </w:tabs>
              <w:spacing w:after="70"/>
              <w:jc w:val="right"/>
            </w:pPr>
            <w:r>
              <w:t>1</w:t>
            </w:r>
          </w:p>
        </w:tc>
        <w:tc>
          <w:tcPr>
            <w:tcW w:w="1440" w:type="dxa"/>
          </w:tcPr>
          <w:p w14:paraId="3291C3D9" w14:textId="3CB2F111" w:rsidR="00A04A6B" w:rsidRPr="006942E5" w:rsidRDefault="00A04A6B" w:rsidP="000E4274">
            <w:pPr>
              <w:tabs>
                <w:tab w:val="decimal" w:pos="186"/>
                <w:tab w:val="decimal" w:pos="259"/>
              </w:tabs>
              <w:spacing w:after="70"/>
              <w:jc w:val="right"/>
            </w:pPr>
            <w:r>
              <w:t>7</w:t>
            </w:r>
          </w:p>
        </w:tc>
      </w:tr>
      <w:tr w:rsidR="00A04A6B" w14:paraId="3E9164A1" w14:textId="77777777" w:rsidTr="000E4274">
        <w:trPr>
          <w:jc w:val="center"/>
        </w:trPr>
        <w:tc>
          <w:tcPr>
            <w:tcW w:w="0" w:type="auto"/>
            <w:tcBorders>
              <w:bottom w:val="single" w:sz="4" w:space="0" w:color="auto"/>
            </w:tcBorders>
          </w:tcPr>
          <w:p w14:paraId="0F331B70" w14:textId="0F113FD5" w:rsidR="00A04A6B" w:rsidRDefault="00A04A6B" w:rsidP="00A04A6B">
            <w:pPr>
              <w:spacing w:after="70"/>
            </w:pPr>
            <w:r>
              <w:t>No. Cases Published</w:t>
            </w:r>
          </w:p>
        </w:tc>
        <w:tc>
          <w:tcPr>
            <w:tcW w:w="1440" w:type="dxa"/>
            <w:tcBorders>
              <w:bottom w:val="single" w:sz="4" w:space="0" w:color="auto"/>
            </w:tcBorders>
          </w:tcPr>
          <w:p w14:paraId="36B03E80" w14:textId="23CA7D5C" w:rsidR="00A04A6B" w:rsidRDefault="00A04A6B" w:rsidP="00A04A6B">
            <w:pPr>
              <w:tabs>
                <w:tab w:val="decimal" w:pos="425"/>
              </w:tabs>
              <w:spacing w:after="70"/>
              <w:jc w:val="right"/>
            </w:pPr>
            <w:r>
              <w:t>2.40</w:t>
            </w:r>
          </w:p>
        </w:tc>
        <w:tc>
          <w:tcPr>
            <w:tcW w:w="1440" w:type="dxa"/>
            <w:tcBorders>
              <w:bottom w:val="single" w:sz="4" w:space="0" w:color="auto"/>
            </w:tcBorders>
          </w:tcPr>
          <w:p w14:paraId="225A91CA" w14:textId="2A3807FE" w:rsidR="00A04A6B" w:rsidRDefault="00A04A6B" w:rsidP="00A04A6B">
            <w:pPr>
              <w:tabs>
                <w:tab w:val="decimal" w:pos="846"/>
              </w:tabs>
              <w:spacing w:after="70"/>
              <w:jc w:val="right"/>
            </w:pPr>
            <w:r>
              <w:t>13.06</w:t>
            </w:r>
          </w:p>
        </w:tc>
        <w:tc>
          <w:tcPr>
            <w:tcW w:w="1440" w:type="dxa"/>
            <w:tcBorders>
              <w:bottom w:val="single" w:sz="4" w:space="0" w:color="auto"/>
            </w:tcBorders>
          </w:tcPr>
          <w:p w14:paraId="0797AB55" w14:textId="42975F62" w:rsidR="00A04A6B" w:rsidRDefault="00A04A6B" w:rsidP="00A04A6B">
            <w:pPr>
              <w:tabs>
                <w:tab w:val="decimal" w:pos="257"/>
              </w:tabs>
              <w:spacing w:after="70"/>
              <w:jc w:val="right"/>
            </w:pPr>
            <w:r>
              <w:t>0</w:t>
            </w:r>
          </w:p>
        </w:tc>
        <w:tc>
          <w:tcPr>
            <w:tcW w:w="1440" w:type="dxa"/>
            <w:tcBorders>
              <w:bottom w:val="single" w:sz="4" w:space="0" w:color="auto"/>
            </w:tcBorders>
          </w:tcPr>
          <w:p w14:paraId="60949127" w14:textId="443310B6" w:rsidR="00A04A6B" w:rsidRDefault="00A04A6B" w:rsidP="00A04A6B">
            <w:pPr>
              <w:tabs>
                <w:tab w:val="decimal" w:pos="186"/>
                <w:tab w:val="decimal" w:pos="259"/>
              </w:tabs>
              <w:spacing w:after="70"/>
              <w:jc w:val="right"/>
            </w:pPr>
            <w:r>
              <w:t>174</w:t>
            </w:r>
          </w:p>
        </w:tc>
      </w:tr>
    </w:tbl>
    <w:p w14:paraId="5B31D680" w14:textId="2148B4E6" w:rsidR="00292293" w:rsidRPr="00D36E4A" w:rsidRDefault="00292293" w:rsidP="001254BC">
      <w:pPr>
        <w:spacing w:after="70"/>
        <w:rPr>
          <w:b/>
          <w:bCs/>
        </w:rPr>
      </w:pPr>
    </w:p>
    <w:p w14:paraId="6005ABEA" w14:textId="77777777" w:rsidR="001254BC" w:rsidRDefault="001254BC">
      <w:pPr>
        <w:rPr>
          <w:b/>
          <w:bCs/>
        </w:rPr>
      </w:pPr>
    </w:p>
    <w:p w14:paraId="64889809" w14:textId="46A917DF" w:rsidR="00C92AFE" w:rsidRDefault="00C92AFE">
      <w:pPr>
        <w:rPr>
          <w:b/>
          <w:bCs/>
        </w:rPr>
      </w:pPr>
      <w:r>
        <w:rPr>
          <w:b/>
          <w:bCs/>
        </w:rPr>
        <w:br w:type="page"/>
      </w:r>
    </w:p>
    <w:p w14:paraId="6CA238F7" w14:textId="2EC8B305" w:rsidR="004A5ACB" w:rsidRPr="00557D26" w:rsidRDefault="004A5ACB" w:rsidP="001254BC">
      <w:pPr>
        <w:pStyle w:val="BodyText"/>
        <w:tabs>
          <w:tab w:val="left" w:pos="720"/>
        </w:tabs>
        <w:jc w:val="center"/>
        <w:rPr>
          <w:b/>
          <w:bCs/>
        </w:rPr>
      </w:pPr>
      <w:r w:rsidRPr="00557D26">
        <w:rPr>
          <w:b/>
          <w:bCs/>
        </w:rPr>
        <w:t xml:space="preserve">Figure </w:t>
      </w:r>
      <w:r w:rsidR="0009491C">
        <w:rPr>
          <w:b/>
          <w:bCs/>
        </w:rPr>
        <w:t>B</w:t>
      </w:r>
      <w:r w:rsidR="004B0858">
        <w:rPr>
          <w:b/>
          <w:bCs/>
        </w:rPr>
        <w:t>.</w:t>
      </w:r>
      <w:r w:rsidR="002C49C1">
        <w:rPr>
          <w:b/>
          <w:bCs/>
        </w:rPr>
        <w:t>1</w:t>
      </w:r>
      <w:r w:rsidRPr="00557D26">
        <w:rPr>
          <w:b/>
          <w:bCs/>
        </w:rPr>
        <w:t>: Total In</w:t>
      </w:r>
      <w:r>
        <w:rPr>
          <w:b/>
          <w:bCs/>
        </w:rPr>
        <w:t>-</w:t>
      </w:r>
      <w:r w:rsidRPr="00557D26">
        <w:rPr>
          <w:b/>
          <w:bCs/>
        </w:rPr>
        <w:t>Degree Citations by Area of Law</w:t>
      </w:r>
      <w:r>
        <w:rPr>
          <w:noProof/>
          <w:lang w:val="en-IN" w:eastAsia="en-IN"/>
        </w:rPr>
        <w:drawing>
          <wp:inline distT="0" distB="0" distL="0" distR="0" wp14:anchorId="3CB7F1D9" wp14:editId="77C5EF7D">
            <wp:extent cx="3200400" cy="2327658"/>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327658"/>
                    </a:xfrm>
                    <a:prstGeom prst="rect">
                      <a:avLst/>
                    </a:prstGeom>
                  </pic:spPr>
                </pic:pic>
              </a:graphicData>
            </a:graphic>
          </wp:inline>
        </w:drawing>
      </w:r>
    </w:p>
    <w:p w14:paraId="26704947" w14:textId="127012BA" w:rsidR="004A5ACB" w:rsidRDefault="004A5ACB" w:rsidP="004A5ACB">
      <w:pPr>
        <w:pStyle w:val="BodyText"/>
        <w:tabs>
          <w:tab w:val="left" w:pos="720"/>
        </w:tabs>
      </w:pPr>
      <w:r w:rsidRPr="002C5C7F">
        <w:t xml:space="preserve">As illustrated in Figure </w:t>
      </w:r>
      <w:r w:rsidR="002C49C1">
        <w:t>B.</w:t>
      </w:r>
      <w:hyperlink w:anchor="_bookmark10" w:history="1">
        <w:r>
          <w:t>1</w:t>
        </w:r>
      </w:hyperlink>
      <w:r w:rsidRPr="002C5C7F">
        <w:t>, plotting the citations</w:t>
      </w:r>
      <w:r>
        <w:t xml:space="preserve"> each court receives</w:t>
      </w:r>
      <w:r w:rsidRPr="002C5C7F">
        <w:t xml:space="preserve"> over time reveals each area of law’s unique citation patterns. Overall, there are fewer family law than judicial conduct citations. Also notable from the figure are the peaks and valleys of the citations. In 1994, for example, there were only 3 family law citations while there were 52 judicial conduct citations to other supreme courts. 2004 was an active year for both areas. There were 44 judicial conduct and 40 family law citations to other courts.</w:t>
      </w:r>
    </w:p>
    <w:p w14:paraId="1B24C4E5" w14:textId="77777777" w:rsidR="004A5ACB" w:rsidRPr="00661BE1" w:rsidRDefault="004A5ACB" w:rsidP="00F13E2F">
      <w:pPr>
        <w:pStyle w:val="BodyText"/>
        <w:tabs>
          <w:tab w:val="left" w:pos="720"/>
        </w:tabs>
      </w:pPr>
    </w:p>
    <w:p w14:paraId="16EFDA55" w14:textId="77777777" w:rsidR="00F13E2F" w:rsidRDefault="00F13E2F">
      <w:pPr>
        <w:rPr>
          <w:b/>
          <w:bCs/>
        </w:rPr>
      </w:pPr>
      <w:r>
        <w:rPr>
          <w:b/>
          <w:bCs/>
        </w:rPr>
        <w:br w:type="page"/>
      </w:r>
    </w:p>
    <w:p w14:paraId="27C0F8AD" w14:textId="15CE053F" w:rsidR="003C5B2A" w:rsidRPr="003D4912" w:rsidRDefault="003C5B2A" w:rsidP="003C5B2A">
      <w:pPr>
        <w:rPr>
          <w:b/>
          <w:bCs/>
        </w:rPr>
      </w:pPr>
      <w:r w:rsidRPr="003D4912">
        <w:rPr>
          <w:b/>
          <w:bCs/>
        </w:rPr>
        <w:t>Appendix C: Full Model Results</w:t>
      </w:r>
    </w:p>
    <w:p w14:paraId="18EB587C" w14:textId="77777777" w:rsidR="003C5B2A" w:rsidRDefault="003C5B2A" w:rsidP="003C5B2A">
      <w:pPr>
        <w:rPr>
          <w:b/>
          <w:bCs/>
        </w:rPr>
      </w:pPr>
    </w:p>
    <w:p w14:paraId="2D69DF3B" w14:textId="5A132CCD" w:rsidR="00732C1A" w:rsidRPr="00CC3117" w:rsidRDefault="00CC3117" w:rsidP="00F13E2F">
      <w:pPr>
        <w:jc w:val="center"/>
        <w:rPr>
          <w:b/>
          <w:bCs/>
        </w:rPr>
      </w:pPr>
      <w:r>
        <w:rPr>
          <w:b/>
          <w:bCs/>
        </w:rPr>
        <w:t xml:space="preserve">Table </w:t>
      </w:r>
      <w:r w:rsidR="003D4912">
        <w:rPr>
          <w:b/>
          <w:bCs/>
        </w:rPr>
        <w:t>C.1</w:t>
      </w:r>
      <w:r>
        <w:rPr>
          <w:b/>
          <w:bCs/>
        </w:rPr>
        <w:t xml:space="preserve">. </w:t>
      </w:r>
      <w:r w:rsidR="00425523">
        <w:rPr>
          <w:b/>
          <w:bCs/>
        </w:rPr>
        <w:t xml:space="preserve">TERGM </w:t>
      </w:r>
      <w:r>
        <w:rPr>
          <w:b/>
          <w:bCs/>
        </w:rPr>
        <w:t>Results</w:t>
      </w:r>
    </w:p>
    <w:tbl>
      <w:tblPr>
        <w:tblW w:w="0" w:type="auto"/>
        <w:jc w:val="center"/>
        <w:tblLook w:val="04A0" w:firstRow="1" w:lastRow="0" w:firstColumn="1" w:lastColumn="0" w:noHBand="0" w:noVBand="1"/>
      </w:tblPr>
      <w:tblGrid>
        <w:gridCol w:w="3218"/>
        <w:gridCol w:w="1616"/>
        <w:gridCol w:w="2146"/>
      </w:tblGrid>
      <w:tr w:rsidR="00E76643" w:rsidRPr="00005809" w14:paraId="278E9A64" w14:textId="77777777" w:rsidTr="000A5A82">
        <w:trPr>
          <w:trHeight w:val="288"/>
          <w:jc w:val="center"/>
        </w:trPr>
        <w:tc>
          <w:tcPr>
            <w:tcW w:w="3218" w:type="dxa"/>
            <w:tcBorders>
              <w:top w:val="nil"/>
              <w:left w:val="nil"/>
              <w:bottom w:val="single" w:sz="4" w:space="0" w:color="auto"/>
              <w:right w:val="nil"/>
            </w:tcBorders>
            <w:shd w:val="clear" w:color="auto" w:fill="auto"/>
            <w:noWrap/>
            <w:vAlign w:val="bottom"/>
            <w:hideMark/>
          </w:tcPr>
          <w:p w14:paraId="5FC4DD63" w14:textId="77777777" w:rsidR="00005809" w:rsidRDefault="00005809" w:rsidP="00005809">
            <w:pPr>
              <w:rPr>
                <w:sz w:val="22"/>
              </w:rPr>
            </w:pPr>
          </w:p>
          <w:p w14:paraId="75E81025" w14:textId="1B853166" w:rsidR="00FD33D4" w:rsidRPr="00005809" w:rsidRDefault="00FD33D4" w:rsidP="00005809">
            <w:pPr>
              <w:rPr>
                <w:sz w:val="22"/>
              </w:rPr>
            </w:pPr>
          </w:p>
        </w:tc>
        <w:tc>
          <w:tcPr>
            <w:tcW w:w="0" w:type="auto"/>
            <w:tcBorders>
              <w:top w:val="nil"/>
              <w:left w:val="nil"/>
              <w:bottom w:val="single" w:sz="4" w:space="0" w:color="auto"/>
              <w:right w:val="nil"/>
            </w:tcBorders>
            <w:shd w:val="clear" w:color="auto" w:fill="auto"/>
            <w:noWrap/>
            <w:vAlign w:val="bottom"/>
            <w:hideMark/>
          </w:tcPr>
          <w:p w14:paraId="62C04430" w14:textId="77777777" w:rsidR="00005809" w:rsidRPr="00005809" w:rsidRDefault="00005809" w:rsidP="00005809">
            <w:pPr>
              <w:rPr>
                <w:color w:val="000000"/>
                <w:sz w:val="22"/>
              </w:rPr>
            </w:pPr>
            <w:r w:rsidRPr="00005809">
              <w:rPr>
                <w:color w:val="000000"/>
                <w:sz w:val="22"/>
              </w:rPr>
              <w:t>Family Law</w:t>
            </w:r>
          </w:p>
        </w:tc>
        <w:tc>
          <w:tcPr>
            <w:tcW w:w="0" w:type="auto"/>
            <w:tcBorders>
              <w:top w:val="nil"/>
              <w:left w:val="nil"/>
              <w:bottom w:val="single" w:sz="4" w:space="0" w:color="auto"/>
              <w:right w:val="nil"/>
            </w:tcBorders>
            <w:shd w:val="clear" w:color="auto" w:fill="auto"/>
            <w:noWrap/>
            <w:vAlign w:val="bottom"/>
            <w:hideMark/>
          </w:tcPr>
          <w:p w14:paraId="0504E33F" w14:textId="77777777" w:rsidR="00005809" w:rsidRPr="00005809" w:rsidRDefault="00005809" w:rsidP="00005809">
            <w:pPr>
              <w:rPr>
                <w:color w:val="000000"/>
                <w:sz w:val="22"/>
              </w:rPr>
            </w:pPr>
            <w:commentRangeStart w:id="1"/>
            <w:r w:rsidRPr="00005809">
              <w:rPr>
                <w:color w:val="000000"/>
                <w:sz w:val="22"/>
              </w:rPr>
              <w:t>Judicial Conduct</w:t>
            </w:r>
            <w:commentRangeEnd w:id="1"/>
            <w:r w:rsidR="00BB01B6">
              <w:rPr>
                <w:rStyle w:val="CommentReference"/>
              </w:rPr>
              <w:commentReference w:id="1"/>
            </w:r>
          </w:p>
        </w:tc>
      </w:tr>
      <w:tr w:rsidR="00E76643" w:rsidRPr="00005809" w14:paraId="2B6E469E"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3F7EB052" w14:textId="77777777" w:rsidR="00005809" w:rsidRPr="00005809" w:rsidRDefault="00005809" w:rsidP="00005809">
            <w:pPr>
              <w:rPr>
                <w:color w:val="000000"/>
                <w:sz w:val="22"/>
              </w:rPr>
            </w:pPr>
            <w:r w:rsidRPr="00005809">
              <w:rPr>
                <w:color w:val="000000"/>
                <w:sz w:val="22"/>
              </w:rPr>
              <w:t>Edges</w:t>
            </w:r>
          </w:p>
        </w:tc>
        <w:tc>
          <w:tcPr>
            <w:tcW w:w="0" w:type="auto"/>
            <w:tcBorders>
              <w:top w:val="nil"/>
              <w:left w:val="nil"/>
              <w:bottom w:val="nil"/>
              <w:right w:val="nil"/>
            </w:tcBorders>
            <w:shd w:val="clear" w:color="auto" w:fill="auto"/>
            <w:noWrap/>
            <w:vAlign w:val="bottom"/>
            <w:hideMark/>
          </w:tcPr>
          <w:p w14:paraId="7A3F0251" w14:textId="27D36A6D" w:rsidR="00005809" w:rsidRPr="00DC2AA2" w:rsidRDefault="002E3E49" w:rsidP="003D72F2">
            <w:pPr>
              <w:jc w:val="center"/>
              <w:rPr>
                <w:color w:val="000000"/>
                <w:sz w:val="22"/>
                <w:szCs w:val="22"/>
              </w:rPr>
            </w:pPr>
            <w:r w:rsidRPr="00DC2AA2">
              <w:rPr>
                <w:color w:val="000000"/>
                <w:sz w:val="22"/>
                <w:szCs w:val="22"/>
              </w:rPr>
              <w:t>-</w:t>
            </w:r>
            <w:r w:rsidR="0001025C">
              <w:rPr>
                <w:color w:val="000000"/>
                <w:sz w:val="22"/>
                <w:szCs w:val="22"/>
              </w:rPr>
              <w:t>5</w:t>
            </w:r>
            <w:r w:rsidRPr="00DC2AA2">
              <w:rPr>
                <w:color w:val="000000"/>
                <w:sz w:val="22"/>
                <w:szCs w:val="22"/>
              </w:rPr>
              <w:t>.</w:t>
            </w:r>
            <w:r w:rsidR="001E2D94">
              <w:rPr>
                <w:color w:val="000000"/>
                <w:sz w:val="22"/>
                <w:szCs w:val="22"/>
              </w:rPr>
              <w:t>1</w:t>
            </w:r>
            <w:r w:rsidR="000E4274">
              <w:rPr>
                <w:color w:val="000000"/>
                <w:sz w:val="22"/>
                <w:szCs w:val="22"/>
              </w:rPr>
              <w:t>6</w:t>
            </w:r>
            <w:r w:rsidR="00005809" w:rsidRPr="00DC2AA2">
              <w:rPr>
                <w:color w:val="000000"/>
                <w:sz w:val="22"/>
                <w:szCs w:val="22"/>
              </w:rPr>
              <w:t>*</w:t>
            </w:r>
          </w:p>
        </w:tc>
        <w:tc>
          <w:tcPr>
            <w:tcW w:w="0" w:type="auto"/>
            <w:tcBorders>
              <w:top w:val="nil"/>
              <w:left w:val="nil"/>
              <w:bottom w:val="nil"/>
              <w:right w:val="nil"/>
            </w:tcBorders>
            <w:shd w:val="clear" w:color="auto" w:fill="auto"/>
            <w:noWrap/>
            <w:vAlign w:val="bottom"/>
            <w:hideMark/>
          </w:tcPr>
          <w:p w14:paraId="5E48D708" w14:textId="7908EF8D" w:rsidR="00005809" w:rsidRPr="00DC2AA2" w:rsidRDefault="00546D64" w:rsidP="0076650C">
            <w:pPr>
              <w:jc w:val="center"/>
              <w:rPr>
                <w:color w:val="000000"/>
                <w:sz w:val="22"/>
                <w:szCs w:val="22"/>
              </w:rPr>
            </w:pPr>
            <w:r w:rsidRPr="00DC2AA2">
              <w:rPr>
                <w:color w:val="000000"/>
                <w:sz w:val="22"/>
                <w:szCs w:val="22"/>
              </w:rPr>
              <w:t>-</w:t>
            </w:r>
            <w:r w:rsidR="00CD4888">
              <w:rPr>
                <w:color w:val="000000"/>
                <w:sz w:val="22"/>
                <w:szCs w:val="22"/>
              </w:rPr>
              <w:t>5</w:t>
            </w:r>
            <w:r w:rsidRPr="00DC2AA2">
              <w:rPr>
                <w:color w:val="000000"/>
                <w:sz w:val="22"/>
                <w:szCs w:val="22"/>
              </w:rPr>
              <w:t>.</w:t>
            </w:r>
            <w:r w:rsidR="00CD4888">
              <w:rPr>
                <w:color w:val="000000"/>
                <w:sz w:val="22"/>
                <w:szCs w:val="22"/>
              </w:rPr>
              <w:t>36</w:t>
            </w:r>
            <w:r w:rsidR="00005809" w:rsidRPr="00DC2AA2">
              <w:rPr>
                <w:color w:val="000000"/>
                <w:sz w:val="22"/>
                <w:szCs w:val="22"/>
              </w:rPr>
              <w:t>*</w:t>
            </w:r>
          </w:p>
        </w:tc>
      </w:tr>
      <w:tr w:rsidR="00E76643" w:rsidRPr="00005809" w14:paraId="517B36A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4097E6C7"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1E7D2FCB" w14:textId="4850D7B0" w:rsidR="00005809" w:rsidRPr="00DC2AA2" w:rsidRDefault="00D915AC" w:rsidP="003D72F2">
            <w:pPr>
              <w:jc w:val="center"/>
              <w:rPr>
                <w:sz w:val="22"/>
                <w:szCs w:val="22"/>
              </w:rPr>
            </w:pPr>
            <w:r w:rsidRPr="00DC2AA2">
              <w:rPr>
                <w:sz w:val="22"/>
                <w:szCs w:val="22"/>
              </w:rPr>
              <w:t>(-</w:t>
            </w:r>
            <w:r w:rsidR="004A03BD">
              <w:rPr>
                <w:sz w:val="22"/>
                <w:szCs w:val="22"/>
              </w:rPr>
              <w:t>6</w:t>
            </w:r>
            <w:r w:rsidRPr="00DC2AA2">
              <w:rPr>
                <w:sz w:val="22"/>
                <w:szCs w:val="22"/>
              </w:rPr>
              <w:t>.</w:t>
            </w:r>
            <w:r w:rsidR="004A03BD">
              <w:rPr>
                <w:sz w:val="22"/>
                <w:szCs w:val="22"/>
              </w:rPr>
              <w:t>47</w:t>
            </w:r>
            <w:r w:rsidRPr="00DC2AA2">
              <w:rPr>
                <w:sz w:val="22"/>
                <w:szCs w:val="22"/>
              </w:rPr>
              <w:t>; -</w:t>
            </w:r>
            <w:r w:rsidR="00B25202">
              <w:rPr>
                <w:sz w:val="22"/>
                <w:szCs w:val="22"/>
              </w:rPr>
              <w:t>4</w:t>
            </w:r>
            <w:r w:rsidRPr="00DC2AA2">
              <w:rPr>
                <w:sz w:val="22"/>
                <w:szCs w:val="22"/>
              </w:rPr>
              <w:t>.</w:t>
            </w:r>
            <w:r w:rsidR="00B25202">
              <w:rPr>
                <w:sz w:val="22"/>
                <w:szCs w:val="22"/>
              </w:rPr>
              <w:t>18</w:t>
            </w:r>
            <w:r w:rsidRPr="00DC2AA2">
              <w:rPr>
                <w:sz w:val="22"/>
                <w:szCs w:val="22"/>
              </w:rPr>
              <w:t>)</w:t>
            </w:r>
          </w:p>
        </w:tc>
        <w:tc>
          <w:tcPr>
            <w:tcW w:w="0" w:type="auto"/>
            <w:tcBorders>
              <w:top w:val="nil"/>
              <w:left w:val="nil"/>
              <w:bottom w:val="nil"/>
              <w:right w:val="nil"/>
            </w:tcBorders>
            <w:shd w:val="clear" w:color="auto" w:fill="auto"/>
            <w:noWrap/>
            <w:vAlign w:val="bottom"/>
            <w:hideMark/>
          </w:tcPr>
          <w:p w14:paraId="439F4DDF" w14:textId="1AAF29A1" w:rsidR="00005809" w:rsidRPr="00DC2AA2" w:rsidRDefault="0088060E" w:rsidP="0076650C">
            <w:pPr>
              <w:jc w:val="center"/>
              <w:rPr>
                <w:sz w:val="22"/>
                <w:szCs w:val="22"/>
              </w:rPr>
            </w:pPr>
            <w:r w:rsidRPr="00DC2AA2">
              <w:rPr>
                <w:sz w:val="22"/>
                <w:szCs w:val="22"/>
              </w:rPr>
              <w:t>(-</w:t>
            </w:r>
            <w:r w:rsidR="00CD4888">
              <w:rPr>
                <w:sz w:val="22"/>
                <w:szCs w:val="22"/>
              </w:rPr>
              <w:t>6</w:t>
            </w:r>
            <w:r w:rsidRPr="00DC2AA2">
              <w:rPr>
                <w:sz w:val="22"/>
                <w:szCs w:val="22"/>
              </w:rPr>
              <w:t>.</w:t>
            </w:r>
            <w:r w:rsidR="00CD4888">
              <w:rPr>
                <w:sz w:val="22"/>
                <w:szCs w:val="22"/>
              </w:rPr>
              <w:t>01</w:t>
            </w:r>
            <w:r w:rsidRPr="00DC2AA2">
              <w:rPr>
                <w:sz w:val="22"/>
                <w:szCs w:val="22"/>
              </w:rPr>
              <w:t>; -</w:t>
            </w:r>
            <w:r w:rsidR="00340CC0">
              <w:rPr>
                <w:sz w:val="22"/>
                <w:szCs w:val="22"/>
              </w:rPr>
              <w:t>4</w:t>
            </w:r>
            <w:r w:rsidRPr="00DC2AA2">
              <w:rPr>
                <w:sz w:val="22"/>
                <w:szCs w:val="22"/>
              </w:rPr>
              <w:t>.</w:t>
            </w:r>
            <w:r w:rsidR="00340CC0">
              <w:rPr>
                <w:sz w:val="22"/>
                <w:szCs w:val="22"/>
              </w:rPr>
              <w:t>78</w:t>
            </w:r>
            <w:r w:rsidRPr="00DC2AA2">
              <w:rPr>
                <w:sz w:val="22"/>
                <w:szCs w:val="22"/>
              </w:rPr>
              <w:t>)</w:t>
            </w:r>
          </w:p>
        </w:tc>
      </w:tr>
      <w:tr w:rsidR="00E76643" w:rsidRPr="00005809" w14:paraId="57C6A01F"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EECB247" w14:textId="61F36416" w:rsidR="00005809" w:rsidRPr="00005809" w:rsidRDefault="00B246B8" w:rsidP="00005809">
            <w:pPr>
              <w:rPr>
                <w:color w:val="000000"/>
                <w:sz w:val="22"/>
              </w:rPr>
            </w:pPr>
            <w:r w:rsidRPr="00005809">
              <w:rPr>
                <w:color w:val="000000"/>
                <w:sz w:val="22"/>
              </w:rPr>
              <w:t xml:space="preserve">Lagged Citation </w:t>
            </w:r>
          </w:p>
        </w:tc>
        <w:tc>
          <w:tcPr>
            <w:tcW w:w="0" w:type="auto"/>
            <w:tcBorders>
              <w:top w:val="nil"/>
              <w:left w:val="nil"/>
              <w:bottom w:val="nil"/>
              <w:right w:val="nil"/>
            </w:tcBorders>
            <w:shd w:val="clear" w:color="auto" w:fill="auto"/>
            <w:noWrap/>
            <w:vAlign w:val="bottom"/>
            <w:hideMark/>
          </w:tcPr>
          <w:p w14:paraId="59805988" w14:textId="37684496" w:rsidR="00005809" w:rsidRPr="00DC2AA2" w:rsidRDefault="002E3E49" w:rsidP="003D72F2">
            <w:pPr>
              <w:jc w:val="center"/>
              <w:rPr>
                <w:color w:val="000000"/>
                <w:sz w:val="22"/>
                <w:szCs w:val="22"/>
              </w:rPr>
            </w:pPr>
            <w:r w:rsidRPr="00DC2AA2">
              <w:rPr>
                <w:color w:val="000000"/>
                <w:sz w:val="22"/>
                <w:szCs w:val="22"/>
              </w:rPr>
              <w:t>2.5</w:t>
            </w:r>
            <w:r w:rsidR="000E4274">
              <w:rPr>
                <w:color w:val="000000"/>
                <w:sz w:val="22"/>
                <w:szCs w:val="22"/>
              </w:rPr>
              <w:t>3</w:t>
            </w:r>
            <w:r w:rsidR="001536C8" w:rsidRPr="00DC2AA2">
              <w:rPr>
                <w:color w:val="000000"/>
                <w:sz w:val="22"/>
                <w:szCs w:val="22"/>
              </w:rPr>
              <w:t>*</w:t>
            </w:r>
          </w:p>
        </w:tc>
        <w:tc>
          <w:tcPr>
            <w:tcW w:w="0" w:type="auto"/>
            <w:tcBorders>
              <w:top w:val="nil"/>
              <w:left w:val="nil"/>
              <w:bottom w:val="nil"/>
              <w:right w:val="nil"/>
            </w:tcBorders>
            <w:shd w:val="clear" w:color="auto" w:fill="auto"/>
            <w:noWrap/>
            <w:vAlign w:val="bottom"/>
            <w:hideMark/>
          </w:tcPr>
          <w:p w14:paraId="2BF7AD78" w14:textId="4AAFF7A7" w:rsidR="00005809" w:rsidRPr="00DC2AA2" w:rsidRDefault="00546D64" w:rsidP="0076650C">
            <w:pPr>
              <w:jc w:val="center"/>
              <w:rPr>
                <w:color w:val="000000"/>
                <w:sz w:val="22"/>
                <w:szCs w:val="22"/>
              </w:rPr>
            </w:pPr>
            <w:r w:rsidRPr="00DC2AA2">
              <w:rPr>
                <w:color w:val="000000"/>
                <w:sz w:val="22"/>
                <w:szCs w:val="22"/>
              </w:rPr>
              <w:t>0.9</w:t>
            </w:r>
            <w:r w:rsidR="00CD4888">
              <w:rPr>
                <w:color w:val="000000"/>
                <w:sz w:val="22"/>
                <w:szCs w:val="22"/>
              </w:rPr>
              <w:t>1</w:t>
            </w:r>
            <w:r w:rsidRPr="00DC2AA2">
              <w:rPr>
                <w:color w:val="000000"/>
                <w:sz w:val="22"/>
                <w:szCs w:val="22"/>
              </w:rPr>
              <w:t>*</w:t>
            </w:r>
          </w:p>
        </w:tc>
      </w:tr>
      <w:tr w:rsidR="00E76643" w:rsidRPr="00005809" w14:paraId="351C70A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9F9A2B2"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78E373E8" w14:textId="2198D04E" w:rsidR="00005809" w:rsidRPr="00DC2AA2" w:rsidRDefault="00D915AC" w:rsidP="003D72F2">
            <w:pPr>
              <w:jc w:val="center"/>
              <w:rPr>
                <w:color w:val="000000"/>
                <w:sz w:val="22"/>
                <w:szCs w:val="22"/>
              </w:rPr>
            </w:pPr>
            <w:r w:rsidRPr="00DC2AA2">
              <w:rPr>
                <w:sz w:val="22"/>
                <w:szCs w:val="22"/>
              </w:rPr>
              <w:t>(1.7</w:t>
            </w:r>
            <w:r w:rsidR="004A03BD">
              <w:rPr>
                <w:sz w:val="22"/>
                <w:szCs w:val="22"/>
              </w:rPr>
              <w:t>5</w:t>
            </w:r>
            <w:r w:rsidRPr="00DC2AA2">
              <w:rPr>
                <w:sz w:val="22"/>
                <w:szCs w:val="22"/>
              </w:rPr>
              <w:t>; 3.</w:t>
            </w:r>
            <w:r w:rsidR="00B25202">
              <w:rPr>
                <w:sz w:val="22"/>
                <w:szCs w:val="22"/>
              </w:rPr>
              <w:t>14</w:t>
            </w:r>
            <w:r w:rsidRPr="00DC2AA2">
              <w:rPr>
                <w:sz w:val="22"/>
                <w:szCs w:val="22"/>
              </w:rPr>
              <w:t>)</w:t>
            </w:r>
          </w:p>
        </w:tc>
        <w:tc>
          <w:tcPr>
            <w:tcW w:w="0" w:type="auto"/>
            <w:tcBorders>
              <w:top w:val="nil"/>
              <w:left w:val="nil"/>
              <w:bottom w:val="nil"/>
              <w:right w:val="nil"/>
            </w:tcBorders>
            <w:shd w:val="clear" w:color="auto" w:fill="auto"/>
            <w:noWrap/>
            <w:vAlign w:val="bottom"/>
            <w:hideMark/>
          </w:tcPr>
          <w:p w14:paraId="48E28530" w14:textId="4D59EEC0" w:rsidR="00005809" w:rsidRPr="00DC2AA2" w:rsidRDefault="0088060E" w:rsidP="0076650C">
            <w:pPr>
              <w:jc w:val="center"/>
              <w:rPr>
                <w:color w:val="000000"/>
                <w:sz w:val="22"/>
                <w:szCs w:val="22"/>
              </w:rPr>
            </w:pPr>
            <w:r w:rsidRPr="00DC2AA2">
              <w:rPr>
                <w:sz w:val="22"/>
                <w:szCs w:val="22"/>
              </w:rPr>
              <w:t>(0.5</w:t>
            </w:r>
            <w:r w:rsidR="00CD4888">
              <w:rPr>
                <w:sz w:val="22"/>
                <w:szCs w:val="22"/>
              </w:rPr>
              <w:t>5</w:t>
            </w:r>
            <w:r w:rsidRPr="00DC2AA2">
              <w:rPr>
                <w:sz w:val="22"/>
                <w:szCs w:val="22"/>
              </w:rPr>
              <w:t>; 1.2</w:t>
            </w:r>
            <w:r w:rsidR="00340CC0">
              <w:rPr>
                <w:sz w:val="22"/>
                <w:szCs w:val="22"/>
              </w:rPr>
              <w:t>1</w:t>
            </w:r>
            <w:r w:rsidRPr="00DC2AA2">
              <w:rPr>
                <w:sz w:val="22"/>
                <w:szCs w:val="22"/>
              </w:rPr>
              <w:t>)</w:t>
            </w:r>
          </w:p>
        </w:tc>
      </w:tr>
      <w:tr w:rsidR="00E76643" w:rsidRPr="00005809" w14:paraId="44E10A0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1F1ABE4A" w14:textId="0E722425" w:rsidR="00005809" w:rsidRPr="00005809" w:rsidRDefault="00B246B8" w:rsidP="00005809">
            <w:pPr>
              <w:rPr>
                <w:color w:val="000000"/>
                <w:sz w:val="22"/>
              </w:rPr>
            </w:pPr>
            <w:r w:rsidRPr="00005809">
              <w:rPr>
                <w:color w:val="000000"/>
                <w:sz w:val="22"/>
              </w:rPr>
              <w:t>Year</w:t>
            </w:r>
          </w:p>
        </w:tc>
        <w:tc>
          <w:tcPr>
            <w:tcW w:w="0" w:type="auto"/>
            <w:tcBorders>
              <w:top w:val="nil"/>
              <w:left w:val="nil"/>
              <w:bottom w:val="nil"/>
              <w:right w:val="nil"/>
            </w:tcBorders>
            <w:shd w:val="clear" w:color="auto" w:fill="auto"/>
            <w:noWrap/>
            <w:vAlign w:val="bottom"/>
            <w:hideMark/>
          </w:tcPr>
          <w:p w14:paraId="6002EDE1" w14:textId="6DFF64F6" w:rsidR="00005809" w:rsidRPr="00DC2AA2" w:rsidRDefault="002E3E49" w:rsidP="003D72F2">
            <w:pPr>
              <w:jc w:val="center"/>
              <w:rPr>
                <w:color w:val="000000"/>
                <w:sz w:val="22"/>
                <w:szCs w:val="22"/>
              </w:rPr>
            </w:pPr>
            <w:r w:rsidRPr="00DC2AA2">
              <w:rPr>
                <w:color w:val="000000"/>
                <w:sz w:val="22"/>
                <w:szCs w:val="22"/>
              </w:rPr>
              <w:t>0.0</w:t>
            </w:r>
            <w:r w:rsidR="000E4274">
              <w:rPr>
                <w:color w:val="000000"/>
                <w:sz w:val="22"/>
                <w:szCs w:val="22"/>
              </w:rPr>
              <w:t>5</w:t>
            </w:r>
            <w:r w:rsidR="00E916D1">
              <w:rPr>
                <w:color w:val="000000"/>
                <w:sz w:val="22"/>
                <w:szCs w:val="22"/>
              </w:rPr>
              <w:t>*</w:t>
            </w:r>
          </w:p>
        </w:tc>
        <w:tc>
          <w:tcPr>
            <w:tcW w:w="0" w:type="auto"/>
            <w:tcBorders>
              <w:top w:val="nil"/>
              <w:left w:val="nil"/>
              <w:bottom w:val="nil"/>
              <w:right w:val="nil"/>
            </w:tcBorders>
            <w:shd w:val="clear" w:color="auto" w:fill="auto"/>
            <w:noWrap/>
            <w:vAlign w:val="bottom"/>
            <w:hideMark/>
          </w:tcPr>
          <w:p w14:paraId="6B6CB823" w14:textId="241C0FB1" w:rsidR="00005809" w:rsidRPr="00DC2AA2" w:rsidRDefault="00546D64" w:rsidP="0076650C">
            <w:pPr>
              <w:jc w:val="center"/>
              <w:rPr>
                <w:color w:val="000000"/>
                <w:sz w:val="22"/>
                <w:szCs w:val="22"/>
              </w:rPr>
            </w:pPr>
            <w:r w:rsidRPr="00DC2AA2">
              <w:rPr>
                <w:color w:val="000000"/>
                <w:sz w:val="22"/>
                <w:szCs w:val="22"/>
              </w:rPr>
              <w:t>0.0</w:t>
            </w:r>
            <w:r w:rsidR="00CD4888">
              <w:rPr>
                <w:color w:val="000000"/>
                <w:sz w:val="22"/>
                <w:szCs w:val="22"/>
              </w:rPr>
              <w:t>5</w:t>
            </w:r>
            <w:r w:rsidRPr="00DC2AA2">
              <w:rPr>
                <w:color w:val="000000"/>
                <w:sz w:val="22"/>
                <w:szCs w:val="22"/>
              </w:rPr>
              <w:t>*</w:t>
            </w:r>
          </w:p>
        </w:tc>
      </w:tr>
      <w:tr w:rsidR="00E76643" w:rsidRPr="00005809" w14:paraId="566C2E4A"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84A9D5E"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3183C510" w14:textId="7921FE1C" w:rsidR="00005809" w:rsidRPr="00DC2AA2" w:rsidRDefault="00D915AC" w:rsidP="003D72F2">
            <w:pPr>
              <w:jc w:val="center"/>
              <w:rPr>
                <w:color w:val="000000"/>
                <w:sz w:val="22"/>
                <w:szCs w:val="22"/>
              </w:rPr>
            </w:pPr>
            <w:r w:rsidRPr="00DC2AA2">
              <w:rPr>
                <w:sz w:val="22"/>
                <w:szCs w:val="22"/>
              </w:rPr>
              <w:t>(0.0</w:t>
            </w:r>
            <w:r w:rsidR="004A03BD">
              <w:rPr>
                <w:sz w:val="22"/>
                <w:szCs w:val="22"/>
              </w:rPr>
              <w:t>2</w:t>
            </w:r>
            <w:r w:rsidRPr="00DC2AA2">
              <w:rPr>
                <w:sz w:val="22"/>
                <w:szCs w:val="22"/>
              </w:rPr>
              <w:t>; 0.0</w:t>
            </w:r>
            <w:r w:rsidR="00B25202">
              <w:rPr>
                <w:sz w:val="22"/>
                <w:szCs w:val="22"/>
              </w:rPr>
              <w:t>7</w:t>
            </w:r>
            <w:r w:rsidRPr="00DC2AA2">
              <w:rPr>
                <w:sz w:val="22"/>
                <w:szCs w:val="22"/>
              </w:rPr>
              <w:t>)</w:t>
            </w:r>
          </w:p>
        </w:tc>
        <w:tc>
          <w:tcPr>
            <w:tcW w:w="0" w:type="auto"/>
            <w:tcBorders>
              <w:top w:val="nil"/>
              <w:left w:val="nil"/>
              <w:bottom w:val="nil"/>
              <w:right w:val="nil"/>
            </w:tcBorders>
            <w:shd w:val="clear" w:color="auto" w:fill="auto"/>
            <w:noWrap/>
            <w:vAlign w:val="bottom"/>
            <w:hideMark/>
          </w:tcPr>
          <w:p w14:paraId="272BCD35" w14:textId="5C39107B" w:rsidR="00005809" w:rsidRPr="00DC2AA2" w:rsidRDefault="0058216E" w:rsidP="0076650C">
            <w:pPr>
              <w:jc w:val="center"/>
              <w:rPr>
                <w:color w:val="000000"/>
                <w:sz w:val="22"/>
                <w:szCs w:val="22"/>
              </w:rPr>
            </w:pPr>
            <w:r w:rsidRPr="00DC2AA2">
              <w:rPr>
                <w:sz w:val="22"/>
                <w:szCs w:val="22"/>
              </w:rPr>
              <w:t>(0.0</w:t>
            </w:r>
            <w:r w:rsidR="00CD4888">
              <w:rPr>
                <w:sz w:val="22"/>
                <w:szCs w:val="22"/>
              </w:rPr>
              <w:t>3</w:t>
            </w:r>
            <w:r w:rsidRPr="00DC2AA2">
              <w:rPr>
                <w:sz w:val="22"/>
                <w:szCs w:val="22"/>
              </w:rPr>
              <w:t>; 0.0</w:t>
            </w:r>
            <w:r w:rsidR="00340CC0">
              <w:rPr>
                <w:sz w:val="22"/>
                <w:szCs w:val="22"/>
              </w:rPr>
              <w:t>6</w:t>
            </w:r>
            <w:r w:rsidRPr="00DC2AA2">
              <w:rPr>
                <w:sz w:val="22"/>
                <w:szCs w:val="22"/>
              </w:rPr>
              <w:t>)</w:t>
            </w:r>
          </w:p>
        </w:tc>
      </w:tr>
      <w:tr w:rsidR="00E76643" w:rsidRPr="00005809" w14:paraId="0448BDEB"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F38A407" w14:textId="75BD3E72" w:rsidR="00005809" w:rsidRPr="00005809" w:rsidRDefault="00B246B8" w:rsidP="00005809">
            <w:pPr>
              <w:rPr>
                <w:color w:val="000000"/>
                <w:sz w:val="22"/>
              </w:rPr>
            </w:pPr>
            <w:r w:rsidRPr="00DC2AA2">
              <w:rPr>
                <w:color w:val="000000"/>
                <w:sz w:val="22"/>
              </w:rPr>
              <w:t>Learning</w:t>
            </w:r>
            <w:r w:rsidR="0001025C">
              <w:rPr>
                <w:color w:val="000000"/>
                <w:sz w:val="22"/>
              </w:rPr>
              <w:t>: Out-Degree</w:t>
            </w:r>
          </w:p>
        </w:tc>
        <w:tc>
          <w:tcPr>
            <w:tcW w:w="0" w:type="auto"/>
            <w:tcBorders>
              <w:top w:val="nil"/>
              <w:left w:val="nil"/>
              <w:bottom w:val="nil"/>
              <w:right w:val="nil"/>
            </w:tcBorders>
            <w:shd w:val="clear" w:color="auto" w:fill="auto"/>
            <w:noWrap/>
            <w:vAlign w:val="bottom"/>
            <w:hideMark/>
          </w:tcPr>
          <w:p w14:paraId="0AF95D8A" w14:textId="65D568E9" w:rsidR="00005809" w:rsidRPr="00DC2AA2" w:rsidRDefault="002E3E49" w:rsidP="003D72F2">
            <w:pPr>
              <w:jc w:val="center"/>
              <w:rPr>
                <w:color w:val="000000"/>
                <w:sz w:val="22"/>
                <w:szCs w:val="22"/>
              </w:rPr>
            </w:pPr>
            <w:r w:rsidRPr="00DC2AA2">
              <w:rPr>
                <w:color w:val="000000"/>
                <w:sz w:val="22"/>
                <w:szCs w:val="22"/>
              </w:rPr>
              <w:t>-0.2</w:t>
            </w:r>
            <w:r w:rsidR="000E4274">
              <w:rPr>
                <w:color w:val="000000"/>
                <w:sz w:val="22"/>
                <w:szCs w:val="22"/>
              </w:rPr>
              <w:t>8</w:t>
            </w:r>
          </w:p>
        </w:tc>
        <w:tc>
          <w:tcPr>
            <w:tcW w:w="0" w:type="auto"/>
            <w:tcBorders>
              <w:top w:val="nil"/>
              <w:left w:val="nil"/>
              <w:bottom w:val="nil"/>
              <w:right w:val="nil"/>
            </w:tcBorders>
            <w:shd w:val="clear" w:color="auto" w:fill="auto"/>
            <w:noWrap/>
            <w:vAlign w:val="bottom"/>
            <w:hideMark/>
          </w:tcPr>
          <w:p w14:paraId="1B862511" w14:textId="36482BB8" w:rsidR="00005809" w:rsidRPr="00DC2AA2" w:rsidRDefault="00546D64" w:rsidP="0076650C">
            <w:pPr>
              <w:jc w:val="center"/>
              <w:rPr>
                <w:color w:val="000000"/>
                <w:sz w:val="22"/>
                <w:szCs w:val="22"/>
              </w:rPr>
            </w:pPr>
            <w:r w:rsidRPr="00DC2AA2">
              <w:rPr>
                <w:color w:val="000000"/>
                <w:sz w:val="22"/>
                <w:szCs w:val="22"/>
              </w:rPr>
              <w:t>-0.2</w:t>
            </w:r>
            <w:r w:rsidR="00CD4888">
              <w:rPr>
                <w:color w:val="000000"/>
                <w:sz w:val="22"/>
                <w:szCs w:val="22"/>
              </w:rPr>
              <w:t>6</w:t>
            </w:r>
          </w:p>
        </w:tc>
      </w:tr>
      <w:tr w:rsidR="00E76643" w:rsidRPr="00005809" w14:paraId="045A601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5AA9172"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2B9AC1A5" w14:textId="02FAC8C5" w:rsidR="00005809" w:rsidRPr="00DC2AA2" w:rsidRDefault="00D915AC" w:rsidP="003D72F2">
            <w:pPr>
              <w:jc w:val="center"/>
              <w:rPr>
                <w:color w:val="000000"/>
                <w:sz w:val="22"/>
                <w:szCs w:val="22"/>
              </w:rPr>
            </w:pPr>
            <w:r w:rsidRPr="00DC2AA2">
              <w:rPr>
                <w:sz w:val="22"/>
                <w:szCs w:val="22"/>
              </w:rPr>
              <w:t>(-1.</w:t>
            </w:r>
            <w:r w:rsidR="004A03BD">
              <w:rPr>
                <w:sz w:val="22"/>
                <w:szCs w:val="22"/>
              </w:rPr>
              <w:t>33</w:t>
            </w:r>
            <w:r w:rsidRPr="00DC2AA2">
              <w:rPr>
                <w:sz w:val="22"/>
                <w:szCs w:val="22"/>
              </w:rPr>
              <w:t>; 0.8</w:t>
            </w:r>
            <w:r w:rsidR="00B25202">
              <w:rPr>
                <w:sz w:val="22"/>
                <w:szCs w:val="22"/>
              </w:rPr>
              <w:t>0</w:t>
            </w:r>
            <w:r w:rsidRPr="00DC2AA2">
              <w:rPr>
                <w:sz w:val="22"/>
                <w:szCs w:val="22"/>
              </w:rPr>
              <w:t>)</w:t>
            </w:r>
          </w:p>
        </w:tc>
        <w:tc>
          <w:tcPr>
            <w:tcW w:w="0" w:type="auto"/>
            <w:tcBorders>
              <w:top w:val="nil"/>
              <w:left w:val="nil"/>
              <w:bottom w:val="nil"/>
              <w:right w:val="nil"/>
            </w:tcBorders>
            <w:shd w:val="clear" w:color="auto" w:fill="auto"/>
            <w:noWrap/>
            <w:vAlign w:val="bottom"/>
            <w:hideMark/>
          </w:tcPr>
          <w:p w14:paraId="6B039AE6" w14:textId="13168681" w:rsidR="00005809" w:rsidRPr="00DC2AA2" w:rsidRDefault="0058216E" w:rsidP="0076650C">
            <w:pPr>
              <w:jc w:val="center"/>
              <w:rPr>
                <w:color w:val="000000"/>
                <w:sz w:val="22"/>
                <w:szCs w:val="22"/>
              </w:rPr>
            </w:pPr>
            <w:r w:rsidRPr="00DC2AA2">
              <w:rPr>
                <w:sz w:val="22"/>
                <w:szCs w:val="22"/>
              </w:rPr>
              <w:t>(-0.</w:t>
            </w:r>
            <w:r w:rsidR="00CD4888">
              <w:rPr>
                <w:sz w:val="22"/>
                <w:szCs w:val="22"/>
              </w:rPr>
              <w:t>78</w:t>
            </w:r>
            <w:r w:rsidRPr="00DC2AA2">
              <w:rPr>
                <w:sz w:val="22"/>
                <w:szCs w:val="22"/>
              </w:rPr>
              <w:t>; 0.2</w:t>
            </w:r>
            <w:r w:rsidR="00340CC0">
              <w:rPr>
                <w:sz w:val="22"/>
                <w:szCs w:val="22"/>
              </w:rPr>
              <w:t>5</w:t>
            </w:r>
            <w:r w:rsidRPr="00DC2AA2">
              <w:rPr>
                <w:sz w:val="22"/>
                <w:szCs w:val="22"/>
              </w:rPr>
              <w:t>)</w:t>
            </w:r>
          </w:p>
        </w:tc>
      </w:tr>
      <w:tr w:rsidR="00E76643" w:rsidRPr="00005809" w14:paraId="077DCDE4"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1A2539FC" w14:textId="681A9911" w:rsidR="00005809" w:rsidRPr="00005809" w:rsidRDefault="00B246B8" w:rsidP="00005809">
            <w:pPr>
              <w:rPr>
                <w:color w:val="000000"/>
                <w:sz w:val="22"/>
              </w:rPr>
            </w:pPr>
            <w:r>
              <w:rPr>
                <w:color w:val="000000"/>
                <w:sz w:val="22"/>
              </w:rPr>
              <w:t>Emulati</w:t>
            </w:r>
            <w:r w:rsidR="0001025C">
              <w:rPr>
                <w:color w:val="000000"/>
                <w:sz w:val="22"/>
              </w:rPr>
              <w:t>on: In-Degree</w:t>
            </w:r>
          </w:p>
        </w:tc>
        <w:tc>
          <w:tcPr>
            <w:tcW w:w="0" w:type="auto"/>
            <w:tcBorders>
              <w:top w:val="nil"/>
              <w:left w:val="nil"/>
              <w:bottom w:val="nil"/>
              <w:right w:val="nil"/>
            </w:tcBorders>
            <w:shd w:val="clear" w:color="auto" w:fill="auto"/>
            <w:noWrap/>
            <w:vAlign w:val="bottom"/>
            <w:hideMark/>
          </w:tcPr>
          <w:p w14:paraId="212E340B" w14:textId="06F1B776" w:rsidR="00005809" w:rsidRPr="00DC2AA2" w:rsidRDefault="002E3E49" w:rsidP="003D72F2">
            <w:pPr>
              <w:jc w:val="center"/>
              <w:rPr>
                <w:color w:val="000000"/>
                <w:sz w:val="22"/>
                <w:szCs w:val="22"/>
              </w:rPr>
            </w:pPr>
            <w:r w:rsidRPr="00DC2AA2">
              <w:rPr>
                <w:color w:val="000000"/>
                <w:sz w:val="22"/>
                <w:szCs w:val="22"/>
              </w:rPr>
              <w:t>-0.6</w:t>
            </w:r>
            <w:r w:rsidR="0001025C">
              <w:rPr>
                <w:color w:val="000000"/>
                <w:sz w:val="22"/>
                <w:szCs w:val="22"/>
              </w:rPr>
              <w:t>7</w:t>
            </w:r>
            <w:r w:rsidR="009A4042" w:rsidRPr="00DC2AA2">
              <w:rPr>
                <w:color w:val="000000"/>
                <w:sz w:val="22"/>
                <w:szCs w:val="22"/>
              </w:rPr>
              <w:t>*</w:t>
            </w:r>
          </w:p>
        </w:tc>
        <w:tc>
          <w:tcPr>
            <w:tcW w:w="0" w:type="auto"/>
            <w:tcBorders>
              <w:top w:val="nil"/>
              <w:left w:val="nil"/>
              <w:bottom w:val="nil"/>
              <w:right w:val="nil"/>
            </w:tcBorders>
            <w:shd w:val="clear" w:color="auto" w:fill="auto"/>
            <w:noWrap/>
            <w:vAlign w:val="bottom"/>
            <w:hideMark/>
          </w:tcPr>
          <w:p w14:paraId="048F4605" w14:textId="09C211E8" w:rsidR="00005809" w:rsidRPr="00DC2AA2" w:rsidRDefault="00546D64" w:rsidP="0076650C">
            <w:pPr>
              <w:jc w:val="center"/>
              <w:rPr>
                <w:color w:val="000000"/>
                <w:sz w:val="22"/>
                <w:szCs w:val="22"/>
              </w:rPr>
            </w:pPr>
            <w:r w:rsidRPr="00DC2AA2">
              <w:rPr>
                <w:color w:val="000000"/>
                <w:sz w:val="22"/>
                <w:szCs w:val="22"/>
              </w:rPr>
              <w:t>-0.17</w:t>
            </w:r>
          </w:p>
        </w:tc>
      </w:tr>
      <w:tr w:rsidR="00E76643" w:rsidRPr="00005809" w14:paraId="05E493C0"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0504D6B"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23B6AE15" w14:textId="57B81332" w:rsidR="00005809" w:rsidRPr="00DC2AA2" w:rsidRDefault="00D915AC" w:rsidP="003D72F2">
            <w:pPr>
              <w:jc w:val="center"/>
              <w:rPr>
                <w:sz w:val="22"/>
                <w:szCs w:val="22"/>
              </w:rPr>
            </w:pPr>
            <w:r w:rsidRPr="00DC2AA2">
              <w:rPr>
                <w:sz w:val="22"/>
                <w:szCs w:val="22"/>
              </w:rPr>
              <w:t>(-</w:t>
            </w:r>
            <w:r w:rsidR="004A03BD">
              <w:rPr>
                <w:sz w:val="22"/>
                <w:szCs w:val="22"/>
              </w:rPr>
              <w:t>1</w:t>
            </w:r>
            <w:r w:rsidRPr="00DC2AA2">
              <w:rPr>
                <w:sz w:val="22"/>
                <w:szCs w:val="22"/>
              </w:rPr>
              <w:t>.</w:t>
            </w:r>
            <w:r w:rsidR="004A03BD">
              <w:rPr>
                <w:sz w:val="22"/>
                <w:szCs w:val="22"/>
              </w:rPr>
              <w:t>00</w:t>
            </w:r>
            <w:r w:rsidRPr="00DC2AA2">
              <w:rPr>
                <w:sz w:val="22"/>
                <w:szCs w:val="22"/>
              </w:rPr>
              <w:t>; -0.</w:t>
            </w:r>
            <w:r w:rsidR="00B25202">
              <w:rPr>
                <w:sz w:val="22"/>
                <w:szCs w:val="22"/>
              </w:rPr>
              <w:t>39</w:t>
            </w:r>
            <w:r w:rsidRPr="00DC2AA2">
              <w:rPr>
                <w:sz w:val="22"/>
                <w:szCs w:val="22"/>
              </w:rPr>
              <w:t>)</w:t>
            </w:r>
          </w:p>
        </w:tc>
        <w:tc>
          <w:tcPr>
            <w:tcW w:w="0" w:type="auto"/>
            <w:tcBorders>
              <w:top w:val="nil"/>
              <w:left w:val="nil"/>
              <w:bottom w:val="nil"/>
              <w:right w:val="nil"/>
            </w:tcBorders>
            <w:shd w:val="clear" w:color="auto" w:fill="auto"/>
            <w:noWrap/>
            <w:vAlign w:val="bottom"/>
            <w:hideMark/>
          </w:tcPr>
          <w:p w14:paraId="3241158D" w14:textId="211099F5" w:rsidR="00005809" w:rsidRPr="00DC2AA2" w:rsidRDefault="0058216E" w:rsidP="0076650C">
            <w:pPr>
              <w:jc w:val="center"/>
              <w:rPr>
                <w:color w:val="000000"/>
                <w:sz w:val="22"/>
                <w:szCs w:val="22"/>
              </w:rPr>
            </w:pPr>
            <w:r w:rsidRPr="00DC2AA2">
              <w:rPr>
                <w:sz w:val="22"/>
                <w:szCs w:val="22"/>
              </w:rPr>
              <w:t>(-0.4</w:t>
            </w:r>
            <w:r w:rsidR="00CD4888">
              <w:rPr>
                <w:sz w:val="22"/>
                <w:szCs w:val="22"/>
              </w:rPr>
              <w:t>7</w:t>
            </w:r>
            <w:r w:rsidRPr="00DC2AA2">
              <w:rPr>
                <w:sz w:val="22"/>
                <w:szCs w:val="22"/>
              </w:rPr>
              <w:t>; 0.</w:t>
            </w:r>
            <w:r w:rsidR="00340CC0">
              <w:rPr>
                <w:sz w:val="22"/>
                <w:szCs w:val="22"/>
              </w:rPr>
              <w:t>10</w:t>
            </w:r>
            <w:r w:rsidRPr="00DC2AA2">
              <w:rPr>
                <w:sz w:val="22"/>
                <w:szCs w:val="22"/>
              </w:rPr>
              <w:t>)</w:t>
            </w:r>
          </w:p>
        </w:tc>
      </w:tr>
      <w:tr w:rsidR="00E76643" w:rsidRPr="00005809" w14:paraId="1504C5CE"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2D04D1D7" w14:textId="7A8558B1" w:rsidR="00005809" w:rsidRPr="00005809" w:rsidRDefault="0001025C" w:rsidP="00005809">
            <w:pPr>
              <w:rPr>
                <w:color w:val="000000"/>
                <w:sz w:val="22"/>
              </w:rPr>
            </w:pPr>
            <w:r>
              <w:rPr>
                <w:color w:val="000000"/>
                <w:sz w:val="22"/>
              </w:rPr>
              <w:t xml:space="preserve">Learning: </w:t>
            </w:r>
            <w:r w:rsidR="00005809" w:rsidRPr="00005809">
              <w:rPr>
                <w:color w:val="000000"/>
                <w:sz w:val="22"/>
              </w:rPr>
              <w:t>Transitivity</w:t>
            </w:r>
          </w:p>
        </w:tc>
        <w:tc>
          <w:tcPr>
            <w:tcW w:w="0" w:type="auto"/>
            <w:tcBorders>
              <w:top w:val="nil"/>
              <w:left w:val="nil"/>
              <w:bottom w:val="nil"/>
              <w:right w:val="nil"/>
            </w:tcBorders>
            <w:shd w:val="clear" w:color="auto" w:fill="auto"/>
            <w:noWrap/>
            <w:vAlign w:val="bottom"/>
            <w:hideMark/>
          </w:tcPr>
          <w:p w14:paraId="2CF2FB93" w14:textId="22901C7F" w:rsidR="00005809" w:rsidRPr="00DC2AA2" w:rsidRDefault="002E3E49" w:rsidP="003D72F2">
            <w:pPr>
              <w:jc w:val="center"/>
              <w:rPr>
                <w:color w:val="000000"/>
                <w:sz w:val="22"/>
                <w:szCs w:val="22"/>
              </w:rPr>
            </w:pPr>
            <w:r w:rsidRPr="00DC2AA2">
              <w:rPr>
                <w:color w:val="000000"/>
                <w:sz w:val="22"/>
                <w:szCs w:val="22"/>
              </w:rPr>
              <w:t>-1.</w:t>
            </w:r>
            <w:r w:rsidR="001E2D94">
              <w:rPr>
                <w:color w:val="000000"/>
                <w:sz w:val="22"/>
                <w:szCs w:val="22"/>
              </w:rPr>
              <w:t>2</w:t>
            </w:r>
            <w:r w:rsidR="000E4274">
              <w:rPr>
                <w:color w:val="000000"/>
                <w:sz w:val="22"/>
                <w:szCs w:val="22"/>
              </w:rPr>
              <w:t>5</w:t>
            </w:r>
            <w:r w:rsidR="009A4042" w:rsidRPr="00DC2AA2">
              <w:rPr>
                <w:color w:val="000000"/>
                <w:sz w:val="22"/>
                <w:szCs w:val="22"/>
              </w:rPr>
              <w:t>*</w:t>
            </w:r>
          </w:p>
        </w:tc>
        <w:tc>
          <w:tcPr>
            <w:tcW w:w="0" w:type="auto"/>
            <w:tcBorders>
              <w:top w:val="nil"/>
              <w:left w:val="nil"/>
              <w:bottom w:val="nil"/>
              <w:right w:val="nil"/>
            </w:tcBorders>
            <w:shd w:val="clear" w:color="auto" w:fill="auto"/>
            <w:noWrap/>
            <w:vAlign w:val="bottom"/>
            <w:hideMark/>
          </w:tcPr>
          <w:p w14:paraId="00AA0169" w14:textId="07132EDA" w:rsidR="00005809" w:rsidRPr="00DC2AA2" w:rsidRDefault="00546D64" w:rsidP="0076650C">
            <w:pPr>
              <w:jc w:val="center"/>
              <w:rPr>
                <w:color w:val="000000"/>
                <w:sz w:val="22"/>
                <w:szCs w:val="22"/>
              </w:rPr>
            </w:pPr>
            <w:r w:rsidRPr="00DC2AA2">
              <w:rPr>
                <w:color w:val="000000"/>
                <w:sz w:val="22"/>
                <w:szCs w:val="22"/>
              </w:rPr>
              <w:t>0.4</w:t>
            </w:r>
            <w:r w:rsidR="00CD4888">
              <w:rPr>
                <w:color w:val="000000"/>
                <w:sz w:val="22"/>
                <w:szCs w:val="22"/>
              </w:rPr>
              <w:t>0</w:t>
            </w:r>
            <w:r w:rsidRPr="00DC2AA2">
              <w:rPr>
                <w:color w:val="000000"/>
                <w:sz w:val="22"/>
                <w:szCs w:val="22"/>
              </w:rPr>
              <w:t>*</w:t>
            </w:r>
          </w:p>
        </w:tc>
      </w:tr>
      <w:tr w:rsidR="00E76643" w:rsidRPr="00005809" w14:paraId="4700B52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3252D33"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74440029" w14:textId="6A08EFC8" w:rsidR="00005809" w:rsidRPr="00DC2AA2" w:rsidRDefault="00D915AC" w:rsidP="003D72F2">
            <w:pPr>
              <w:jc w:val="center"/>
              <w:rPr>
                <w:color w:val="000000"/>
                <w:sz w:val="22"/>
                <w:szCs w:val="22"/>
              </w:rPr>
            </w:pPr>
            <w:r w:rsidRPr="00DC2AA2">
              <w:rPr>
                <w:sz w:val="22"/>
                <w:szCs w:val="22"/>
              </w:rPr>
              <w:t>(-2.</w:t>
            </w:r>
            <w:r w:rsidR="004A03BD">
              <w:rPr>
                <w:sz w:val="22"/>
                <w:szCs w:val="22"/>
              </w:rPr>
              <w:t>11</w:t>
            </w:r>
            <w:r w:rsidRPr="00DC2AA2">
              <w:rPr>
                <w:sz w:val="22"/>
                <w:szCs w:val="22"/>
              </w:rPr>
              <w:t>; -0.5</w:t>
            </w:r>
            <w:r w:rsidR="00B25202">
              <w:rPr>
                <w:sz w:val="22"/>
                <w:szCs w:val="22"/>
              </w:rPr>
              <w:t>6</w:t>
            </w:r>
            <w:r w:rsidRPr="00DC2AA2">
              <w:rPr>
                <w:sz w:val="22"/>
                <w:szCs w:val="22"/>
              </w:rPr>
              <w:t>)</w:t>
            </w:r>
          </w:p>
        </w:tc>
        <w:tc>
          <w:tcPr>
            <w:tcW w:w="0" w:type="auto"/>
            <w:tcBorders>
              <w:top w:val="nil"/>
              <w:left w:val="nil"/>
              <w:bottom w:val="nil"/>
              <w:right w:val="nil"/>
            </w:tcBorders>
            <w:shd w:val="clear" w:color="auto" w:fill="auto"/>
            <w:noWrap/>
            <w:vAlign w:val="bottom"/>
            <w:hideMark/>
          </w:tcPr>
          <w:p w14:paraId="6FC72C70" w14:textId="3069FC3E" w:rsidR="00005809" w:rsidRPr="00DC2AA2" w:rsidRDefault="0058216E" w:rsidP="0076650C">
            <w:pPr>
              <w:jc w:val="center"/>
              <w:rPr>
                <w:color w:val="000000"/>
                <w:sz w:val="22"/>
                <w:szCs w:val="22"/>
              </w:rPr>
            </w:pPr>
            <w:r w:rsidRPr="00DC2AA2">
              <w:rPr>
                <w:sz w:val="22"/>
                <w:szCs w:val="22"/>
              </w:rPr>
              <w:t>(0.</w:t>
            </w:r>
            <w:r w:rsidR="00CD4888">
              <w:rPr>
                <w:sz w:val="22"/>
                <w:szCs w:val="22"/>
              </w:rPr>
              <w:t>05</w:t>
            </w:r>
            <w:r w:rsidRPr="00DC2AA2">
              <w:rPr>
                <w:sz w:val="22"/>
                <w:szCs w:val="22"/>
              </w:rPr>
              <w:t>; 0.6</w:t>
            </w:r>
            <w:r w:rsidR="00340CC0">
              <w:rPr>
                <w:sz w:val="22"/>
                <w:szCs w:val="22"/>
              </w:rPr>
              <w:t>3</w:t>
            </w:r>
            <w:r w:rsidRPr="00DC2AA2">
              <w:rPr>
                <w:sz w:val="22"/>
                <w:szCs w:val="22"/>
              </w:rPr>
              <w:t>)</w:t>
            </w:r>
          </w:p>
        </w:tc>
      </w:tr>
      <w:tr w:rsidR="00E76643" w:rsidRPr="00005809" w14:paraId="07D77993" w14:textId="77777777" w:rsidTr="000A5A82">
        <w:trPr>
          <w:trHeight w:val="288"/>
          <w:jc w:val="center"/>
        </w:trPr>
        <w:tc>
          <w:tcPr>
            <w:tcW w:w="3218" w:type="dxa"/>
            <w:vMerge w:val="restart"/>
            <w:tcBorders>
              <w:top w:val="nil"/>
              <w:left w:val="nil"/>
              <w:right w:val="nil"/>
            </w:tcBorders>
            <w:shd w:val="clear" w:color="auto" w:fill="auto"/>
            <w:noWrap/>
          </w:tcPr>
          <w:p w14:paraId="67867454" w14:textId="1625D108" w:rsidR="000A5A82" w:rsidRPr="00005809" w:rsidRDefault="000A5A82" w:rsidP="000A5A82">
            <w:pPr>
              <w:rPr>
                <w:color w:val="000000"/>
                <w:sz w:val="22"/>
              </w:rPr>
            </w:pPr>
            <w:r>
              <w:rPr>
                <w:color w:val="000000"/>
                <w:sz w:val="22"/>
              </w:rPr>
              <w:t>Emulation: Cycling</w:t>
            </w:r>
          </w:p>
        </w:tc>
        <w:tc>
          <w:tcPr>
            <w:tcW w:w="0" w:type="auto"/>
            <w:tcBorders>
              <w:top w:val="nil"/>
              <w:left w:val="nil"/>
              <w:bottom w:val="nil"/>
              <w:right w:val="nil"/>
            </w:tcBorders>
            <w:shd w:val="clear" w:color="auto" w:fill="auto"/>
            <w:noWrap/>
            <w:vAlign w:val="bottom"/>
          </w:tcPr>
          <w:p w14:paraId="2C29ACDC" w14:textId="176781E6" w:rsidR="000A5A82" w:rsidRPr="00DC2AA2" w:rsidRDefault="000A5A82" w:rsidP="003D72F2">
            <w:pPr>
              <w:jc w:val="center"/>
              <w:rPr>
                <w:sz w:val="22"/>
                <w:szCs w:val="22"/>
              </w:rPr>
            </w:pPr>
            <w:r>
              <w:rPr>
                <w:sz w:val="22"/>
                <w:szCs w:val="22"/>
              </w:rPr>
              <w:t>-12.0</w:t>
            </w:r>
            <w:r w:rsidR="000E4274">
              <w:rPr>
                <w:sz w:val="22"/>
                <w:szCs w:val="22"/>
              </w:rPr>
              <w:t>3</w:t>
            </w:r>
            <w:r>
              <w:rPr>
                <w:color w:val="000000"/>
                <w:sz w:val="22"/>
                <w:szCs w:val="22"/>
              </w:rPr>
              <w:t>*</w:t>
            </w:r>
          </w:p>
        </w:tc>
        <w:tc>
          <w:tcPr>
            <w:tcW w:w="0" w:type="auto"/>
            <w:tcBorders>
              <w:top w:val="nil"/>
              <w:left w:val="nil"/>
              <w:bottom w:val="nil"/>
              <w:right w:val="nil"/>
            </w:tcBorders>
            <w:shd w:val="clear" w:color="auto" w:fill="auto"/>
            <w:noWrap/>
            <w:vAlign w:val="bottom"/>
          </w:tcPr>
          <w:p w14:paraId="55D92E71" w14:textId="75BE9712" w:rsidR="000A5A82" w:rsidRPr="00DC2AA2" w:rsidRDefault="000A5A82" w:rsidP="0076650C">
            <w:pPr>
              <w:jc w:val="center"/>
              <w:rPr>
                <w:sz w:val="22"/>
                <w:szCs w:val="22"/>
              </w:rPr>
            </w:pPr>
            <w:r>
              <w:rPr>
                <w:color w:val="000000"/>
                <w:sz w:val="22"/>
                <w:szCs w:val="22"/>
              </w:rPr>
              <w:t>-5.65*</w:t>
            </w:r>
          </w:p>
        </w:tc>
      </w:tr>
      <w:tr w:rsidR="00E76643" w:rsidRPr="00005809" w14:paraId="30AEAB4F" w14:textId="77777777" w:rsidTr="000A5A82">
        <w:trPr>
          <w:trHeight w:val="288"/>
          <w:jc w:val="center"/>
        </w:trPr>
        <w:tc>
          <w:tcPr>
            <w:tcW w:w="3218" w:type="dxa"/>
            <w:vMerge/>
            <w:tcBorders>
              <w:left w:val="nil"/>
              <w:bottom w:val="nil"/>
              <w:right w:val="nil"/>
            </w:tcBorders>
            <w:shd w:val="clear" w:color="auto" w:fill="auto"/>
            <w:noWrap/>
            <w:vAlign w:val="bottom"/>
          </w:tcPr>
          <w:p w14:paraId="133AA762" w14:textId="77777777" w:rsidR="000A5A82" w:rsidRPr="00005809" w:rsidRDefault="000A5A82" w:rsidP="00005809">
            <w:pPr>
              <w:rPr>
                <w:color w:val="000000"/>
                <w:sz w:val="22"/>
              </w:rPr>
            </w:pPr>
          </w:p>
        </w:tc>
        <w:tc>
          <w:tcPr>
            <w:tcW w:w="0" w:type="auto"/>
            <w:tcBorders>
              <w:top w:val="nil"/>
              <w:left w:val="nil"/>
              <w:bottom w:val="nil"/>
              <w:right w:val="nil"/>
            </w:tcBorders>
            <w:shd w:val="clear" w:color="auto" w:fill="auto"/>
            <w:noWrap/>
            <w:vAlign w:val="bottom"/>
          </w:tcPr>
          <w:p w14:paraId="4C342382" w14:textId="1F1FCDAD" w:rsidR="000A5A82" w:rsidRPr="00DC2AA2" w:rsidRDefault="000A5A82" w:rsidP="003D72F2">
            <w:pPr>
              <w:jc w:val="center"/>
              <w:rPr>
                <w:sz w:val="22"/>
                <w:szCs w:val="22"/>
              </w:rPr>
            </w:pPr>
            <w:r w:rsidRPr="00DC2AA2">
              <w:rPr>
                <w:sz w:val="22"/>
                <w:szCs w:val="22"/>
              </w:rPr>
              <w:t>(</w:t>
            </w:r>
            <w:r>
              <w:rPr>
                <w:sz w:val="22"/>
                <w:szCs w:val="22"/>
              </w:rPr>
              <w:t>-</w:t>
            </w:r>
            <w:r w:rsidRPr="00DC2AA2">
              <w:rPr>
                <w:sz w:val="22"/>
                <w:szCs w:val="22"/>
              </w:rPr>
              <w:t>1</w:t>
            </w:r>
            <w:r>
              <w:rPr>
                <w:sz w:val="22"/>
                <w:szCs w:val="22"/>
              </w:rPr>
              <w:t>2</w:t>
            </w:r>
            <w:r w:rsidRPr="00DC2AA2">
              <w:rPr>
                <w:sz w:val="22"/>
                <w:szCs w:val="22"/>
              </w:rPr>
              <w:t>.</w:t>
            </w:r>
            <w:r>
              <w:rPr>
                <w:sz w:val="22"/>
                <w:szCs w:val="22"/>
              </w:rPr>
              <w:t>90</w:t>
            </w:r>
            <w:r w:rsidRPr="00DC2AA2">
              <w:rPr>
                <w:sz w:val="22"/>
                <w:szCs w:val="22"/>
              </w:rPr>
              <w:t xml:space="preserve">; </w:t>
            </w:r>
            <w:r>
              <w:rPr>
                <w:sz w:val="22"/>
                <w:szCs w:val="22"/>
              </w:rPr>
              <w:t>-</w:t>
            </w:r>
            <w:r w:rsidRPr="00DC2AA2">
              <w:rPr>
                <w:sz w:val="22"/>
                <w:szCs w:val="22"/>
              </w:rPr>
              <w:t>1</w:t>
            </w:r>
            <w:r>
              <w:rPr>
                <w:sz w:val="22"/>
                <w:szCs w:val="22"/>
              </w:rPr>
              <w:t>0</w:t>
            </w:r>
            <w:r w:rsidRPr="00DC2AA2">
              <w:rPr>
                <w:sz w:val="22"/>
                <w:szCs w:val="22"/>
              </w:rPr>
              <w:t>.9</w:t>
            </w:r>
            <w:r>
              <w:rPr>
                <w:sz w:val="22"/>
                <w:szCs w:val="22"/>
              </w:rPr>
              <w:t>2</w:t>
            </w:r>
            <w:r w:rsidRPr="00DC2AA2">
              <w:rPr>
                <w:sz w:val="22"/>
                <w:szCs w:val="22"/>
              </w:rPr>
              <w:t>)</w:t>
            </w:r>
          </w:p>
        </w:tc>
        <w:tc>
          <w:tcPr>
            <w:tcW w:w="0" w:type="auto"/>
            <w:tcBorders>
              <w:top w:val="nil"/>
              <w:left w:val="nil"/>
              <w:bottom w:val="nil"/>
              <w:right w:val="nil"/>
            </w:tcBorders>
            <w:shd w:val="clear" w:color="auto" w:fill="auto"/>
            <w:noWrap/>
            <w:vAlign w:val="bottom"/>
          </w:tcPr>
          <w:p w14:paraId="074301F4" w14:textId="5E2A9EA2" w:rsidR="000A5A82" w:rsidRPr="00DC2AA2" w:rsidRDefault="000A5A82" w:rsidP="0076650C">
            <w:pPr>
              <w:jc w:val="center"/>
              <w:rPr>
                <w:sz w:val="22"/>
                <w:szCs w:val="22"/>
              </w:rPr>
            </w:pPr>
            <w:r>
              <w:rPr>
                <w:sz w:val="22"/>
                <w:szCs w:val="22"/>
              </w:rPr>
              <w:t>(-13.97; -0.18)</w:t>
            </w:r>
          </w:p>
        </w:tc>
      </w:tr>
      <w:tr w:rsidR="00E76643" w:rsidRPr="00005809" w14:paraId="6908790D"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1328BBD" w14:textId="77777777" w:rsidR="00005809" w:rsidRPr="00005809" w:rsidRDefault="00005809" w:rsidP="00005809">
            <w:pPr>
              <w:rPr>
                <w:color w:val="000000"/>
                <w:sz w:val="22"/>
              </w:rPr>
            </w:pPr>
            <w:r w:rsidRPr="00005809">
              <w:rPr>
                <w:color w:val="000000"/>
                <w:sz w:val="22"/>
              </w:rPr>
              <w:t>Isolates</w:t>
            </w:r>
          </w:p>
        </w:tc>
        <w:tc>
          <w:tcPr>
            <w:tcW w:w="0" w:type="auto"/>
            <w:tcBorders>
              <w:top w:val="nil"/>
              <w:left w:val="nil"/>
              <w:bottom w:val="nil"/>
              <w:right w:val="nil"/>
            </w:tcBorders>
            <w:shd w:val="clear" w:color="auto" w:fill="auto"/>
            <w:noWrap/>
            <w:vAlign w:val="bottom"/>
            <w:hideMark/>
          </w:tcPr>
          <w:p w14:paraId="0B277AB9" w14:textId="07DCCC82" w:rsidR="00005809" w:rsidRPr="00DC2AA2" w:rsidRDefault="002E3E49" w:rsidP="003D72F2">
            <w:pPr>
              <w:jc w:val="center"/>
              <w:rPr>
                <w:color w:val="000000"/>
                <w:sz w:val="22"/>
                <w:szCs w:val="22"/>
              </w:rPr>
            </w:pPr>
            <w:r w:rsidRPr="00DC2AA2">
              <w:rPr>
                <w:color w:val="000000"/>
                <w:sz w:val="22"/>
                <w:szCs w:val="22"/>
              </w:rPr>
              <w:t>1.</w:t>
            </w:r>
            <w:r w:rsidR="0001025C">
              <w:rPr>
                <w:color w:val="000000"/>
                <w:sz w:val="22"/>
                <w:szCs w:val="22"/>
              </w:rPr>
              <w:t>8</w:t>
            </w:r>
            <w:r w:rsidR="000E4274">
              <w:rPr>
                <w:color w:val="000000"/>
                <w:sz w:val="22"/>
                <w:szCs w:val="22"/>
              </w:rPr>
              <w:t>0</w:t>
            </w:r>
            <w:r w:rsidR="009A4042" w:rsidRPr="00DC2AA2">
              <w:rPr>
                <w:color w:val="000000"/>
                <w:sz w:val="22"/>
                <w:szCs w:val="22"/>
              </w:rPr>
              <w:t>*</w:t>
            </w:r>
          </w:p>
        </w:tc>
        <w:tc>
          <w:tcPr>
            <w:tcW w:w="0" w:type="auto"/>
            <w:tcBorders>
              <w:top w:val="nil"/>
              <w:left w:val="nil"/>
              <w:bottom w:val="nil"/>
              <w:right w:val="nil"/>
            </w:tcBorders>
            <w:shd w:val="clear" w:color="auto" w:fill="auto"/>
            <w:noWrap/>
            <w:vAlign w:val="bottom"/>
            <w:hideMark/>
          </w:tcPr>
          <w:p w14:paraId="049BD35E" w14:textId="71221B3B" w:rsidR="00005809" w:rsidRPr="00DC2AA2" w:rsidRDefault="00546D64" w:rsidP="0076650C">
            <w:pPr>
              <w:jc w:val="center"/>
              <w:rPr>
                <w:color w:val="000000"/>
                <w:sz w:val="22"/>
                <w:szCs w:val="22"/>
              </w:rPr>
            </w:pPr>
            <w:r w:rsidRPr="00DC2AA2">
              <w:rPr>
                <w:color w:val="000000"/>
                <w:sz w:val="22"/>
                <w:szCs w:val="22"/>
              </w:rPr>
              <w:t>1.</w:t>
            </w:r>
            <w:r w:rsidR="00CD4888">
              <w:rPr>
                <w:color w:val="000000"/>
                <w:sz w:val="22"/>
                <w:szCs w:val="22"/>
              </w:rPr>
              <w:t>36</w:t>
            </w:r>
            <w:r w:rsidRPr="00DC2AA2">
              <w:rPr>
                <w:color w:val="000000"/>
                <w:sz w:val="22"/>
                <w:szCs w:val="22"/>
              </w:rPr>
              <w:t>*</w:t>
            </w:r>
          </w:p>
        </w:tc>
      </w:tr>
      <w:tr w:rsidR="00E76643" w:rsidRPr="00005809" w14:paraId="4A5A7B48"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518DD40"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25ECA33D" w14:textId="246A3D4D" w:rsidR="00005809" w:rsidRPr="00DC2AA2" w:rsidRDefault="00D915AC" w:rsidP="003D72F2">
            <w:pPr>
              <w:jc w:val="center"/>
              <w:rPr>
                <w:color w:val="000000"/>
                <w:sz w:val="22"/>
                <w:szCs w:val="22"/>
              </w:rPr>
            </w:pPr>
            <w:r w:rsidRPr="00DC2AA2">
              <w:rPr>
                <w:sz w:val="22"/>
                <w:szCs w:val="22"/>
              </w:rPr>
              <w:t>(1.</w:t>
            </w:r>
            <w:r w:rsidR="004A03BD">
              <w:rPr>
                <w:sz w:val="22"/>
                <w:szCs w:val="22"/>
              </w:rPr>
              <w:t>6</w:t>
            </w:r>
            <w:r w:rsidRPr="00DC2AA2">
              <w:rPr>
                <w:sz w:val="22"/>
                <w:szCs w:val="22"/>
              </w:rPr>
              <w:t xml:space="preserve">1; </w:t>
            </w:r>
            <w:r w:rsidR="00B25202">
              <w:rPr>
                <w:sz w:val="22"/>
                <w:szCs w:val="22"/>
              </w:rPr>
              <w:t>2</w:t>
            </w:r>
            <w:r w:rsidRPr="00DC2AA2">
              <w:rPr>
                <w:sz w:val="22"/>
                <w:szCs w:val="22"/>
              </w:rPr>
              <w:t>.</w:t>
            </w:r>
            <w:r w:rsidR="00B25202">
              <w:rPr>
                <w:sz w:val="22"/>
                <w:szCs w:val="22"/>
              </w:rPr>
              <w:t>05</w:t>
            </w:r>
            <w:r w:rsidRPr="00DC2AA2">
              <w:rPr>
                <w:sz w:val="22"/>
                <w:szCs w:val="22"/>
              </w:rPr>
              <w:t>)</w:t>
            </w:r>
          </w:p>
        </w:tc>
        <w:tc>
          <w:tcPr>
            <w:tcW w:w="0" w:type="auto"/>
            <w:tcBorders>
              <w:top w:val="nil"/>
              <w:left w:val="nil"/>
              <w:bottom w:val="nil"/>
              <w:right w:val="nil"/>
            </w:tcBorders>
            <w:shd w:val="clear" w:color="auto" w:fill="auto"/>
            <w:noWrap/>
            <w:vAlign w:val="bottom"/>
            <w:hideMark/>
          </w:tcPr>
          <w:p w14:paraId="023F1D7A" w14:textId="13CA58C8" w:rsidR="00005809" w:rsidRPr="00DC2AA2" w:rsidRDefault="0058216E" w:rsidP="0076650C">
            <w:pPr>
              <w:jc w:val="center"/>
              <w:rPr>
                <w:color w:val="000000"/>
                <w:sz w:val="22"/>
                <w:szCs w:val="22"/>
              </w:rPr>
            </w:pPr>
            <w:r w:rsidRPr="00DC2AA2">
              <w:rPr>
                <w:sz w:val="22"/>
                <w:szCs w:val="22"/>
              </w:rPr>
              <w:t>(1.</w:t>
            </w:r>
            <w:r w:rsidR="00CD4888">
              <w:rPr>
                <w:sz w:val="22"/>
                <w:szCs w:val="22"/>
              </w:rPr>
              <w:t>16</w:t>
            </w:r>
            <w:r w:rsidRPr="00DC2AA2">
              <w:rPr>
                <w:sz w:val="22"/>
                <w:szCs w:val="22"/>
              </w:rPr>
              <w:t>; 1.</w:t>
            </w:r>
            <w:r w:rsidR="00A36796">
              <w:rPr>
                <w:sz w:val="22"/>
                <w:szCs w:val="22"/>
              </w:rPr>
              <w:t>55</w:t>
            </w:r>
            <w:r w:rsidRPr="00DC2AA2">
              <w:rPr>
                <w:sz w:val="22"/>
                <w:szCs w:val="22"/>
              </w:rPr>
              <w:t>)</w:t>
            </w:r>
          </w:p>
        </w:tc>
      </w:tr>
      <w:tr w:rsidR="00E76643" w:rsidRPr="00005809" w14:paraId="53CEF1D1"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C384836" w14:textId="77777777" w:rsidR="00005809" w:rsidRPr="00005809" w:rsidRDefault="00005809" w:rsidP="00005809">
            <w:pPr>
              <w:rPr>
                <w:color w:val="000000"/>
                <w:sz w:val="22"/>
              </w:rPr>
            </w:pPr>
            <w:r w:rsidRPr="00005809">
              <w:rPr>
                <w:color w:val="000000"/>
                <w:sz w:val="22"/>
              </w:rPr>
              <w:t>Court Ideology Difference</w:t>
            </w:r>
          </w:p>
        </w:tc>
        <w:tc>
          <w:tcPr>
            <w:tcW w:w="0" w:type="auto"/>
            <w:tcBorders>
              <w:top w:val="nil"/>
              <w:left w:val="nil"/>
              <w:bottom w:val="nil"/>
              <w:right w:val="nil"/>
            </w:tcBorders>
            <w:shd w:val="clear" w:color="auto" w:fill="auto"/>
            <w:noWrap/>
            <w:vAlign w:val="bottom"/>
            <w:hideMark/>
          </w:tcPr>
          <w:p w14:paraId="6636FBEF" w14:textId="21AA15C9" w:rsidR="00005809" w:rsidRPr="00DC2AA2" w:rsidRDefault="001E2D94" w:rsidP="003D72F2">
            <w:pPr>
              <w:jc w:val="center"/>
              <w:rPr>
                <w:color w:val="000000"/>
                <w:sz w:val="22"/>
                <w:szCs w:val="22"/>
              </w:rPr>
            </w:pPr>
            <w:r>
              <w:rPr>
                <w:color w:val="000000"/>
                <w:sz w:val="22"/>
                <w:szCs w:val="22"/>
              </w:rPr>
              <w:t>-</w:t>
            </w:r>
            <w:r w:rsidR="002E3E49" w:rsidRPr="00DC2AA2">
              <w:rPr>
                <w:color w:val="000000"/>
                <w:sz w:val="22"/>
                <w:szCs w:val="22"/>
              </w:rPr>
              <w:t>0.0</w:t>
            </w:r>
            <w:r w:rsidR="000E4274">
              <w:rPr>
                <w:color w:val="000000"/>
                <w:sz w:val="22"/>
                <w:szCs w:val="22"/>
              </w:rPr>
              <w:t>8</w:t>
            </w:r>
          </w:p>
        </w:tc>
        <w:tc>
          <w:tcPr>
            <w:tcW w:w="0" w:type="auto"/>
            <w:tcBorders>
              <w:top w:val="nil"/>
              <w:left w:val="nil"/>
              <w:bottom w:val="nil"/>
              <w:right w:val="nil"/>
            </w:tcBorders>
            <w:shd w:val="clear" w:color="auto" w:fill="auto"/>
            <w:noWrap/>
            <w:vAlign w:val="bottom"/>
            <w:hideMark/>
          </w:tcPr>
          <w:p w14:paraId="666BE221" w14:textId="23C894E1" w:rsidR="00005809" w:rsidRPr="00DC2AA2" w:rsidRDefault="00CD4888" w:rsidP="0076650C">
            <w:pPr>
              <w:jc w:val="center"/>
              <w:rPr>
                <w:color w:val="000000"/>
                <w:sz w:val="22"/>
                <w:szCs w:val="22"/>
              </w:rPr>
            </w:pPr>
            <w:r>
              <w:rPr>
                <w:color w:val="000000"/>
                <w:sz w:val="22"/>
                <w:szCs w:val="22"/>
              </w:rPr>
              <w:t>-</w:t>
            </w:r>
            <w:r w:rsidR="00546D64" w:rsidRPr="00DC2AA2">
              <w:rPr>
                <w:color w:val="000000"/>
                <w:sz w:val="22"/>
                <w:szCs w:val="22"/>
              </w:rPr>
              <w:t>0.0</w:t>
            </w:r>
            <w:r>
              <w:rPr>
                <w:color w:val="000000"/>
                <w:sz w:val="22"/>
                <w:szCs w:val="22"/>
              </w:rPr>
              <w:t>1</w:t>
            </w:r>
          </w:p>
        </w:tc>
      </w:tr>
      <w:tr w:rsidR="00E76643" w:rsidRPr="00005809" w14:paraId="73BCD7D0"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451FB2FF"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6C22B2D5" w14:textId="2F180A88" w:rsidR="00005809" w:rsidRPr="00DC2AA2" w:rsidRDefault="00D915AC" w:rsidP="003D72F2">
            <w:pPr>
              <w:jc w:val="center"/>
              <w:rPr>
                <w:sz w:val="22"/>
                <w:szCs w:val="22"/>
              </w:rPr>
            </w:pPr>
            <w:r w:rsidRPr="00DC2AA2">
              <w:rPr>
                <w:sz w:val="22"/>
                <w:szCs w:val="22"/>
              </w:rPr>
              <w:t>(-0.2</w:t>
            </w:r>
            <w:r w:rsidR="00667321">
              <w:rPr>
                <w:sz w:val="22"/>
                <w:szCs w:val="22"/>
              </w:rPr>
              <w:t>9</w:t>
            </w:r>
            <w:r w:rsidRPr="00DC2AA2">
              <w:rPr>
                <w:sz w:val="22"/>
                <w:szCs w:val="22"/>
              </w:rPr>
              <w:t>; 0.</w:t>
            </w:r>
            <w:r w:rsidR="00B25202">
              <w:rPr>
                <w:sz w:val="22"/>
                <w:szCs w:val="22"/>
              </w:rPr>
              <w:t>14</w:t>
            </w:r>
            <w:r w:rsidRPr="00DC2AA2">
              <w:rPr>
                <w:sz w:val="22"/>
                <w:szCs w:val="22"/>
              </w:rPr>
              <w:t>)</w:t>
            </w:r>
          </w:p>
        </w:tc>
        <w:tc>
          <w:tcPr>
            <w:tcW w:w="0" w:type="auto"/>
            <w:tcBorders>
              <w:top w:val="nil"/>
              <w:left w:val="nil"/>
              <w:bottom w:val="nil"/>
              <w:right w:val="nil"/>
            </w:tcBorders>
            <w:shd w:val="clear" w:color="auto" w:fill="auto"/>
            <w:noWrap/>
            <w:vAlign w:val="bottom"/>
            <w:hideMark/>
          </w:tcPr>
          <w:p w14:paraId="0A337930" w14:textId="318BF75D" w:rsidR="00005809" w:rsidRPr="00DC2AA2" w:rsidRDefault="0058216E" w:rsidP="0076650C">
            <w:pPr>
              <w:jc w:val="center"/>
              <w:rPr>
                <w:color w:val="000000"/>
                <w:sz w:val="22"/>
                <w:szCs w:val="22"/>
              </w:rPr>
            </w:pPr>
            <w:r w:rsidRPr="00DC2AA2">
              <w:rPr>
                <w:sz w:val="22"/>
                <w:szCs w:val="22"/>
              </w:rPr>
              <w:t>(-0.1</w:t>
            </w:r>
            <w:r w:rsidR="00CD4888">
              <w:rPr>
                <w:sz w:val="22"/>
                <w:szCs w:val="22"/>
              </w:rPr>
              <w:t>5</w:t>
            </w:r>
            <w:r w:rsidRPr="00DC2AA2">
              <w:rPr>
                <w:sz w:val="22"/>
                <w:szCs w:val="22"/>
              </w:rPr>
              <w:t>; 0.</w:t>
            </w:r>
            <w:r w:rsidR="00A36796">
              <w:rPr>
                <w:sz w:val="22"/>
                <w:szCs w:val="22"/>
              </w:rPr>
              <w:t>14</w:t>
            </w:r>
            <w:r w:rsidRPr="00DC2AA2">
              <w:rPr>
                <w:sz w:val="22"/>
                <w:szCs w:val="22"/>
              </w:rPr>
              <w:t>)</w:t>
            </w:r>
          </w:p>
        </w:tc>
      </w:tr>
      <w:tr w:rsidR="00E76643" w:rsidRPr="00005809" w14:paraId="5E64A22F"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2EB03B4D" w14:textId="77777777" w:rsidR="00005809" w:rsidRPr="00005809" w:rsidRDefault="00005809" w:rsidP="00005809">
            <w:pPr>
              <w:rPr>
                <w:color w:val="000000"/>
                <w:sz w:val="22"/>
              </w:rPr>
            </w:pPr>
            <w:r w:rsidRPr="00005809">
              <w:rPr>
                <w:color w:val="000000"/>
                <w:sz w:val="22"/>
              </w:rPr>
              <w:t>Citizen Ideology Difference</w:t>
            </w:r>
          </w:p>
        </w:tc>
        <w:tc>
          <w:tcPr>
            <w:tcW w:w="0" w:type="auto"/>
            <w:tcBorders>
              <w:top w:val="nil"/>
              <w:left w:val="nil"/>
              <w:bottom w:val="nil"/>
              <w:right w:val="nil"/>
            </w:tcBorders>
            <w:shd w:val="clear" w:color="auto" w:fill="auto"/>
            <w:noWrap/>
            <w:vAlign w:val="bottom"/>
            <w:hideMark/>
          </w:tcPr>
          <w:p w14:paraId="39DFD2D0" w14:textId="68E8BDDF" w:rsidR="00005809" w:rsidRPr="00DC2AA2" w:rsidRDefault="002E3E49" w:rsidP="003D72F2">
            <w:pPr>
              <w:jc w:val="center"/>
              <w:rPr>
                <w:color w:val="000000"/>
                <w:sz w:val="22"/>
                <w:szCs w:val="22"/>
              </w:rPr>
            </w:pPr>
            <w:r w:rsidRPr="00DC2AA2">
              <w:rPr>
                <w:color w:val="000000"/>
                <w:sz w:val="22"/>
                <w:szCs w:val="22"/>
              </w:rPr>
              <w:t>0.0</w:t>
            </w:r>
            <w:r w:rsidR="0001025C">
              <w:rPr>
                <w:color w:val="000000"/>
                <w:sz w:val="22"/>
                <w:szCs w:val="22"/>
              </w:rPr>
              <w:t>0</w:t>
            </w:r>
          </w:p>
        </w:tc>
        <w:tc>
          <w:tcPr>
            <w:tcW w:w="0" w:type="auto"/>
            <w:tcBorders>
              <w:top w:val="nil"/>
              <w:left w:val="nil"/>
              <w:bottom w:val="nil"/>
              <w:right w:val="nil"/>
            </w:tcBorders>
            <w:shd w:val="clear" w:color="auto" w:fill="auto"/>
            <w:noWrap/>
            <w:vAlign w:val="bottom"/>
            <w:hideMark/>
          </w:tcPr>
          <w:p w14:paraId="5AA7473C" w14:textId="679B551E" w:rsidR="00005809" w:rsidRPr="00DC2AA2" w:rsidRDefault="00546D64" w:rsidP="0076650C">
            <w:pPr>
              <w:jc w:val="center"/>
              <w:rPr>
                <w:color w:val="000000"/>
                <w:sz w:val="22"/>
                <w:szCs w:val="22"/>
              </w:rPr>
            </w:pPr>
            <w:r w:rsidRPr="00DC2AA2">
              <w:rPr>
                <w:color w:val="000000"/>
                <w:sz w:val="22"/>
                <w:szCs w:val="22"/>
              </w:rPr>
              <w:t>0.00</w:t>
            </w:r>
          </w:p>
        </w:tc>
      </w:tr>
      <w:tr w:rsidR="00E76643" w:rsidRPr="00005809" w14:paraId="74079E8E"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55AED9A9"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2FE11A83" w14:textId="4E80B682" w:rsidR="00005809" w:rsidRPr="00DC2AA2" w:rsidRDefault="00D915AC" w:rsidP="003D72F2">
            <w:pPr>
              <w:jc w:val="center"/>
              <w:rPr>
                <w:color w:val="000000"/>
                <w:sz w:val="22"/>
                <w:szCs w:val="22"/>
              </w:rPr>
            </w:pPr>
            <w:r w:rsidRPr="00DC2AA2">
              <w:rPr>
                <w:sz w:val="22"/>
                <w:szCs w:val="22"/>
              </w:rPr>
              <w:t>(-0.01; 0.01)</w:t>
            </w:r>
          </w:p>
        </w:tc>
        <w:tc>
          <w:tcPr>
            <w:tcW w:w="0" w:type="auto"/>
            <w:tcBorders>
              <w:top w:val="nil"/>
              <w:left w:val="nil"/>
              <w:bottom w:val="nil"/>
              <w:right w:val="nil"/>
            </w:tcBorders>
            <w:shd w:val="clear" w:color="auto" w:fill="auto"/>
            <w:noWrap/>
            <w:vAlign w:val="bottom"/>
            <w:hideMark/>
          </w:tcPr>
          <w:p w14:paraId="69C2DF91" w14:textId="33D1EDE6" w:rsidR="00005809" w:rsidRPr="00DC2AA2" w:rsidRDefault="0058216E" w:rsidP="0076650C">
            <w:pPr>
              <w:jc w:val="center"/>
              <w:rPr>
                <w:color w:val="000000"/>
                <w:sz w:val="22"/>
                <w:szCs w:val="22"/>
              </w:rPr>
            </w:pPr>
            <w:r w:rsidRPr="00DC2AA2">
              <w:rPr>
                <w:sz w:val="22"/>
                <w:szCs w:val="22"/>
              </w:rPr>
              <w:t>(0.00; 0.01)</w:t>
            </w:r>
          </w:p>
        </w:tc>
      </w:tr>
      <w:tr w:rsidR="00E76643" w:rsidRPr="00005809" w14:paraId="6A0C3226"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635AA877" w14:textId="77777777" w:rsidR="00005809" w:rsidRPr="00005809" w:rsidRDefault="00005809" w:rsidP="00005809">
            <w:pPr>
              <w:rPr>
                <w:color w:val="000000"/>
                <w:sz w:val="22"/>
              </w:rPr>
            </w:pPr>
            <w:r w:rsidRPr="00005809">
              <w:rPr>
                <w:color w:val="000000"/>
                <w:sz w:val="22"/>
              </w:rPr>
              <w:t>Population Difference</w:t>
            </w:r>
          </w:p>
        </w:tc>
        <w:tc>
          <w:tcPr>
            <w:tcW w:w="0" w:type="auto"/>
            <w:tcBorders>
              <w:top w:val="nil"/>
              <w:left w:val="nil"/>
              <w:bottom w:val="nil"/>
              <w:right w:val="nil"/>
            </w:tcBorders>
            <w:shd w:val="clear" w:color="auto" w:fill="auto"/>
            <w:noWrap/>
            <w:vAlign w:val="bottom"/>
            <w:hideMark/>
          </w:tcPr>
          <w:p w14:paraId="27FDD93D" w14:textId="3CA2D762" w:rsidR="00005809" w:rsidRPr="00DC2AA2" w:rsidRDefault="00005809" w:rsidP="003D72F2">
            <w:pPr>
              <w:jc w:val="center"/>
              <w:rPr>
                <w:color w:val="000000"/>
                <w:sz w:val="22"/>
                <w:szCs w:val="22"/>
              </w:rPr>
            </w:pPr>
            <w:r w:rsidRPr="00DC2AA2">
              <w:rPr>
                <w:color w:val="000000"/>
                <w:sz w:val="22"/>
                <w:szCs w:val="22"/>
              </w:rPr>
              <w:t>0.0</w:t>
            </w:r>
            <w:r w:rsidR="0001025C">
              <w:rPr>
                <w:color w:val="000000"/>
                <w:sz w:val="22"/>
                <w:szCs w:val="22"/>
              </w:rPr>
              <w:t>6</w:t>
            </w:r>
          </w:p>
        </w:tc>
        <w:tc>
          <w:tcPr>
            <w:tcW w:w="0" w:type="auto"/>
            <w:tcBorders>
              <w:top w:val="nil"/>
              <w:left w:val="nil"/>
              <w:bottom w:val="nil"/>
              <w:right w:val="nil"/>
            </w:tcBorders>
            <w:shd w:val="clear" w:color="auto" w:fill="auto"/>
            <w:noWrap/>
            <w:vAlign w:val="bottom"/>
            <w:hideMark/>
          </w:tcPr>
          <w:p w14:paraId="5083C43D" w14:textId="4D1D41E7" w:rsidR="00005809" w:rsidRPr="00DC2AA2" w:rsidRDefault="00546D64" w:rsidP="0076650C">
            <w:pPr>
              <w:jc w:val="center"/>
              <w:rPr>
                <w:color w:val="000000"/>
                <w:sz w:val="22"/>
                <w:szCs w:val="22"/>
              </w:rPr>
            </w:pPr>
            <w:r w:rsidRPr="00DC2AA2">
              <w:rPr>
                <w:color w:val="000000"/>
                <w:sz w:val="22"/>
                <w:szCs w:val="22"/>
              </w:rPr>
              <w:t>0.06</w:t>
            </w:r>
            <w:r w:rsidR="0045582B">
              <w:rPr>
                <w:color w:val="000000"/>
                <w:sz w:val="22"/>
                <w:szCs w:val="22"/>
              </w:rPr>
              <w:t>*</w:t>
            </w:r>
          </w:p>
        </w:tc>
      </w:tr>
      <w:tr w:rsidR="00E76643" w:rsidRPr="00005809" w14:paraId="69ABAF4E"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0ECBB69"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44DEA2A8" w14:textId="0D1997D7" w:rsidR="00005809" w:rsidRPr="00DC2AA2" w:rsidRDefault="00D915AC" w:rsidP="003D72F2">
            <w:pPr>
              <w:jc w:val="center"/>
              <w:rPr>
                <w:sz w:val="22"/>
                <w:szCs w:val="22"/>
              </w:rPr>
            </w:pPr>
            <w:r w:rsidRPr="00DC2AA2">
              <w:rPr>
                <w:sz w:val="22"/>
                <w:szCs w:val="22"/>
              </w:rPr>
              <w:t>(-0.0</w:t>
            </w:r>
            <w:r w:rsidR="00667321">
              <w:rPr>
                <w:sz w:val="22"/>
                <w:szCs w:val="22"/>
              </w:rPr>
              <w:t>2</w:t>
            </w:r>
            <w:r w:rsidRPr="00DC2AA2">
              <w:rPr>
                <w:sz w:val="22"/>
                <w:szCs w:val="22"/>
              </w:rPr>
              <w:t>; 0.1</w:t>
            </w:r>
            <w:r w:rsidR="00B25202">
              <w:rPr>
                <w:sz w:val="22"/>
                <w:szCs w:val="22"/>
              </w:rPr>
              <w:t>5</w:t>
            </w:r>
            <w:r w:rsidRPr="00DC2AA2">
              <w:rPr>
                <w:sz w:val="22"/>
                <w:szCs w:val="22"/>
              </w:rPr>
              <w:t>)</w:t>
            </w:r>
          </w:p>
        </w:tc>
        <w:tc>
          <w:tcPr>
            <w:tcW w:w="0" w:type="auto"/>
            <w:tcBorders>
              <w:top w:val="nil"/>
              <w:left w:val="nil"/>
              <w:bottom w:val="nil"/>
              <w:right w:val="nil"/>
            </w:tcBorders>
            <w:shd w:val="clear" w:color="auto" w:fill="auto"/>
            <w:noWrap/>
            <w:vAlign w:val="bottom"/>
            <w:hideMark/>
          </w:tcPr>
          <w:p w14:paraId="2C12D615" w14:textId="6734A60D" w:rsidR="00005809" w:rsidRPr="00DC2AA2" w:rsidRDefault="0058216E" w:rsidP="0076650C">
            <w:pPr>
              <w:jc w:val="center"/>
              <w:rPr>
                <w:color w:val="000000"/>
                <w:sz w:val="22"/>
                <w:szCs w:val="22"/>
              </w:rPr>
            </w:pPr>
            <w:r w:rsidRPr="00DC2AA2">
              <w:rPr>
                <w:sz w:val="22"/>
                <w:szCs w:val="22"/>
              </w:rPr>
              <w:t>(0.0</w:t>
            </w:r>
            <w:r w:rsidR="00CD4888">
              <w:rPr>
                <w:sz w:val="22"/>
                <w:szCs w:val="22"/>
              </w:rPr>
              <w:t>1</w:t>
            </w:r>
            <w:r w:rsidRPr="00DC2AA2">
              <w:rPr>
                <w:sz w:val="22"/>
                <w:szCs w:val="22"/>
              </w:rPr>
              <w:t>; 0.11)</w:t>
            </w:r>
          </w:p>
        </w:tc>
      </w:tr>
      <w:tr w:rsidR="00E76643" w:rsidRPr="00005809" w14:paraId="450644ED"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A712EB4" w14:textId="77777777" w:rsidR="00005809" w:rsidRPr="00005809" w:rsidRDefault="00005809" w:rsidP="00005809">
            <w:pPr>
              <w:rPr>
                <w:color w:val="000000"/>
                <w:sz w:val="22"/>
              </w:rPr>
            </w:pPr>
            <w:r w:rsidRPr="00005809">
              <w:rPr>
                <w:color w:val="000000"/>
                <w:sz w:val="22"/>
              </w:rPr>
              <w:t>Gross State Product Difference</w:t>
            </w:r>
          </w:p>
        </w:tc>
        <w:tc>
          <w:tcPr>
            <w:tcW w:w="0" w:type="auto"/>
            <w:tcBorders>
              <w:top w:val="nil"/>
              <w:left w:val="nil"/>
              <w:bottom w:val="nil"/>
              <w:right w:val="nil"/>
            </w:tcBorders>
            <w:shd w:val="clear" w:color="auto" w:fill="auto"/>
            <w:noWrap/>
            <w:vAlign w:val="bottom"/>
            <w:hideMark/>
          </w:tcPr>
          <w:p w14:paraId="6319BAC1" w14:textId="03D75D63" w:rsidR="00005809" w:rsidRPr="00DC2AA2" w:rsidRDefault="00005809" w:rsidP="003D72F2">
            <w:pPr>
              <w:jc w:val="center"/>
              <w:rPr>
                <w:color w:val="000000"/>
                <w:sz w:val="22"/>
                <w:szCs w:val="22"/>
              </w:rPr>
            </w:pPr>
            <w:r w:rsidRPr="00DC2AA2">
              <w:rPr>
                <w:color w:val="000000"/>
                <w:sz w:val="22"/>
                <w:szCs w:val="22"/>
              </w:rPr>
              <w:t>0.</w:t>
            </w:r>
            <w:r w:rsidR="00B246B8" w:rsidRPr="00DC2AA2">
              <w:rPr>
                <w:color w:val="000000"/>
                <w:sz w:val="22"/>
                <w:szCs w:val="22"/>
              </w:rPr>
              <w:t>0</w:t>
            </w:r>
            <w:r w:rsidR="0001025C">
              <w:rPr>
                <w:color w:val="000000"/>
                <w:sz w:val="22"/>
                <w:szCs w:val="22"/>
              </w:rPr>
              <w:t>0</w:t>
            </w:r>
          </w:p>
        </w:tc>
        <w:tc>
          <w:tcPr>
            <w:tcW w:w="0" w:type="auto"/>
            <w:tcBorders>
              <w:top w:val="nil"/>
              <w:left w:val="nil"/>
              <w:bottom w:val="nil"/>
              <w:right w:val="nil"/>
            </w:tcBorders>
            <w:shd w:val="clear" w:color="auto" w:fill="auto"/>
            <w:noWrap/>
            <w:vAlign w:val="bottom"/>
            <w:hideMark/>
          </w:tcPr>
          <w:p w14:paraId="6D1E789E" w14:textId="76762B3C" w:rsidR="00005809" w:rsidRPr="00DC2AA2" w:rsidRDefault="00546D64" w:rsidP="0076650C">
            <w:pPr>
              <w:jc w:val="center"/>
              <w:rPr>
                <w:color w:val="000000"/>
                <w:sz w:val="22"/>
                <w:szCs w:val="22"/>
              </w:rPr>
            </w:pPr>
            <w:r w:rsidRPr="00DC2AA2">
              <w:rPr>
                <w:color w:val="000000"/>
                <w:sz w:val="22"/>
                <w:szCs w:val="22"/>
              </w:rPr>
              <w:t>-0.00</w:t>
            </w:r>
            <w:r w:rsidR="0045582B">
              <w:rPr>
                <w:color w:val="000000"/>
                <w:sz w:val="22"/>
                <w:szCs w:val="22"/>
              </w:rPr>
              <w:t>*</w:t>
            </w:r>
          </w:p>
        </w:tc>
      </w:tr>
      <w:tr w:rsidR="00E76643" w:rsidRPr="00005809" w14:paraId="3BA52582"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1C8F17EF" w14:textId="77777777" w:rsidR="00005809" w:rsidRPr="00005809" w:rsidRDefault="00005809" w:rsidP="00005809">
            <w:pPr>
              <w:rPr>
                <w:color w:val="000000"/>
                <w:sz w:val="22"/>
              </w:rPr>
            </w:pPr>
          </w:p>
        </w:tc>
        <w:tc>
          <w:tcPr>
            <w:tcW w:w="0" w:type="auto"/>
            <w:tcBorders>
              <w:top w:val="nil"/>
              <w:left w:val="nil"/>
              <w:bottom w:val="nil"/>
              <w:right w:val="nil"/>
            </w:tcBorders>
            <w:shd w:val="clear" w:color="auto" w:fill="auto"/>
            <w:noWrap/>
            <w:vAlign w:val="bottom"/>
            <w:hideMark/>
          </w:tcPr>
          <w:p w14:paraId="3895EB84" w14:textId="3D3614F5" w:rsidR="00005809" w:rsidRPr="00DC2AA2" w:rsidRDefault="0094556B" w:rsidP="003D72F2">
            <w:pPr>
              <w:jc w:val="center"/>
              <w:rPr>
                <w:sz w:val="22"/>
                <w:szCs w:val="22"/>
              </w:rPr>
            </w:pPr>
            <w:r w:rsidRPr="00DC2AA2">
              <w:rPr>
                <w:sz w:val="22"/>
                <w:szCs w:val="22"/>
              </w:rPr>
              <w:t>(0.00; 0.00)</w:t>
            </w:r>
          </w:p>
        </w:tc>
        <w:tc>
          <w:tcPr>
            <w:tcW w:w="0" w:type="auto"/>
            <w:tcBorders>
              <w:top w:val="nil"/>
              <w:left w:val="nil"/>
              <w:bottom w:val="nil"/>
              <w:right w:val="nil"/>
            </w:tcBorders>
            <w:shd w:val="clear" w:color="auto" w:fill="auto"/>
            <w:noWrap/>
            <w:vAlign w:val="bottom"/>
            <w:hideMark/>
          </w:tcPr>
          <w:p w14:paraId="6A78E990" w14:textId="1134680B" w:rsidR="00005809" w:rsidRPr="00DC2AA2" w:rsidRDefault="0058216E" w:rsidP="0076650C">
            <w:pPr>
              <w:jc w:val="center"/>
              <w:rPr>
                <w:color w:val="000000"/>
                <w:sz w:val="22"/>
                <w:szCs w:val="22"/>
              </w:rPr>
            </w:pPr>
            <w:r w:rsidRPr="00DC2AA2">
              <w:rPr>
                <w:sz w:val="22"/>
                <w:szCs w:val="22"/>
              </w:rPr>
              <w:t>(0.00; 0.00)</w:t>
            </w:r>
          </w:p>
        </w:tc>
      </w:tr>
      <w:tr w:rsidR="00E76643" w:rsidRPr="00005809" w14:paraId="23BE5B18" w14:textId="77777777" w:rsidTr="000A5A82">
        <w:trPr>
          <w:trHeight w:val="288"/>
          <w:jc w:val="center"/>
        </w:trPr>
        <w:tc>
          <w:tcPr>
            <w:tcW w:w="3218" w:type="dxa"/>
            <w:vMerge w:val="restart"/>
            <w:tcBorders>
              <w:top w:val="nil"/>
              <w:left w:val="nil"/>
              <w:right w:val="nil"/>
            </w:tcBorders>
            <w:shd w:val="clear" w:color="auto" w:fill="auto"/>
            <w:noWrap/>
          </w:tcPr>
          <w:p w14:paraId="313BE03C" w14:textId="2053EE1A" w:rsidR="000A5A82" w:rsidRPr="00005809" w:rsidRDefault="000A5A82" w:rsidP="000A5A82">
            <w:pPr>
              <w:rPr>
                <w:color w:val="000000"/>
                <w:sz w:val="22"/>
              </w:rPr>
            </w:pPr>
            <w:r w:rsidRPr="001536C8">
              <w:rPr>
                <w:color w:val="000000"/>
                <w:sz w:val="22"/>
              </w:rPr>
              <w:t xml:space="preserve">Court </w:t>
            </w:r>
            <w:r w:rsidR="000E4274">
              <w:rPr>
                <w:color w:val="000000"/>
                <w:sz w:val="22"/>
              </w:rPr>
              <w:t xml:space="preserve">Professionalism </w:t>
            </w:r>
            <w:r w:rsidRPr="001536C8">
              <w:rPr>
                <w:color w:val="000000"/>
                <w:sz w:val="22"/>
              </w:rPr>
              <w:t>Difference</w:t>
            </w:r>
          </w:p>
        </w:tc>
        <w:tc>
          <w:tcPr>
            <w:tcW w:w="0" w:type="auto"/>
            <w:tcBorders>
              <w:top w:val="nil"/>
              <w:left w:val="nil"/>
              <w:bottom w:val="nil"/>
              <w:right w:val="nil"/>
            </w:tcBorders>
            <w:shd w:val="clear" w:color="auto" w:fill="auto"/>
            <w:noWrap/>
            <w:vAlign w:val="bottom"/>
          </w:tcPr>
          <w:p w14:paraId="61161C10" w14:textId="568D89EA" w:rsidR="000A5A82" w:rsidRPr="00DC2AA2" w:rsidRDefault="000A5A82" w:rsidP="003D72F2">
            <w:pPr>
              <w:jc w:val="center"/>
              <w:rPr>
                <w:color w:val="000000"/>
                <w:sz w:val="22"/>
                <w:szCs w:val="22"/>
              </w:rPr>
            </w:pPr>
            <w:r w:rsidRPr="00DC2AA2">
              <w:rPr>
                <w:color w:val="000000"/>
                <w:sz w:val="22"/>
                <w:szCs w:val="22"/>
              </w:rPr>
              <w:t>0.</w:t>
            </w:r>
            <w:r>
              <w:rPr>
                <w:color w:val="000000"/>
                <w:sz w:val="22"/>
                <w:szCs w:val="22"/>
              </w:rPr>
              <w:t>2</w:t>
            </w:r>
            <w:r w:rsidR="000E4274">
              <w:rPr>
                <w:color w:val="000000"/>
                <w:sz w:val="22"/>
                <w:szCs w:val="22"/>
              </w:rPr>
              <w:t>6</w:t>
            </w:r>
          </w:p>
        </w:tc>
        <w:tc>
          <w:tcPr>
            <w:tcW w:w="0" w:type="auto"/>
            <w:tcBorders>
              <w:top w:val="nil"/>
              <w:left w:val="nil"/>
              <w:bottom w:val="nil"/>
              <w:right w:val="nil"/>
            </w:tcBorders>
            <w:shd w:val="clear" w:color="auto" w:fill="auto"/>
            <w:noWrap/>
            <w:vAlign w:val="bottom"/>
          </w:tcPr>
          <w:p w14:paraId="283F697B" w14:textId="7C36AD04" w:rsidR="000A5A82" w:rsidRPr="00DC2AA2" w:rsidRDefault="000A5A82" w:rsidP="0076650C">
            <w:pPr>
              <w:jc w:val="center"/>
              <w:rPr>
                <w:color w:val="000000"/>
                <w:sz w:val="22"/>
                <w:szCs w:val="22"/>
              </w:rPr>
            </w:pPr>
            <w:r w:rsidRPr="00DC2AA2">
              <w:rPr>
                <w:color w:val="000000"/>
                <w:sz w:val="22"/>
                <w:szCs w:val="22"/>
              </w:rPr>
              <w:t>-0.</w:t>
            </w:r>
            <w:r>
              <w:rPr>
                <w:color w:val="000000"/>
                <w:sz w:val="22"/>
                <w:szCs w:val="22"/>
              </w:rPr>
              <w:t>27</w:t>
            </w:r>
          </w:p>
        </w:tc>
      </w:tr>
      <w:tr w:rsidR="00E76643" w:rsidRPr="00005809" w14:paraId="797302FE" w14:textId="77777777" w:rsidTr="000A5A82">
        <w:trPr>
          <w:trHeight w:val="288"/>
          <w:jc w:val="center"/>
        </w:trPr>
        <w:tc>
          <w:tcPr>
            <w:tcW w:w="3218" w:type="dxa"/>
            <w:vMerge/>
            <w:tcBorders>
              <w:left w:val="nil"/>
              <w:bottom w:val="nil"/>
              <w:right w:val="nil"/>
            </w:tcBorders>
            <w:shd w:val="clear" w:color="auto" w:fill="auto"/>
            <w:noWrap/>
            <w:vAlign w:val="bottom"/>
          </w:tcPr>
          <w:p w14:paraId="488BC5FA" w14:textId="77777777" w:rsidR="000A5A82" w:rsidRPr="00005809" w:rsidRDefault="000A5A82" w:rsidP="00FB4647">
            <w:pPr>
              <w:rPr>
                <w:color w:val="000000"/>
                <w:sz w:val="22"/>
              </w:rPr>
            </w:pPr>
          </w:p>
        </w:tc>
        <w:tc>
          <w:tcPr>
            <w:tcW w:w="0" w:type="auto"/>
            <w:tcBorders>
              <w:top w:val="nil"/>
              <w:left w:val="nil"/>
              <w:bottom w:val="nil"/>
              <w:right w:val="nil"/>
            </w:tcBorders>
            <w:shd w:val="clear" w:color="auto" w:fill="auto"/>
            <w:noWrap/>
            <w:vAlign w:val="bottom"/>
          </w:tcPr>
          <w:p w14:paraId="3536F3DE" w14:textId="232466D8" w:rsidR="000A5A82" w:rsidRPr="00DC2AA2" w:rsidRDefault="000A5A82" w:rsidP="003D72F2">
            <w:pPr>
              <w:jc w:val="center"/>
              <w:rPr>
                <w:sz w:val="22"/>
                <w:szCs w:val="22"/>
              </w:rPr>
            </w:pPr>
            <w:r w:rsidRPr="00DC2AA2">
              <w:rPr>
                <w:sz w:val="22"/>
                <w:szCs w:val="22"/>
              </w:rPr>
              <w:t>(-</w:t>
            </w:r>
            <w:r>
              <w:rPr>
                <w:sz w:val="22"/>
                <w:szCs w:val="22"/>
              </w:rPr>
              <w:t>1</w:t>
            </w:r>
            <w:r w:rsidRPr="00DC2AA2">
              <w:rPr>
                <w:sz w:val="22"/>
                <w:szCs w:val="22"/>
              </w:rPr>
              <w:t>.</w:t>
            </w:r>
            <w:r>
              <w:rPr>
                <w:sz w:val="22"/>
                <w:szCs w:val="22"/>
              </w:rPr>
              <w:t>17</w:t>
            </w:r>
            <w:r w:rsidRPr="00DC2AA2">
              <w:rPr>
                <w:sz w:val="22"/>
                <w:szCs w:val="22"/>
              </w:rPr>
              <w:t xml:space="preserve">; </w:t>
            </w:r>
            <w:r>
              <w:rPr>
                <w:sz w:val="22"/>
                <w:szCs w:val="22"/>
              </w:rPr>
              <w:t>1</w:t>
            </w:r>
            <w:r w:rsidRPr="00DC2AA2">
              <w:rPr>
                <w:sz w:val="22"/>
                <w:szCs w:val="22"/>
              </w:rPr>
              <w:t>.</w:t>
            </w:r>
            <w:r>
              <w:rPr>
                <w:sz w:val="22"/>
                <w:szCs w:val="22"/>
              </w:rPr>
              <w:t>73</w:t>
            </w:r>
            <w:r w:rsidRPr="00DC2AA2">
              <w:rPr>
                <w:sz w:val="22"/>
                <w:szCs w:val="22"/>
              </w:rPr>
              <w:t>)</w:t>
            </w:r>
          </w:p>
        </w:tc>
        <w:tc>
          <w:tcPr>
            <w:tcW w:w="0" w:type="auto"/>
            <w:tcBorders>
              <w:top w:val="nil"/>
              <w:left w:val="nil"/>
              <w:bottom w:val="nil"/>
              <w:right w:val="nil"/>
            </w:tcBorders>
            <w:shd w:val="clear" w:color="auto" w:fill="auto"/>
            <w:noWrap/>
            <w:vAlign w:val="bottom"/>
          </w:tcPr>
          <w:p w14:paraId="183662A5" w14:textId="2E590258" w:rsidR="000A5A82" w:rsidRPr="00DC2AA2" w:rsidRDefault="000A5A82" w:rsidP="0076650C">
            <w:pPr>
              <w:jc w:val="center"/>
              <w:rPr>
                <w:color w:val="000000"/>
                <w:sz w:val="22"/>
                <w:szCs w:val="22"/>
              </w:rPr>
            </w:pPr>
            <w:r w:rsidRPr="00DC2AA2">
              <w:rPr>
                <w:sz w:val="22"/>
                <w:szCs w:val="22"/>
              </w:rPr>
              <w:t>(-1.02; 0.48)</w:t>
            </w:r>
          </w:p>
        </w:tc>
      </w:tr>
      <w:tr w:rsidR="00E76643" w:rsidRPr="00005809" w14:paraId="351BBFF1"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499CD128" w14:textId="77777777" w:rsidR="00FB4647" w:rsidRPr="00005809" w:rsidRDefault="00FB4647" w:rsidP="00FB4647">
            <w:pPr>
              <w:rPr>
                <w:color w:val="000000"/>
                <w:sz w:val="22"/>
              </w:rPr>
            </w:pPr>
            <w:r w:rsidRPr="00005809">
              <w:rPr>
                <w:color w:val="000000"/>
                <w:sz w:val="22"/>
              </w:rPr>
              <w:t>Same Judicial Selection Method</w:t>
            </w:r>
          </w:p>
        </w:tc>
        <w:tc>
          <w:tcPr>
            <w:tcW w:w="0" w:type="auto"/>
            <w:tcBorders>
              <w:top w:val="nil"/>
              <w:left w:val="nil"/>
              <w:bottom w:val="nil"/>
              <w:right w:val="nil"/>
            </w:tcBorders>
            <w:shd w:val="clear" w:color="auto" w:fill="auto"/>
            <w:noWrap/>
            <w:vAlign w:val="bottom"/>
            <w:hideMark/>
          </w:tcPr>
          <w:p w14:paraId="2010B8B6" w14:textId="0FB9F8E3" w:rsidR="00FB4647" w:rsidRPr="00DC2AA2" w:rsidRDefault="00FB4647" w:rsidP="003D72F2">
            <w:pPr>
              <w:jc w:val="center"/>
              <w:rPr>
                <w:color w:val="000000"/>
                <w:sz w:val="22"/>
                <w:szCs w:val="22"/>
              </w:rPr>
            </w:pPr>
            <w:r w:rsidRPr="00DC2AA2">
              <w:rPr>
                <w:color w:val="000000"/>
                <w:sz w:val="22"/>
                <w:szCs w:val="22"/>
              </w:rPr>
              <w:t>0.0</w:t>
            </w:r>
            <w:r w:rsidR="0001025C">
              <w:rPr>
                <w:color w:val="000000"/>
                <w:sz w:val="22"/>
                <w:szCs w:val="22"/>
              </w:rPr>
              <w:t>5</w:t>
            </w:r>
          </w:p>
        </w:tc>
        <w:tc>
          <w:tcPr>
            <w:tcW w:w="0" w:type="auto"/>
            <w:tcBorders>
              <w:top w:val="nil"/>
              <w:left w:val="nil"/>
              <w:bottom w:val="nil"/>
              <w:right w:val="nil"/>
            </w:tcBorders>
            <w:shd w:val="clear" w:color="auto" w:fill="auto"/>
            <w:noWrap/>
            <w:vAlign w:val="bottom"/>
            <w:hideMark/>
          </w:tcPr>
          <w:p w14:paraId="3C8AD50A" w14:textId="734250C0" w:rsidR="00FB4647" w:rsidRPr="00DC2AA2" w:rsidRDefault="00546D64" w:rsidP="0076650C">
            <w:pPr>
              <w:jc w:val="center"/>
              <w:rPr>
                <w:color w:val="000000"/>
                <w:sz w:val="22"/>
                <w:szCs w:val="22"/>
              </w:rPr>
            </w:pPr>
            <w:r w:rsidRPr="00DC2AA2">
              <w:rPr>
                <w:color w:val="000000"/>
                <w:sz w:val="22"/>
                <w:szCs w:val="22"/>
              </w:rPr>
              <w:t>-0.2</w:t>
            </w:r>
            <w:r w:rsidR="00CD4888">
              <w:rPr>
                <w:color w:val="000000"/>
                <w:sz w:val="22"/>
                <w:szCs w:val="22"/>
              </w:rPr>
              <w:t>7</w:t>
            </w:r>
            <w:r w:rsidRPr="00DC2AA2">
              <w:rPr>
                <w:color w:val="000000"/>
                <w:sz w:val="22"/>
                <w:szCs w:val="22"/>
              </w:rPr>
              <w:t>*</w:t>
            </w:r>
          </w:p>
        </w:tc>
      </w:tr>
      <w:tr w:rsidR="00E76643" w:rsidRPr="00005809" w14:paraId="6B7BA47E"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49F5C31" w14:textId="77777777" w:rsidR="00FB4647" w:rsidRPr="00005809" w:rsidRDefault="00FB4647" w:rsidP="00FB4647">
            <w:pPr>
              <w:rPr>
                <w:color w:val="000000"/>
                <w:sz w:val="22"/>
              </w:rPr>
            </w:pPr>
          </w:p>
        </w:tc>
        <w:tc>
          <w:tcPr>
            <w:tcW w:w="0" w:type="auto"/>
            <w:tcBorders>
              <w:top w:val="nil"/>
              <w:left w:val="nil"/>
              <w:bottom w:val="nil"/>
              <w:right w:val="nil"/>
            </w:tcBorders>
            <w:shd w:val="clear" w:color="auto" w:fill="auto"/>
            <w:noWrap/>
            <w:vAlign w:val="bottom"/>
            <w:hideMark/>
          </w:tcPr>
          <w:p w14:paraId="70A07CE5" w14:textId="47C0BCA3" w:rsidR="00FB4647" w:rsidRPr="00DC2AA2" w:rsidRDefault="0094556B" w:rsidP="003D72F2">
            <w:pPr>
              <w:jc w:val="center"/>
              <w:rPr>
                <w:sz w:val="22"/>
                <w:szCs w:val="22"/>
              </w:rPr>
            </w:pPr>
            <w:r w:rsidRPr="00DC2AA2">
              <w:rPr>
                <w:sz w:val="22"/>
                <w:szCs w:val="22"/>
              </w:rPr>
              <w:t>(-0.</w:t>
            </w:r>
            <w:r w:rsidR="00667321">
              <w:rPr>
                <w:sz w:val="22"/>
                <w:szCs w:val="22"/>
              </w:rPr>
              <w:t>25</w:t>
            </w:r>
            <w:r w:rsidRPr="00DC2AA2">
              <w:rPr>
                <w:sz w:val="22"/>
                <w:szCs w:val="22"/>
              </w:rPr>
              <w:t>; 0.31)</w:t>
            </w:r>
          </w:p>
        </w:tc>
        <w:tc>
          <w:tcPr>
            <w:tcW w:w="0" w:type="auto"/>
            <w:tcBorders>
              <w:top w:val="nil"/>
              <w:left w:val="nil"/>
              <w:bottom w:val="nil"/>
              <w:right w:val="nil"/>
            </w:tcBorders>
            <w:shd w:val="clear" w:color="auto" w:fill="auto"/>
            <w:noWrap/>
            <w:vAlign w:val="bottom"/>
            <w:hideMark/>
          </w:tcPr>
          <w:p w14:paraId="57E446C4" w14:textId="6FA00634" w:rsidR="00FB4647" w:rsidRPr="00DC2AA2" w:rsidRDefault="00D906C5" w:rsidP="0076650C">
            <w:pPr>
              <w:jc w:val="center"/>
              <w:rPr>
                <w:color w:val="000000"/>
                <w:sz w:val="22"/>
                <w:szCs w:val="22"/>
              </w:rPr>
            </w:pPr>
            <w:r w:rsidRPr="00DC2AA2">
              <w:rPr>
                <w:sz w:val="22"/>
                <w:szCs w:val="22"/>
              </w:rPr>
              <w:t>(-0.</w:t>
            </w:r>
            <w:r w:rsidR="00CD4888">
              <w:rPr>
                <w:sz w:val="22"/>
                <w:szCs w:val="22"/>
              </w:rPr>
              <w:t>51</w:t>
            </w:r>
            <w:r w:rsidRPr="00DC2AA2">
              <w:rPr>
                <w:sz w:val="22"/>
                <w:szCs w:val="22"/>
              </w:rPr>
              <w:t>; -0.0</w:t>
            </w:r>
            <w:r w:rsidR="00A36796">
              <w:rPr>
                <w:sz w:val="22"/>
                <w:szCs w:val="22"/>
              </w:rPr>
              <w:t>5</w:t>
            </w:r>
            <w:r w:rsidRPr="00DC2AA2">
              <w:rPr>
                <w:sz w:val="22"/>
                <w:szCs w:val="22"/>
              </w:rPr>
              <w:t>)</w:t>
            </w:r>
          </w:p>
        </w:tc>
      </w:tr>
      <w:tr w:rsidR="00E76643" w:rsidRPr="00005809" w14:paraId="2E008C99"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01626712" w14:textId="77777777" w:rsidR="00FB4647" w:rsidRPr="00005809" w:rsidRDefault="00FB4647" w:rsidP="00FB4647">
            <w:pPr>
              <w:rPr>
                <w:color w:val="000000"/>
                <w:sz w:val="22"/>
              </w:rPr>
            </w:pPr>
            <w:r w:rsidRPr="00005809">
              <w:rPr>
                <w:color w:val="000000"/>
                <w:sz w:val="22"/>
              </w:rPr>
              <w:t>Shared Federal Circuit</w:t>
            </w:r>
          </w:p>
        </w:tc>
        <w:tc>
          <w:tcPr>
            <w:tcW w:w="0" w:type="auto"/>
            <w:tcBorders>
              <w:top w:val="nil"/>
              <w:left w:val="nil"/>
              <w:bottom w:val="nil"/>
              <w:right w:val="nil"/>
            </w:tcBorders>
            <w:shd w:val="clear" w:color="auto" w:fill="auto"/>
            <w:noWrap/>
            <w:vAlign w:val="bottom"/>
            <w:hideMark/>
          </w:tcPr>
          <w:p w14:paraId="3718C33B" w14:textId="45E4037B" w:rsidR="00FB4647" w:rsidRPr="00DC2AA2" w:rsidRDefault="001E2D94" w:rsidP="003D72F2">
            <w:pPr>
              <w:jc w:val="center"/>
              <w:rPr>
                <w:color w:val="000000"/>
                <w:sz w:val="22"/>
                <w:szCs w:val="22"/>
              </w:rPr>
            </w:pPr>
            <w:r>
              <w:rPr>
                <w:color w:val="000000"/>
                <w:sz w:val="22"/>
                <w:szCs w:val="22"/>
              </w:rPr>
              <w:t>-</w:t>
            </w:r>
            <w:r w:rsidR="00FB4647" w:rsidRPr="00DC2AA2">
              <w:rPr>
                <w:color w:val="000000"/>
                <w:sz w:val="22"/>
                <w:szCs w:val="22"/>
              </w:rPr>
              <w:t>0.0</w:t>
            </w:r>
            <w:r w:rsidR="000E4274">
              <w:rPr>
                <w:color w:val="000000"/>
                <w:sz w:val="22"/>
                <w:szCs w:val="22"/>
              </w:rPr>
              <w:t>5</w:t>
            </w:r>
          </w:p>
        </w:tc>
        <w:tc>
          <w:tcPr>
            <w:tcW w:w="0" w:type="auto"/>
            <w:tcBorders>
              <w:top w:val="nil"/>
              <w:left w:val="nil"/>
              <w:bottom w:val="nil"/>
              <w:right w:val="nil"/>
            </w:tcBorders>
            <w:shd w:val="clear" w:color="auto" w:fill="auto"/>
            <w:noWrap/>
            <w:vAlign w:val="bottom"/>
            <w:hideMark/>
          </w:tcPr>
          <w:p w14:paraId="4C066FEC" w14:textId="638288BF" w:rsidR="00FB4647" w:rsidRPr="00DC2AA2" w:rsidRDefault="00546D64" w:rsidP="0076650C">
            <w:pPr>
              <w:jc w:val="center"/>
              <w:rPr>
                <w:color w:val="000000"/>
                <w:sz w:val="22"/>
                <w:szCs w:val="22"/>
              </w:rPr>
            </w:pPr>
            <w:r w:rsidRPr="00DC2AA2">
              <w:rPr>
                <w:color w:val="000000"/>
                <w:sz w:val="22"/>
                <w:szCs w:val="22"/>
              </w:rPr>
              <w:t>-0.1</w:t>
            </w:r>
            <w:r w:rsidR="00CD4888">
              <w:rPr>
                <w:color w:val="000000"/>
                <w:sz w:val="22"/>
                <w:szCs w:val="22"/>
              </w:rPr>
              <w:t>6</w:t>
            </w:r>
          </w:p>
        </w:tc>
      </w:tr>
      <w:tr w:rsidR="00E76643" w:rsidRPr="00005809" w14:paraId="7D5D4CAB"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661E9795" w14:textId="77777777" w:rsidR="00FB4647" w:rsidRPr="00005809" w:rsidRDefault="00FB4647" w:rsidP="00FB4647">
            <w:pPr>
              <w:rPr>
                <w:color w:val="000000"/>
                <w:sz w:val="22"/>
              </w:rPr>
            </w:pPr>
          </w:p>
        </w:tc>
        <w:tc>
          <w:tcPr>
            <w:tcW w:w="0" w:type="auto"/>
            <w:tcBorders>
              <w:top w:val="nil"/>
              <w:left w:val="nil"/>
              <w:bottom w:val="nil"/>
              <w:right w:val="nil"/>
            </w:tcBorders>
            <w:shd w:val="clear" w:color="auto" w:fill="auto"/>
            <w:noWrap/>
            <w:vAlign w:val="bottom"/>
            <w:hideMark/>
          </w:tcPr>
          <w:p w14:paraId="3EAA0C57" w14:textId="7A087F03" w:rsidR="00FB4647" w:rsidRPr="00DC2AA2" w:rsidRDefault="0094556B" w:rsidP="003D72F2">
            <w:pPr>
              <w:jc w:val="center"/>
              <w:rPr>
                <w:sz w:val="22"/>
                <w:szCs w:val="22"/>
              </w:rPr>
            </w:pPr>
            <w:r w:rsidRPr="00DC2AA2">
              <w:rPr>
                <w:sz w:val="22"/>
                <w:szCs w:val="22"/>
              </w:rPr>
              <w:t>(-0.</w:t>
            </w:r>
            <w:r w:rsidR="00667321">
              <w:rPr>
                <w:sz w:val="22"/>
                <w:szCs w:val="22"/>
              </w:rPr>
              <w:t>44</w:t>
            </w:r>
            <w:r w:rsidRPr="00DC2AA2">
              <w:rPr>
                <w:sz w:val="22"/>
                <w:szCs w:val="22"/>
              </w:rPr>
              <w:t>; 0.</w:t>
            </w:r>
            <w:r w:rsidR="00B25202">
              <w:rPr>
                <w:sz w:val="22"/>
                <w:szCs w:val="22"/>
              </w:rPr>
              <w:t>30</w:t>
            </w:r>
            <w:r w:rsidRPr="00DC2AA2">
              <w:rPr>
                <w:sz w:val="22"/>
                <w:szCs w:val="22"/>
              </w:rPr>
              <w:t>)</w:t>
            </w:r>
          </w:p>
        </w:tc>
        <w:tc>
          <w:tcPr>
            <w:tcW w:w="0" w:type="auto"/>
            <w:tcBorders>
              <w:top w:val="nil"/>
              <w:left w:val="nil"/>
              <w:bottom w:val="nil"/>
              <w:right w:val="nil"/>
            </w:tcBorders>
            <w:shd w:val="clear" w:color="auto" w:fill="auto"/>
            <w:noWrap/>
            <w:vAlign w:val="bottom"/>
            <w:hideMark/>
          </w:tcPr>
          <w:p w14:paraId="1CA83DF3" w14:textId="4A34C681" w:rsidR="00FB4647" w:rsidRPr="00DC2AA2" w:rsidRDefault="00D906C5" w:rsidP="0076650C">
            <w:pPr>
              <w:jc w:val="center"/>
              <w:rPr>
                <w:color w:val="000000"/>
                <w:sz w:val="22"/>
                <w:szCs w:val="22"/>
              </w:rPr>
            </w:pPr>
            <w:r w:rsidRPr="00DC2AA2">
              <w:rPr>
                <w:sz w:val="22"/>
                <w:szCs w:val="22"/>
              </w:rPr>
              <w:t>(-0.</w:t>
            </w:r>
            <w:r w:rsidR="00CD4888">
              <w:rPr>
                <w:sz w:val="22"/>
                <w:szCs w:val="22"/>
              </w:rPr>
              <w:t>50</w:t>
            </w:r>
            <w:r w:rsidRPr="00DC2AA2">
              <w:rPr>
                <w:sz w:val="22"/>
                <w:szCs w:val="22"/>
              </w:rPr>
              <w:t>; 0.1</w:t>
            </w:r>
            <w:r w:rsidR="00A36796">
              <w:rPr>
                <w:sz w:val="22"/>
                <w:szCs w:val="22"/>
              </w:rPr>
              <w:t>2</w:t>
            </w:r>
            <w:r w:rsidRPr="00DC2AA2">
              <w:rPr>
                <w:sz w:val="22"/>
                <w:szCs w:val="22"/>
              </w:rPr>
              <w:t>)</w:t>
            </w:r>
          </w:p>
        </w:tc>
      </w:tr>
      <w:tr w:rsidR="00E76643" w:rsidRPr="00005809" w14:paraId="4B7E792D"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F534191" w14:textId="77777777" w:rsidR="00FB4647" w:rsidRPr="00005809" w:rsidRDefault="00FB4647" w:rsidP="00FB4647">
            <w:pPr>
              <w:rPr>
                <w:color w:val="000000"/>
                <w:sz w:val="22"/>
              </w:rPr>
            </w:pPr>
            <w:r w:rsidRPr="00005809">
              <w:rPr>
                <w:color w:val="000000"/>
                <w:sz w:val="22"/>
              </w:rPr>
              <w:t>Shared West Reporter</w:t>
            </w:r>
          </w:p>
        </w:tc>
        <w:tc>
          <w:tcPr>
            <w:tcW w:w="0" w:type="auto"/>
            <w:tcBorders>
              <w:top w:val="nil"/>
              <w:left w:val="nil"/>
              <w:bottom w:val="nil"/>
              <w:right w:val="nil"/>
            </w:tcBorders>
            <w:shd w:val="clear" w:color="auto" w:fill="auto"/>
            <w:noWrap/>
            <w:vAlign w:val="bottom"/>
            <w:hideMark/>
          </w:tcPr>
          <w:p w14:paraId="380744D9" w14:textId="2EBC05BA" w:rsidR="00FB4647" w:rsidRPr="00DC2AA2" w:rsidRDefault="00FB4647" w:rsidP="003D72F2">
            <w:pPr>
              <w:jc w:val="center"/>
              <w:rPr>
                <w:color w:val="000000"/>
                <w:sz w:val="22"/>
                <w:szCs w:val="22"/>
              </w:rPr>
            </w:pPr>
            <w:r w:rsidRPr="00DC2AA2">
              <w:rPr>
                <w:color w:val="000000"/>
                <w:sz w:val="22"/>
                <w:szCs w:val="22"/>
              </w:rPr>
              <w:t>0.</w:t>
            </w:r>
            <w:r w:rsidR="0001025C">
              <w:rPr>
                <w:color w:val="000000"/>
                <w:sz w:val="22"/>
                <w:szCs w:val="22"/>
              </w:rPr>
              <w:t>0</w:t>
            </w:r>
            <w:r w:rsidR="00BD7292">
              <w:rPr>
                <w:color w:val="000000"/>
                <w:sz w:val="22"/>
                <w:szCs w:val="22"/>
              </w:rPr>
              <w:t>2</w:t>
            </w:r>
          </w:p>
        </w:tc>
        <w:tc>
          <w:tcPr>
            <w:tcW w:w="0" w:type="auto"/>
            <w:tcBorders>
              <w:top w:val="nil"/>
              <w:left w:val="nil"/>
              <w:bottom w:val="nil"/>
              <w:right w:val="nil"/>
            </w:tcBorders>
            <w:shd w:val="clear" w:color="auto" w:fill="auto"/>
            <w:noWrap/>
            <w:vAlign w:val="bottom"/>
            <w:hideMark/>
          </w:tcPr>
          <w:p w14:paraId="09E90556" w14:textId="41E5EB7E" w:rsidR="00FB4647" w:rsidRPr="00DC2AA2" w:rsidRDefault="00546D64" w:rsidP="0076650C">
            <w:pPr>
              <w:jc w:val="center"/>
              <w:rPr>
                <w:color w:val="000000"/>
                <w:sz w:val="22"/>
                <w:szCs w:val="22"/>
              </w:rPr>
            </w:pPr>
            <w:r w:rsidRPr="00DC2AA2">
              <w:rPr>
                <w:color w:val="000000"/>
                <w:sz w:val="22"/>
                <w:szCs w:val="22"/>
              </w:rPr>
              <w:t>0.</w:t>
            </w:r>
            <w:r w:rsidR="00CD4888">
              <w:rPr>
                <w:color w:val="000000"/>
                <w:sz w:val="22"/>
                <w:szCs w:val="22"/>
              </w:rPr>
              <w:t>19</w:t>
            </w:r>
          </w:p>
        </w:tc>
      </w:tr>
      <w:tr w:rsidR="00E76643" w:rsidRPr="00005809" w14:paraId="39A608E5"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4DFB9162" w14:textId="77777777" w:rsidR="00FB4647" w:rsidRPr="00005809" w:rsidRDefault="00FB4647" w:rsidP="00FB4647">
            <w:pPr>
              <w:rPr>
                <w:color w:val="000000"/>
                <w:sz w:val="22"/>
              </w:rPr>
            </w:pPr>
          </w:p>
        </w:tc>
        <w:tc>
          <w:tcPr>
            <w:tcW w:w="0" w:type="auto"/>
            <w:tcBorders>
              <w:top w:val="nil"/>
              <w:left w:val="nil"/>
              <w:bottom w:val="nil"/>
              <w:right w:val="nil"/>
            </w:tcBorders>
            <w:shd w:val="clear" w:color="auto" w:fill="auto"/>
            <w:noWrap/>
            <w:vAlign w:val="bottom"/>
            <w:hideMark/>
          </w:tcPr>
          <w:p w14:paraId="470534DE" w14:textId="2764EFA8" w:rsidR="00FB4647" w:rsidRPr="00DC2AA2" w:rsidRDefault="0094556B" w:rsidP="003D72F2">
            <w:pPr>
              <w:jc w:val="center"/>
              <w:rPr>
                <w:sz w:val="22"/>
                <w:szCs w:val="22"/>
              </w:rPr>
            </w:pPr>
            <w:r w:rsidRPr="00DC2AA2">
              <w:rPr>
                <w:sz w:val="22"/>
                <w:szCs w:val="22"/>
              </w:rPr>
              <w:t>(-0.</w:t>
            </w:r>
            <w:r w:rsidR="00667321">
              <w:rPr>
                <w:sz w:val="22"/>
                <w:szCs w:val="22"/>
              </w:rPr>
              <w:t>38</w:t>
            </w:r>
            <w:r w:rsidRPr="00DC2AA2">
              <w:rPr>
                <w:sz w:val="22"/>
                <w:szCs w:val="22"/>
              </w:rPr>
              <w:t>; 0.</w:t>
            </w:r>
            <w:r w:rsidR="00B25202">
              <w:rPr>
                <w:sz w:val="22"/>
                <w:szCs w:val="22"/>
              </w:rPr>
              <w:t>37</w:t>
            </w:r>
            <w:r w:rsidRPr="00DC2AA2">
              <w:rPr>
                <w:sz w:val="22"/>
                <w:szCs w:val="22"/>
              </w:rPr>
              <w:t>)</w:t>
            </w:r>
          </w:p>
        </w:tc>
        <w:tc>
          <w:tcPr>
            <w:tcW w:w="0" w:type="auto"/>
            <w:tcBorders>
              <w:top w:val="nil"/>
              <w:left w:val="nil"/>
              <w:bottom w:val="nil"/>
              <w:right w:val="nil"/>
            </w:tcBorders>
            <w:shd w:val="clear" w:color="auto" w:fill="auto"/>
            <w:noWrap/>
            <w:vAlign w:val="bottom"/>
            <w:hideMark/>
          </w:tcPr>
          <w:p w14:paraId="2DCA0171" w14:textId="5299D05E" w:rsidR="00FB4647" w:rsidRPr="00DC2AA2" w:rsidRDefault="00D906C5" w:rsidP="0076650C">
            <w:pPr>
              <w:jc w:val="center"/>
              <w:rPr>
                <w:color w:val="000000"/>
                <w:sz w:val="22"/>
                <w:szCs w:val="22"/>
              </w:rPr>
            </w:pPr>
            <w:r w:rsidRPr="00DC2AA2">
              <w:rPr>
                <w:sz w:val="22"/>
                <w:szCs w:val="22"/>
              </w:rPr>
              <w:t>(0.0</w:t>
            </w:r>
            <w:r w:rsidR="00CD4888">
              <w:rPr>
                <w:sz w:val="22"/>
                <w:szCs w:val="22"/>
              </w:rPr>
              <w:t>1</w:t>
            </w:r>
            <w:r w:rsidRPr="00DC2AA2">
              <w:rPr>
                <w:sz w:val="22"/>
                <w:szCs w:val="22"/>
              </w:rPr>
              <w:t>; 0.</w:t>
            </w:r>
            <w:r w:rsidR="00A36796">
              <w:rPr>
                <w:sz w:val="22"/>
                <w:szCs w:val="22"/>
              </w:rPr>
              <w:t>36</w:t>
            </w:r>
            <w:r w:rsidRPr="00DC2AA2">
              <w:rPr>
                <w:sz w:val="22"/>
                <w:szCs w:val="22"/>
              </w:rPr>
              <w:t>)</w:t>
            </w:r>
          </w:p>
        </w:tc>
      </w:tr>
      <w:tr w:rsidR="00E76643" w:rsidRPr="00005809" w14:paraId="1392660A"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31AFFF8D" w14:textId="77777777" w:rsidR="00FB4647" w:rsidRPr="00005809" w:rsidRDefault="00FB4647" w:rsidP="00FB4647">
            <w:pPr>
              <w:rPr>
                <w:color w:val="000000"/>
                <w:sz w:val="22"/>
              </w:rPr>
            </w:pPr>
            <w:r w:rsidRPr="00005809">
              <w:rPr>
                <w:color w:val="000000"/>
                <w:sz w:val="22"/>
              </w:rPr>
              <w:t>Contiguous Neighbor</w:t>
            </w:r>
          </w:p>
        </w:tc>
        <w:tc>
          <w:tcPr>
            <w:tcW w:w="0" w:type="auto"/>
            <w:tcBorders>
              <w:top w:val="nil"/>
              <w:left w:val="nil"/>
              <w:bottom w:val="nil"/>
              <w:right w:val="nil"/>
            </w:tcBorders>
            <w:shd w:val="clear" w:color="auto" w:fill="auto"/>
            <w:noWrap/>
            <w:vAlign w:val="bottom"/>
            <w:hideMark/>
          </w:tcPr>
          <w:p w14:paraId="47EB8D34" w14:textId="0FC14E74" w:rsidR="001536C8" w:rsidRPr="00DC2AA2" w:rsidRDefault="001E2D94" w:rsidP="003D72F2">
            <w:pPr>
              <w:jc w:val="center"/>
              <w:rPr>
                <w:color w:val="000000"/>
                <w:sz w:val="22"/>
                <w:szCs w:val="22"/>
              </w:rPr>
            </w:pPr>
            <w:r>
              <w:rPr>
                <w:color w:val="000000"/>
                <w:sz w:val="22"/>
                <w:szCs w:val="22"/>
              </w:rPr>
              <w:t>-</w:t>
            </w:r>
            <w:r w:rsidR="001536C8" w:rsidRPr="00DC2AA2">
              <w:rPr>
                <w:color w:val="000000"/>
                <w:sz w:val="22"/>
                <w:szCs w:val="22"/>
              </w:rPr>
              <w:t>0.</w:t>
            </w:r>
            <w:r w:rsidR="0001025C">
              <w:rPr>
                <w:color w:val="000000"/>
                <w:sz w:val="22"/>
                <w:szCs w:val="22"/>
              </w:rPr>
              <w:t>2</w:t>
            </w:r>
            <w:r w:rsidR="000E4274">
              <w:rPr>
                <w:color w:val="000000"/>
                <w:sz w:val="22"/>
                <w:szCs w:val="22"/>
              </w:rPr>
              <w:t>7</w:t>
            </w:r>
          </w:p>
        </w:tc>
        <w:tc>
          <w:tcPr>
            <w:tcW w:w="0" w:type="auto"/>
            <w:tcBorders>
              <w:top w:val="nil"/>
              <w:left w:val="nil"/>
              <w:bottom w:val="nil"/>
              <w:right w:val="nil"/>
            </w:tcBorders>
            <w:shd w:val="clear" w:color="auto" w:fill="auto"/>
            <w:noWrap/>
            <w:vAlign w:val="bottom"/>
            <w:hideMark/>
          </w:tcPr>
          <w:p w14:paraId="3294DA95" w14:textId="2C880961" w:rsidR="00FB4647" w:rsidRPr="00DC2AA2" w:rsidRDefault="00546D64" w:rsidP="0076650C">
            <w:pPr>
              <w:jc w:val="center"/>
              <w:rPr>
                <w:color w:val="000000"/>
                <w:sz w:val="22"/>
                <w:szCs w:val="22"/>
              </w:rPr>
            </w:pPr>
            <w:r w:rsidRPr="00DC2AA2">
              <w:rPr>
                <w:color w:val="000000"/>
                <w:sz w:val="22"/>
                <w:szCs w:val="22"/>
              </w:rPr>
              <w:t>0.17</w:t>
            </w:r>
          </w:p>
        </w:tc>
      </w:tr>
      <w:tr w:rsidR="00E76643" w:rsidRPr="00005809" w14:paraId="535B54CC" w14:textId="77777777" w:rsidTr="000A5A82">
        <w:trPr>
          <w:trHeight w:val="288"/>
          <w:jc w:val="center"/>
        </w:trPr>
        <w:tc>
          <w:tcPr>
            <w:tcW w:w="3218" w:type="dxa"/>
            <w:tcBorders>
              <w:top w:val="nil"/>
              <w:left w:val="nil"/>
              <w:bottom w:val="nil"/>
              <w:right w:val="nil"/>
            </w:tcBorders>
            <w:shd w:val="clear" w:color="auto" w:fill="auto"/>
            <w:noWrap/>
            <w:vAlign w:val="bottom"/>
            <w:hideMark/>
          </w:tcPr>
          <w:p w14:paraId="7261544A" w14:textId="77777777" w:rsidR="00FB4647" w:rsidRPr="00005809" w:rsidRDefault="00FB4647" w:rsidP="00FB4647">
            <w:pPr>
              <w:rPr>
                <w:color w:val="000000"/>
                <w:sz w:val="22"/>
              </w:rPr>
            </w:pPr>
          </w:p>
        </w:tc>
        <w:tc>
          <w:tcPr>
            <w:tcW w:w="0" w:type="auto"/>
            <w:tcBorders>
              <w:top w:val="nil"/>
              <w:left w:val="nil"/>
              <w:bottom w:val="nil"/>
              <w:right w:val="nil"/>
            </w:tcBorders>
            <w:shd w:val="clear" w:color="auto" w:fill="auto"/>
            <w:noWrap/>
            <w:vAlign w:val="bottom"/>
            <w:hideMark/>
          </w:tcPr>
          <w:p w14:paraId="1AEB7FBD" w14:textId="2A2323DA" w:rsidR="00FB4647" w:rsidRPr="00DC2AA2" w:rsidRDefault="0094556B" w:rsidP="003D72F2">
            <w:pPr>
              <w:jc w:val="center"/>
              <w:rPr>
                <w:sz w:val="22"/>
                <w:szCs w:val="22"/>
              </w:rPr>
            </w:pPr>
            <w:r w:rsidRPr="00DC2AA2">
              <w:rPr>
                <w:sz w:val="22"/>
                <w:szCs w:val="22"/>
              </w:rPr>
              <w:t>(-</w:t>
            </w:r>
            <w:r w:rsidR="00667321">
              <w:rPr>
                <w:sz w:val="22"/>
                <w:szCs w:val="22"/>
              </w:rPr>
              <w:t>0</w:t>
            </w:r>
            <w:r w:rsidRPr="00DC2AA2">
              <w:rPr>
                <w:sz w:val="22"/>
                <w:szCs w:val="22"/>
              </w:rPr>
              <w:t>.</w:t>
            </w:r>
            <w:r w:rsidR="00667321">
              <w:rPr>
                <w:sz w:val="22"/>
                <w:szCs w:val="22"/>
              </w:rPr>
              <w:t>83</w:t>
            </w:r>
            <w:r w:rsidRPr="00DC2AA2">
              <w:rPr>
                <w:sz w:val="22"/>
                <w:szCs w:val="22"/>
              </w:rPr>
              <w:t xml:space="preserve">; </w:t>
            </w:r>
            <w:r w:rsidR="00B25202">
              <w:rPr>
                <w:sz w:val="22"/>
                <w:szCs w:val="22"/>
              </w:rPr>
              <w:t>0</w:t>
            </w:r>
            <w:r w:rsidRPr="00DC2AA2">
              <w:rPr>
                <w:sz w:val="22"/>
                <w:szCs w:val="22"/>
              </w:rPr>
              <w:t>.</w:t>
            </w:r>
            <w:r w:rsidR="00B25202">
              <w:rPr>
                <w:sz w:val="22"/>
                <w:szCs w:val="22"/>
              </w:rPr>
              <w:t>13</w:t>
            </w:r>
            <w:r w:rsidRPr="00DC2AA2">
              <w:rPr>
                <w:sz w:val="22"/>
                <w:szCs w:val="22"/>
              </w:rPr>
              <w:t>)</w:t>
            </w:r>
          </w:p>
        </w:tc>
        <w:tc>
          <w:tcPr>
            <w:tcW w:w="0" w:type="auto"/>
            <w:tcBorders>
              <w:top w:val="nil"/>
              <w:left w:val="nil"/>
              <w:bottom w:val="nil"/>
              <w:right w:val="nil"/>
            </w:tcBorders>
            <w:shd w:val="clear" w:color="auto" w:fill="auto"/>
            <w:noWrap/>
            <w:vAlign w:val="bottom"/>
            <w:hideMark/>
          </w:tcPr>
          <w:p w14:paraId="57903C04" w14:textId="2E02271E" w:rsidR="00FB4647" w:rsidRPr="00DC2AA2" w:rsidRDefault="00D906C5" w:rsidP="0076650C">
            <w:pPr>
              <w:jc w:val="center"/>
              <w:rPr>
                <w:sz w:val="22"/>
                <w:szCs w:val="22"/>
              </w:rPr>
            </w:pPr>
            <w:r w:rsidRPr="00DC2AA2">
              <w:rPr>
                <w:sz w:val="22"/>
                <w:szCs w:val="22"/>
              </w:rPr>
              <w:t>(-0.06; 0.</w:t>
            </w:r>
            <w:r w:rsidR="00A36796">
              <w:rPr>
                <w:sz w:val="22"/>
                <w:szCs w:val="22"/>
              </w:rPr>
              <w:t>38</w:t>
            </w:r>
            <w:r w:rsidRPr="00DC2AA2">
              <w:rPr>
                <w:sz w:val="22"/>
                <w:szCs w:val="22"/>
              </w:rPr>
              <w:t>)</w:t>
            </w:r>
          </w:p>
        </w:tc>
      </w:tr>
      <w:tr w:rsidR="00E76643" w:rsidRPr="00005809" w14:paraId="6A7948D0" w14:textId="77777777" w:rsidTr="000A5A82">
        <w:trPr>
          <w:trHeight w:val="288"/>
          <w:jc w:val="center"/>
        </w:trPr>
        <w:tc>
          <w:tcPr>
            <w:tcW w:w="3218" w:type="dxa"/>
            <w:tcBorders>
              <w:top w:val="nil"/>
              <w:left w:val="nil"/>
              <w:right w:val="nil"/>
            </w:tcBorders>
            <w:shd w:val="clear" w:color="auto" w:fill="auto"/>
            <w:noWrap/>
            <w:vAlign w:val="bottom"/>
            <w:hideMark/>
          </w:tcPr>
          <w:p w14:paraId="6E8A43A5" w14:textId="77777777" w:rsidR="00FB4647" w:rsidRPr="00005809" w:rsidRDefault="00FB4647" w:rsidP="00FB4647">
            <w:pPr>
              <w:rPr>
                <w:color w:val="000000"/>
                <w:sz w:val="22"/>
              </w:rPr>
            </w:pPr>
            <w:r w:rsidRPr="00005809">
              <w:rPr>
                <w:color w:val="000000"/>
                <w:sz w:val="22"/>
              </w:rPr>
              <w:t>No. of Cases Published</w:t>
            </w:r>
          </w:p>
        </w:tc>
        <w:tc>
          <w:tcPr>
            <w:tcW w:w="0" w:type="auto"/>
            <w:tcBorders>
              <w:top w:val="nil"/>
              <w:left w:val="nil"/>
              <w:right w:val="nil"/>
            </w:tcBorders>
            <w:shd w:val="clear" w:color="auto" w:fill="auto"/>
            <w:noWrap/>
            <w:vAlign w:val="bottom"/>
            <w:hideMark/>
          </w:tcPr>
          <w:p w14:paraId="4951FA84" w14:textId="2989F3A8" w:rsidR="00FB4647" w:rsidRPr="00DC2AA2" w:rsidRDefault="00FB4647" w:rsidP="003D72F2">
            <w:pPr>
              <w:jc w:val="center"/>
              <w:rPr>
                <w:color w:val="000000"/>
                <w:sz w:val="22"/>
                <w:szCs w:val="22"/>
              </w:rPr>
            </w:pPr>
            <w:r w:rsidRPr="00DC2AA2">
              <w:rPr>
                <w:color w:val="000000"/>
                <w:sz w:val="22"/>
                <w:szCs w:val="22"/>
              </w:rPr>
              <w:t>0.00</w:t>
            </w:r>
          </w:p>
        </w:tc>
        <w:tc>
          <w:tcPr>
            <w:tcW w:w="0" w:type="auto"/>
            <w:tcBorders>
              <w:top w:val="nil"/>
              <w:left w:val="nil"/>
              <w:right w:val="nil"/>
            </w:tcBorders>
            <w:shd w:val="clear" w:color="auto" w:fill="auto"/>
            <w:noWrap/>
            <w:vAlign w:val="bottom"/>
            <w:hideMark/>
          </w:tcPr>
          <w:p w14:paraId="6904713E" w14:textId="5E775A1B" w:rsidR="00FB4647" w:rsidRPr="00DC2AA2" w:rsidRDefault="00546D64" w:rsidP="0076650C">
            <w:pPr>
              <w:jc w:val="center"/>
              <w:rPr>
                <w:color w:val="000000"/>
                <w:sz w:val="22"/>
                <w:szCs w:val="22"/>
              </w:rPr>
            </w:pPr>
            <w:r w:rsidRPr="00DC2AA2">
              <w:rPr>
                <w:color w:val="000000"/>
                <w:sz w:val="22"/>
                <w:szCs w:val="22"/>
              </w:rPr>
              <w:t>-0.0</w:t>
            </w:r>
            <w:r w:rsidR="00CD4888">
              <w:rPr>
                <w:color w:val="000000"/>
                <w:sz w:val="22"/>
                <w:szCs w:val="22"/>
              </w:rPr>
              <w:t>1</w:t>
            </w:r>
            <w:r w:rsidR="0045582B">
              <w:rPr>
                <w:color w:val="000000"/>
                <w:sz w:val="22"/>
                <w:szCs w:val="22"/>
              </w:rPr>
              <w:t>*</w:t>
            </w:r>
          </w:p>
        </w:tc>
      </w:tr>
      <w:tr w:rsidR="00E76643" w:rsidRPr="00005809" w14:paraId="7CE9591E" w14:textId="77777777" w:rsidTr="000A5A82">
        <w:trPr>
          <w:trHeight w:val="288"/>
          <w:jc w:val="center"/>
        </w:trPr>
        <w:tc>
          <w:tcPr>
            <w:tcW w:w="3218" w:type="dxa"/>
            <w:tcBorders>
              <w:top w:val="nil"/>
              <w:left w:val="nil"/>
              <w:bottom w:val="single" w:sz="4" w:space="0" w:color="auto"/>
              <w:right w:val="nil"/>
            </w:tcBorders>
            <w:shd w:val="clear" w:color="auto" w:fill="auto"/>
            <w:noWrap/>
            <w:vAlign w:val="bottom"/>
            <w:hideMark/>
          </w:tcPr>
          <w:p w14:paraId="49EB45FA" w14:textId="77777777" w:rsidR="00FB4647" w:rsidRPr="00005809" w:rsidRDefault="00FB4647" w:rsidP="00FB4647">
            <w:pPr>
              <w:rPr>
                <w:color w:val="000000"/>
                <w:sz w:val="22"/>
              </w:rPr>
            </w:pPr>
          </w:p>
        </w:tc>
        <w:tc>
          <w:tcPr>
            <w:tcW w:w="0" w:type="auto"/>
            <w:tcBorders>
              <w:top w:val="nil"/>
              <w:left w:val="nil"/>
              <w:bottom w:val="single" w:sz="4" w:space="0" w:color="auto"/>
              <w:right w:val="nil"/>
            </w:tcBorders>
            <w:shd w:val="clear" w:color="auto" w:fill="auto"/>
            <w:noWrap/>
            <w:vAlign w:val="bottom"/>
            <w:hideMark/>
          </w:tcPr>
          <w:p w14:paraId="61E86FAB" w14:textId="70C7DDFF" w:rsidR="00FB4647" w:rsidRPr="00DC2AA2" w:rsidRDefault="0094556B" w:rsidP="003D72F2">
            <w:pPr>
              <w:jc w:val="center"/>
              <w:rPr>
                <w:sz w:val="22"/>
                <w:szCs w:val="22"/>
              </w:rPr>
            </w:pPr>
            <w:r w:rsidRPr="00DC2AA2">
              <w:rPr>
                <w:sz w:val="22"/>
                <w:szCs w:val="22"/>
              </w:rPr>
              <w:t>(-0.01; 0.00)</w:t>
            </w:r>
          </w:p>
        </w:tc>
        <w:tc>
          <w:tcPr>
            <w:tcW w:w="0" w:type="auto"/>
            <w:tcBorders>
              <w:top w:val="nil"/>
              <w:left w:val="nil"/>
              <w:bottom w:val="single" w:sz="4" w:space="0" w:color="auto"/>
              <w:right w:val="nil"/>
            </w:tcBorders>
            <w:shd w:val="clear" w:color="auto" w:fill="auto"/>
            <w:noWrap/>
            <w:vAlign w:val="bottom"/>
            <w:hideMark/>
          </w:tcPr>
          <w:p w14:paraId="2D10E9E2" w14:textId="088F8D44" w:rsidR="00FB4647" w:rsidRPr="00DC2AA2" w:rsidRDefault="00D906C5" w:rsidP="0076650C">
            <w:pPr>
              <w:jc w:val="center"/>
              <w:rPr>
                <w:sz w:val="22"/>
                <w:szCs w:val="22"/>
              </w:rPr>
            </w:pPr>
            <w:r w:rsidRPr="00DC2AA2">
              <w:rPr>
                <w:sz w:val="22"/>
                <w:szCs w:val="22"/>
              </w:rPr>
              <w:t>(-0.0</w:t>
            </w:r>
            <w:r w:rsidR="00CD4888">
              <w:rPr>
                <w:sz w:val="22"/>
                <w:szCs w:val="22"/>
              </w:rPr>
              <w:t>2</w:t>
            </w:r>
            <w:r w:rsidRPr="00DC2AA2">
              <w:rPr>
                <w:sz w:val="22"/>
                <w:szCs w:val="22"/>
              </w:rPr>
              <w:t>; 0.00)</w:t>
            </w:r>
          </w:p>
        </w:tc>
      </w:tr>
      <w:tr w:rsidR="00FB4647" w:rsidRPr="00005809" w14:paraId="6B6A9443" w14:textId="77777777" w:rsidTr="00BF04D9">
        <w:trPr>
          <w:trHeight w:val="288"/>
          <w:jc w:val="center"/>
        </w:trPr>
        <w:tc>
          <w:tcPr>
            <w:tcW w:w="0" w:type="auto"/>
            <w:gridSpan w:val="3"/>
            <w:tcBorders>
              <w:top w:val="single" w:sz="4" w:space="0" w:color="auto"/>
              <w:left w:val="nil"/>
              <w:right w:val="nil"/>
            </w:tcBorders>
            <w:shd w:val="clear" w:color="auto" w:fill="auto"/>
            <w:noWrap/>
            <w:vAlign w:val="bottom"/>
          </w:tcPr>
          <w:p w14:paraId="136E93BE" w14:textId="77777777" w:rsidR="00E76643" w:rsidRDefault="00E76643" w:rsidP="00E76643">
            <w:pPr>
              <w:autoSpaceDE w:val="0"/>
              <w:autoSpaceDN w:val="0"/>
              <w:adjustRightInd w:val="0"/>
              <w:rPr>
                <w:sz w:val="19"/>
                <w:szCs w:val="19"/>
              </w:rPr>
            </w:pPr>
            <w:r>
              <w:rPr>
                <w:sz w:val="19"/>
                <w:szCs w:val="19"/>
              </w:rPr>
              <w:t xml:space="preserve">Estimates provided are the bootstrapped mean. </w:t>
            </w:r>
          </w:p>
          <w:p w14:paraId="293CECEC" w14:textId="77777777" w:rsidR="00E76643" w:rsidRDefault="00FB4647" w:rsidP="00E76643">
            <w:pPr>
              <w:autoSpaceDE w:val="0"/>
              <w:autoSpaceDN w:val="0"/>
              <w:adjustRightInd w:val="0"/>
              <w:rPr>
                <w:sz w:val="19"/>
                <w:szCs w:val="19"/>
              </w:rPr>
            </w:pPr>
            <w:r>
              <w:rPr>
                <w:sz w:val="19"/>
                <w:szCs w:val="19"/>
              </w:rPr>
              <w:t xml:space="preserve">A * indicates that variable is statistically significant at or beyond the 0.05 level. </w:t>
            </w:r>
          </w:p>
          <w:p w14:paraId="6C935681" w14:textId="1426A2B6" w:rsidR="00FB4647" w:rsidRPr="00E76643" w:rsidRDefault="00FB4647" w:rsidP="00E76643">
            <w:pPr>
              <w:autoSpaceDE w:val="0"/>
              <w:autoSpaceDN w:val="0"/>
              <w:adjustRightInd w:val="0"/>
              <w:rPr>
                <w:sz w:val="19"/>
                <w:szCs w:val="19"/>
              </w:rPr>
            </w:pPr>
            <w:r>
              <w:rPr>
                <w:sz w:val="19"/>
                <w:szCs w:val="19"/>
              </w:rPr>
              <w:t>Confidence intervals for the TERGM model are based on 1,000 bootstrap iterations.</w:t>
            </w:r>
          </w:p>
        </w:tc>
      </w:tr>
    </w:tbl>
    <w:p w14:paraId="5652C247" w14:textId="0B58B92C" w:rsidR="007C2977" w:rsidRDefault="007C2977" w:rsidP="003A50C9">
      <w:pPr>
        <w:rPr>
          <w:sz w:val="19"/>
          <w:szCs w:val="19"/>
        </w:rPr>
      </w:pPr>
    </w:p>
    <w:p w14:paraId="32FB1A83" w14:textId="77777777" w:rsidR="00BF04D9" w:rsidRDefault="00BF04D9">
      <w:pPr>
        <w:rPr>
          <w:b/>
          <w:bCs/>
        </w:rPr>
      </w:pPr>
      <w:r>
        <w:rPr>
          <w:b/>
          <w:bCs/>
        </w:rPr>
        <w:br w:type="page"/>
      </w:r>
    </w:p>
    <w:p w14:paraId="405AD565" w14:textId="1AF48E12" w:rsidR="000077A9" w:rsidRPr="00BE29BC" w:rsidRDefault="000077A9" w:rsidP="009E189C">
      <w:pPr>
        <w:spacing w:after="120"/>
        <w:rPr>
          <w:b/>
          <w:bCs/>
        </w:rPr>
      </w:pPr>
      <w:r w:rsidRPr="00BE29BC">
        <w:rPr>
          <w:b/>
          <w:bCs/>
        </w:rPr>
        <w:t xml:space="preserve">Figure </w:t>
      </w:r>
      <w:r w:rsidR="003D4912">
        <w:rPr>
          <w:b/>
          <w:bCs/>
        </w:rPr>
        <w:t>C.1</w:t>
      </w:r>
      <w:r w:rsidRPr="00BE29BC">
        <w:rPr>
          <w:b/>
          <w:bCs/>
        </w:rPr>
        <w:t>. Family Law</w:t>
      </w:r>
      <w:r w:rsidR="008A21CD" w:rsidRPr="00BE29BC">
        <w:rPr>
          <w:b/>
          <w:bCs/>
        </w:rPr>
        <w:t xml:space="preserve"> Goodness of Fit Plot</w:t>
      </w:r>
      <w:r w:rsidR="00E561CC" w:rsidRPr="00BE29BC">
        <w:rPr>
          <w:b/>
          <w:bCs/>
        </w:rPr>
        <w:t>s</w:t>
      </w:r>
    </w:p>
    <w:p w14:paraId="03A988F2" w14:textId="65D8AFE8" w:rsidR="000077A9" w:rsidRDefault="000F538C" w:rsidP="000F538C">
      <w:pPr>
        <w:jc w:val="center"/>
      </w:pPr>
      <w:r>
        <w:rPr>
          <w:noProof/>
          <w:lang w:val="en-IN" w:eastAsia="en-IN"/>
        </w:rPr>
        <w:drawing>
          <wp:inline distT="0" distB="0" distL="0" distR="0" wp14:anchorId="44E138D7" wp14:editId="28B8BD33">
            <wp:extent cx="4496521" cy="3270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6521" cy="3270197"/>
                    </a:xfrm>
                    <a:prstGeom prst="rect">
                      <a:avLst/>
                    </a:prstGeom>
                  </pic:spPr>
                </pic:pic>
              </a:graphicData>
            </a:graphic>
          </wp:inline>
        </w:drawing>
      </w:r>
    </w:p>
    <w:p w14:paraId="4135FAF5" w14:textId="4EE96CCF" w:rsidR="000077A9" w:rsidRDefault="000077A9" w:rsidP="003A50C9"/>
    <w:p w14:paraId="26A68116" w14:textId="010F9A65" w:rsidR="000077A9" w:rsidRPr="00BE29BC" w:rsidRDefault="000077A9" w:rsidP="009E189C">
      <w:pPr>
        <w:spacing w:after="120"/>
        <w:rPr>
          <w:b/>
          <w:bCs/>
        </w:rPr>
      </w:pPr>
      <w:r w:rsidRPr="00BE29BC">
        <w:rPr>
          <w:b/>
          <w:bCs/>
        </w:rPr>
        <w:t xml:space="preserve">Figure </w:t>
      </w:r>
      <w:r w:rsidR="003D4912">
        <w:rPr>
          <w:b/>
          <w:bCs/>
        </w:rPr>
        <w:t>C.2</w:t>
      </w:r>
      <w:r w:rsidRPr="00BE29BC">
        <w:rPr>
          <w:b/>
          <w:bCs/>
        </w:rPr>
        <w:t>. Judicial Conduct</w:t>
      </w:r>
      <w:r w:rsidR="00E561CC" w:rsidRPr="00BE29BC">
        <w:rPr>
          <w:b/>
          <w:bCs/>
        </w:rPr>
        <w:t xml:space="preserve"> Goodness of Fit Plots</w:t>
      </w:r>
    </w:p>
    <w:p w14:paraId="04A294F1" w14:textId="34D26FB7" w:rsidR="000077A9" w:rsidRDefault="000F538C" w:rsidP="000F538C">
      <w:pPr>
        <w:jc w:val="center"/>
      </w:pPr>
      <w:r>
        <w:rPr>
          <w:noProof/>
          <w:lang w:val="en-IN" w:eastAsia="en-IN"/>
        </w:rPr>
        <w:drawing>
          <wp:inline distT="0" distB="0" distL="0" distR="0" wp14:anchorId="38605907" wp14:editId="0DF090BC">
            <wp:extent cx="4496521" cy="3270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6521" cy="3270197"/>
                    </a:xfrm>
                    <a:prstGeom prst="rect">
                      <a:avLst/>
                    </a:prstGeom>
                  </pic:spPr>
                </pic:pic>
              </a:graphicData>
            </a:graphic>
          </wp:inline>
        </w:drawing>
      </w:r>
    </w:p>
    <w:p w14:paraId="08149BCC" w14:textId="19A98C32" w:rsidR="006121FD" w:rsidRDefault="006121FD" w:rsidP="000F538C">
      <w:pPr>
        <w:jc w:val="center"/>
      </w:pPr>
    </w:p>
    <w:p w14:paraId="7EABB906" w14:textId="65547B68" w:rsidR="00A34A72" w:rsidRDefault="00381A41" w:rsidP="00BE29BC">
      <w:pPr>
        <w:autoSpaceDE w:val="0"/>
        <w:autoSpaceDN w:val="0"/>
        <w:adjustRightInd w:val="0"/>
        <w:rPr>
          <w:rFonts w:eastAsiaTheme="minorHAnsi"/>
        </w:rPr>
      </w:pPr>
      <w:r w:rsidRPr="003D7C98">
        <w:t>To determine the quality of the model</w:t>
      </w:r>
      <w:r>
        <w:t>, I tested the models’ goodness of fit</w:t>
      </w:r>
      <w:r>
        <w:rPr>
          <w:rFonts w:eastAsiaTheme="minorHAnsi"/>
        </w:rPr>
        <w:t xml:space="preserve">. The models perform reasonably well. </w:t>
      </w:r>
      <w:r w:rsidR="006121FD">
        <w:rPr>
          <w:rFonts w:eastAsiaTheme="minorHAnsi"/>
        </w:rPr>
        <w:t xml:space="preserve">Figure </w:t>
      </w:r>
      <w:r w:rsidR="008660F3">
        <w:rPr>
          <w:rFonts w:eastAsiaTheme="minorHAnsi"/>
        </w:rPr>
        <w:t>C.</w:t>
      </w:r>
      <w:r w:rsidR="006121FD">
        <w:rPr>
          <w:rFonts w:eastAsiaTheme="minorHAnsi"/>
        </w:rPr>
        <w:t xml:space="preserve">1 and </w:t>
      </w:r>
      <w:r w:rsidR="008660F3">
        <w:rPr>
          <w:rFonts w:eastAsiaTheme="minorHAnsi"/>
        </w:rPr>
        <w:t>C.2</w:t>
      </w:r>
      <w:r w:rsidR="006121FD">
        <w:rPr>
          <w:rFonts w:eastAsiaTheme="minorHAnsi"/>
        </w:rPr>
        <w:t xml:space="preserve"> display the goodness of fit of the TERGM models. Goodness of fit plots are</w:t>
      </w:r>
      <w:r w:rsidR="00BE29BC">
        <w:rPr>
          <w:rFonts w:eastAsiaTheme="minorHAnsi"/>
        </w:rPr>
        <w:t xml:space="preserve"> </w:t>
      </w:r>
      <w:r w:rsidR="006121FD">
        <w:rPr>
          <w:rFonts w:eastAsiaTheme="minorHAnsi"/>
        </w:rPr>
        <w:t>the standard method of evaluating ERGMs (Handcock et al. 2018). Based on the estimated</w:t>
      </w:r>
      <w:r w:rsidR="00BE29BC">
        <w:rPr>
          <w:rFonts w:eastAsiaTheme="minorHAnsi"/>
        </w:rPr>
        <w:t xml:space="preserve"> </w:t>
      </w:r>
      <w:r w:rsidR="006121FD">
        <w:rPr>
          <w:rFonts w:eastAsiaTheme="minorHAnsi"/>
        </w:rPr>
        <w:t>model, the TERGM's goodness of fit compares 100 simulated networks with the observed</w:t>
      </w:r>
      <w:r w:rsidR="00BE29BC">
        <w:rPr>
          <w:rFonts w:eastAsiaTheme="minorHAnsi"/>
        </w:rPr>
        <w:t xml:space="preserve"> </w:t>
      </w:r>
      <w:r w:rsidR="006121FD">
        <w:rPr>
          <w:rFonts w:eastAsiaTheme="minorHAnsi"/>
        </w:rPr>
        <w:t xml:space="preserve">network. It utilizes the same </w:t>
      </w:r>
      <w:r w:rsidR="00456FAD">
        <w:rPr>
          <w:rFonts w:eastAsiaTheme="minorHAnsi"/>
        </w:rPr>
        <w:t>fifty</w:t>
      </w:r>
      <w:r w:rsidR="006121FD">
        <w:rPr>
          <w:rFonts w:eastAsiaTheme="minorHAnsi"/>
        </w:rPr>
        <w:t>-one time steps in the data (19</w:t>
      </w:r>
      <w:r w:rsidR="00B77351">
        <w:rPr>
          <w:rFonts w:eastAsiaTheme="minorHAnsi"/>
        </w:rPr>
        <w:t>6</w:t>
      </w:r>
      <w:r w:rsidR="006121FD">
        <w:rPr>
          <w:rFonts w:eastAsiaTheme="minorHAnsi"/>
        </w:rPr>
        <w:t>0</w:t>
      </w:r>
      <w:r w:rsidR="008C4599">
        <w:rPr>
          <w:rFonts w:eastAsiaTheme="minorHAnsi"/>
        </w:rPr>
        <w:t>–</w:t>
      </w:r>
      <w:r w:rsidR="006121FD">
        <w:rPr>
          <w:rFonts w:eastAsiaTheme="minorHAnsi"/>
        </w:rPr>
        <w:t>2010) to create the</w:t>
      </w:r>
      <w:r w:rsidR="00BE29BC">
        <w:rPr>
          <w:rFonts w:eastAsiaTheme="minorHAnsi"/>
        </w:rPr>
        <w:t xml:space="preserve"> </w:t>
      </w:r>
      <w:r w:rsidR="006121FD">
        <w:rPr>
          <w:rFonts w:eastAsiaTheme="minorHAnsi"/>
        </w:rPr>
        <w:t>simulations and compares those simulations with the observed network. The solid line represents the observed network and the dashed line and the box plots</w:t>
      </w:r>
      <w:r w:rsidR="00BE29BC">
        <w:rPr>
          <w:rFonts w:eastAsiaTheme="minorHAnsi"/>
        </w:rPr>
        <w:t xml:space="preserve"> </w:t>
      </w:r>
      <w:r w:rsidR="006121FD">
        <w:rPr>
          <w:rFonts w:eastAsiaTheme="minorHAnsi"/>
        </w:rPr>
        <w:t xml:space="preserve">represent the simulated network. Overall, the model fits the data </w:t>
      </w:r>
      <w:r w:rsidR="002760FF">
        <w:rPr>
          <w:rFonts w:eastAsiaTheme="minorHAnsi"/>
        </w:rPr>
        <w:t>reasonably</w:t>
      </w:r>
      <w:r w:rsidR="006121FD">
        <w:rPr>
          <w:rFonts w:eastAsiaTheme="minorHAnsi"/>
        </w:rPr>
        <w:t xml:space="preserve"> well, as you can see from the box plots because the solid line goes through</w:t>
      </w:r>
      <w:r w:rsidR="00054AC1">
        <w:rPr>
          <w:rFonts w:eastAsiaTheme="minorHAnsi"/>
        </w:rPr>
        <w:t>, or is close to,</w:t>
      </w:r>
      <w:r w:rsidR="006121FD">
        <w:rPr>
          <w:rFonts w:eastAsiaTheme="minorHAnsi"/>
        </w:rPr>
        <w:t xml:space="preserve"> the median for the distributions.</w:t>
      </w:r>
      <w:r w:rsidR="00BE29BC">
        <w:rPr>
          <w:rFonts w:eastAsiaTheme="minorHAnsi"/>
        </w:rPr>
        <w:t xml:space="preserve"> </w:t>
      </w:r>
      <w:r w:rsidR="006121FD">
        <w:rPr>
          <w:rFonts w:eastAsiaTheme="minorHAnsi"/>
        </w:rPr>
        <w:t>The</w:t>
      </w:r>
      <w:r w:rsidR="00BE29BC">
        <w:rPr>
          <w:rFonts w:eastAsiaTheme="minorHAnsi"/>
        </w:rPr>
        <w:t xml:space="preserve"> </w:t>
      </w:r>
      <w:r w:rsidR="006121FD">
        <w:rPr>
          <w:rFonts w:eastAsiaTheme="minorHAnsi"/>
        </w:rPr>
        <w:t>network statistics offer a reasonable specification of the data.</w:t>
      </w:r>
      <w:r w:rsidR="00A34A72">
        <w:rPr>
          <w:rFonts w:eastAsiaTheme="minorHAnsi"/>
        </w:rPr>
        <w:t xml:space="preserve"> </w:t>
      </w:r>
    </w:p>
    <w:p w14:paraId="5F43ED79" w14:textId="11ECABCF" w:rsidR="00CC3117" w:rsidRPr="00721A4E" w:rsidRDefault="00CC3117" w:rsidP="006121FD">
      <w:pPr>
        <w:rPr>
          <w:b/>
          <w:bCs/>
          <w:i/>
          <w:iCs/>
        </w:rPr>
      </w:pPr>
    </w:p>
    <w:sectPr w:rsidR="00CC3117" w:rsidRPr="00721A4E" w:rsidSect="00987431">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bby Matthews" w:date="2023-09-15T16:14:00Z" w:initials="AM">
    <w:p w14:paraId="5596267C" w14:textId="77777777" w:rsidR="00BB01B6" w:rsidRDefault="00BB01B6" w:rsidP="00FF3E59">
      <w:r>
        <w:rPr>
          <w:rStyle w:val="CommentReference"/>
        </w:rPr>
        <w:annotationRef/>
      </w:r>
      <w:r>
        <w:rPr>
          <w:color w:val="000000"/>
          <w:sz w:val="20"/>
          <w:szCs w:val="20"/>
        </w:rPr>
        <w:t>Update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962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B2FCEA" w16cex:dateUtc="2023-09-15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6267C" w16cid:durableId="6EB2FC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6AFC0" w14:textId="77777777" w:rsidR="009A4065" w:rsidRDefault="009A4065" w:rsidP="00892C59">
      <w:r>
        <w:separator/>
      </w:r>
    </w:p>
  </w:endnote>
  <w:endnote w:type="continuationSeparator" w:id="0">
    <w:p w14:paraId="00247D61" w14:textId="77777777" w:rsidR="009A4065" w:rsidRDefault="009A4065" w:rsidP="0089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row">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TeX_Math">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3751664"/>
      <w:docPartObj>
        <w:docPartGallery w:val="Page Numbers (Bottom of Page)"/>
        <w:docPartUnique/>
      </w:docPartObj>
    </w:sdtPr>
    <w:sdtEndPr>
      <w:rPr>
        <w:rStyle w:val="PageNumber"/>
      </w:rPr>
    </w:sdtEndPr>
    <w:sdtContent>
      <w:p w14:paraId="0DE1B10A" w14:textId="1AE19818" w:rsidR="005F0EDB" w:rsidRDefault="005F0EDB" w:rsidP="00D822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7B8673" w14:textId="77777777" w:rsidR="005F0EDB" w:rsidRDefault="005F0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C045" w14:textId="6C4BD311" w:rsidR="005F0EDB" w:rsidRDefault="005F0EDB" w:rsidP="00D82203">
    <w:pPr>
      <w:pStyle w:val="Footer"/>
      <w:framePr w:wrap="none" w:vAnchor="text" w:hAnchor="margin" w:xAlign="center" w:y="1"/>
      <w:rPr>
        <w:rStyle w:val="PageNumber"/>
      </w:rPr>
    </w:pPr>
    <w:r>
      <w:rPr>
        <w:rStyle w:val="PageNumber"/>
      </w:rPr>
      <w:t xml:space="preserve">Appendix Page </w:t>
    </w:r>
    <w:sdt>
      <w:sdtPr>
        <w:rPr>
          <w:rStyle w:val="PageNumber"/>
        </w:rPr>
        <w:id w:val="-1767072627"/>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3D6708">
          <w:rPr>
            <w:rStyle w:val="PageNumber"/>
            <w:noProof/>
          </w:rPr>
          <w:t>2</w:t>
        </w:r>
        <w:r>
          <w:rPr>
            <w:rStyle w:val="PageNumber"/>
          </w:rPr>
          <w:fldChar w:fldCharType="end"/>
        </w:r>
      </w:sdtContent>
    </w:sdt>
  </w:p>
  <w:p w14:paraId="42CE3C51" w14:textId="77777777" w:rsidR="005F0EDB" w:rsidRDefault="005F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A320" w14:textId="77777777" w:rsidR="009A4065" w:rsidRDefault="009A4065" w:rsidP="00892C59">
      <w:r>
        <w:separator/>
      </w:r>
    </w:p>
  </w:footnote>
  <w:footnote w:type="continuationSeparator" w:id="0">
    <w:p w14:paraId="2DC94727" w14:textId="77777777" w:rsidR="009A4065" w:rsidRDefault="009A4065" w:rsidP="00892C59">
      <w:r>
        <w:continuationSeparator/>
      </w:r>
    </w:p>
  </w:footnote>
  <w:footnote w:id="1">
    <w:p w14:paraId="3919C379" w14:textId="77777777" w:rsidR="00C54FFA" w:rsidRPr="00892C59" w:rsidRDefault="00C54FFA" w:rsidP="00DE2818">
      <w:pPr>
        <w:autoSpaceDE w:val="0"/>
        <w:autoSpaceDN w:val="0"/>
        <w:adjustRightInd w:val="0"/>
        <w:ind w:left="720" w:hanging="720"/>
        <w:rPr>
          <w:sz w:val="20"/>
          <w:szCs w:val="20"/>
        </w:rPr>
      </w:pPr>
      <w:r w:rsidRPr="00DE2818">
        <w:rPr>
          <w:rStyle w:val="FootnoteReference"/>
        </w:rPr>
        <w:footnoteRef/>
      </w:r>
      <w:r>
        <w:t xml:space="preserve"> </w:t>
      </w:r>
      <w:r w:rsidRPr="009E189C">
        <w:rPr>
          <w:i/>
          <w:iCs/>
          <w:sz w:val="20"/>
          <w:szCs w:val="20"/>
        </w:rPr>
        <w:t>Jones v. State</w:t>
      </w:r>
      <w:r>
        <w:rPr>
          <w:sz w:val="20"/>
          <w:szCs w:val="20"/>
        </w:rPr>
        <w:t>, 426 S.W.3d 50 (Tenn. 2013).</w:t>
      </w:r>
    </w:p>
  </w:footnote>
  <w:footnote w:id="2">
    <w:p w14:paraId="675B1CB5" w14:textId="2EEA9A63" w:rsidR="00C54FFA" w:rsidRPr="00DE2818" w:rsidRDefault="00C54FFA" w:rsidP="00BB4DA0">
      <w:pPr>
        <w:autoSpaceDE w:val="0"/>
        <w:autoSpaceDN w:val="0"/>
        <w:adjustRightInd w:val="0"/>
        <w:ind w:left="180" w:hanging="180"/>
        <w:rPr>
          <w:sz w:val="20"/>
          <w:szCs w:val="20"/>
        </w:rPr>
      </w:pPr>
      <w:r w:rsidRPr="00DE2818">
        <w:rPr>
          <w:rStyle w:val="FootnoteReference"/>
        </w:rPr>
        <w:footnoteRef/>
      </w:r>
      <w:r>
        <w:t xml:space="preserve"> </w:t>
      </w:r>
      <w:r>
        <w:rPr>
          <w:sz w:val="20"/>
          <w:szCs w:val="20"/>
        </w:rPr>
        <w:t>“All of the state courts that have addressed the issue have agreed that an absolute privilege . . . appli</w:t>
      </w:r>
      <w:r w:rsidRPr="00DE2818">
        <w:rPr>
          <w:sz w:val="20"/>
          <w:szCs w:val="20"/>
        </w:rPr>
        <w:t>es</w:t>
      </w:r>
      <w:r w:rsidR="00DE2818" w:rsidRPr="00DE2818">
        <w:rPr>
          <w:sz w:val="20"/>
          <w:szCs w:val="20"/>
        </w:rPr>
        <w:t xml:space="preserve"> </w:t>
      </w:r>
      <w:r w:rsidRPr="00DE2818">
        <w:rPr>
          <w:sz w:val="20"/>
          <w:szCs w:val="20"/>
        </w:rPr>
        <w:t xml:space="preserve">to state attorneys general.” </w:t>
      </w:r>
      <w:r w:rsidRPr="00DE2818">
        <w:rPr>
          <w:i/>
          <w:iCs/>
          <w:sz w:val="20"/>
          <w:szCs w:val="20"/>
        </w:rPr>
        <w:t>Kilgore v. Younger</w:t>
      </w:r>
      <w:r w:rsidRPr="00DE2818">
        <w:rPr>
          <w:sz w:val="20"/>
          <w:szCs w:val="20"/>
        </w:rPr>
        <w:t>, 640 P.2d 793, 797</w:t>
      </w:r>
      <w:r w:rsidR="00DE2818" w:rsidRPr="00DE2818">
        <w:rPr>
          <w:sz w:val="20"/>
          <w:szCs w:val="20"/>
        </w:rPr>
        <w:t>-</w:t>
      </w:r>
      <w:r w:rsidRPr="00DE2818">
        <w:rPr>
          <w:sz w:val="20"/>
          <w:szCs w:val="20"/>
        </w:rPr>
        <w:t>98 (Cal. 1982).</w:t>
      </w:r>
    </w:p>
  </w:footnote>
  <w:footnote w:id="3">
    <w:p w14:paraId="416A4AA1" w14:textId="7C6FAEEA" w:rsidR="00596655" w:rsidRDefault="00596655" w:rsidP="00DE2818">
      <w:pPr>
        <w:pStyle w:val="FootnoteText"/>
        <w:ind w:left="720" w:hanging="720"/>
      </w:pPr>
      <w:r w:rsidRPr="00DE2818">
        <w:rPr>
          <w:rStyle w:val="FootnoteReference"/>
        </w:rPr>
        <w:footnoteRef/>
      </w:r>
      <w:r>
        <w:t xml:space="preserve"> </w:t>
      </w:r>
      <w:r w:rsidRPr="00A44B55">
        <w:rPr>
          <w:i/>
          <w:iCs/>
        </w:rPr>
        <w:t>Colorado v. Smith</w:t>
      </w:r>
      <w:r w:rsidRPr="00596655">
        <w:t>, 862 P.2d 939 (Colo. 1993).</w:t>
      </w:r>
    </w:p>
  </w:footnote>
  <w:footnote w:id="4">
    <w:p w14:paraId="6674E84B" w14:textId="6EED6DA2" w:rsidR="00C77D98" w:rsidRDefault="00C77D98" w:rsidP="00DE2818">
      <w:pPr>
        <w:pStyle w:val="FootnoteText"/>
        <w:ind w:left="720" w:hanging="720"/>
      </w:pPr>
      <w:r w:rsidRPr="00DE2818">
        <w:rPr>
          <w:rStyle w:val="FootnoteReference"/>
        </w:rPr>
        <w:footnoteRef/>
      </w:r>
      <w:r>
        <w:t xml:space="preserve"> </w:t>
      </w:r>
      <w:r w:rsidRPr="00A44B55">
        <w:rPr>
          <w:i/>
          <w:iCs/>
        </w:rPr>
        <w:t>State v. Koetting</w:t>
      </w:r>
      <w:r w:rsidRPr="00C77D98">
        <w:t>, 616 S.W.2d 822, 827 (Mo. 1981).</w:t>
      </w:r>
    </w:p>
  </w:footnote>
  <w:footnote w:id="5">
    <w:p w14:paraId="28257133" w14:textId="430F2733" w:rsidR="00C80BDE" w:rsidRDefault="00C80BDE" w:rsidP="00DE2818">
      <w:pPr>
        <w:pStyle w:val="FootnoteText"/>
        <w:ind w:left="720" w:hanging="720"/>
      </w:pPr>
      <w:r w:rsidRPr="00DE2818">
        <w:rPr>
          <w:rStyle w:val="FootnoteReference"/>
        </w:rPr>
        <w:footnoteRef/>
      </w:r>
      <w:r>
        <w:t xml:space="preserve"> </w:t>
      </w:r>
      <w:r w:rsidRPr="00A44B55">
        <w:rPr>
          <w:i/>
          <w:iCs/>
        </w:rPr>
        <w:t>Nazeri v. Missouri Valley College</w:t>
      </w:r>
      <w:r w:rsidRPr="00C80BDE">
        <w:t xml:space="preserve">, 860 S.W.2d 303 (Mo. 1993). </w:t>
      </w:r>
    </w:p>
  </w:footnote>
  <w:footnote w:id="6">
    <w:p w14:paraId="0F5DC977" w14:textId="10692384" w:rsidR="00F95B90" w:rsidRDefault="00F95B90" w:rsidP="00DE2818">
      <w:pPr>
        <w:pStyle w:val="FootnoteText"/>
        <w:ind w:left="720" w:hanging="720"/>
      </w:pPr>
      <w:r w:rsidRPr="00DE2818">
        <w:rPr>
          <w:rStyle w:val="FootnoteReference"/>
        </w:rPr>
        <w:footnoteRef/>
      </w:r>
      <w:r>
        <w:t xml:space="preserve"> </w:t>
      </w:r>
      <w:r w:rsidRPr="00A44B55">
        <w:rPr>
          <w:i/>
          <w:iCs/>
        </w:rPr>
        <w:t>Dworkin v. L.F.P., Inc.</w:t>
      </w:r>
      <w:r w:rsidRPr="00F95B90">
        <w:t xml:space="preserve">, 839 P.2d 903 (Wyo. 1992). </w:t>
      </w:r>
    </w:p>
  </w:footnote>
  <w:footnote w:id="7">
    <w:p w14:paraId="0F170656" w14:textId="5C11986A" w:rsidR="002479CB" w:rsidRDefault="002479CB" w:rsidP="00DE2818">
      <w:pPr>
        <w:pStyle w:val="FootnoteText"/>
        <w:ind w:left="720" w:hanging="720"/>
      </w:pPr>
      <w:r w:rsidRPr="00DE2818">
        <w:rPr>
          <w:rStyle w:val="FootnoteReference"/>
        </w:rPr>
        <w:footnoteRef/>
      </w:r>
      <w:r>
        <w:t xml:space="preserve"> </w:t>
      </w:r>
      <w:r w:rsidRPr="00A44B55">
        <w:rPr>
          <w:i/>
          <w:iCs/>
        </w:rPr>
        <w:t>Miller v. City of Laramie</w:t>
      </w:r>
      <w:r w:rsidRPr="002479CB">
        <w:t>, 880 P.2d 594 (Wyo. 1994).</w:t>
      </w:r>
    </w:p>
  </w:footnote>
  <w:footnote w:id="8">
    <w:p w14:paraId="3FAA5F0B" w14:textId="66E670C6" w:rsidR="00072A56" w:rsidRDefault="00072A56" w:rsidP="00DE2818">
      <w:pPr>
        <w:pStyle w:val="FootnoteText"/>
        <w:ind w:left="720" w:hanging="720"/>
      </w:pPr>
      <w:r w:rsidRPr="00DE2818">
        <w:rPr>
          <w:rStyle w:val="FootnoteReference"/>
        </w:rPr>
        <w:footnoteRef/>
      </w:r>
      <w:r>
        <w:t xml:space="preserve"> </w:t>
      </w:r>
      <w:r w:rsidRPr="00A44B55">
        <w:rPr>
          <w:i/>
          <w:iCs/>
        </w:rPr>
        <w:t>Parrish v. Lamm,</w:t>
      </w:r>
      <w:r w:rsidRPr="00A44B55">
        <w:t> 758 P.2d 1356 (Colo.1988)</w:t>
      </w:r>
      <w:r w:rsidRPr="00072A5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7DAA"/>
    <w:multiLevelType w:val="multilevel"/>
    <w:tmpl w:val="87B474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y Matthews">
    <w15:presenceInfo w15:providerId="None" w15:userId="Abby Matth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58"/>
    <w:rsid w:val="00005809"/>
    <w:rsid w:val="000077A9"/>
    <w:rsid w:val="0001025C"/>
    <w:rsid w:val="00017010"/>
    <w:rsid w:val="00017B12"/>
    <w:rsid w:val="00027101"/>
    <w:rsid w:val="00031746"/>
    <w:rsid w:val="0003183C"/>
    <w:rsid w:val="00032204"/>
    <w:rsid w:val="00045D84"/>
    <w:rsid w:val="0005181A"/>
    <w:rsid w:val="000531BE"/>
    <w:rsid w:val="00054AC1"/>
    <w:rsid w:val="000574DD"/>
    <w:rsid w:val="000640AB"/>
    <w:rsid w:val="000718B8"/>
    <w:rsid w:val="00072A56"/>
    <w:rsid w:val="00075A86"/>
    <w:rsid w:val="00087889"/>
    <w:rsid w:val="0009491C"/>
    <w:rsid w:val="000A5A82"/>
    <w:rsid w:val="000B356B"/>
    <w:rsid w:val="000B58BD"/>
    <w:rsid w:val="000C347E"/>
    <w:rsid w:val="000D6E05"/>
    <w:rsid w:val="000E3340"/>
    <w:rsid w:val="000E4274"/>
    <w:rsid w:val="000F538C"/>
    <w:rsid w:val="000F6BDA"/>
    <w:rsid w:val="001254BC"/>
    <w:rsid w:val="001346AE"/>
    <w:rsid w:val="00142EBF"/>
    <w:rsid w:val="001478AD"/>
    <w:rsid w:val="001536C8"/>
    <w:rsid w:val="00163852"/>
    <w:rsid w:val="001638AC"/>
    <w:rsid w:val="0017271E"/>
    <w:rsid w:val="00182324"/>
    <w:rsid w:val="00193A73"/>
    <w:rsid w:val="001E2D94"/>
    <w:rsid w:val="001E46F1"/>
    <w:rsid w:val="001F20DE"/>
    <w:rsid w:val="00201590"/>
    <w:rsid w:val="00204992"/>
    <w:rsid w:val="00213C15"/>
    <w:rsid w:val="0022361F"/>
    <w:rsid w:val="00227413"/>
    <w:rsid w:val="00232887"/>
    <w:rsid w:val="002479CB"/>
    <w:rsid w:val="00256D6C"/>
    <w:rsid w:val="0026150A"/>
    <w:rsid w:val="00263AD4"/>
    <w:rsid w:val="00274C3B"/>
    <w:rsid w:val="002760FF"/>
    <w:rsid w:val="00292293"/>
    <w:rsid w:val="00293F6E"/>
    <w:rsid w:val="002C49C1"/>
    <w:rsid w:val="002C7565"/>
    <w:rsid w:val="002E3E49"/>
    <w:rsid w:val="002F6FF3"/>
    <w:rsid w:val="002F7B68"/>
    <w:rsid w:val="00302EFA"/>
    <w:rsid w:val="003176BB"/>
    <w:rsid w:val="00335463"/>
    <w:rsid w:val="00336069"/>
    <w:rsid w:val="00340CC0"/>
    <w:rsid w:val="00350406"/>
    <w:rsid w:val="00371893"/>
    <w:rsid w:val="00376C4E"/>
    <w:rsid w:val="00381A41"/>
    <w:rsid w:val="0038213B"/>
    <w:rsid w:val="00392541"/>
    <w:rsid w:val="00396756"/>
    <w:rsid w:val="003A26FB"/>
    <w:rsid w:val="003A29AF"/>
    <w:rsid w:val="003A50C9"/>
    <w:rsid w:val="003C0A30"/>
    <w:rsid w:val="003C5B2A"/>
    <w:rsid w:val="003D4912"/>
    <w:rsid w:val="003D6708"/>
    <w:rsid w:val="003D72F2"/>
    <w:rsid w:val="003E514A"/>
    <w:rsid w:val="003E7101"/>
    <w:rsid w:val="003F5013"/>
    <w:rsid w:val="0040345C"/>
    <w:rsid w:val="004040D3"/>
    <w:rsid w:val="00425523"/>
    <w:rsid w:val="00433936"/>
    <w:rsid w:val="0043734C"/>
    <w:rsid w:val="00446A26"/>
    <w:rsid w:val="00446B5A"/>
    <w:rsid w:val="0045582B"/>
    <w:rsid w:val="004558F0"/>
    <w:rsid w:val="00456FAD"/>
    <w:rsid w:val="004619B1"/>
    <w:rsid w:val="00475297"/>
    <w:rsid w:val="004767BF"/>
    <w:rsid w:val="00484A92"/>
    <w:rsid w:val="00493F59"/>
    <w:rsid w:val="004A03BD"/>
    <w:rsid w:val="004A5ACB"/>
    <w:rsid w:val="004B0858"/>
    <w:rsid w:val="004B0FD9"/>
    <w:rsid w:val="004B6E4C"/>
    <w:rsid w:val="004C0AFA"/>
    <w:rsid w:val="004C54CF"/>
    <w:rsid w:val="004D54AE"/>
    <w:rsid w:val="004D7E1B"/>
    <w:rsid w:val="004F1AE1"/>
    <w:rsid w:val="004F25BE"/>
    <w:rsid w:val="00511B71"/>
    <w:rsid w:val="00521194"/>
    <w:rsid w:val="00527075"/>
    <w:rsid w:val="00530F0A"/>
    <w:rsid w:val="00546D64"/>
    <w:rsid w:val="00557445"/>
    <w:rsid w:val="0058216E"/>
    <w:rsid w:val="005833EE"/>
    <w:rsid w:val="005963D5"/>
    <w:rsid w:val="00596655"/>
    <w:rsid w:val="005A13CA"/>
    <w:rsid w:val="005C672C"/>
    <w:rsid w:val="005C75E1"/>
    <w:rsid w:val="005D4E96"/>
    <w:rsid w:val="005E4A18"/>
    <w:rsid w:val="005F0B96"/>
    <w:rsid w:val="005F0EDB"/>
    <w:rsid w:val="005F2A4B"/>
    <w:rsid w:val="006032FA"/>
    <w:rsid w:val="00610BF5"/>
    <w:rsid w:val="00610D88"/>
    <w:rsid w:val="00611F54"/>
    <w:rsid w:val="006121FD"/>
    <w:rsid w:val="00614017"/>
    <w:rsid w:val="0062687D"/>
    <w:rsid w:val="006614C2"/>
    <w:rsid w:val="0066191C"/>
    <w:rsid w:val="00661BE1"/>
    <w:rsid w:val="00667321"/>
    <w:rsid w:val="0067211C"/>
    <w:rsid w:val="00673E6C"/>
    <w:rsid w:val="00674289"/>
    <w:rsid w:val="006761F5"/>
    <w:rsid w:val="006802BD"/>
    <w:rsid w:val="0068625A"/>
    <w:rsid w:val="006901CD"/>
    <w:rsid w:val="006942E5"/>
    <w:rsid w:val="00696981"/>
    <w:rsid w:val="006A5406"/>
    <w:rsid w:val="006C680E"/>
    <w:rsid w:val="006D35EF"/>
    <w:rsid w:val="006D72F8"/>
    <w:rsid w:val="006E5EC9"/>
    <w:rsid w:val="00721A4E"/>
    <w:rsid w:val="00725445"/>
    <w:rsid w:val="00730ACE"/>
    <w:rsid w:val="00732494"/>
    <w:rsid w:val="00732C1A"/>
    <w:rsid w:val="00737D5C"/>
    <w:rsid w:val="00747148"/>
    <w:rsid w:val="0075765C"/>
    <w:rsid w:val="0076130A"/>
    <w:rsid w:val="0076650C"/>
    <w:rsid w:val="00772C16"/>
    <w:rsid w:val="0078728B"/>
    <w:rsid w:val="0079255F"/>
    <w:rsid w:val="007A3222"/>
    <w:rsid w:val="007A59BB"/>
    <w:rsid w:val="007A5ED0"/>
    <w:rsid w:val="007B40F1"/>
    <w:rsid w:val="007B52C7"/>
    <w:rsid w:val="007C0D3E"/>
    <w:rsid w:val="007C2977"/>
    <w:rsid w:val="007C5F63"/>
    <w:rsid w:val="007D71C5"/>
    <w:rsid w:val="007E2342"/>
    <w:rsid w:val="007F1538"/>
    <w:rsid w:val="00803051"/>
    <w:rsid w:val="008036A9"/>
    <w:rsid w:val="00857B27"/>
    <w:rsid w:val="008660F3"/>
    <w:rsid w:val="0088060E"/>
    <w:rsid w:val="00884A3B"/>
    <w:rsid w:val="00892C59"/>
    <w:rsid w:val="00895C50"/>
    <w:rsid w:val="008A16E4"/>
    <w:rsid w:val="008A21CD"/>
    <w:rsid w:val="008C3165"/>
    <w:rsid w:val="008C4599"/>
    <w:rsid w:val="008E05F8"/>
    <w:rsid w:val="008F22A8"/>
    <w:rsid w:val="00900F7B"/>
    <w:rsid w:val="0091066F"/>
    <w:rsid w:val="00910D8E"/>
    <w:rsid w:val="009119F4"/>
    <w:rsid w:val="009259BB"/>
    <w:rsid w:val="0094556B"/>
    <w:rsid w:val="00965794"/>
    <w:rsid w:val="00976C5C"/>
    <w:rsid w:val="00987431"/>
    <w:rsid w:val="009A4042"/>
    <w:rsid w:val="009A4065"/>
    <w:rsid w:val="009B24AB"/>
    <w:rsid w:val="009C270B"/>
    <w:rsid w:val="009D0C05"/>
    <w:rsid w:val="009E189C"/>
    <w:rsid w:val="009F4221"/>
    <w:rsid w:val="00A002EC"/>
    <w:rsid w:val="00A04A6B"/>
    <w:rsid w:val="00A10C86"/>
    <w:rsid w:val="00A21D00"/>
    <w:rsid w:val="00A23E20"/>
    <w:rsid w:val="00A34A72"/>
    <w:rsid w:val="00A36796"/>
    <w:rsid w:val="00A3789C"/>
    <w:rsid w:val="00A44B55"/>
    <w:rsid w:val="00A47B24"/>
    <w:rsid w:val="00A66B49"/>
    <w:rsid w:val="00A7068C"/>
    <w:rsid w:val="00A71271"/>
    <w:rsid w:val="00AB0AAB"/>
    <w:rsid w:val="00AB7EDD"/>
    <w:rsid w:val="00AC333D"/>
    <w:rsid w:val="00AC58CD"/>
    <w:rsid w:val="00B0695E"/>
    <w:rsid w:val="00B070BE"/>
    <w:rsid w:val="00B107D1"/>
    <w:rsid w:val="00B20BC9"/>
    <w:rsid w:val="00B246B8"/>
    <w:rsid w:val="00B25202"/>
    <w:rsid w:val="00B25930"/>
    <w:rsid w:val="00B328DB"/>
    <w:rsid w:val="00B351FF"/>
    <w:rsid w:val="00B36FD1"/>
    <w:rsid w:val="00B431FE"/>
    <w:rsid w:val="00B50D2E"/>
    <w:rsid w:val="00B51779"/>
    <w:rsid w:val="00B54BBC"/>
    <w:rsid w:val="00B712B1"/>
    <w:rsid w:val="00B77351"/>
    <w:rsid w:val="00B86CEA"/>
    <w:rsid w:val="00B9732C"/>
    <w:rsid w:val="00BA45C4"/>
    <w:rsid w:val="00BB01B6"/>
    <w:rsid w:val="00BB451B"/>
    <w:rsid w:val="00BB4DA0"/>
    <w:rsid w:val="00BD7292"/>
    <w:rsid w:val="00BE0472"/>
    <w:rsid w:val="00BE1AE6"/>
    <w:rsid w:val="00BE29BC"/>
    <w:rsid w:val="00BF04D9"/>
    <w:rsid w:val="00C00FDA"/>
    <w:rsid w:val="00C04871"/>
    <w:rsid w:val="00C10530"/>
    <w:rsid w:val="00C1440F"/>
    <w:rsid w:val="00C16347"/>
    <w:rsid w:val="00C25349"/>
    <w:rsid w:val="00C25889"/>
    <w:rsid w:val="00C32F9D"/>
    <w:rsid w:val="00C35DD4"/>
    <w:rsid w:val="00C54FFA"/>
    <w:rsid w:val="00C6365A"/>
    <w:rsid w:val="00C716ED"/>
    <w:rsid w:val="00C77D98"/>
    <w:rsid w:val="00C80BDE"/>
    <w:rsid w:val="00C8191E"/>
    <w:rsid w:val="00C92AFE"/>
    <w:rsid w:val="00CA6371"/>
    <w:rsid w:val="00CB26B8"/>
    <w:rsid w:val="00CC3117"/>
    <w:rsid w:val="00CD2BC1"/>
    <w:rsid w:val="00CD4888"/>
    <w:rsid w:val="00CE4088"/>
    <w:rsid w:val="00CF2C86"/>
    <w:rsid w:val="00CF7D76"/>
    <w:rsid w:val="00D11C07"/>
    <w:rsid w:val="00D17D83"/>
    <w:rsid w:val="00D36E4A"/>
    <w:rsid w:val="00D61A7E"/>
    <w:rsid w:val="00D906C5"/>
    <w:rsid w:val="00D90E30"/>
    <w:rsid w:val="00D915AC"/>
    <w:rsid w:val="00D97F93"/>
    <w:rsid w:val="00DA4364"/>
    <w:rsid w:val="00DC2AA2"/>
    <w:rsid w:val="00DC2B8E"/>
    <w:rsid w:val="00DC798A"/>
    <w:rsid w:val="00DD2DB1"/>
    <w:rsid w:val="00DE0FDC"/>
    <w:rsid w:val="00DE2818"/>
    <w:rsid w:val="00E06ABF"/>
    <w:rsid w:val="00E077C8"/>
    <w:rsid w:val="00E209B5"/>
    <w:rsid w:val="00E24773"/>
    <w:rsid w:val="00E32D21"/>
    <w:rsid w:val="00E37282"/>
    <w:rsid w:val="00E40891"/>
    <w:rsid w:val="00E513A6"/>
    <w:rsid w:val="00E561CC"/>
    <w:rsid w:val="00E73055"/>
    <w:rsid w:val="00E76643"/>
    <w:rsid w:val="00E85658"/>
    <w:rsid w:val="00E862ED"/>
    <w:rsid w:val="00E916D1"/>
    <w:rsid w:val="00EA4DAC"/>
    <w:rsid w:val="00EA72EF"/>
    <w:rsid w:val="00EC241A"/>
    <w:rsid w:val="00EC55E0"/>
    <w:rsid w:val="00EC5D4F"/>
    <w:rsid w:val="00EF241B"/>
    <w:rsid w:val="00EF2AD5"/>
    <w:rsid w:val="00F0187E"/>
    <w:rsid w:val="00F13E2F"/>
    <w:rsid w:val="00F14763"/>
    <w:rsid w:val="00F256E7"/>
    <w:rsid w:val="00F4700A"/>
    <w:rsid w:val="00F52617"/>
    <w:rsid w:val="00F574BA"/>
    <w:rsid w:val="00F624AE"/>
    <w:rsid w:val="00F90952"/>
    <w:rsid w:val="00F95883"/>
    <w:rsid w:val="00F95B90"/>
    <w:rsid w:val="00F97AA8"/>
    <w:rsid w:val="00FB4647"/>
    <w:rsid w:val="00FC460C"/>
    <w:rsid w:val="00FC556A"/>
    <w:rsid w:val="00FD33D4"/>
    <w:rsid w:val="00FD35A8"/>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DAD2"/>
  <w15:chartTrackingRefBased/>
  <w15:docId w15:val="{0BD665F3-31C8-B842-9EE7-9154F2DA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FD"/>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B51779"/>
    <w:pPr>
      <w:keepNext/>
      <w:keepLines/>
      <w:spacing w:before="100" w:beforeAutospacing="1" w:after="100" w:afterAutospacing="1"/>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045D84"/>
    <w:pPr>
      <w:keepNext/>
      <w:keepLines/>
      <w:spacing w:before="54" w:beforeAutospacing="1" w:after="100" w:afterAutospacing="1"/>
      <w:ind w:left="3476" w:right="3097"/>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79"/>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045D84"/>
    <w:rPr>
      <w:rFonts w:ascii="Times New Roman" w:eastAsiaTheme="majorEastAsia" w:hAnsi="Times New Roman" w:cs="Times New Roman"/>
      <w:b/>
      <w:bCs/>
      <w:color w:val="000000" w:themeColor="text1"/>
    </w:rPr>
  </w:style>
  <w:style w:type="paragraph" w:styleId="Title">
    <w:name w:val="Title"/>
    <w:basedOn w:val="Normal"/>
    <w:next w:val="Normal"/>
    <w:link w:val="TitleChar"/>
    <w:autoRedefine/>
    <w:uiPriority w:val="10"/>
    <w:qFormat/>
    <w:rsid w:val="00B5177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51779"/>
    <w:rPr>
      <w:rFonts w:ascii="Times New Roman" w:eastAsiaTheme="majorEastAsia" w:hAnsi="Times New Roman" w:cstheme="majorBidi"/>
      <w:b/>
      <w:spacing w:val="-10"/>
      <w:kern w:val="28"/>
      <w:szCs w:val="56"/>
    </w:rPr>
  </w:style>
  <w:style w:type="paragraph" w:styleId="TOC1">
    <w:name w:val="toc 1"/>
    <w:basedOn w:val="Normal"/>
    <w:next w:val="Normal"/>
    <w:autoRedefine/>
    <w:uiPriority w:val="39"/>
    <w:unhideWhenUsed/>
    <w:qFormat/>
    <w:rsid w:val="00B51779"/>
    <w:pPr>
      <w:spacing w:after="100" w:line="276" w:lineRule="auto"/>
    </w:pPr>
  </w:style>
  <w:style w:type="paragraph" w:styleId="FootnoteText">
    <w:name w:val="footnote text"/>
    <w:basedOn w:val="Normal"/>
    <w:link w:val="FootnoteTextChar"/>
    <w:uiPriority w:val="99"/>
    <w:semiHidden/>
    <w:unhideWhenUsed/>
    <w:rsid w:val="00892C59"/>
    <w:rPr>
      <w:sz w:val="20"/>
      <w:szCs w:val="20"/>
    </w:rPr>
  </w:style>
  <w:style w:type="character" w:customStyle="1" w:styleId="FootnoteTextChar">
    <w:name w:val="Footnote Text Char"/>
    <w:basedOn w:val="DefaultParagraphFont"/>
    <w:link w:val="FootnoteText"/>
    <w:uiPriority w:val="99"/>
    <w:semiHidden/>
    <w:rsid w:val="00892C59"/>
    <w:rPr>
      <w:rFonts w:ascii="Times New Roman" w:hAnsi="Times New Roman"/>
      <w:sz w:val="20"/>
      <w:szCs w:val="20"/>
    </w:rPr>
  </w:style>
  <w:style w:type="character" w:styleId="FootnoteReference">
    <w:name w:val="footnote reference"/>
    <w:basedOn w:val="DefaultParagraphFont"/>
    <w:uiPriority w:val="99"/>
    <w:semiHidden/>
    <w:unhideWhenUsed/>
    <w:rsid w:val="00892C59"/>
    <w:rPr>
      <w:vertAlign w:val="superscript"/>
    </w:rPr>
  </w:style>
  <w:style w:type="character" w:styleId="Hyperlink">
    <w:name w:val="Hyperlink"/>
    <w:basedOn w:val="DefaultParagraphFont"/>
    <w:uiPriority w:val="99"/>
    <w:unhideWhenUsed/>
    <w:rsid w:val="00B50D2E"/>
    <w:rPr>
      <w:color w:val="0000FF"/>
      <w:u w:val="single"/>
    </w:rPr>
  </w:style>
  <w:style w:type="character" w:styleId="Emphasis">
    <w:name w:val="Emphasis"/>
    <w:basedOn w:val="DefaultParagraphFont"/>
    <w:uiPriority w:val="20"/>
    <w:qFormat/>
    <w:rsid w:val="00B50D2E"/>
    <w:rPr>
      <w:i/>
      <w:iCs/>
    </w:rPr>
  </w:style>
  <w:style w:type="paragraph" w:styleId="BodyText">
    <w:name w:val="Body Text"/>
    <w:basedOn w:val="Normal"/>
    <w:link w:val="BodyTextChar"/>
    <w:uiPriority w:val="1"/>
    <w:qFormat/>
    <w:rsid w:val="00A34A72"/>
    <w:pPr>
      <w:widowControl w:val="0"/>
      <w:autoSpaceDE w:val="0"/>
      <w:autoSpaceDN w:val="0"/>
    </w:pPr>
  </w:style>
  <w:style w:type="character" w:customStyle="1" w:styleId="BodyTextChar">
    <w:name w:val="Body Text Char"/>
    <w:basedOn w:val="DefaultParagraphFont"/>
    <w:link w:val="BodyText"/>
    <w:uiPriority w:val="1"/>
    <w:rsid w:val="00A34A72"/>
    <w:rPr>
      <w:rFonts w:ascii="Times New Roman" w:eastAsia="Times New Roman" w:hAnsi="Times New Roman" w:cs="Times New Roman"/>
    </w:rPr>
  </w:style>
  <w:style w:type="paragraph" w:customStyle="1" w:styleId="TableParagraph">
    <w:name w:val="Table Paragraph"/>
    <w:basedOn w:val="Normal"/>
    <w:uiPriority w:val="1"/>
    <w:qFormat/>
    <w:rsid w:val="00661BE1"/>
    <w:pPr>
      <w:widowControl w:val="0"/>
      <w:autoSpaceDE w:val="0"/>
      <w:autoSpaceDN w:val="0"/>
      <w:spacing w:line="256" w:lineRule="exact"/>
      <w:ind w:left="105"/>
      <w:jc w:val="center"/>
    </w:pPr>
    <w:rPr>
      <w:sz w:val="22"/>
      <w:szCs w:val="22"/>
    </w:rPr>
  </w:style>
  <w:style w:type="table" w:customStyle="1" w:styleId="TableGrid">
    <w:name w:val="TableGrid"/>
    <w:rsid w:val="00D36E4A"/>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5F0EDB"/>
    <w:pPr>
      <w:tabs>
        <w:tab w:val="center" w:pos="4680"/>
        <w:tab w:val="right" w:pos="9360"/>
      </w:tabs>
    </w:pPr>
  </w:style>
  <w:style w:type="character" w:customStyle="1" w:styleId="FooterChar">
    <w:name w:val="Footer Char"/>
    <w:basedOn w:val="DefaultParagraphFont"/>
    <w:link w:val="Footer"/>
    <w:uiPriority w:val="99"/>
    <w:rsid w:val="005F0EDB"/>
    <w:rPr>
      <w:rFonts w:ascii="Times New Roman" w:eastAsia="Times New Roman" w:hAnsi="Times New Roman" w:cs="Times New Roman"/>
    </w:rPr>
  </w:style>
  <w:style w:type="character" w:styleId="PageNumber">
    <w:name w:val="page number"/>
    <w:basedOn w:val="DefaultParagraphFont"/>
    <w:uiPriority w:val="99"/>
    <w:semiHidden/>
    <w:unhideWhenUsed/>
    <w:rsid w:val="005F0EDB"/>
  </w:style>
  <w:style w:type="paragraph" w:styleId="Header">
    <w:name w:val="header"/>
    <w:basedOn w:val="Normal"/>
    <w:link w:val="HeaderChar"/>
    <w:uiPriority w:val="99"/>
    <w:unhideWhenUsed/>
    <w:rsid w:val="005F0EDB"/>
    <w:pPr>
      <w:tabs>
        <w:tab w:val="center" w:pos="4680"/>
        <w:tab w:val="right" w:pos="9360"/>
      </w:tabs>
    </w:pPr>
  </w:style>
  <w:style w:type="character" w:customStyle="1" w:styleId="HeaderChar">
    <w:name w:val="Header Char"/>
    <w:basedOn w:val="DefaultParagraphFont"/>
    <w:link w:val="Header"/>
    <w:uiPriority w:val="99"/>
    <w:rsid w:val="005F0EDB"/>
    <w:rPr>
      <w:rFonts w:ascii="Times New Roman" w:eastAsia="Times New Roman" w:hAnsi="Times New Roman" w:cs="Times New Roman"/>
    </w:rPr>
  </w:style>
  <w:style w:type="paragraph" w:styleId="Caption">
    <w:name w:val="caption"/>
    <w:basedOn w:val="Normal"/>
    <w:next w:val="Normal"/>
    <w:uiPriority w:val="35"/>
    <w:unhideWhenUsed/>
    <w:qFormat/>
    <w:rsid w:val="00B431FE"/>
    <w:pPr>
      <w:widowControl w:val="0"/>
      <w:autoSpaceDE w:val="0"/>
      <w:autoSpaceDN w:val="0"/>
      <w:spacing w:after="200"/>
      <w:jc w:val="center"/>
    </w:pPr>
    <w:rPr>
      <w:iCs/>
      <w:szCs w:val="18"/>
    </w:rPr>
  </w:style>
  <w:style w:type="character" w:styleId="CommentReference">
    <w:name w:val="annotation reference"/>
    <w:basedOn w:val="DefaultParagraphFont"/>
    <w:uiPriority w:val="99"/>
    <w:semiHidden/>
    <w:unhideWhenUsed/>
    <w:rsid w:val="00381A41"/>
    <w:rPr>
      <w:sz w:val="16"/>
      <w:szCs w:val="16"/>
    </w:rPr>
  </w:style>
  <w:style w:type="paragraph" w:styleId="CommentText">
    <w:name w:val="annotation text"/>
    <w:basedOn w:val="Normal"/>
    <w:link w:val="CommentTextChar"/>
    <w:uiPriority w:val="99"/>
    <w:semiHidden/>
    <w:unhideWhenUsed/>
    <w:rsid w:val="00381A41"/>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381A4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10D8E"/>
    <w:rPr>
      <w:vertAlign w:val="superscript"/>
    </w:rPr>
  </w:style>
  <w:style w:type="character" w:customStyle="1" w:styleId="mopen">
    <w:name w:val="mopen"/>
    <w:basedOn w:val="DefaultParagraphFont"/>
    <w:rsid w:val="00A47B24"/>
  </w:style>
  <w:style w:type="character" w:customStyle="1" w:styleId="mord">
    <w:name w:val="mord"/>
    <w:basedOn w:val="DefaultParagraphFont"/>
    <w:rsid w:val="00A47B24"/>
  </w:style>
  <w:style w:type="character" w:customStyle="1" w:styleId="mrel">
    <w:name w:val="mrel"/>
    <w:basedOn w:val="DefaultParagraphFont"/>
    <w:rsid w:val="00A47B24"/>
  </w:style>
  <w:style w:type="character" w:customStyle="1" w:styleId="mclose">
    <w:name w:val="mclose"/>
    <w:basedOn w:val="DefaultParagraphFont"/>
    <w:rsid w:val="00A47B24"/>
  </w:style>
  <w:style w:type="character" w:customStyle="1" w:styleId="mpunct">
    <w:name w:val="mpunct"/>
    <w:basedOn w:val="DefaultParagraphFont"/>
    <w:rsid w:val="00A47B24"/>
  </w:style>
  <w:style w:type="paragraph" w:styleId="Revision">
    <w:name w:val="Revision"/>
    <w:hidden/>
    <w:uiPriority w:val="99"/>
    <w:semiHidden/>
    <w:rsid w:val="00A47B2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04871"/>
    <w:pPr>
      <w:widowControl/>
      <w:autoSpaceDE/>
      <w:autoSpaceDN/>
    </w:pPr>
    <w:rPr>
      <w:b/>
      <w:bCs/>
    </w:rPr>
  </w:style>
  <w:style w:type="character" w:customStyle="1" w:styleId="CommentSubjectChar">
    <w:name w:val="Comment Subject Char"/>
    <w:basedOn w:val="CommentTextChar"/>
    <w:link w:val="CommentSubject"/>
    <w:uiPriority w:val="99"/>
    <w:semiHidden/>
    <w:rsid w:val="00C04871"/>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rsid w:val="00803051"/>
    <w:rPr>
      <w:color w:val="605E5C"/>
      <w:shd w:val="clear" w:color="auto" w:fill="E1DFDD"/>
    </w:rPr>
  </w:style>
  <w:style w:type="table" w:styleId="TableGrid0">
    <w:name w:val="Table Grid"/>
    <w:basedOn w:val="TableNormal"/>
    <w:uiPriority w:val="39"/>
    <w:rsid w:val="0029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3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522">
      <w:bodyDiv w:val="1"/>
      <w:marLeft w:val="0"/>
      <w:marRight w:val="0"/>
      <w:marTop w:val="0"/>
      <w:marBottom w:val="0"/>
      <w:divBdr>
        <w:top w:val="none" w:sz="0" w:space="0" w:color="auto"/>
        <w:left w:val="none" w:sz="0" w:space="0" w:color="auto"/>
        <w:bottom w:val="none" w:sz="0" w:space="0" w:color="auto"/>
        <w:right w:val="none" w:sz="0" w:space="0" w:color="auto"/>
      </w:divBdr>
    </w:div>
    <w:div w:id="109983726">
      <w:bodyDiv w:val="1"/>
      <w:marLeft w:val="0"/>
      <w:marRight w:val="0"/>
      <w:marTop w:val="0"/>
      <w:marBottom w:val="0"/>
      <w:divBdr>
        <w:top w:val="none" w:sz="0" w:space="0" w:color="auto"/>
        <w:left w:val="none" w:sz="0" w:space="0" w:color="auto"/>
        <w:bottom w:val="none" w:sz="0" w:space="0" w:color="auto"/>
        <w:right w:val="none" w:sz="0" w:space="0" w:color="auto"/>
      </w:divBdr>
    </w:div>
    <w:div w:id="179469242">
      <w:bodyDiv w:val="1"/>
      <w:marLeft w:val="0"/>
      <w:marRight w:val="0"/>
      <w:marTop w:val="0"/>
      <w:marBottom w:val="0"/>
      <w:divBdr>
        <w:top w:val="none" w:sz="0" w:space="0" w:color="auto"/>
        <w:left w:val="none" w:sz="0" w:space="0" w:color="auto"/>
        <w:bottom w:val="none" w:sz="0" w:space="0" w:color="auto"/>
        <w:right w:val="none" w:sz="0" w:space="0" w:color="auto"/>
      </w:divBdr>
    </w:div>
    <w:div w:id="276986575">
      <w:bodyDiv w:val="1"/>
      <w:marLeft w:val="0"/>
      <w:marRight w:val="0"/>
      <w:marTop w:val="0"/>
      <w:marBottom w:val="0"/>
      <w:divBdr>
        <w:top w:val="none" w:sz="0" w:space="0" w:color="auto"/>
        <w:left w:val="none" w:sz="0" w:space="0" w:color="auto"/>
        <w:bottom w:val="none" w:sz="0" w:space="0" w:color="auto"/>
        <w:right w:val="none" w:sz="0" w:space="0" w:color="auto"/>
      </w:divBdr>
    </w:div>
    <w:div w:id="297733963">
      <w:bodyDiv w:val="1"/>
      <w:marLeft w:val="0"/>
      <w:marRight w:val="0"/>
      <w:marTop w:val="0"/>
      <w:marBottom w:val="0"/>
      <w:divBdr>
        <w:top w:val="none" w:sz="0" w:space="0" w:color="auto"/>
        <w:left w:val="none" w:sz="0" w:space="0" w:color="auto"/>
        <w:bottom w:val="none" w:sz="0" w:space="0" w:color="auto"/>
        <w:right w:val="none" w:sz="0" w:space="0" w:color="auto"/>
      </w:divBdr>
    </w:div>
    <w:div w:id="298151874">
      <w:bodyDiv w:val="1"/>
      <w:marLeft w:val="0"/>
      <w:marRight w:val="0"/>
      <w:marTop w:val="0"/>
      <w:marBottom w:val="0"/>
      <w:divBdr>
        <w:top w:val="none" w:sz="0" w:space="0" w:color="auto"/>
        <w:left w:val="none" w:sz="0" w:space="0" w:color="auto"/>
        <w:bottom w:val="none" w:sz="0" w:space="0" w:color="auto"/>
        <w:right w:val="none" w:sz="0" w:space="0" w:color="auto"/>
      </w:divBdr>
    </w:div>
    <w:div w:id="364864852">
      <w:bodyDiv w:val="1"/>
      <w:marLeft w:val="0"/>
      <w:marRight w:val="0"/>
      <w:marTop w:val="0"/>
      <w:marBottom w:val="0"/>
      <w:divBdr>
        <w:top w:val="none" w:sz="0" w:space="0" w:color="auto"/>
        <w:left w:val="none" w:sz="0" w:space="0" w:color="auto"/>
        <w:bottom w:val="none" w:sz="0" w:space="0" w:color="auto"/>
        <w:right w:val="none" w:sz="0" w:space="0" w:color="auto"/>
      </w:divBdr>
    </w:div>
    <w:div w:id="597174975">
      <w:bodyDiv w:val="1"/>
      <w:marLeft w:val="0"/>
      <w:marRight w:val="0"/>
      <w:marTop w:val="0"/>
      <w:marBottom w:val="0"/>
      <w:divBdr>
        <w:top w:val="none" w:sz="0" w:space="0" w:color="auto"/>
        <w:left w:val="none" w:sz="0" w:space="0" w:color="auto"/>
        <w:bottom w:val="none" w:sz="0" w:space="0" w:color="auto"/>
        <w:right w:val="none" w:sz="0" w:space="0" w:color="auto"/>
      </w:divBdr>
    </w:div>
    <w:div w:id="671417139">
      <w:bodyDiv w:val="1"/>
      <w:marLeft w:val="0"/>
      <w:marRight w:val="0"/>
      <w:marTop w:val="0"/>
      <w:marBottom w:val="0"/>
      <w:divBdr>
        <w:top w:val="none" w:sz="0" w:space="0" w:color="auto"/>
        <w:left w:val="none" w:sz="0" w:space="0" w:color="auto"/>
        <w:bottom w:val="none" w:sz="0" w:space="0" w:color="auto"/>
        <w:right w:val="none" w:sz="0" w:space="0" w:color="auto"/>
      </w:divBdr>
    </w:div>
    <w:div w:id="740366392">
      <w:bodyDiv w:val="1"/>
      <w:marLeft w:val="0"/>
      <w:marRight w:val="0"/>
      <w:marTop w:val="0"/>
      <w:marBottom w:val="0"/>
      <w:divBdr>
        <w:top w:val="none" w:sz="0" w:space="0" w:color="auto"/>
        <w:left w:val="none" w:sz="0" w:space="0" w:color="auto"/>
        <w:bottom w:val="none" w:sz="0" w:space="0" w:color="auto"/>
        <w:right w:val="none" w:sz="0" w:space="0" w:color="auto"/>
      </w:divBdr>
    </w:div>
    <w:div w:id="850946082">
      <w:bodyDiv w:val="1"/>
      <w:marLeft w:val="0"/>
      <w:marRight w:val="0"/>
      <w:marTop w:val="0"/>
      <w:marBottom w:val="0"/>
      <w:divBdr>
        <w:top w:val="none" w:sz="0" w:space="0" w:color="auto"/>
        <w:left w:val="none" w:sz="0" w:space="0" w:color="auto"/>
        <w:bottom w:val="none" w:sz="0" w:space="0" w:color="auto"/>
        <w:right w:val="none" w:sz="0" w:space="0" w:color="auto"/>
      </w:divBdr>
    </w:div>
    <w:div w:id="859321081">
      <w:bodyDiv w:val="1"/>
      <w:marLeft w:val="0"/>
      <w:marRight w:val="0"/>
      <w:marTop w:val="0"/>
      <w:marBottom w:val="0"/>
      <w:divBdr>
        <w:top w:val="none" w:sz="0" w:space="0" w:color="auto"/>
        <w:left w:val="none" w:sz="0" w:space="0" w:color="auto"/>
        <w:bottom w:val="none" w:sz="0" w:space="0" w:color="auto"/>
        <w:right w:val="none" w:sz="0" w:space="0" w:color="auto"/>
      </w:divBdr>
    </w:div>
    <w:div w:id="941761096">
      <w:bodyDiv w:val="1"/>
      <w:marLeft w:val="0"/>
      <w:marRight w:val="0"/>
      <w:marTop w:val="0"/>
      <w:marBottom w:val="0"/>
      <w:divBdr>
        <w:top w:val="none" w:sz="0" w:space="0" w:color="auto"/>
        <w:left w:val="none" w:sz="0" w:space="0" w:color="auto"/>
        <w:bottom w:val="none" w:sz="0" w:space="0" w:color="auto"/>
        <w:right w:val="none" w:sz="0" w:space="0" w:color="auto"/>
      </w:divBdr>
    </w:div>
    <w:div w:id="953753863">
      <w:bodyDiv w:val="1"/>
      <w:marLeft w:val="0"/>
      <w:marRight w:val="0"/>
      <w:marTop w:val="0"/>
      <w:marBottom w:val="0"/>
      <w:divBdr>
        <w:top w:val="none" w:sz="0" w:space="0" w:color="auto"/>
        <w:left w:val="none" w:sz="0" w:space="0" w:color="auto"/>
        <w:bottom w:val="none" w:sz="0" w:space="0" w:color="auto"/>
        <w:right w:val="none" w:sz="0" w:space="0" w:color="auto"/>
      </w:divBdr>
    </w:div>
    <w:div w:id="1098528561">
      <w:bodyDiv w:val="1"/>
      <w:marLeft w:val="0"/>
      <w:marRight w:val="0"/>
      <w:marTop w:val="0"/>
      <w:marBottom w:val="0"/>
      <w:divBdr>
        <w:top w:val="none" w:sz="0" w:space="0" w:color="auto"/>
        <w:left w:val="none" w:sz="0" w:space="0" w:color="auto"/>
        <w:bottom w:val="none" w:sz="0" w:space="0" w:color="auto"/>
        <w:right w:val="none" w:sz="0" w:space="0" w:color="auto"/>
      </w:divBdr>
    </w:div>
    <w:div w:id="1147747661">
      <w:bodyDiv w:val="1"/>
      <w:marLeft w:val="0"/>
      <w:marRight w:val="0"/>
      <w:marTop w:val="0"/>
      <w:marBottom w:val="0"/>
      <w:divBdr>
        <w:top w:val="none" w:sz="0" w:space="0" w:color="auto"/>
        <w:left w:val="none" w:sz="0" w:space="0" w:color="auto"/>
        <w:bottom w:val="none" w:sz="0" w:space="0" w:color="auto"/>
        <w:right w:val="none" w:sz="0" w:space="0" w:color="auto"/>
      </w:divBdr>
    </w:div>
    <w:div w:id="1200892287">
      <w:bodyDiv w:val="1"/>
      <w:marLeft w:val="0"/>
      <w:marRight w:val="0"/>
      <w:marTop w:val="0"/>
      <w:marBottom w:val="0"/>
      <w:divBdr>
        <w:top w:val="none" w:sz="0" w:space="0" w:color="auto"/>
        <w:left w:val="none" w:sz="0" w:space="0" w:color="auto"/>
        <w:bottom w:val="none" w:sz="0" w:space="0" w:color="auto"/>
        <w:right w:val="none" w:sz="0" w:space="0" w:color="auto"/>
      </w:divBdr>
    </w:div>
    <w:div w:id="1281108084">
      <w:bodyDiv w:val="1"/>
      <w:marLeft w:val="0"/>
      <w:marRight w:val="0"/>
      <w:marTop w:val="0"/>
      <w:marBottom w:val="0"/>
      <w:divBdr>
        <w:top w:val="none" w:sz="0" w:space="0" w:color="auto"/>
        <w:left w:val="none" w:sz="0" w:space="0" w:color="auto"/>
        <w:bottom w:val="none" w:sz="0" w:space="0" w:color="auto"/>
        <w:right w:val="none" w:sz="0" w:space="0" w:color="auto"/>
      </w:divBdr>
    </w:div>
    <w:div w:id="1334064672">
      <w:bodyDiv w:val="1"/>
      <w:marLeft w:val="0"/>
      <w:marRight w:val="0"/>
      <w:marTop w:val="0"/>
      <w:marBottom w:val="0"/>
      <w:divBdr>
        <w:top w:val="none" w:sz="0" w:space="0" w:color="auto"/>
        <w:left w:val="none" w:sz="0" w:space="0" w:color="auto"/>
        <w:bottom w:val="none" w:sz="0" w:space="0" w:color="auto"/>
        <w:right w:val="none" w:sz="0" w:space="0" w:color="auto"/>
      </w:divBdr>
    </w:div>
    <w:div w:id="1376272950">
      <w:bodyDiv w:val="1"/>
      <w:marLeft w:val="0"/>
      <w:marRight w:val="0"/>
      <w:marTop w:val="0"/>
      <w:marBottom w:val="0"/>
      <w:divBdr>
        <w:top w:val="none" w:sz="0" w:space="0" w:color="auto"/>
        <w:left w:val="none" w:sz="0" w:space="0" w:color="auto"/>
        <w:bottom w:val="none" w:sz="0" w:space="0" w:color="auto"/>
        <w:right w:val="none" w:sz="0" w:space="0" w:color="auto"/>
      </w:divBdr>
    </w:div>
    <w:div w:id="1493570859">
      <w:bodyDiv w:val="1"/>
      <w:marLeft w:val="0"/>
      <w:marRight w:val="0"/>
      <w:marTop w:val="0"/>
      <w:marBottom w:val="0"/>
      <w:divBdr>
        <w:top w:val="none" w:sz="0" w:space="0" w:color="auto"/>
        <w:left w:val="none" w:sz="0" w:space="0" w:color="auto"/>
        <w:bottom w:val="none" w:sz="0" w:space="0" w:color="auto"/>
        <w:right w:val="none" w:sz="0" w:space="0" w:color="auto"/>
      </w:divBdr>
    </w:div>
    <w:div w:id="1526401181">
      <w:bodyDiv w:val="1"/>
      <w:marLeft w:val="0"/>
      <w:marRight w:val="0"/>
      <w:marTop w:val="0"/>
      <w:marBottom w:val="0"/>
      <w:divBdr>
        <w:top w:val="none" w:sz="0" w:space="0" w:color="auto"/>
        <w:left w:val="none" w:sz="0" w:space="0" w:color="auto"/>
        <w:bottom w:val="none" w:sz="0" w:space="0" w:color="auto"/>
        <w:right w:val="none" w:sz="0" w:space="0" w:color="auto"/>
      </w:divBdr>
    </w:div>
    <w:div w:id="1620143837">
      <w:bodyDiv w:val="1"/>
      <w:marLeft w:val="0"/>
      <w:marRight w:val="0"/>
      <w:marTop w:val="0"/>
      <w:marBottom w:val="0"/>
      <w:divBdr>
        <w:top w:val="none" w:sz="0" w:space="0" w:color="auto"/>
        <w:left w:val="none" w:sz="0" w:space="0" w:color="auto"/>
        <w:bottom w:val="none" w:sz="0" w:space="0" w:color="auto"/>
        <w:right w:val="none" w:sz="0" w:space="0" w:color="auto"/>
      </w:divBdr>
    </w:div>
    <w:div w:id="1636057915">
      <w:bodyDiv w:val="1"/>
      <w:marLeft w:val="0"/>
      <w:marRight w:val="0"/>
      <w:marTop w:val="0"/>
      <w:marBottom w:val="0"/>
      <w:divBdr>
        <w:top w:val="none" w:sz="0" w:space="0" w:color="auto"/>
        <w:left w:val="none" w:sz="0" w:space="0" w:color="auto"/>
        <w:bottom w:val="none" w:sz="0" w:space="0" w:color="auto"/>
        <w:right w:val="none" w:sz="0" w:space="0" w:color="auto"/>
      </w:divBdr>
    </w:div>
    <w:div w:id="1748648598">
      <w:bodyDiv w:val="1"/>
      <w:marLeft w:val="0"/>
      <w:marRight w:val="0"/>
      <w:marTop w:val="0"/>
      <w:marBottom w:val="0"/>
      <w:divBdr>
        <w:top w:val="none" w:sz="0" w:space="0" w:color="auto"/>
        <w:left w:val="none" w:sz="0" w:space="0" w:color="auto"/>
        <w:bottom w:val="none" w:sz="0" w:space="0" w:color="auto"/>
        <w:right w:val="none" w:sz="0" w:space="0" w:color="auto"/>
      </w:divBdr>
    </w:div>
    <w:div w:id="1794134356">
      <w:bodyDiv w:val="1"/>
      <w:marLeft w:val="0"/>
      <w:marRight w:val="0"/>
      <w:marTop w:val="0"/>
      <w:marBottom w:val="0"/>
      <w:divBdr>
        <w:top w:val="none" w:sz="0" w:space="0" w:color="auto"/>
        <w:left w:val="none" w:sz="0" w:space="0" w:color="auto"/>
        <w:bottom w:val="none" w:sz="0" w:space="0" w:color="auto"/>
        <w:right w:val="none" w:sz="0" w:space="0" w:color="auto"/>
      </w:divBdr>
    </w:div>
    <w:div w:id="1855070711">
      <w:bodyDiv w:val="1"/>
      <w:marLeft w:val="0"/>
      <w:marRight w:val="0"/>
      <w:marTop w:val="0"/>
      <w:marBottom w:val="0"/>
      <w:divBdr>
        <w:top w:val="none" w:sz="0" w:space="0" w:color="auto"/>
        <w:left w:val="none" w:sz="0" w:space="0" w:color="auto"/>
        <w:bottom w:val="none" w:sz="0" w:space="0" w:color="auto"/>
        <w:right w:val="none" w:sz="0" w:space="0" w:color="auto"/>
      </w:divBdr>
    </w:div>
    <w:div w:id="1948265994">
      <w:bodyDiv w:val="1"/>
      <w:marLeft w:val="0"/>
      <w:marRight w:val="0"/>
      <w:marTop w:val="0"/>
      <w:marBottom w:val="0"/>
      <w:divBdr>
        <w:top w:val="none" w:sz="0" w:space="0" w:color="auto"/>
        <w:left w:val="none" w:sz="0" w:space="0" w:color="auto"/>
        <w:bottom w:val="none" w:sz="0" w:space="0" w:color="auto"/>
        <w:right w:val="none" w:sz="0" w:space="0" w:color="auto"/>
      </w:divBdr>
    </w:div>
    <w:div w:id="1956867290">
      <w:bodyDiv w:val="1"/>
      <w:marLeft w:val="0"/>
      <w:marRight w:val="0"/>
      <w:marTop w:val="0"/>
      <w:marBottom w:val="0"/>
      <w:divBdr>
        <w:top w:val="none" w:sz="0" w:space="0" w:color="auto"/>
        <w:left w:val="none" w:sz="0" w:space="0" w:color="auto"/>
        <w:bottom w:val="none" w:sz="0" w:space="0" w:color="auto"/>
        <w:right w:val="none" w:sz="0" w:space="0" w:color="auto"/>
      </w:divBdr>
    </w:div>
    <w:div w:id="1971324362">
      <w:bodyDiv w:val="1"/>
      <w:marLeft w:val="0"/>
      <w:marRight w:val="0"/>
      <w:marTop w:val="0"/>
      <w:marBottom w:val="0"/>
      <w:divBdr>
        <w:top w:val="none" w:sz="0" w:space="0" w:color="auto"/>
        <w:left w:val="none" w:sz="0" w:space="0" w:color="auto"/>
        <w:bottom w:val="none" w:sz="0" w:space="0" w:color="auto"/>
        <w:right w:val="none" w:sz="0" w:space="0" w:color="auto"/>
      </w:divBdr>
    </w:div>
    <w:div w:id="19940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gate.lib.buffalo.edu/Link/Document/FullText?findType=Y&amp;serNum=1995134551&amp;originatingDoc=I41561f0f6d9311e381b8b0e9e015e69e&amp;refType=RP&amp;originationContext=document&amp;transitionType=DocumentItem&amp;ppcid=07fb2a2d7cc94a08bf6d49b36fc9dcc3&amp;contextData=(sc.Search)"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D777-1844-4E68-8C4F-B68389D8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1615</Words>
  <Characters>8936</Characters>
  <Application>Microsoft Office Word</Application>
  <DocSecurity>0</DocSecurity>
  <Lines>131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Matthews</dc:creator>
  <cp:keywords/>
  <dc:description/>
  <cp:lastModifiedBy>Elumalai Subbiya</cp:lastModifiedBy>
  <cp:revision>129</cp:revision>
  <dcterms:created xsi:type="dcterms:W3CDTF">2023-02-23T16:56:00Z</dcterms:created>
  <dcterms:modified xsi:type="dcterms:W3CDTF">2023-12-01T12:48:00Z</dcterms:modified>
  <cp:category/>
</cp:coreProperties>
</file>