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643F7" w14:textId="424CF96B" w:rsidR="00C850F1" w:rsidRDefault="00C850F1" w:rsidP="00C850F1">
      <w:pPr>
        <w:rPr>
          <w:rFonts w:ascii="Garamond" w:hAnsi="Garamond"/>
          <w:lang w:val="nl-NL"/>
        </w:rPr>
      </w:pPr>
      <w:r w:rsidRPr="00C850F1">
        <w:rPr>
          <w:rFonts w:ascii="Garamond" w:hAnsi="Garamond"/>
        </w:rPr>
        <w:t xml:space="preserve">Supplementary material to the article: </w:t>
      </w:r>
      <w:r>
        <w:rPr>
          <w:rFonts w:ascii="Garamond" w:hAnsi="Garamond"/>
          <w:lang w:val="nl-NL"/>
        </w:rPr>
        <w:t>‘</w:t>
      </w:r>
      <w:r w:rsidRPr="00C850F1">
        <w:rPr>
          <w:rFonts w:ascii="Garamond" w:hAnsi="Garamond"/>
        </w:rPr>
        <w:t>Constitutional Referrals: A Platform for Judicial Dialogue and Another Toolkit for Judicial Resistance?</w:t>
      </w:r>
      <w:r>
        <w:rPr>
          <w:rFonts w:ascii="Garamond" w:hAnsi="Garamond"/>
          <w:lang w:val="nl-NL"/>
        </w:rPr>
        <w:t xml:space="preserve">’, </w:t>
      </w:r>
      <w:r w:rsidRPr="00C850F1">
        <w:rPr>
          <w:rFonts w:ascii="Garamond" w:hAnsi="Garamond"/>
        </w:rPr>
        <w:t xml:space="preserve">European Constitutional Law Review </w:t>
      </w:r>
      <w:r>
        <w:rPr>
          <w:rFonts w:ascii="Garamond" w:hAnsi="Garamond"/>
          <w:lang w:val="nl-NL"/>
        </w:rPr>
        <w:t>(</w:t>
      </w:r>
      <w:r w:rsidRPr="00C850F1">
        <w:rPr>
          <w:rFonts w:ascii="Garamond" w:hAnsi="Garamond"/>
        </w:rPr>
        <w:t>2024</w:t>
      </w:r>
      <w:r>
        <w:rPr>
          <w:rFonts w:ascii="Garamond" w:hAnsi="Garamond"/>
          <w:lang w:val="nl-NL"/>
        </w:rPr>
        <w:t xml:space="preserve">). </w:t>
      </w:r>
    </w:p>
    <w:p w14:paraId="77EB4226" w14:textId="4BA87CBD" w:rsidR="00C850F1" w:rsidRPr="00C850F1" w:rsidRDefault="00C850F1" w:rsidP="00C850F1">
      <w:pPr>
        <w:rPr>
          <w:rFonts w:ascii="Garamond" w:hAnsi="Garamond"/>
          <w:lang w:val="nl-NL"/>
        </w:rPr>
      </w:pPr>
      <w:r w:rsidRPr="00C850F1">
        <w:rPr>
          <w:rFonts w:ascii="Garamond" w:hAnsi="Garamond"/>
        </w:rPr>
        <w:t xml:space="preserve">Michal Kovalčík, Judicial Studies Institute, Masaryk University </w:t>
      </w:r>
    </w:p>
    <w:p w14:paraId="34BC8A14" w14:textId="1755B48D" w:rsidR="00C850F1" w:rsidRDefault="00C850F1" w:rsidP="00C850F1">
      <w:pPr>
        <w:rPr>
          <w:rFonts w:ascii="Garamond" w:hAnsi="Garamond"/>
        </w:rPr>
      </w:pPr>
      <w:r w:rsidRPr="00C850F1">
        <w:rPr>
          <w:rFonts w:ascii="Garamond" w:hAnsi="Garamond"/>
        </w:rPr>
        <w:t>CC BY 4.0</w:t>
      </w:r>
    </w:p>
    <w:p w14:paraId="72DC8AC0" w14:textId="77777777" w:rsidR="00C850F1" w:rsidRDefault="00C850F1" w:rsidP="006A2543">
      <w:pPr>
        <w:jc w:val="center"/>
        <w:rPr>
          <w:rFonts w:ascii="Garamond" w:hAnsi="Garamond"/>
          <w:b/>
          <w:bCs/>
        </w:rPr>
      </w:pPr>
    </w:p>
    <w:p w14:paraId="6A945774" w14:textId="58973C21" w:rsidR="006A2543" w:rsidRPr="00612600" w:rsidRDefault="006A2543" w:rsidP="006A2543">
      <w:pPr>
        <w:jc w:val="center"/>
        <w:rPr>
          <w:rFonts w:ascii="Garamond" w:hAnsi="Garamond"/>
          <w:b/>
          <w:bCs/>
        </w:rPr>
      </w:pPr>
      <w:r w:rsidRPr="00612600">
        <w:rPr>
          <w:rFonts w:ascii="Garamond" w:hAnsi="Garamond"/>
          <w:b/>
          <w:bCs/>
        </w:rPr>
        <w:t>Appendix – Codebook for the Content Analysis</w:t>
      </w:r>
    </w:p>
    <w:p w14:paraId="57EBDFD2" w14:textId="77777777" w:rsidR="006A2543" w:rsidRPr="00612600" w:rsidRDefault="006A2543" w:rsidP="006A2543">
      <w:pPr>
        <w:jc w:val="both"/>
        <w:rPr>
          <w:rFonts w:ascii="Garamond" w:hAnsi="Garamond"/>
        </w:rPr>
      </w:pPr>
    </w:p>
    <w:p w14:paraId="0EF65D99" w14:textId="3A392738" w:rsidR="006A2543" w:rsidRPr="00B01FC8" w:rsidRDefault="006A2543" w:rsidP="006A2543">
      <w:pPr>
        <w:jc w:val="both"/>
        <w:rPr>
          <w:rFonts w:ascii="Garamond" w:hAnsi="Garamond"/>
        </w:rPr>
      </w:pPr>
      <w:r w:rsidRPr="00B01FC8">
        <w:rPr>
          <w:rFonts w:ascii="Garamond" w:hAnsi="Garamond"/>
        </w:rPr>
        <w:t xml:space="preserve">All judicial opinions examined at the </w:t>
      </w:r>
      <w:r w:rsidRPr="00612600">
        <w:rPr>
          <w:rFonts w:ascii="Garamond" w:hAnsi="Garamond"/>
        </w:rPr>
        <w:t>macro</w:t>
      </w:r>
      <w:r w:rsidRPr="00B01FC8">
        <w:rPr>
          <w:rFonts w:ascii="Garamond" w:hAnsi="Garamond"/>
        </w:rPr>
        <w:t xml:space="preserve"> level of the analysis were hand-coded in line with this codebook.</w:t>
      </w:r>
      <w:r w:rsidRPr="00612600">
        <w:rPr>
          <w:rFonts w:ascii="Garamond" w:hAnsi="Garamond"/>
        </w:rPr>
        <w:t xml:space="preserve"> The dataset here includes all submissions by ordinary courts and following rulings of the </w:t>
      </w:r>
      <w:r w:rsidR="00C06E4D">
        <w:rPr>
          <w:rFonts w:ascii="Garamond" w:hAnsi="Garamond"/>
        </w:rPr>
        <w:t>Czech Constitutional Court</w:t>
      </w:r>
      <w:r w:rsidRPr="00612600">
        <w:rPr>
          <w:rFonts w:ascii="Garamond" w:hAnsi="Garamond"/>
        </w:rPr>
        <w:t xml:space="preserve"> issued during the era of the so-called Zeman’s Constitutional Court (2014-2022).Since I focus on the content of judicial opinions, I exclude rulings without any substantive argumentation. Therefore, the dataset encompasses only judgments on merits </w:t>
      </w:r>
      <w:r w:rsidRPr="00612600">
        <w:rPr>
          <w:rFonts w:ascii="Garamond" w:hAnsi="Garamond"/>
          <w:i/>
          <w:iCs/>
        </w:rPr>
        <w:t>(nálezy),</w:t>
      </w:r>
      <w:r w:rsidRPr="00612600">
        <w:rPr>
          <w:rFonts w:ascii="Garamond" w:hAnsi="Garamond"/>
        </w:rPr>
        <w:t xml:space="preserve"> quasi-substantive decisions </w:t>
      </w:r>
      <w:r w:rsidRPr="00612600">
        <w:rPr>
          <w:rFonts w:ascii="Garamond" w:hAnsi="Garamond"/>
          <w:i/>
          <w:iCs/>
        </w:rPr>
        <w:t xml:space="preserve">(usnesení) </w:t>
      </w:r>
      <w:r w:rsidRPr="00612600">
        <w:rPr>
          <w:rFonts w:ascii="Garamond" w:hAnsi="Garamond"/>
        </w:rPr>
        <w:t xml:space="preserve">that dismiss a petition as manifestly ill-founded, and decisions that dismiss a petition because the court was not authorised to refer. In all of these types of rulings, an exchange of arguments on the substance or at least on the eligibility of the ordinary court to refer can be anticipated. Therefore, the sample consisted of 70 submissions by ordinary courts and 70 subsequent rulings by the </w:t>
      </w:r>
      <w:r w:rsidR="00C06E4D">
        <w:rPr>
          <w:rFonts w:ascii="Garamond" w:hAnsi="Garamond"/>
        </w:rPr>
        <w:t>Czech Constitutional Court</w:t>
      </w:r>
      <w:r w:rsidRPr="00612600">
        <w:rPr>
          <w:rFonts w:ascii="Garamond" w:hAnsi="Garamond"/>
        </w:rPr>
        <w:t>. I conducted a content analysis of all these judicial opinions. Every category is designed as binary, i.e. either the examined</w:t>
      </w:r>
      <w:r w:rsidR="000E2C5D">
        <w:rPr>
          <w:rFonts w:ascii="Garamond" w:hAnsi="Garamond"/>
        </w:rPr>
        <w:t xml:space="preserve"> phenomenon is present or not. </w:t>
      </w:r>
      <w:r w:rsidRPr="00612600">
        <w:rPr>
          <w:rFonts w:ascii="Garamond" w:hAnsi="Garamond"/>
        </w:rPr>
        <w:t>All output data were subsequently analysed using descriptive statistics (frequencies and crosstabs).</w:t>
      </w:r>
    </w:p>
    <w:p w14:paraId="1C71760C" w14:textId="77777777" w:rsidR="006A2543" w:rsidRPr="00612600" w:rsidRDefault="006A2543" w:rsidP="006A2543">
      <w:pPr>
        <w:jc w:val="both"/>
        <w:rPr>
          <w:rFonts w:ascii="Garamond" w:hAnsi="Garamond"/>
        </w:rPr>
      </w:pPr>
    </w:p>
    <w:p w14:paraId="47CA7E6E" w14:textId="77777777" w:rsidR="006A2543" w:rsidRPr="00B01FC8" w:rsidRDefault="006A2543" w:rsidP="006A2543">
      <w:pPr>
        <w:jc w:val="both"/>
        <w:rPr>
          <w:rFonts w:ascii="Garamond" w:hAnsi="Garamond"/>
          <w:i/>
          <w:iCs/>
        </w:rPr>
      </w:pPr>
      <w:r w:rsidRPr="00612600">
        <w:rPr>
          <w:rFonts w:ascii="Garamond" w:hAnsi="Garamond"/>
          <w:i/>
          <w:iCs/>
        </w:rPr>
        <w:t xml:space="preserve">A. </w:t>
      </w:r>
      <w:r w:rsidRPr="00B01FC8">
        <w:rPr>
          <w:rFonts w:ascii="Garamond" w:hAnsi="Garamond"/>
          <w:i/>
          <w:iCs/>
        </w:rPr>
        <w:t xml:space="preserve">The following categories were coded </w:t>
      </w:r>
      <w:r>
        <w:rPr>
          <w:rFonts w:ascii="Garamond" w:hAnsi="Garamond"/>
          <w:i/>
          <w:iCs/>
        </w:rPr>
        <w:t>in</w:t>
      </w:r>
      <w:r w:rsidRPr="00B01FC8">
        <w:rPr>
          <w:rFonts w:ascii="Garamond" w:hAnsi="Garamond"/>
          <w:i/>
          <w:iCs/>
        </w:rPr>
        <w:t xml:space="preserve"> </w:t>
      </w:r>
      <w:r>
        <w:rPr>
          <w:rFonts w:ascii="Garamond" w:hAnsi="Garamond"/>
          <w:i/>
          <w:iCs/>
        </w:rPr>
        <w:t xml:space="preserve">the </w:t>
      </w:r>
      <w:r w:rsidRPr="00B01FC8">
        <w:rPr>
          <w:rFonts w:ascii="Garamond" w:hAnsi="Garamond"/>
          <w:i/>
          <w:iCs/>
        </w:rPr>
        <w:t>ordinary court</w:t>
      </w:r>
      <w:r w:rsidRPr="00612600">
        <w:rPr>
          <w:rFonts w:ascii="Garamond" w:hAnsi="Garamond"/>
          <w:i/>
          <w:iCs/>
        </w:rPr>
        <w:t>s’</w:t>
      </w:r>
      <w:r w:rsidRPr="00B01FC8">
        <w:rPr>
          <w:rFonts w:ascii="Garamond" w:hAnsi="Garamond"/>
          <w:i/>
          <w:iCs/>
        </w:rPr>
        <w:t xml:space="preserve"> submissions:</w:t>
      </w:r>
    </w:p>
    <w:p w14:paraId="3E611428" w14:textId="77777777" w:rsidR="006A2543" w:rsidRPr="00B01FC8" w:rsidRDefault="006A2543" w:rsidP="006A2543">
      <w:pPr>
        <w:jc w:val="both"/>
        <w:rPr>
          <w:rFonts w:ascii="Garamond" w:hAnsi="Garamond"/>
        </w:rPr>
      </w:pPr>
    </w:p>
    <w:p w14:paraId="2D4F2656" w14:textId="77777777" w:rsidR="006A2543" w:rsidRPr="00B01FC8" w:rsidRDefault="006A2543" w:rsidP="006A2543">
      <w:pPr>
        <w:jc w:val="both"/>
        <w:rPr>
          <w:rFonts w:ascii="Garamond" w:hAnsi="Garamond"/>
          <w:b/>
          <w:bCs/>
        </w:rPr>
      </w:pPr>
      <w:r w:rsidRPr="00B01FC8">
        <w:rPr>
          <w:rFonts w:ascii="Garamond" w:hAnsi="Garamond"/>
          <w:b/>
          <w:bCs/>
        </w:rPr>
        <w:t>1. Argumentation of constitutional principles</w:t>
      </w:r>
    </w:p>
    <w:p w14:paraId="507E88FC" w14:textId="77777777" w:rsidR="006A2543" w:rsidRPr="00B01FC8" w:rsidRDefault="006A2543" w:rsidP="006A2543">
      <w:pPr>
        <w:jc w:val="both"/>
        <w:rPr>
          <w:rFonts w:ascii="Garamond" w:hAnsi="Garamond"/>
          <w:i/>
          <w:iCs/>
        </w:rPr>
      </w:pPr>
      <w:r w:rsidRPr="00B01FC8">
        <w:rPr>
          <w:rFonts w:ascii="Garamond" w:hAnsi="Garamond"/>
          <w:i/>
          <w:iCs/>
        </w:rPr>
        <w:t xml:space="preserve">Values: </w:t>
      </w:r>
    </w:p>
    <w:p w14:paraId="2159F9ED" w14:textId="77777777" w:rsidR="006A2543" w:rsidRPr="00B01FC8" w:rsidRDefault="006A2543" w:rsidP="006A2543">
      <w:pPr>
        <w:jc w:val="both"/>
        <w:rPr>
          <w:rFonts w:ascii="Garamond" w:hAnsi="Garamond"/>
        </w:rPr>
      </w:pPr>
      <w:r w:rsidRPr="00B01FC8">
        <w:rPr>
          <w:rFonts w:ascii="Garamond" w:hAnsi="Garamond"/>
        </w:rPr>
        <w:t>1 – an absence of argumentation of constitutional principles</w:t>
      </w:r>
    </w:p>
    <w:p w14:paraId="13D5AC6D" w14:textId="77777777" w:rsidR="006A2543" w:rsidRPr="00B01FC8" w:rsidRDefault="006A2543" w:rsidP="006A2543">
      <w:pPr>
        <w:jc w:val="both"/>
        <w:rPr>
          <w:rFonts w:ascii="Garamond" w:hAnsi="Garamond"/>
        </w:rPr>
      </w:pPr>
      <w:r w:rsidRPr="00B01FC8">
        <w:rPr>
          <w:rFonts w:ascii="Garamond" w:hAnsi="Garamond"/>
        </w:rPr>
        <w:t>0 – a presence of argumentation of constitutional principles</w:t>
      </w:r>
    </w:p>
    <w:p w14:paraId="07449556" w14:textId="77777777" w:rsidR="006A2543" w:rsidRPr="00B01FC8" w:rsidRDefault="006A2543" w:rsidP="006A2543">
      <w:pPr>
        <w:jc w:val="both"/>
        <w:rPr>
          <w:rFonts w:ascii="Garamond" w:hAnsi="Garamond"/>
        </w:rPr>
      </w:pPr>
    </w:p>
    <w:p w14:paraId="6D21BF82" w14:textId="77777777" w:rsidR="006A2543" w:rsidRPr="00B01FC8" w:rsidRDefault="006A2543" w:rsidP="006A2543">
      <w:pPr>
        <w:jc w:val="both"/>
        <w:rPr>
          <w:rFonts w:ascii="Garamond" w:hAnsi="Garamond"/>
          <w:i/>
          <w:iCs/>
        </w:rPr>
      </w:pPr>
      <w:r w:rsidRPr="00B01FC8">
        <w:rPr>
          <w:rFonts w:ascii="Garamond" w:hAnsi="Garamond"/>
          <w:i/>
          <w:iCs/>
        </w:rPr>
        <w:t>Explanation:</w:t>
      </w:r>
    </w:p>
    <w:p w14:paraId="42BCD211" w14:textId="77777777" w:rsidR="006A2543" w:rsidRPr="00B01FC8" w:rsidRDefault="006A2543" w:rsidP="006A2543">
      <w:pPr>
        <w:jc w:val="both"/>
        <w:rPr>
          <w:rFonts w:ascii="Garamond" w:hAnsi="Garamond"/>
        </w:rPr>
      </w:pPr>
      <w:r w:rsidRPr="00B01FC8">
        <w:rPr>
          <w:rFonts w:ascii="Garamond" w:hAnsi="Garamond"/>
        </w:rPr>
        <w:t>By arguing of constitutional principles, I mean that the ordinary court directly refers to constitutional principle and/or use the principle in its argumentation. I employ a broad definition of constitutional principles as fundamental values, abstract rules and guidelines emanating from the constitution and permeating many of its provisions. Constitutional principles go beyond a particular provision of the constitution. Examples of principles are democracy, the rule of law, separation of powers, equality, judicial independence, subsidiarity or proportionality. For instance, if the ordinary court conducted (at least partially) a proportionality test, it was assessed as the presence of the argumentation of principles.</w:t>
      </w:r>
    </w:p>
    <w:p w14:paraId="60D3A8F8" w14:textId="77777777" w:rsidR="006A2543" w:rsidRPr="00B01FC8" w:rsidRDefault="006A2543" w:rsidP="006A2543">
      <w:pPr>
        <w:jc w:val="both"/>
        <w:rPr>
          <w:rFonts w:ascii="Garamond" w:hAnsi="Garamond"/>
        </w:rPr>
      </w:pPr>
    </w:p>
    <w:p w14:paraId="33062748" w14:textId="0BEB361C" w:rsidR="006A2543" w:rsidRPr="00B01FC8" w:rsidRDefault="006A2543" w:rsidP="006A2543">
      <w:pPr>
        <w:jc w:val="both"/>
        <w:rPr>
          <w:rFonts w:ascii="Garamond" w:hAnsi="Garamond"/>
          <w:b/>
          <w:bCs/>
        </w:rPr>
      </w:pPr>
      <w:r w:rsidRPr="00B01FC8">
        <w:rPr>
          <w:rFonts w:ascii="Garamond" w:hAnsi="Garamond"/>
          <w:b/>
          <w:bCs/>
        </w:rPr>
        <w:t xml:space="preserve">2. Reference </w:t>
      </w:r>
      <w:r w:rsidRPr="00C06E4D">
        <w:rPr>
          <w:rFonts w:ascii="Garamond" w:hAnsi="Garamond"/>
          <w:b/>
          <w:bCs/>
        </w:rPr>
        <w:t xml:space="preserve">to the case law of the </w:t>
      </w:r>
      <w:r w:rsidR="00C06E4D" w:rsidRPr="00C06E4D">
        <w:rPr>
          <w:rFonts w:ascii="Garamond" w:hAnsi="Garamond"/>
          <w:b/>
        </w:rPr>
        <w:t xml:space="preserve">Czech Constitutional Court </w:t>
      </w:r>
      <w:r w:rsidRPr="00C06E4D">
        <w:rPr>
          <w:rFonts w:ascii="Garamond" w:hAnsi="Garamond"/>
          <w:b/>
          <w:bCs/>
        </w:rPr>
        <w:t xml:space="preserve">or </w:t>
      </w:r>
      <w:r w:rsidR="00C06E4D" w:rsidRPr="00C06E4D">
        <w:rPr>
          <w:rFonts w:ascii="Garamond" w:hAnsi="Garamond"/>
          <w:b/>
          <w:bCs/>
        </w:rPr>
        <w:t>the European Court of Human Rights</w:t>
      </w:r>
    </w:p>
    <w:p w14:paraId="0E1DD24C" w14:textId="77777777" w:rsidR="006A2543" w:rsidRPr="00B01FC8" w:rsidRDefault="006A2543" w:rsidP="006A2543">
      <w:pPr>
        <w:jc w:val="both"/>
        <w:rPr>
          <w:rFonts w:ascii="Garamond" w:hAnsi="Garamond"/>
          <w:i/>
          <w:iCs/>
        </w:rPr>
      </w:pPr>
      <w:r w:rsidRPr="00B01FC8">
        <w:rPr>
          <w:rFonts w:ascii="Garamond" w:hAnsi="Garamond"/>
          <w:i/>
          <w:iCs/>
        </w:rPr>
        <w:t xml:space="preserve">Values: </w:t>
      </w:r>
    </w:p>
    <w:p w14:paraId="2919589F" w14:textId="77777777" w:rsidR="006A2543" w:rsidRPr="00B01FC8" w:rsidRDefault="006A2543" w:rsidP="006A2543">
      <w:pPr>
        <w:jc w:val="both"/>
        <w:rPr>
          <w:rFonts w:ascii="Garamond" w:hAnsi="Garamond"/>
        </w:rPr>
      </w:pPr>
      <w:r w:rsidRPr="00B01FC8">
        <w:rPr>
          <w:rFonts w:ascii="Garamond" w:hAnsi="Garamond"/>
        </w:rPr>
        <w:t>1 – an absence of reference ta case law of the CCC/ECtHR</w:t>
      </w:r>
    </w:p>
    <w:p w14:paraId="4C698947" w14:textId="77777777" w:rsidR="006A2543" w:rsidRPr="00B01FC8" w:rsidRDefault="006A2543" w:rsidP="006A2543">
      <w:pPr>
        <w:jc w:val="both"/>
        <w:rPr>
          <w:rFonts w:ascii="Garamond" w:hAnsi="Garamond"/>
        </w:rPr>
      </w:pPr>
      <w:r w:rsidRPr="00B01FC8">
        <w:rPr>
          <w:rFonts w:ascii="Garamond" w:hAnsi="Garamond"/>
        </w:rPr>
        <w:t>0 – a presence of reference (at least one) to case law of the CCC/ECtHR</w:t>
      </w:r>
    </w:p>
    <w:p w14:paraId="07C44782" w14:textId="77777777" w:rsidR="006A2543" w:rsidRPr="00B01FC8" w:rsidRDefault="006A2543" w:rsidP="006A2543">
      <w:pPr>
        <w:jc w:val="both"/>
        <w:rPr>
          <w:rFonts w:ascii="Garamond" w:hAnsi="Garamond"/>
        </w:rPr>
      </w:pPr>
    </w:p>
    <w:p w14:paraId="0FF7EA1F" w14:textId="77777777" w:rsidR="006A2543" w:rsidRPr="00B01FC8" w:rsidRDefault="006A2543" w:rsidP="006A2543">
      <w:pPr>
        <w:jc w:val="both"/>
        <w:rPr>
          <w:rFonts w:ascii="Garamond" w:hAnsi="Garamond"/>
          <w:i/>
          <w:iCs/>
        </w:rPr>
      </w:pPr>
      <w:r w:rsidRPr="00B01FC8">
        <w:rPr>
          <w:rFonts w:ascii="Garamond" w:hAnsi="Garamond"/>
          <w:i/>
          <w:iCs/>
        </w:rPr>
        <w:t>Explanation:</w:t>
      </w:r>
    </w:p>
    <w:p w14:paraId="34DD5AF7" w14:textId="77777777" w:rsidR="006A2543" w:rsidRPr="00B01FC8" w:rsidRDefault="006A2543" w:rsidP="006A2543">
      <w:pPr>
        <w:jc w:val="both"/>
        <w:rPr>
          <w:rFonts w:ascii="Garamond" w:hAnsi="Garamond"/>
        </w:rPr>
      </w:pPr>
      <w:r w:rsidRPr="00B01FC8">
        <w:rPr>
          <w:rFonts w:ascii="Garamond" w:hAnsi="Garamond"/>
        </w:rPr>
        <w:t xml:space="preserve">The reference is present if an ordinary court refers to a specific ruling of the CCC or ECtHR. Mere reference to case law in general is not sufficient and is evaluated as an absence of reference. </w:t>
      </w:r>
    </w:p>
    <w:p w14:paraId="2AF775F2" w14:textId="77777777" w:rsidR="006A2543" w:rsidRPr="00B01FC8" w:rsidRDefault="006A2543" w:rsidP="006A2543">
      <w:pPr>
        <w:jc w:val="both"/>
        <w:rPr>
          <w:rFonts w:ascii="Garamond" w:hAnsi="Garamond"/>
        </w:rPr>
      </w:pPr>
    </w:p>
    <w:p w14:paraId="727491F0" w14:textId="77777777" w:rsidR="006A2543" w:rsidRPr="00B01FC8" w:rsidRDefault="006A2543" w:rsidP="006A2543">
      <w:pPr>
        <w:jc w:val="both"/>
        <w:rPr>
          <w:rFonts w:ascii="Garamond" w:hAnsi="Garamond"/>
          <w:b/>
          <w:bCs/>
        </w:rPr>
      </w:pPr>
      <w:r w:rsidRPr="00B01FC8">
        <w:rPr>
          <w:rFonts w:ascii="Garamond" w:hAnsi="Garamond"/>
          <w:b/>
          <w:bCs/>
        </w:rPr>
        <w:t>3. Reference to constitutional scholarship</w:t>
      </w:r>
    </w:p>
    <w:p w14:paraId="7D0F99E5" w14:textId="77777777" w:rsidR="006A2543" w:rsidRPr="00B01FC8" w:rsidRDefault="006A2543" w:rsidP="006A2543">
      <w:pPr>
        <w:jc w:val="both"/>
        <w:rPr>
          <w:rFonts w:ascii="Garamond" w:hAnsi="Garamond"/>
          <w:i/>
          <w:iCs/>
        </w:rPr>
      </w:pPr>
      <w:r w:rsidRPr="00B01FC8">
        <w:rPr>
          <w:rFonts w:ascii="Garamond" w:hAnsi="Garamond"/>
          <w:i/>
          <w:iCs/>
        </w:rPr>
        <w:t xml:space="preserve">Values: </w:t>
      </w:r>
    </w:p>
    <w:p w14:paraId="5A8FF42E" w14:textId="77777777" w:rsidR="006A2543" w:rsidRPr="00B01FC8" w:rsidRDefault="006A2543" w:rsidP="006A2543">
      <w:pPr>
        <w:jc w:val="both"/>
        <w:rPr>
          <w:rFonts w:ascii="Garamond" w:hAnsi="Garamond"/>
        </w:rPr>
      </w:pPr>
      <w:r w:rsidRPr="00B01FC8">
        <w:rPr>
          <w:rFonts w:ascii="Garamond" w:hAnsi="Garamond"/>
        </w:rPr>
        <w:t>1 – an absence of reference to constitutional scholarship</w:t>
      </w:r>
    </w:p>
    <w:p w14:paraId="5F976AA4" w14:textId="77777777" w:rsidR="006A2543" w:rsidRPr="00B01FC8" w:rsidRDefault="006A2543" w:rsidP="006A2543">
      <w:pPr>
        <w:jc w:val="both"/>
        <w:rPr>
          <w:rFonts w:ascii="Garamond" w:hAnsi="Garamond"/>
        </w:rPr>
      </w:pPr>
      <w:r w:rsidRPr="00B01FC8">
        <w:rPr>
          <w:rFonts w:ascii="Garamond" w:hAnsi="Garamond"/>
        </w:rPr>
        <w:lastRenderedPageBreak/>
        <w:t>0 – a presence of reference (at least one) to constitutional scholarship</w:t>
      </w:r>
    </w:p>
    <w:p w14:paraId="4EE2FEED" w14:textId="77777777" w:rsidR="006A2543" w:rsidRPr="00B01FC8" w:rsidRDefault="006A2543" w:rsidP="006A2543">
      <w:pPr>
        <w:jc w:val="both"/>
        <w:rPr>
          <w:rFonts w:ascii="Garamond" w:hAnsi="Garamond"/>
        </w:rPr>
      </w:pPr>
    </w:p>
    <w:p w14:paraId="755AB2C5" w14:textId="77777777" w:rsidR="006A2543" w:rsidRPr="00B01FC8" w:rsidRDefault="006A2543" w:rsidP="006A2543">
      <w:pPr>
        <w:jc w:val="both"/>
        <w:rPr>
          <w:rFonts w:ascii="Garamond" w:hAnsi="Garamond"/>
          <w:i/>
          <w:iCs/>
        </w:rPr>
      </w:pPr>
      <w:r w:rsidRPr="00B01FC8">
        <w:rPr>
          <w:rFonts w:ascii="Garamond" w:hAnsi="Garamond"/>
          <w:i/>
          <w:iCs/>
        </w:rPr>
        <w:t>Explanation:</w:t>
      </w:r>
    </w:p>
    <w:p w14:paraId="33892641" w14:textId="57779935" w:rsidR="006A2543" w:rsidRPr="00612600" w:rsidRDefault="006A2543" w:rsidP="006A2543">
      <w:pPr>
        <w:jc w:val="both"/>
        <w:rPr>
          <w:rFonts w:ascii="Garamond" w:hAnsi="Garamond"/>
        </w:rPr>
      </w:pPr>
      <w:r w:rsidRPr="00B01FC8">
        <w:rPr>
          <w:rFonts w:ascii="Garamond" w:hAnsi="Garamond"/>
        </w:rPr>
        <w:t xml:space="preserve">The reference is present if </w:t>
      </w:r>
      <w:r w:rsidR="00C850B7">
        <w:rPr>
          <w:rFonts w:ascii="Garamond" w:hAnsi="Garamond"/>
        </w:rPr>
        <w:t xml:space="preserve">the </w:t>
      </w:r>
      <w:r w:rsidRPr="00B01FC8">
        <w:rPr>
          <w:rFonts w:ascii="Garamond" w:hAnsi="Garamond"/>
        </w:rPr>
        <w:t xml:space="preserve">ordinary court refers to scholarly writing dealing with the constitutional issue at hand. Therefore, it does not necessarily </w:t>
      </w:r>
      <w:r w:rsidR="00C850B7">
        <w:rPr>
          <w:rFonts w:ascii="Garamond" w:hAnsi="Garamond"/>
        </w:rPr>
        <w:t>have to</w:t>
      </w:r>
      <w:r w:rsidRPr="00B01FC8">
        <w:rPr>
          <w:rFonts w:ascii="Garamond" w:hAnsi="Garamond"/>
        </w:rPr>
        <w:t xml:space="preserve"> be written by a scholar specialised in constitutional law or writing dealing specifically with the Constitution or the Charter of Fundamental Rights and Basic Freedoms. For example, an argument underpinned by reference to a commentary on the Criminal Code that addressed a constitutional issue was considered a reference. Similarly, reference to writings on the ECHR unfolding principles with overlaps to Czech </w:t>
      </w:r>
      <w:r w:rsidR="000E2C5D">
        <w:rPr>
          <w:rFonts w:ascii="Garamond" w:hAnsi="Garamond"/>
        </w:rPr>
        <w:t>constitutional principles (e.g.</w:t>
      </w:r>
      <w:r w:rsidRPr="00B01FC8">
        <w:rPr>
          <w:rFonts w:ascii="Garamond" w:hAnsi="Garamond"/>
        </w:rPr>
        <w:t xml:space="preserve"> judicial independence, legitimate expectation) was considered </w:t>
      </w:r>
      <w:r w:rsidR="00C850B7">
        <w:rPr>
          <w:rFonts w:ascii="Garamond" w:hAnsi="Garamond"/>
        </w:rPr>
        <w:t>as a</w:t>
      </w:r>
      <w:r w:rsidRPr="00B01FC8">
        <w:rPr>
          <w:rFonts w:ascii="Garamond" w:hAnsi="Garamond"/>
        </w:rPr>
        <w:t xml:space="preserve"> presence of reference.</w:t>
      </w:r>
    </w:p>
    <w:p w14:paraId="2F8D5AAA" w14:textId="77777777" w:rsidR="006A2543" w:rsidRPr="00612600" w:rsidRDefault="006A2543" w:rsidP="006A2543">
      <w:pPr>
        <w:jc w:val="both"/>
        <w:rPr>
          <w:rFonts w:ascii="Garamond" w:hAnsi="Garamond"/>
        </w:rPr>
      </w:pPr>
    </w:p>
    <w:p w14:paraId="5CDBF76F" w14:textId="77777777" w:rsidR="006A2543" w:rsidRPr="00612600" w:rsidRDefault="006A2543" w:rsidP="006A2543">
      <w:pPr>
        <w:jc w:val="both"/>
        <w:rPr>
          <w:rFonts w:ascii="Garamond" w:hAnsi="Garamond"/>
          <w:i/>
          <w:iCs/>
        </w:rPr>
      </w:pPr>
      <w:r w:rsidRPr="00612600">
        <w:rPr>
          <w:rFonts w:ascii="Garamond" w:hAnsi="Garamond"/>
          <w:i/>
          <w:iCs/>
        </w:rPr>
        <w:t xml:space="preserve">B. In </w:t>
      </w:r>
      <w:r>
        <w:rPr>
          <w:rFonts w:ascii="Garamond" w:hAnsi="Garamond"/>
          <w:i/>
          <w:iCs/>
        </w:rPr>
        <w:t xml:space="preserve">the </w:t>
      </w:r>
      <w:r w:rsidRPr="00612600">
        <w:rPr>
          <w:rFonts w:ascii="Garamond" w:hAnsi="Garamond"/>
          <w:i/>
          <w:iCs/>
        </w:rPr>
        <w:t>Constitutional Court’s</w:t>
      </w:r>
      <w:r w:rsidRPr="00D76711">
        <w:rPr>
          <w:rFonts w:ascii="Garamond" w:hAnsi="Garamond"/>
          <w:i/>
          <w:iCs/>
        </w:rPr>
        <w:t xml:space="preserve"> rulings</w:t>
      </w:r>
      <w:r w:rsidRPr="00612600">
        <w:rPr>
          <w:rFonts w:ascii="Garamond" w:hAnsi="Garamond"/>
          <w:i/>
          <w:iCs/>
        </w:rPr>
        <w:t>, following category was coded:</w:t>
      </w:r>
    </w:p>
    <w:p w14:paraId="7DB048B1" w14:textId="77777777" w:rsidR="006A2543" w:rsidRPr="00D76711" w:rsidRDefault="006A2543" w:rsidP="006A2543">
      <w:pPr>
        <w:jc w:val="both"/>
        <w:rPr>
          <w:rFonts w:ascii="Garamond" w:hAnsi="Garamond"/>
        </w:rPr>
      </w:pPr>
    </w:p>
    <w:p w14:paraId="6EE1B9AA" w14:textId="77777777" w:rsidR="006A2543" w:rsidRPr="00D76711" w:rsidRDefault="006A2543" w:rsidP="006A2543">
      <w:pPr>
        <w:jc w:val="both"/>
        <w:rPr>
          <w:rFonts w:ascii="Garamond" w:hAnsi="Garamond"/>
          <w:b/>
          <w:bCs/>
        </w:rPr>
      </w:pPr>
      <w:r w:rsidRPr="00D76711">
        <w:rPr>
          <w:rFonts w:ascii="Garamond" w:hAnsi="Garamond"/>
          <w:b/>
          <w:bCs/>
        </w:rPr>
        <w:t>Discursive style of reasoning</w:t>
      </w:r>
    </w:p>
    <w:p w14:paraId="649CA943" w14:textId="77777777" w:rsidR="006A2543" w:rsidRPr="00D76711" w:rsidRDefault="006A2543" w:rsidP="006A2543">
      <w:pPr>
        <w:jc w:val="both"/>
        <w:rPr>
          <w:rFonts w:ascii="Garamond" w:hAnsi="Garamond"/>
          <w:i/>
          <w:iCs/>
        </w:rPr>
      </w:pPr>
      <w:r w:rsidRPr="00D76711">
        <w:rPr>
          <w:rFonts w:ascii="Garamond" w:hAnsi="Garamond"/>
          <w:i/>
          <w:iCs/>
        </w:rPr>
        <w:t>Values:</w:t>
      </w:r>
    </w:p>
    <w:p w14:paraId="69166EF1" w14:textId="77777777" w:rsidR="006A2543" w:rsidRPr="00D76711" w:rsidRDefault="006A2543" w:rsidP="006A2543">
      <w:pPr>
        <w:jc w:val="both"/>
        <w:rPr>
          <w:rFonts w:ascii="Garamond" w:hAnsi="Garamond"/>
        </w:rPr>
      </w:pPr>
      <w:r w:rsidRPr="00D76711">
        <w:rPr>
          <w:rFonts w:ascii="Garamond" w:hAnsi="Garamond"/>
        </w:rPr>
        <w:t>1 – at least one direct response to the ordinary court’s argument</w:t>
      </w:r>
    </w:p>
    <w:p w14:paraId="1CAAFA34" w14:textId="77777777" w:rsidR="006A2543" w:rsidRPr="00D76711" w:rsidRDefault="006A2543" w:rsidP="006A2543">
      <w:pPr>
        <w:jc w:val="both"/>
        <w:rPr>
          <w:rFonts w:ascii="Garamond" w:hAnsi="Garamond"/>
        </w:rPr>
      </w:pPr>
      <w:r w:rsidRPr="00D76711">
        <w:rPr>
          <w:rFonts w:ascii="Garamond" w:hAnsi="Garamond"/>
        </w:rPr>
        <w:t>0 – an absence of direct response to the ordinary court’s argument</w:t>
      </w:r>
    </w:p>
    <w:p w14:paraId="664D70E2" w14:textId="77777777" w:rsidR="006A2543" w:rsidRPr="00D76711" w:rsidRDefault="006A2543" w:rsidP="006A2543">
      <w:pPr>
        <w:jc w:val="both"/>
        <w:rPr>
          <w:rFonts w:ascii="Garamond" w:hAnsi="Garamond"/>
        </w:rPr>
      </w:pPr>
    </w:p>
    <w:p w14:paraId="43F07FB1" w14:textId="77777777" w:rsidR="006A2543" w:rsidRPr="00D76711" w:rsidRDefault="006A2543" w:rsidP="006A2543">
      <w:pPr>
        <w:jc w:val="both"/>
        <w:rPr>
          <w:rFonts w:ascii="Garamond" w:hAnsi="Garamond"/>
          <w:i/>
          <w:iCs/>
        </w:rPr>
      </w:pPr>
      <w:r w:rsidRPr="00D76711">
        <w:rPr>
          <w:rFonts w:ascii="Garamond" w:hAnsi="Garamond"/>
          <w:i/>
          <w:iCs/>
        </w:rPr>
        <w:t>Explanation:</w:t>
      </w:r>
    </w:p>
    <w:p w14:paraId="7C5F9139" w14:textId="0AA61F5F" w:rsidR="006A2543" w:rsidRPr="00612600" w:rsidRDefault="006A2543" w:rsidP="006A2543">
      <w:pPr>
        <w:jc w:val="both"/>
        <w:rPr>
          <w:rFonts w:ascii="Garamond" w:hAnsi="Garamond"/>
        </w:rPr>
      </w:pPr>
      <w:r w:rsidRPr="00D76711">
        <w:rPr>
          <w:rFonts w:ascii="Garamond" w:hAnsi="Garamond"/>
        </w:rPr>
        <w:t>Given the research question, it is crucial whether the CCC dealt with the arguments of the ordinary court about the constitutional issue at hand, took them into consideration and provided answers to them</w:t>
      </w:r>
      <w:r w:rsidR="00C850B7">
        <w:rPr>
          <w:rFonts w:ascii="Garamond" w:hAnsi="Garamond"/>
        </w:rPr>
        <w:t>:</w:t>
      </w:r>
      <w:r w:rsidRPr="00D76711">
        <w:rPr>
          <w:rFonts w:ascii="Garamond" w:hAnsi="Garamond"/>
        </w:rPr>
        <w:t xml:space="preserve"> </w:t>
      </w:r>
      <w:r w:rsidR="00C850B7">
        <w:rPr>
          <w:rFonts w:ascii="Garamond" w:hAnsi="Garamond"/>
        </w:rPr>
        <w:t>i</w:t>
      </w:r>
      <w:r w:rsidRPr="00D76711">
        <w:rPr>
          <w:rFonts w:ascii="Garamond" w:hAnsi="Garamond"/>
        </w:rPr>
        <w:t>n other words, whether the CCC entered the dialogue. I label this a discursive style of reasoning. At least one direct reaction and subsequent contemplation on the argumentation of the ordinary court constitutes a discursive style of reasoning. If the CCC put forward its own arguments without direct reference to the arguments of the ordinary court, it is considered an absence of a discursive style of reasoning.</w:t>
      </w:r>
    </w:p>
    <w:p w14:paraId="7953356F" w14:textId="77777777" w:rsidR="006A2543" w:rsidRPr="00612600" w:rsidRDefault="006A2543" w:rsidP="006A2543">
      <w:pPr>
        <w:jc w:val="both"/>
        <w:rPr>
          <w:rFonts w:ascii="Garamond" w:hAnsi="Garamond"/>
        </w:rPr>
      </w:pPr>
    </w:p>
    <w:p w14:paraId="0835DB96" w14:textId="220E42A6" w:rsidR="006A2543" w:rsidRPr="000E2C5D" w:rsidRDefault="006A2543" w:rsidP="006A2543">
      <w:pPr>
        <w:jc w:val="both"/>
        <w:rPr>
          <w:rFonts w:ascii="Garamond" w:hAnsi="Garamond"/>
          <w:bCs/>
          <w:i/>
          <w:iCs/>
        </w:rPr>
      </w:pPr>
      <w:r w:rsidRPr="000E2C5D">
        <w:rPr>
          <w:rFonts w:ascii="Garamond" w:hAnsi="Garamond"/>
          <w:bCs/>
          <w:i/>
          <w:iCs/>
        </w:rPr>
        <w:t>C. Tables with results at the meso l</w:t>
      </w:r>
      <w:r w:rsidR="00C850B7">
        <w:rPr>
          <w:rFonts w:ascii="Garamond" w:hAnsi="Garamond"/>
          <w:bCs/>
          <w:i/>
          <w:iCs/>
        </w:rPr>
        <w:t>e</w:t>
      </w:r>
      <w:r w:rsidRPr="000E2C5D">
        <w:rPr>
          <w:rFonts w:ascii="Garamond" w:hAnsi="Garamond"/>
          <w:bCs/>
          <w:i/>
          <w:iCs/>
        </w:rPr>
        <w:t>vel</w:t>
      </w:r>
    </w:p>
    <w:p w14:paraId="1535D180" w14:textId="77777777" w:rsidR="006A2543" w:rsidRPr="00612600" w:rsidRDefault="006A2543" w:rsidP="006A2543">
      <w:pPr>
        <w:jc w:val="both"/>
        <w:rPr>
          <w:rFonts w:ascii="Garamond" w:hAnsi="Garamond"/>
        </w:rPr>
      </w:pPr>
    </w:p>
    <w:p w14:paraId="4CB2E454" w14:textId="14CAE949" w:rsidR="006A2543" w:rsidRPr="00612600" w:rsidRDefault="006A2543" w:rsidP="006A2543">
      <w:pPr>
        <w:jc w:val="both"/>
        <w:rPr>
          <w:rFonts w:ascii="Garamond" w:hAnsi="Garamond"/>
          <w:b/>
          <w:bCs/>
          <w:sz w:val="21"/>
          <w:szCs w:val="21"/>
        </w:rPr>
      </w:pPr>
      <w:r w:rsidRPr="00D76711">
        <w:rPr>
          <w:rFonts w:ascii="Garamond" w:hAnsi="Garamond"/>
          <w:b/>
          <w:bCs/>
          <w:sz w:val="21"/>
          <w:szCs w:val="21"/>
        </w:rPr>
        <w:t xml:space="preserve">Table </w:t>
      </w:r>
      <w:r w:rsidRPr="00612600">
        <w:rPr>
          <w:rFonts w:ascii="Garamond" w:hAnsi="Garamond"/>
          <w:b/>
          <w:bCs/>
          <w:sz w:val="21"/>
          <w:szCs w:val="21"/>
        </w:rPr>
        <w:t xml:space="preserve">1 </w:t>
      </w:r>
      <w:r w:rsidRPr="00D76711">
        <w:rPr>
          <w:rFonts w:ascii="Garamond" w:hAnsi="Garamond"/>
          <w:b/>
          <w:bCs/>
          <w:sz w:val="21"/>
          <w:szCs w:val="21"/>
        </w:rPr>
        <w:t>– Relationship between argumentation of const</w:t>
      </w:r>
      <w:r w:rsidR="00641E05">
        <w:rPr>
          <w:rFonts w:ascii="Garamond" w:hAnsi="Garamond"/>
          <w:b/>
          <w:bCs/>
          <w:sz w:val="21"/>
          <w:szCs w:val="21"/>
        </w:rPr>
        <w:t>itutional</w:t>
      </w:r>
      <w:r w:rsidRPr="00D76711">
        <w:rPr>
          <w:rFonts w:ascii="Garamond" w:hAnsi="Garamond"/>
          <w:b/>
          <w:bCs/>
          <w:sz w:val="21"/>
          <w:szCs w:val="21"/>
        </w:rPr>
        <w:t xml:space="preserve"> principles and discursive style</w:t>
      </w:r>
    </w:p>
    <w:p w14:paraId="05EE59A3" w14:textId="77777777" w:rsidR="006A2543" w:rsidRPr="00D76711" w:rsidRDefault="006A2543" w:rsidP="006A2543">
      <w:pPr>
        <w:jc w:val="both"/>
        <w:rPr>
          <w:rFonts w:ascii="Garamond" w:hAnsi="Garamond"/>
          <w:b/>
          <w:bCs/>
          <w:sz w:val="21"/>
          <w:szCs w:val="21"/>
        </w:rPr>
      </w:pPr>
    </w:p>
    <w:tbl>
      <w:tblPr>
        <w:tblStyle w:val="TableGrid"/>
        <w:tblW w:w="7686" w:type="dxa"/>
        <w:tblLook w:val="04A0" w:firstRow="1" w:lastRow="0" w:firstColumn="1" w:lastColumn="0" w:noHBand="0" w:noVBand="1"/>
      </w:tblPr>
      <w:tblGrid>
        <w:gridCol w:w="1419"/>
        <w:gridCol w:w="1252"/>
        <w:gridCol w:w="1206"/>
        <w:gridCol w:w="1052"/>
        <w:gridCol w:w="1059"/>
        <w:gridCol w:w="1698"/>
      </w:tblGrid>
      <w:tr w:rsidR="006A2543" w:rsidRPr="00D76711" w14:paraId="70A9A6C8" w14:textId="77777777" w:rsidTr="00B02509">
        <w:trPr>
          <w:trHeight w:val="154"/>
        </w:trPr>
        <w:tc>
          <w:tcPr>
            <w:tcW w:w="3877" w:type="dxa"/>
            <w:gridSpan w:val="3"/>
            <w:vMerge w:val="restart"/>
            <w:hideMark/>
          </w:tcPr>
          <w:p w14:paraId="23F18401" w14:textId="77777777" w:rsidR="006A2543" w:rsidRPr="00D76711" w:rsidRDefault="006A2543" w:rsidP="00B02509">
            <w:pPr>
              <w:jc w:val="both"/>
              <w:rPr>
                <w:rFonts w:ascii="Garamond" w:hAnsi="Garamond"/>
                <w:b/>
                <w:bCs/>
                <w:sz w:val="18"/>
                <w:szCs w:val="18"/>
              </w:rPr>
            </w:pPr>
            <w:r w:rsidRPr="00D76711">
              <w:rPr>
                <w:rFonts w:ascii="Garamond" w:hAnsi="Garamond"/>
                <w:b/>
                <w:bCs/>
                <w:sz w:val="18"/>
                <w:szCs w:val="18"/>
              </w:rPr>
              <w:t> </w:t>
            </w:r>
          </w:p>
        </w:tc>
        <w:tc>
          <w:tcPr>
            <w:tcW w:w="2111" w:type="dxa"/>
            <w:gridSpan w:val="2"/>
            <w:hideMark/>
          </w:tcPr>
          <w:p w14:paraId="0361E047" w14:textId="77777777" w:rsidR="006A2543" w:rsidRPr="00D76711" w:rsidRDefault="006A2543" w:rsidP="00B02509">
            <w:pPr>
              <w:jc w:val="both"/>
              <w:rPr>
                <w:rFonts w:ascii="Garamond" w:hAnsi="Garamond"/>
                <w:b/>
                <w:bCs/>
                <w:sz w:val="18"/>
                <w:szCs w:val="18"/>
              </w:rPr>
            </w:pPr>
            <w:r w:rsidRPr="00D76711">
              <w:rPr>
                <w:rFonts w:ascii="Garamond" w:hAnsi="Garamond"/>
                <w:b/>
                <w:bCs/>
                <w:sz w:val="18"/>
                <w:szCs w:val="18"/>
              </w:rPr>
              <w:t>Discursive style</w:t>
            </w:r>
          </w:p>
        </w:tc>
        <w:tc>
          <w:tcPr>
            <w:tcW w:w="1698" w:type="dxa"/>
            <w:vMerge w:val="restart"/>
            <w:hideMark/>
          </w:tcPr>
          <w:p w14:paraId="5CE5A2F6" w14:textId="77777777" w:rsidR="006A2543" w:rsidRPr="00D76711" w:rsidRDefault="006A2543" w:rsidP="00B02509">
            <w:pPr>
              <w:jc w:val="both"/>
              <w:rPr>
                <w:rFonts w:ascii="Garamond" w:hAnsi="Garamond"/>
                <w:b/>
                <w:bCs/>
                <w:sz w:val="18"/>
                <w:szCs w:val="18"/>
              </w:rPr>
            </w:pPr>
            <w:r w:rsidRPr="00D76711">
              <w:rPr>
                <w:rFonts w:ascii="Garamond" w:hAnsi="Garamond"/>
                <w:b/>
                <w:bCs/>
                <w:sz w:val="18"/>
                <w:szCs w:val="18"/>
              </w:rPr>
              <w:t>Total</w:t>
            </w:r>
          </w:p>
        </w:tc>
      </w:tr>
      <w:tr w:rsidR="006A2543" w:rsidRPr="00D76711" w14:paraId="4B0B9420" w14:textId="77777777" w:rsidTr="00B02509">
        <w:trPr>
          <w:trHeight w:val="154"/>
        </w:trPr>
        <w:tc>
          <w:tcPr>
            <w:tcW w:w="0" w:type="auto"/>
            <w:gridSpan w:val="3"/>
            <w:vMerge/>
            <w:hideMark/>
          </w:tcPr>
          <w:p w14:paraId="37704AAE" w14:textId="77777777" w:rsidR="006A2543" w:rsidRPr="00D76711" w:rsidRDefault="006A2543" w:rsidP="00B02509">
            <w:pPr>
              <w:jc w:val="both"/>
              <w:rPr>
                <w:rFonts w:ascii="Garamond" w:hAnsi="Garamond"/>
                <w:b/>
                <w:bCs/>
                <w:sz w:val="18"/>
                <w:szCs w:val="18"/>
              </w:rPr>
            </w:pPr>
          </w:p>
        </w:tc>
        <w:tc>
          <w:tcPr>
            <w:tcW w:w="1052" w:type="dxa"/>
            <w:noWrap/>
            <w:hideMark/>
          </w:tcPr>
          <w:p w14:paraId="69EDD0FF" w14:textId="77777777" w:rsidR="006A2543" w:rsidRPr="00D76711" w:rsidRDefault="006A2543" w:rsidP="00B02509">
            <w:pPr>
              <w:jc w:val="both"/>
              <w:rPr>
                <w:rFonts w:ascii="Garamond" w:hAnsi="Garamond"/>
                <w:sz w:val="18"/>
                <w:szCs w:val="18"/>
              </w:rPr>
            </w:pPr>
            <w:r w:rsidRPr="00D76711">
              <w:rPr>
                <w:rFonts w:ascii="Garamond" w:hAnsi="Garamond"/>
                <w:sz w:val="18"/>
                <w:szCs w:val="18"/>
              </w:rPr>
              <w:t>No</w:t>
            </w:r>
          </w:p>
        </w:tc>
        <w:tc>
          <w:tcPr>
            <w:tcW w:w="1058" w:type="dxa"/>
            <w:noWrap/>
            <w:hideMark/>
          </w:tcPr>
          <w:p w14:paraId="6377B408" w14:textId="77777777" w:rsidR="006A2543" w:rsidRPr="00D76711" w:rsidRDefault="006A2543" w:rsidP="00B02509">
            <w:pPr>
              <w:jc w:val="both"/>
              <w:rPr>
                <w:rFonts w:ascii="Garamond" w:hAnsi="Garamond"/>
                <w:sz w:val="18"/>
                <w:szCs w:val="18"/>
              </w:rPr>
            </w:pPr>
            <w:r w:rsidRPr="00D76711">
              <w:rPr>
                <w:rFonts w:ascii="Garamond" w:hAnsi="Garamond"/>
                <w:sz w:val="18"/>
                <w:szCs w:val="18"/>
              </w:rPr>
              <w:t>Yes</w:t>
            </w:r>
          </w:p>
        </w:tc>
        <w:tc>
          <w:tcPr>
            <w:tcW w:w="0" w:type="auto"/>
            <w:vMerge/>
            <w:hideMark/>
          </w:tcPr>
          <w:p w14:paraId="0242783E" w14:textId="77777777" w:rsidR="006A2543" w:rsidRPr="00D76711" w:rsidRDefault="006A2543" w:rsidP="00B02509">
            <w:pPr>
              <w:jc w:val="both"/>
              <w:rPr>
                <w:rFonts w:ascii="Garamond" w:hAnsi="Garamond"/>
                <w:sz w:val="18"/>
                <w:szCs w:val="18"/>
              </w:rPr>
            </w:pPr>
          </w:p>
        </w:tc>
      </w:tr>
      <w:tr w:rsidR="006A2543" w:rsidRPr="00D76711" w14:paraId="1347D49C" w14:textId="77777777" w:rsidTr="00B02509">
        <w:trPr>
          <w:trHeight w:val="163"/>
        </w:trPr>
        <w:tc>
          <w:tcPr>
            <w:tcW w:w="1523" w:type="dxa"/>
            <w:vMerge w:val="restart"/>
            <w:hideMark/>
          </w:tcPr>
          <w:p w14:paraId="163E72E9" w14:textId="77777777" w:rsidR="006A2543" w:rsidRPr="00D76711" w:rsidRDefault="006A2543" w:rsidP="00B02509">
            <w:pPr>
              <w:jc w:val="both"/>
              <w:rPr>
                <w:rFonts w:ascii="Garamond" w:hAnsi="Garamond"/>
                <w:b/>
                <w:bCs/>
                <w:sz w:val="18"/>
                <w:szCs w:val="18"/>
              </w:rPr>
            </w:pPr>
            <w:r w:rsidRPr="00D76711">
              <w:rPr>
                <w:rFonts w:ascii="Garamond" w:hAnsi="Garamond"/>
                <w:b/>
                <w:bCs/>
                <w:sz w:val="18"/>
                <w:szCs w:val="18"/>
              </w:rPr>
              <w:t>Constitutional principles</w:t>
            </w:r>
          </w:p>
        </w:tc>
        <w:tc>
          <w:tcPr>
            <w:tcW w:w="1251" w:type="dxa"/>
            <w:vMerge w:val="restart"/>
            <w:noWrap/>
            <w:hideMark/>
          </w:tcPr>
          <w:p w14:paraId="74CB129B" w14:textId="77777777" w:rsidR="006A2543" w:rsidRPr="00D76711" w:rsidRDefault="006A2543" w:rsidP="00B02509">
            <w:pPr>
              <w:jc w:val="both"/>
              <w:rPr>
                <w:rFonts w:ascii="Garamond" w:hAnsi="Garamond"/>
                <w:sz w:val="18"/>
                <w:szCs w:val="18"/>
              </w:rPr>
            </w:pPr>
            <w:r w:rsidRPr="00D76711">
              <w:rPr>
                <w:rFonts w:ascii="Garamond" w:hAnsi="Garamond"/>
                <w:sz w:val="18"/>
                <w:szCs w:val="18"/>
              </w:rPr>
              <w:t>No</w:t>
            </w:r>
          </w:p>
        </w:tc>
        <w:tc>
          <w:tcPr>
            <w:tcW w:w="1102" w:type="dxa"/>
            <w:hideMark/>
          </w:tcPr>
          <w:p w14:paraId="2D95CCD4" w14:textId="77777777" w:rsidR="006A2543" w:rsidRPr="00D76711" w:rsidRDefault="006A2543" w:rsidP="00B02509">
            <w:pPr>
              <w:jc w:val="both"/>
              <w:rPr>
                <w:rFonts w:ascii="Garamond" w:hAnsi="Garamond"/>
                <w:sz w:val="18"/>
                <w:szCs w:val="18"/>
              </w:rPr>
            </w:pPr>
            <w:r w:rsidRPr="00D76711">
              <w:rPr>
                <w:rFonts w:ascii="Garamond" w:hAnsi="Garamond"/>
                <w:sz w:val="18"/>
                <w:szCs w:val="18"/>
              </w:rPr>
              <w:t>Count</w:t>
            </w:r>
          </w:p>
        </w:tc>
        <w:tc>
          <w:tcPr>
            <w:tcW w:w="1052" w:type="dxa"/>
            <w:noWrap/>
            <w:hideMark/>
          </w:tcPr>
          <w:p w14:paraId="66DFB8E8" w14:textId="77777777" w:rsidR="006A2543" w:rsidRPr="00D76711" w:rsidRDefault="006A2543" w:rsidP="00B02509">
            <w:pPr>
              <w:jc w:val="both"/>
              <w:rPr>
                <w:rFonts w:ascii="Garamond" w:hAnsi="Garamond"/>
                <w:sz w:val="18"/>
                <w:szCs w:val="18"/>
              </w:rPr>
            </w:pPr>
            <w:r w:rsidRPr="00D76711">
              <w:rPr>
                <w:rFonts w:ascii="Garamond" w:hAnsi="Garamond"/>
                <w:sz w:val="18"/>
                <w:szCs w:val="18"/>
              </w:rPr>
              <w:t>10</w:t>
            </w:r>
          </w:p>
        </w:tc>
        <w:tc>
          <w:tcPr>
            <w:tcW w:w="1058" w:type="dxa"/>
            <w:noWrap/>
            <w:hideMark/>
          </w:tcPr>
          <w:p w14:paraId="2FC57898" w14:textId="77777777" w:rsidR="006A2543" w:rsidRPr="00D76711" w:rsidRDefault="006A2543" w:rsidP="00B02509">
            <w:pPr>
              <w:jc w:val="both"/>
              <w:rPr>
                <w:rFonts w:ascii="Garamond" w:hAnsi="Garamond"/>
                <w:sz w:val="18"/>
                <w:szCs w:val="18"/>
              </w:rPr>
            </w:pPr>
            <w:r w:rsidRPr="00D76711">
              <w:rPr>
                <w:rFonts w:ascii="Garamond" w:hAnsi="Garamond"/>
                <w:sz w:val="18"/>
                <w:szCs w:val="18"/>
              </w:rPr>
              <w:t>16</w:t>
            </w:r>
          </w:p>
        </w:tc>
        <w:tc>
          <w:tcPr>
            <w:tcW w:w="1698" w:type="dxa"/>
            <w:noWrap/>
            <w:hideMark/>
          </w:tcPr>
          <w:p w14:paraId="45B030AA" w14:textId="77777777" w:rsidR="006A2543" w:rsidRPr="00D76711" w:rsidRDefault="006A2543" w:rsidP="00B02509">
            <w:pPr>
              <w:jc w:val="both"/>
              <w:rPr>
                <w:rFonts w:ascii="Garamond" w:hAnsi="Garamond"/>
                <w:sz w:val="18"/>
                <w:szCs w:val="18"/>
              </w:rPr>
            </w:pPr>
            <w:r w:rsidRPr="00D76711">
              <w:rPr>
                <w:rFonts w:ascii="Garamond" w:hAnsi="Garamond"/>
                <w:sz w:val="18"/>
                <w:szCs w:val="18"/>
              </w:rPr>
              <w:t>26</w:t>
            </w:r>
          </w:p>
        </w:tc>
      </w:tr>
      <w:tr w:rsidR="006A2543" w:rsidRPr="00D76711" w14:paraId="7095C580" w14:textId="77777777" w:rsidTr="00B02509">
        <w:trPr>
          <w:trHeight w:val="315"/>
        </w:trPr>
        <w:tc>
          <w:tcPr>
            <w:tcW w:w="0" w:type="auto"/>
            <w:vMerge/>
            <w:hideMark/>
          </w:tcPr>
          <w:p w14:paraId="45B418E6" w14:textId="77777777" w:rsidR="006A2543" w:rsidRPr="00D76711" w:rsidRDefault="006A2543" w:rsidP="00B02509">
            <w:pPr>
              <w:jc w:val="both"/>
              <w:rPr>
                <w:rFonts w:ascii="Garamond" w:hAnsi="Garamond"/>
                <w:b/>
                <w:bCs/>
                <w:sz w:val="18"/>
                <w:szCs w:val="18"/>
              </w:rPr>
            </w:pPr>
          </w:p>
        </w:tc>
        <w:tc>
          <w:tcPr>
            <w:tcW w:w="0" w:type="auto"/>
            <w:vMerge/>
            <w:hideMark/>
          </w:tcPr>
          <w:p w14:paraId="292BFA2F" w14:textId="77777777" w:rsidR="006A2543" w:rsidRPr="00D76711" w:rsidRDefault="006A2543" w:rsidP="00B02509">
            <w:pPr>
              <w:jc w:val="both"/>
              <w:rPr>
                <w:rFonts w:ascii="Garamond" w:hAnsi="Garamond"/>
                <w:sz w:val="18"/>
                <w:szCs w:val="18"/>
              </w:rPr>
            </w:pPr>
          </w:p>
        </w:tc>
        <w:tc>
          <w:tcPr>
            <w:tcW w:w="1102" w:type="dxa"/>
            <w:hideMark/>
          </w:tcPr>
          <w:p w14:paraId="1729B39F" w14:textId="77777777" w:rsidR="006A2543" w:rsidRPr="00D76711" w:rsidRDefault="006A2543" w:rsidP="00B02509">
            <w:pPr>
              <w:jc w:val="both"/>
              <w:rPr>
                <w:rFonts w:ascii="Garamond" w:hAnsi="Garamond"/>
                <w:sz w:val="18"/>
                <w:szCs w:val="18"/>
              </w:rPr>
            </w:pPr>
            <w:r w:rsidRPr="00D76711">
              <w:rPr>
                <w:rFonts w:ascii="Garamond" w:hAnsi="Garamond"/>
                <w:sz w:val="18"/>
                <w:szCs w:val="18"/>
              </w:rPr>
              <w:t>% within Constitutional principles</w:t>
            </w:r>
          </w:p>
        </w:tc>
        <w:tc>
          <w:tcPr>
            <w:tcW w:w="1052" w:type="dxa"/>
            <w:noWrap/>
            <w:hideMark/>
          </w:tcPr>
          <w:p w14:paraId="35DC865F" w14:textId="28EECC3A" w:rsidR="006A2543" w:rsidRPr="00D76711" w:rsidRDefault="00641E05" w:rsidP="00B02509">
            <w:pPr>
              <w:jc w:val="both"/>
              <w:rPr>
                <w:rFonts w:ascii="Garamond" w:hAnsi="Garamond"/>
                <w:sz w:val="18"/>
                <w:szCs w:val="18"/>
              </w:rPr>
            </w:pPr>
            <w:r>
              <w:rPr>
                <w:rFonts w:ascii="Garamond" w:hAnsi="Garamond"/>
                <w:sz w:val="18"/>
                <w:szCs w:val="18"/>
              </w:rPr>
              <w:t>38.</w:t>
            </w:r>
            <w:r w:rsidR="006A2543" w:rsidRPr="00D76711">
              <w:rPr>
                <w:rFonts w:ascii="Garamond" w:hAnsi="Garamond"/>
                <w:sz w:val="18"/>
                <w:szCs w:val="18"/>
              </w:rPr>
              <w:t>5%</w:t>
            </w:r>
          </w:p>
        </w:tc>
        <w:tc>
          <w:tcPr>
            <w:tcW w:w="1058" w:type="dxa"/>
            <w:noWrap/>
            <w:hideMark/>
          </w:tcPr>
          <w:p w14:paraId="681BB969" w14:textId="286CF049" w:rsidR="006A2543" w:rsidRPr="00D76711" w:rsidRDefault="00641E05" w:rsidP="00B02509">
            <w:pPr>
              <w:jc w:val="both"/>
              <w:rPr>
                <w:rFonts w:ascii="Garamond" w:hAnsi="Garamond"/>
                <w:sz w:val="18"/>
                <w:szCs w:val="18"/>
              </w:rPr>
            </w:pPr>
            <w:r>
              <w:rPr>
                <w:rFonts w:ascii="Garamond" w:hAnsi="Garamond"/>
                <w:sz w:val="18"/>
                <w:szCs w:val="18"/>
              </w:rPr>
              <w:t>61.</w:t>
            </w:r>
            <w:r w:rsidR="006A2543" w:rsidRPr="00D76711">
              <w:rPr>
                <w:rFonts w:ascii="Garamond" w:hAnsi="Garamond"/>
                <w:sz w:val="18"/>
                <w:szCs w:val="18"/>
              </w:rPr>
              <w:t>5%</w:t>
            </w:r>
          </w:p>
        </w:tc>
        <w:tc>
          <w:tcPr>
            <w:tcW w:w="1698" w:type="dxa"/>
            <w:noWrap/>
            <w:hideMark/>
          </w:tcPr>
          <w:p w14:paraId="0AA4D541" w14:textId="32C78577" w:rsidR="006A2543" w:rsidRPr="00D76711" w:rsidRDefault="00641E05" w:rsidP="00B02509">
            <w:pPr>
              <w:jc w:val="both"/>
              <w:rPr>
                <w:rFonts w:ascii="Garamond" w:hAnsi="Garamond"/>
                <w:sz w:val="18"/>
                <w:szCs w:val="18"/>
              </w:rPr>
            </w:pPr>
            <w:r>
              <w:rPr>
                <w:rFonts w:ascii="Garamond" w:hAnsi="Garamond"/>
                <w:sz w:val="18"/>
                <w:szCs w:val="18"/>
              </w:rPr>
              <w:t>100.</w:t>
            </w:r>
            <w:r w:rsidR="006A2543" w:rsidRPr="00D76711">
              <w:rPr>
                <w:rFonts w:ascii="Garamond" w:hAnsi="Garamond"/>
                <w:sz w:val="18"/>
                <w:szCs w:val="18"/>
              </w:rPr>
              <w:t>0%</w:t>
            </w:r>
          </w:p>
        </w:tc>
      </w:tr>
      <w:tr w:rsidR="006A2543" w:rsidRPr="00D76711" w14:paraId="4A460736" w14:textId="77777777" w:rsidTr="00B02509">
        <w:trPr>
          <w:trHeight w:val="315"/>
        </w:trPr>
        <w:tc>
          <w:tcPr>
            <w:tcW w:w="0" w:type="auto"/>
            <w:vMerge/>
            <w:hideMark/>
          </w:tcPr>
          <w:p w14:paraId="3CC6A3C1" w14:textId="77777777" w:rsidR="006A2543" w:rsidRPr="00D76711" w:rsidRDefault="006A2543" w:rsidP="00B02509">
            <w:pPr>
              <w:jc w:val="both"/>
              <w:rPr>
                <w:rFonts w:ascii="Garamond" w:hAnsi="Garamond"/>
                <w:b/>
                <w:bCs/>
                <w:sz w:val="18"/>
                <w:szCs w:val="18"/>
              </w:rPr>
            </w:pPr>
          </w:p>
        </w:tc>
        <w:tc>
          <w:tcPr>
            <w:tcW w:w="0" w:type="auto"/>
            <w:vMerge/>
            <w:hideMark/>
          </w:tcPr>
          <w:p w14:paraId="2B84FE4D" w14:textId="77777777" w:rsidR="006A2543" w:rsidRPr="00D76711" w:rsidRDefault="006A2543" w:rsidP="00B02509">
            <w:pPr>
              <w:jc w:val="both"/>
              <w:rPr>
                <w:rFonts w:ascii="Garamond" w:hAnsi="Garamond"/>
                <w:sz w:val="18"/>
                <w:szCs w:val="18"/>
              </w:rPr>
            </w:pPr>
          </w:p>
        </w:tc>
        <w:tc>
          <w:tcPr>
            <w:tcW w:w="1102" w:type="dxa"/>
            <w:hideMark/>
          </w:tcPr>
          <w:p w14:paraId="281CABFD" w14:textId="77777777" w:rsidR="006A2543" w:rsidRPr="00D76711" w:rsidRDefault="006A2543" w:rsidP="00B02509">
            <w:pPr>
              <w:jc w:val="both"/>
              <w:rPr>
                <w:rFonts w:ascii="Garamond" w:hAnsi="Garamond"/>
                <w:sz w:val="18"/>
                <w:szCs w:val="18"/>
              </w:rPr>
            </w:pPr>
            <w:r w:rsidRPr="00D76711">
              <w:rPr>
                <w:rFonts w:ascii="Garamond" w:hAnsi="Garamond"/>
                <w:sz w:val="18"/>
                <w:szCs w:val="18"/>
              </w:rPr>
              <w:t>% within Discursive style</w:t>
            </w:r>
          </w:p>
        </w:tc>
        <w:tc>
          <w:tcPr>
            <w:tcW w:w="1052" w:type="dxa"/>
            <w:noWrap/>
            <w:hideMark/>
          </w:tcPr>
          <w:p w14:paraId="6EFEBE7B" w14:textId="2B77E076" w:rsidR="006A2543" w:rsidRPr="00D76711" w:rsidRDefault="00641E05" w:rsidP="00B02509">
            <w:pPr>
              <w:jc w:val="both"/>
              <w:rPr>
                <w:rFonts w:ascii="Garamond" w:hAnsi="Garamond"/>
                <w:sz w:val="18"/>
                <w:szCs w:val="18"/>
              </w:rPr>
            </w:pPr>
            <w:r>
              <w:rPr>
                <w:rFonts w:ascii="Garamond" w:hAnsi="Garamond"/>
                <w:sz w:val="18"/>
                <w:szCs w:val="18"/>
              </w:rPr>
              <w:t>40.</w:t>
            </w:r>
            <w:r w:rsidR="006A2543" w:rsidRPr="00D76711">
              <w:rPr>
                <w:rFonts w:ascii="Garamond" w:hAnsi="Garamond"/>
                <w:sz w:val="18"/>
                <w:szCs w:val="18"/>
              </w:rPr>
              <w:t>0%</w:t>
            </w:r>
          </w:p>
        </w:tc>
        <w:tc>
          <w:tcPr>
            <w:tcW w:w="1058" w:type="dxa"/>
            <w:noWrap/>
            <w:hideMark/>
          </w:tcPr>
          <w:p w14:paraId="3DDE7004" w14:textId="54E7E12A" w:rsidR="006A2543" w:rsidRPr="00D76711" w:rsidRDefault="00641E05" w:rsidP="00B02509">
            <w:pPr>
              <w:jc w:val="both"/>
              <w:rPr>
                <w:rFonts w:ascii="Garamond" w:hAnsi="Garamond"/>
                <w:sz w:val="18"/>
                <w:szCs w:val="18"/>
              </w:rPr>
            </w:pPr>
            <w:r>
              <w:rPr>
                <w:rFonts w:ascii="Garamond" w:hAnsi="Garamond"/>
                <w:sz w:val="18"/>
                <w:szCs w:val="18"/>
              </w:rPr>
              <w:t>35.</w:t>
            </w:r>
            <w:r w:rsidR="006A2543" w:rsidRPr="00D76711">
              <w:rPr>
                <w:rFonts w:ascii="Garamond" w:hAnsi="Garamond"/>
                <w:sz w:val="18"/>
                <w:szCs w:val="18"/>
              </w:rPr>
              <w:t>6%</w:t>
            </w:r>
          </w:p>
        </w:tc>
        <w:tc>
          <w:tcPr>
            <w:tcW w:w="1698" w:type="dxa"/>
            <w:noWrap/>
            <w:hideMark/>
          </w:tcPr>
          <w:p w14:paraId="197C228C" w14:textId="70ADC345" w:rsidR="006A2543" w:rsidRPr="00D76711" w:rsidRDefault="00641E05" w:rsidP="00B02509">
            <w:pPr>
              <w:jc w:val="both"/>
              <w:rPr>
                <w:rFonts w:ascii="Garamond" w:hAnsi="Garamond"/>
                <w:sz w:val="18"/>
                <w:szCs w:val="18"/>
              </w:rPr>
            </w:pPr>
            <w:r>
              <w:rPr>
                <w:rFonts w:ascii="Garamond" w:hAnsi="Garamond"/>
                <w:sz w:val="18"/>
                <w:szCs w:val="18"/>
              </w:rPr>
              <w:t>37.</w:t>
            </w:r>
            <w:r w:rsidR="006A2543" w:rsidRPr="00D76711">
              <w:rPr>
                <w:rFonts w:ascii="Garamond" w:hAnsi="Garamond"/>
                <w:sz w:val="18"/>
                <w:szCs w:val="18"/>
              </w:rPr>
              <w:t>1%</w:t>
            </w:r>
          </w:p>
        </w:tc>
      </w:tr>
      <w:tr w:rsidR="006A2543" w:rsidRPr="00D76711" w14:paraId="1956449E" w14:textId="77777777" w:rsidTr="00B02509">
        <w:trPr>
          <w:trHeight w:val="163"/>
        </w:trPr>
        <w:tc>
          <w:tcPr>
            <w:tcW w:w="0" w:type="auto"/>
            <w:vMerge/>
            <w:hideMark/>
          </w:tcPr>
          <w:p w14:paraId="7B8F7EDA" w14:textId="77777777" w:rsidR="006A2543" w:rsidRPr="00D76711" w:rsidRDefault="006A2543" w:rsidP="00B02509">
            <w:pPr>
              <w:jc w:val="both"/>
              <w:rPr>
                <w:rFonts w:ascii="Garamond" w:hAnsi="Garamond"/>
                <w:b/>
                <w:bCs/>
                <w:sz w:val="18"/>
                <w:szCs w:val="18"/>
              </w:rPr>
            </w:pPr>
          </w:p>
        </w:tc>
        <w:tc>
          <w:tcPr>
            <w:tcW w:w="1251" w:type="dxa"/>
            <w:vMerge w:val="restart"/>
            <w:noWrap/>
            <w:hideMark/>
          </w:tcPr>
          <w:p w14:paraId="4B026209" w14:textId="77777777" w:rsidR="006A2543" w:rsidRPr="00D76711" w:rsidRDefault="006A2543" w:rsidP="00B02509">
            <w:pPr>
              <w:jc w:val="both"/>
              <w:rPr>
                <w:rFonts w:ascii="Garamond" w:hAnsi="Garamond"/>
                <w:sz w:val="18"/>
                <w:szCs w:val="18"/>
              </w:rPr>
            </w:pPr>
            <w:r w:rsidRPr="00D76711">
              <w:rPr>
                <w:rFonts w:ascii="Garamond" w:hAnsi="Garamond"/>
                <w:sz w:val="18"/>
                <w:szCs w:val="18"/>
              </w:rPr>
              <w:t>Yes</w:t>
            </w:r>
          </w:p>
        </w:tc>
        <w:tc>
          <w:tcPr>
            <w:tcW w:w="1102" w:type="dxa"/>
            <w:hideMark/>
          </w:tcPr>
          <w:p w14:paraId="3577E23D" w14:textId="77777777" w:rsidR="006A2543" w:rsidRPr="00D76711" w:rsidRDefault="006A2543" w:rsidP="00B02509">
            <w:pPr>
              <w:jc w:val="both"/>
              <w:rPr>
                <w:rFonts w:ascii="Garamond" w:hAnsi="Garamond"/>
                <w:sz w:val="18"/>
                <w:szCs w:val="18"/>
              </w:rPr>
            </w:pPr>
            <w:r w:rsidRPr="00D76711">
              <w:rPr>
                <w:rFonts w:ascii="Garamond" w:hAnsi="Garamond"/>
                <w:sz w:val="18"/>
                <w:szCs w:val="18"/>
              </w:rPr>
              <w:t>Count</w:t>
            </w:r>
          </w:p>
        </w:tc>
        <w:tc>
          <w:tcPr>
            <w:tcW w:w="1052" w:type="dxa"/>
            <w:noWrap/>
            <w:hideMark/>
          </w:tcPr>
          <w:p w14:paraId="532F185F" w14:textId="77777777" w:rsidR="006A2543" w:rsidRPr="00D76711" w:rsidRDefault="006A2543" w:rsidP="00B02509">
            <w:pPr>
              <w:jc w:val="both"/>
              <w:rPr>
                <w:rFonts w:ascii="Garamond" w:hAnsi="Garamond"/>
                <w:sz w:val="18"/>
                <w:szCs w:val="18"/>
              </w:rPr>
            </w:pPr>
            <w:r w:rsidRPr="00D76711">
              <w:rPr>
                <w:rFonts w:ascii="Garamond" w:hAnsi="Garamond"/>
                <w:sz w:val="18"/>
                <w:szCs w:val="18"/>
              </w:rPr>
              <w:t>15</w:t>
            </w:r>
          </w:p>
        </w:tc>
        <w:tc>
          <w:tcPr>
            <w:tcW w:w="1058" w:type="dxa"/>
            <w:noWrap/>
            <w:hideMark/>
          </w:tcPr>
          <w:p w14:paraId="50C6E906" w14:textId="77777777" w:rsidR="006A2543" w:rsidRPr="00D76711" w:rsidRDefault="006A2543" w:rsidP="00B02509">
            <w:pPr>
              <w:jc w:val="both"/>
              <w:rPr>
                <w:rFonts w:ascii="Garamond" w:hAnsi="Garamond"/>
                <w:sz w:val="18"/>
                <w:szCs w:val="18"/>
              </w:rPr>
            </w:pPr>
            <w:r w:rsidRPr="00D76711">
              <w:rPr>
                <w:rFonts w:ascii="Garamond" w:hAnsi="Garamond"/>
                <w:sz w:val="18"/>
                <w:szCs w:val="18"/>
              </w:rPr>
              <w:t>29</w:t>
            </w:r>
          </w:p>
        </w:tc>
        <w:tc>
          <w:tcPr>
            <w:tcW w:w="1698" w:type="dxa"/>
            <w:noWrap/>
            <w:hideMark/>
          </w:tcPr>
          <w:p w14:paraId="79E67653" w14:textId="77777777" w:rsidR="006A2543" w:rsidRPr="00D76711" w:rsidRDefault="006A2543" w:rsidP="00B02509">
            <w:pPr>
              <w:jc w:val="both"/>
              <w:rPr>
                <w:rFonts w:ascii="Garamond" w:hAnsi="Garamond"/>
                <w:sz w:val="18"/>
                <w:szCs w:val="18"/>
              </w:rPr>
            </w:pPr>
            <w:r w:rsidRPr="00D76711">
              <w:rPr>
                <w:rFonts w:ascii="Garamond" w:hAnsi="Garamond"/>
                <w:sz w:val="18"/>
                <w:szCs w:val="18"/>
              </w:rPr>
              <w:t>44</w:t>
            </w:r>
          </w:p>
        </w:tc>
      </w:tr>
      <w:tr w:rsidR="006A2543" w:rsidRPr="00D76711" w14:paraId="2DD1A006" w14:textId="77777777" w:rsidTr="00B02509">
        <w:trPr>
          <w:trHeight w:val="315"/>
        </w:trPr>
        <w:tc>
          <w:tcPr>
            <w:tcW w:w="0" w:type="auto"/>
            <w:vMerge/>
            <w:hideMark/>
          </w:tcPr>
          <w:p w14:paraId="1D931B9F" w14:textId="77777777" w:rsidR="006A2543" w:rsidRPr="00D76711" w:rsidRDefault="006A2543" w:rsidP="00B02509">
            <w:pPr>
              <w:jc w:val="both"/>
              <w:rPr>
                <w:rFonts w:ascii="Garamond" w:hAnsi="Garamond"/>
                <w:b/>
                <w:bCs/>
                <w:sz w:val="18"/>
                <w:szCs w:val="18"/>
              </w:rPr>
            </w:pPr>
          </w:p>
        </w:tc>
        <w:tc>
          <w:tcPr>
            <w:tcW w:w="0" w:type="auto"/>
            <w:vMerge/>
            <w:hideMark/>
          </w:tcPr>
          <w:p w14:paraId="2F975B69" w14:textId="77777777" w:rsidR="006A2543" w:rsidRPr="00D76711" w:rsidRDefault="006A2543" w:rsidP="00B02509">
            <w:pPr>
              <w:jc w:val="both"/>
              <w:rPr>
                <w:rFonts w:ascii="Garamond" w:hAnsi="Garamond"/>
                <w:sz w:val="18"/>
                <w:szCs w:val="18"/>
              </w:rPr>
            </w:pPr>
          </w:p>
        </w:tc>
        <w:tc>
          <w:tcPr>
            <w:tcW w:w="1102" w:type="dxa"/>
            <w:hideMark/>
          </w:tcPr>
          <w:p w14:paraId="5C9A8AE8" w14:textId="77777777" w:rsidR="006A2543" w:rsidRPr="00D76711" w:rsidRDefault="006A2543" w:rsidP="00B02509">
            <w:pPr>
              <w:jc w:val="both"/>
              <w:rPr>
                <w:rFonts w:ascii="Garamond" w:hAnsi="Garamond"/>
                <w:sz w:val="18"/>
                <w:szCs w:val="18"/>
              </w:rPr>
            </w:pPr>
            <w:r w:rsidRPr="00D76711">
              <w:rPr>
                <w:rFonts w:ascii="Garamond" w:hAnsi="Garamond"/>
                <w:sz w:val="18"/>
                <w:szCs w:val="18"/>
              </w:rPr>
              <w:t>% within Constitutional principles</w:t>
            </w:r>
          </w:p>
        </w:tc>
        <w:tc>
          <w:tcPr>
            <w:tcW w:w="1052" w:type="dxa"/>
            <w:noWrap/>
            <w:hideMark/>
          </w:tcPr>
          <w:p w14:paraId="2FCFD63A" w14:textId="6E2DB8FE" w:rsidR="006A2543" w:rsidRPr="00D76711" w:rsidRDefault="00641E05" w:rsidP="00B02509">
            <w:pPr>
              <w:jc w:val="both"/>
              <w:rPr>
                <w:rFonts w:ascii="Garamond" w:hAnsi="Garamond"/>
                <w:sz w:val="18"/>
                <w:szCs w:val="18"/>
              </w:rPr>
            </w:pPr>
            <w:r>
              <w:rPr>
                <w:rFonts w:ascii="Garamond" w:hAnsi="Garamond"/>
                <w:sz w:val="18"/>
                <w:szCs w:val="18"/>
              </w:rPr>
              <w:t>34.</w:t>
            </w:r>
            <w:r w:rsidR="006A2543" w:rsidRPr="00D76711">
              <w:rPr>
                <w:rFonts w:ascii="Garamond" w:hAnsi="Garamond"/>
                <w:sz w:val="18"/>
                <w:szCs w:val="18"/>
              </w:rPr>
              <w:t>1%</w:t>
            </w:r>
          </w:p>
        </w:tc>
        <w:tc>
          <w:tcPr>
            <w:tcW w:w="1058" w:type="dxa"/>
            <w:noWrap/>
            <w:hideMark/>
          </w:tcPr>
          <w:p w14:paraId="535A30C8" w14:textId="4888A6DE" w:rsidR="006A2543" w:rsidRPr="00D76711" w:rsidRDefault="00641E05" w:rsidP="00B02509">
            <w:pPr>
              <w:jc w:val="both"/>
              <w:rPr>
                <w:rFonts w:ascii="Garamond" w:hAnsi="Garamond"/>
                <w:sz w:val="18"/>
                <w:szCs w:val="18"/>
              </w:rPr>
            </w:pPr>
            <w:r>
              <w:rPr>
                <w:rFonts w:ascii="Garamond" w:hAnsi="Garamond"/>
                <w:sz w:val="18"/>
                <w:szCs w:val="18"/>
              </w:rPr>
              <w:t>65.</w:t>
            </w:r>
            <w:r w:rsidR="006A2543" w:rsidRPr="00D76711">
              <w:rPr>
                <w:rFonts w:ascii="Garamond" w:hAnsi="Garamond"/>
                <w:sz w:val="18"/>
                <w:szCs w:val="18"/>
              </w:rPr>
              <w:t>9%</w:t>
            </w:r>
          </w:p>
        </w:tc>
        <w:tc>
          <w:tcPr>
            <w:tcW w:w="1698" w:type="dxa"/>
            <w:noWrap/>
            <w:hideMark/>
          </w:tcPr>
          <w:p w14:paraId="460E4DF6" w14:textId="348BEC30" w:rsidR="006A2543" w:rsidRPr="00D76711" w:rsidRDefault="00641E05" w:rsidP="00B02509">
            <w:pPr>
              <w:jc w:val="both"/>
              <w:rPr>
                <w:rFonts w:ascii="Garamond" w:hAnsi="Garamond"/>
                <w:sz w:val="18"/>
                <w:szCs w:val="18"/>
              </w:rPr>
            </w:pPr>
            <w:r>
              <w:rPr>
                <w:rFonts w:ascii="Garamond" w:hAnsi="Garamond"/>
                <w:sz w:val="18"/>
                <w:szCs w:val="18"/>
              </w:rPr>
              <w:t>100.</w:t>
            </w:r>
            <w:r w:rsidR="006A2543" w:rsidRPr="00D76711">
              <w:rPr>
                <w:rFonts w:ascii="Garamond" w:hAnsi="Garamond"/>
                <w:sz w:val="18"/>
                <w:szCs w:val="18"/>
              </w:rPr>
              <w:t>0%</w:t>
            </w:r>
          </w:p>
        </w:tc>
      </w:tr>
      <w:tr w:rsidR="006A2543" w:rsidRPr="00D76711" w14:paraId="02107F42" w14:textId="77777777" w:rsidTr="00B02509">
        <w:trPr>
          <w:trHeight w:val="315"/>
        </w:trPr>
        <w:tc>
          <w:tcPr>
            <w:tcW w:w="0" w:type="auto"/>
            <w:vMerge/>
            <w:hideMark/>
          </w:tcPr>
          <w:p w14:paraId="5DF4CEDC" w14:textId="77777777" w:rsidR="006A2543" w:rsidRPr="00D76711" w:rsidRDefault="006A2543" w:rsidP="00B02509">
            <w:pPr>
              <w:jc w:val="both"/>
              <w:rPr>
                <w:rFonts w:ascii="Garamond" w:hAnsi="Garamond"/>
                <w:b/>
                <w:bCs/>
                <w:sz w:val="18"/>
                <w:szCs w:val="18"/>
              </w:rPr>
            </w:pPr>
          </w:p>
        </w:tc>
        <w:tc>
          <w:tcPr>
            <w:tcW w:w="0" w:type="auto"/>
            <w:vMerge/>
            <w:hideMark/>
          </w:tcPr>
          <w:p w14:paraId="13B0AF1B" w14:textId="77777777" w:rsidR="006A2543" w:rsidRPr="00D76711" w:rsidRDefault="006A2543" w:rsidP="00B02509">
            <w:pPr>
              <w:jc w:val="both"/>
              <w:rPr>
                <w:rFonts w:ascii="Garamond" w:hAnsi="Garamond"/>
                <w:sz w:val="18"/>
                <w:szCs w:val="18"/>
              </w:rPr>
            </w:pPr>
          </w:p>
        </w:tc>
        <w:tc>
          <w:tcPr>
            <w:tcW w:w="1102" w:type="dxa"/>
            <w:hideMark/>
          </w:tcPr>
          <w:p w14:paraId="7C3A68D6" w14:textId="77777777" w:rsidR="006A2543" w:rsidRPr="00D76711" w:rsidRDefault="006A2543" w:rsidP="00B02509">
            <w:pPr>
              <w:jc w:val="both"/>
              <w:rPr>
                <w:rFonts w:ascii="Garamond" w:hAnsi="Garamond"/>
                <w:sz w:val="18"/>
                <w:szCs w:val="18"/>
              </w:rPr>
            </w:pPr>
            <w:r w:rsidRPr="00D76711">
              <w:rPr>
                <w:rFonts w:ascii="Garamond" w:hAnsi="Garamond"/>
                <w:sz w:val="18"/>
                <w:szCs w:val="18"/>
              </w:rPr>
              <w:t>% within Discursive style</w:t>
            </w:r>
          </w:p>
        </w:tc>
        <w:tc>
          <w:tcPr>
            <w:tcW w:w="1052" w:type="dxa"/>
            <w:noWrap/>
            <w:hideMark/>
          </w:tcPr>
          <w:p w14:paraId="67D4C543" w14:textId="6F18A2A0" w:rsidR="006A2543" w:rsidRPr="00D76711" w:rsidRDefault="00641E05" w:rsidP="00B02509">
            <w:pPr>
              <w:jc w:val="both"/>
              <w:rPr>
                <w:rFonts w:ascii="Garamond" w:hAnsi="Garamond"/>
                <w:sz w:val="18"/>
                <w:szCs w:val="18"/>
              </w:rPr>
            </w:pPr>
            <w:r>
              <w:rPr>
                <w:rFonts w:ascii="Garamond" w:hAnsi="Garamond"/>
                <w:sz w:val="18"/>
                <w:szCs w:val="18"/>
              </w:rPr>
              <w:t>60.</w:t>
            </w:r>
            <w:r w:rsidR="006A2543" w:rsidRPr="00D76711">
              <w:rPr>
                <w:rFonts w:ascii="Garamond" w:hAnsi="Garamond"/>
                <w:sz w:val="18"/>
                <w:szCs w:val="18"/>
              </w:rPr>
              <w:t>0%</w:t>
            </w:r>
          </w:p>
        </w:tc>
        <w:tc>
          <w:tcPr>
            <w:tcW w:w="1058" w:type="dxa"/>
            <w:noWrap/>
            <w:hideMark/>
          </w:tcPr>
          <w:p w14:paraId="68A08E5A" w14:textId="14879050" w:rsidR="006A2543" w:rsidRPr="00D76711" w:rsidRDefault="00641E05" w:rsidP="00B02509">
            <w:pPr>
              <w:jc w:val="both"/>
              <w:rPr>
                <w:rFonts w:ascii="Garamond" w:hAnsi="Garamond"/>
                <w:sz w:val="18"/>
                <w:szCs w:val="18"/>
              </w:rPr>
            </w:pPr>
            <w:r>
              <w:rPr>
                <w:rFonts w:ascii="Garamond" w:hAnsi="Garamond"/>
                <w:sz w:val="18"/>
                <w:szCs w:val="18"/>
              </w:rPr>
              <w:t>64.</w:t>
            </w:r>
            <w:r w:rsidR="006A2543" w:rsidRPr="00D76711">
              <w:rPr>
                <w:rFonts w:ascii="Garamond" w:hAnsi="Garamond"/>
                <w:sz w:val="18"/>
                <w:szCs w:val="18"/>
              </w:rPr>
              <w:t>4%</w:t>
            </w:r>
          </w:p>
        </w:tc>
        <w:tc>
          <w:tcPr>
            <w:tcW w:w="1698" w:type="dxa"/>
            <w:noWrap/>
            <w:hideMark/>
          </w:tcPr>
          <w:p w14:paraId="72820BED" w14:textId="752DD525" w:rsidR="006A2543" w:rsidRPr="00D76711" w:rsidRDefault="00641E05" w:rsidP="00B02509">
            <w:pPr>
              <w:jc w:val="both"/>
              <w:rPr>
                <w:rFonts w:ascii="Garamond" w:hAnsi="Garamond"/>
                <w:sz w:val="18"/>
                <w:szCs w:val="18"/>
              </w:rPr>
            </w:pPr>
            <w:r>
              <w:rPr>
                <w:rFonts w:ascii="Garamond" w:hAnsi="Garamond"/>
                <w:sz w:val="18"/>
                <w:szCs w:val="18"/>
              </w:rPr>
              <w:t>62.</w:t>
            </w:r>
            <w:r w:rsidR="006A2543" w:rsidRPr="00D76711">
              <w:rPr>
                <w:rFonts w:ascii="Garamond" w:hAnsi="Garamond"/>
                <w:sz w:val="18"/>
                <w:szCs w:val="18"/>
              </w:rPr>
              <w:t>9%</w:t>
            </w:r>
          </w:p>
        </w:tc>
      </w:tr>
      <w:tr w:rsidR="006A2543" w:rsidRPr="00D76711" w14:paraId="23A95395" w14:textId="77777777" w:rsidTr="00B02509">
        <w:trPr>
          <w:trHeight w:val="163"/>
        </w:trPr>
        <w:tc>
          <w:tcPr>
            <w:tcW w:w="2775" w:type="dxa"/>
            <w:gridSpan w:val="2"/>
            <w:vMerge w:val="restart"/>
            <w:hideMark/>
          </w:tcPr>
          <w:p w14:paraId="4DEEB9B4" w14:textId="77777777" w:rsidR="006A2543" w:rsidRPr="00D76711" w:rsidRDefault="006A2543" w:rsidP="00B02509">
            <w:pPr>
              <w:jc w:val="both"/>
              <w:rPr>
                <w:rFonts w:ascii="Garamond" w:hAnsi="Garamond"/>
                <w:b/>
                <w:bCs/>
                <w:sz w:val="18"/>
                <w:szCs w:val="18"/>
              </w:rPr>
            </w:pPr>
            <w:r w:rsidRPr="00D76711">
              <w:rPr>
                <w:rFonts w:ascii="Garamond" w:hAnsi="Garamond"/>
                <w:b/>
                <w:bCs/>
                <w:sz w:val="18"/>
                <w:szCs w:val="18"/>
              </w:rPr>
              <w:t>Total</w:t>
            </w:r>
          </w:p>
        </w:tc>
        <w:tc>
          <w:tcPr>
            <w:tcW w:w="1102" w:type="dxa"/>
            <w:hideMark/>
          </w:tcPr>
          <w:p w14:paraId="5A57071B" w14:textId="77777777" w:rsidR="006A2543" w:rsidRPr="00D76711" w:rsidRDefault="006A2543" w:rsidP="00B02509">
            <w:pPr>
              <w:jc w:val="both"/>
              <w:rPr>
                <w:rFonts w:ascii="Garamond" w:hAnsi="Garamond"/>
                <w:sz w:val="18"/>
                <w:szCs w:val="18"/>
              </w:rPr>
            </w:pPr>
            <w:r w:rsidRPr="00D76711">
              <w:rPr>
                <w:rFonts w:ascii="Garamond" w:hAnsi="Garamond"/>
                <w:sz w:val="18"/>
                <w:szCs w:val="18"/>
              </w:rPr>
              <w:t>Count</w:t>
            </w:r>
          </w:p>
        </w:tc>
        <w:tc>
          <w:tcPr>
            <w:tcW w:w="1052" w:type="dxa"/>
            <w:noWrap/>
            <w:hideMark/>
          </w:tcPr>
          <w:p w14:paraId="57B88A0C" w14:textId="77777777" w:rsidR="006A2543" w:rsidRPr="00D76711" w:rsidRDefault="006A2543" w:rsidP="00B02509">
            <w:pPr>
              <w:jc w:val="both"/>
              <w:rPr>
                <w:rFonts w:ascii="Garamond" w:hAnsi="Garamond"/>
                <w:sz w:val="18"/>
                <w:szCs w:val="18"/>
              </w:rPr>
            </w:pPr>
            <w:r w:rsidRPr="00D76711">
              <w:rPr>
                <w:rFonts w:ascii="Garamond" w:hAnsi="Garamond"/>
                <w:sz w:val="18"/>
                <w:szCs w:val="18"/>
              </w:rPr>
              <w:t>25</w:t>
            </w:r>
          </w:p>
        </w:tc>
        <w:tc>
          <w:tcPr>
            <w:tcW w:w="1058" w:type="dxa"/>
            <w:noWrap/>
            <w:hideMark/>
          </w:tcPr>
          <w:p w14:paraId="5D94D622" w14:textId="77777777" w:rsidR="006A2543" w:rsidRPr="00D76711" w:rsidRDefault="006A2543" w:rsidP="00B02509">
            <w:pPr>
              <w:jc w:val="both"/>
              <w:rPr>
                <w:rFonts w:ascii="Garamond" w:hAnsi="Garamond"/>
                <w:sz w:val="18"/>
                <w:szCs w:val="18"/>
              </w:rPr>
            </w:pPr>
            <w:r w:rsidRPr="00D76711">
              <w:rPr>
                <w:rFonts w:ascii="Garamond" w:hAnsi="Garamond"/>
                <w:sz w:val="18"/>
                <w:szCs w:val="18"/>
              </w:rPr>
              <w:t>45</w:t>
            </w:r>
          </w:p>
        </w:tc>
        <w:tc>
          <w:tcPr>
            <w:tcW w:w="1698" w:type="dxa"/>
            <w:noWrap/>
            <w:hideMark/>
          </w:tcPr>
          <w:p w14:paraId="31E7C625" w14:textId="77777777" w:rsidR="006A2543" w:rsidRPr="00D76711" w:rsidRDefault="006A2543" w:rsidP="00B02509">
            <w:pPr>
              <w:jc w:val="both"/>
              <w:rPr>
                <w:rFonts w:ascii="Garamond" w:hAnsi="Garamond"/>
                <w:sz w:val="18"/>
                <w:szCs w:val="18"/>
              </w:rPr>
            </w:pPr>
            <w:r w:rsidRPr="00D76711">
              <w:rPr>
                <w:rFonts w:ascii="Garamond" w:hAnsi="Garamond"/>
                <w:sz w:val="18"/>
                <w:szCs w:val="18"/>
              </w:rPr>
              <w:t>70</w:t>
            </w:r>
          </w:p>
        </w:tc>
      </w:tr>
      <w:tr w:rsidR="006A2543" w:rsidRPr="00D76711" w14:paraId="4BC1AAE5" w14:textId="77777777" w:rsidTr="00B02509">
        <w:trPr>
          <w:trHeight w:val="315"/>
        </w:trPr>
        <w:tc>
          <w:tcPr>
            <w:tcW w:w="0" w:type="auto"/>
            <w:gridSpan w:val="2"/>
            <w:vMerge/>
            <w:hideMark/>
          </w:tcPr>
          <w:p w14:paraId="31F84250" w14:textId="77777777" w:rsidR="006A2543" w:rsidRPr="00D76711" w:rsidRDefault="006A2543" w:rsidP="00B02509">
            <w:pPr>
              <w:jc w:val="both"/>
              <w:rPr>
                <w:rFonts w:ascii="Garamond" w:hAnsi="Garamond"/>
                <w:b/>
                <w:bCs/>
                <w:sz w:val="18"/>
                <w:szCs w:val="18"/>
              </w:rPr>
            </w:pPr>
          </w:p>
        </w:tc>
        <w:tc>
          <w:tcPr>
            <w:tcW w:w="1102" w:type="dxa"/>
            <w:hideMark/>
          </w:tcPr>
          <w:p w14:paraId="1C14BFF8" w14:textId="77777777" w:rsidR="006A2543" w:rsidRPr="00D76711" w:rsidRDefault="006A2543" w:rsidP="00B02509">
            <w:pPr>
              <w:jc w:val="both"/>
              <w:rPr>
                <w:rFonts w:ascii="Garamond" w:hAnsi="Garamond"/>
                <w:sz w:val="18"/>
                <w:szCs w:val="18"/>
              </w:rPr>
            </w:pPr>
            <w:r w:rsidRPr="00D76711">
              <w:rPr>
                <w:rFonts w:ascii="Garamond" w:hAnsi="Garamond"/>
                <w:sz w:val="18"/>
                <w:szCs w:val="18"/>
              </w:rPr>
              <w:t>% within Constitutional principles</w:t>
            </w:r>
          </w:p>
        </w:tc>
        <w:tc>
          <w:tcPr>
            <w:tcW w:w="1052" w:type="dxa"/>
            <w:noWrap/>
            <w:hideMark/>
          </w:tcPr>
          <w:p w14:paraId="63155CD1" w14:textId="405845C4" w:rsidR="006A2543" w:rsidRPr="00D76711" w:rsidRDefault="00641E05" w:rsidP="00B02509">
            <w:pPr>
              <w:jc w:val="both"/>
              <w:rPr>
                <w:rFonts w:ascii="Garamond" w:hAnsi="Garamond"/>
                <w:sz w:val="18"/>
                <w:szCs w:val="18"/>
              </w:rPr>
            </w:pPr>
            <w:r>
              <w:rPr>
                <w:rFonts w:ascii="Garamond" w:hAnsi="Garamond"/>
                <w:sz w:val="18"/>
                <w:szCs w:val="18"/>
              </w:rPr>
              <w:t>35.</w:t>
            </w:r>
            <w:r w:rsidR="006A2543" w:rsidRPr="00D76711">
              <w:rPr>
                <w:rFonts w:ascii="Garamond" w:hAnsi="Garamond"/>
                <w:sz w:val="18"/>
                <w:szCs w:val="18"/>
              </w:rPr>
              <w:t>7%</w:t>
            </w:r>
          </w:p>
        </w:tc>
        <w:tc>
          <w:tcPr>
            <w:tcW w:w="1058" w:type="dxa"/>
            <w:noWrap/>
            <w:hideMark/>
          </w:tcPr>
          <w:p w14:paraId="4596A1F4" w14:textId="26AE147A" w:rsidR="006A2543" w:rsidRPr="00D76711" w:rsidRDefault="00641E05" w:rsidP="00B02509">
            <w:pPr>
              <w:jc w:val="both"/>
              <w:rPr>
                <w:rFonts w:ascii="Garamond" w:hAnsi="Garamond"/>
                <w:sz w:val="18"/>
                <w:szCs w:val="18"/>
              </w:rPr>
            </w:pPr>
            <w:r>
              <w:rPr>
                <w:rFonts w:ascii="Garamond" w:hAnsi="Garamond"/>
                <w:sz w:val="18"/>
                <w:szCs w:val="18"/>
              </w:rPr>
              <w:t>64.</w:t>
            </w:r>
            <w:r w:rsidR="006A2543" w:rsidRPr="00D76711">
              <w:rPr>
                <w:rFonts w:ascii="Garamond" w:hAnsi="Garamond"/>
                <w:sz w:val="18"/>
                <w:szCs w:val="18"/>
              </w:rPr>
              <w:t>3%</w:t>
            </w:r>
          </w:p>
        </w:tc>
        <w:tc>
          <w:tcPr>
            <w:tcW w:w="1698" w:type="dxa"/>
            <w:noWrap/>
            <w:hideMark/>
          </w:tcPr>
          <w:p w14:paraId="3ECFFA49" w14:textId="2FA3F5BA" w:rsidR="006A2543" w:rsidRPr="00D76711" w:rsidRDefault="00641E05" w:rsidP="00B02509">
            <w:pPr>
              <w:jc w:val="both"/>
              <w:rPr>
                <w:rFonts w:ascii="Garamond" w:hAnsi="Garamond"/>
                <w:sz w:val="18"/>
                <w:szCs w:val="18"/>
              </w:rPr>
            </w:pPr>
            <w:r>
              <w:rPr>
                <w:rFonts w:ascii="Garamond" w:hAnsi="Garamond"/>
                <w:sz w:val="18"/>
                <w:szCs w:val="18"/>
              </w:rPr>
              <w:t>100.</w:t>
            </w:r>
            <w:r w:rsidR="006A2543" w:rsidRPr="00D76711">
              <w:rPr>
                <w:rFonts w:ascii="Garamond" w:hAnsi="Garamond"/>
                <w:sz w:val="18"/>
                <w:szCs w:val="18"/>
              </w:rPr>
              <w:t>0%</w:t>
            </w:r>
          </w:p>
        </w:tc>
      </w:tr>
      <w:tr w:rsidR="006A2543" w:rsidRPr="00D76711" w14:paraId="324BAB32" w14:textId="77777777" w:rsidTr="00B02509">
        <w:trPr>
          <w:trHeight w:val="315"/>
        </w:trPr>
        <w:tc>
          <w:tcPr>
            <w:tcW w:w="0" w:type="auto"/>
            <w:gridSpan w:val="2"/>
            <w:vMerge/>
            <w:hideMark/>
          </w:tcPr>
          <w:p w14:paraId="5FC5EE01" w14:textId="77777777" w:rsidR="006A2543" w:rsidRPr="00D76711" w:rsidRDefault="006A2543" w:rsidP="00B02509">
            <w:pPr>
              <w:jc w:val="both"/>
              <w:rPr>
                <w:rFonts w:ascii="Garamond" w:hAnsi="Garamond"/>
                <w:b/>
                <w:bCs/>
                <w:sz w:val="18"/>
                <w:szCs w:val="18"/>
              </w:rPr>
            </w:pPr>
          </w:p>
        </w:tc>
        <w:tc>
          <w:tcPr>
            <w:tcW w:w="1102" w:type="dxa"/>
            <w:hideMark/>
          </w:tcPr>
          <w:p w14:paraId="47487BE6" w14:textId="77777777" w:rsidR="006A2543" w:rsidRPr="00D76711" w:rsidRDefault="006A2543" w:rsidP="00B02509">
            <w:pPr>
              <w:jc w:val="both"/>
              <w:rPr>
                <w:rFonts w:ascii="Garamond" w:hAnsi="Garamond"/>
                <w:sz w:val="18"/>
                <w:szCs w:val="18"/>
              </w:rPr>
            </w:pPr>
            <w:r w:rsidRPr="00D76711">
              <w:rPr>
                <w:rFonts w:ascii="Garamond" w:hAnsi="Garamond"/>
                <w:sz w:val="18"/>
                <w:szCs w:val="18"/>
              </w:rPr>
              <w:t>% within Discursive style</w:t>
            </w:r>
          </w:p>
        </w:tc>
        <w:tc>
          <w:tcPr>
            <w:tcW w:w="1052" w:type="dxa"/>
            <w:noWrap/>
            <w:hideMark/>
          </w:tcPr>
          <w:p w14:paraId="42C5F0BC" w14:textId="6748AE9E" w:rsidR="006A2543" w:rsidRPr="00D76711" w:rsidRDefault="006A2543" w:rsidP="00641E05">
            <w:pPr>
              <w:jc w:val="both"/>
              <w:rPr>
                <w:rFonts w:ascii="Garamond" w:hAnsi="Garamond"/>
                <w:sz w:val="18"/>
                <w:szCs w:val="18"/>
              </w:rPr>
            </w:pPr>
            <w:r w:rsidRPr="00D76711">
              <w:rPr>
                <w:rFonts w:ascii="Garamond" w:hAnsi="Garamond"/>
                <w:sz w:val="18"/>
                <w:szCs w:val="18"/>
              </w:rPr>
              <w:t>100</w:t>
            </w:r>
            <w:r w:rsidR="00641E05">
              <w:rPr>
                <w:rFonts w:ascii="Garamond" w:hAnsi="Garamond"/>
                <w:sz w:val="18"/>
                <w:szCs w:val="18"/>
              </w:rPr>
              <w:t>.</w:t>
            </w:r>
            <w:r w:rsidRPr="00D76711">
              <w:rPr>
                <w:rFonts w:ascii="Garamond" w:hAnsi="Garamond"/>
                <w:sz w:val="18"/>
                <w:szCs w:val="18"/>
              </w:rPr>
              <w:t>0%</w:t>
            </w:r>
          </w:p>
        </w:tc>
        <w:tc>
          <w:tcPr>
            <w:tcW w:w="1058" w:type="dxa"/>
            <w:noWrap/>
            <w:hideMark/>
          </w:tcPr>
          <w:p w14:paraId="3EB12F65" w14:textId="69775F63" w:rsidR="006A2543" w:rsidRPr="00D76711" w:rsidRDefault="00641E05" w:rsidP="00B02509">
            <w:pPr>
              <w:jc w:val="both"/>
              <w:rPr>
                <w:rFonts w:ascii="Garamond" w:hAnsi="Garamond"/>
                <w:sz w:val="18"/>
                <w:szCs w:val="18"/>
              </w:rPr>
            </w:pPr>
            <w:r>
              <w:rPr>
                <w:rFonts w:ascii="Garamond" w:hAnsi="Garamond"/>
                <w:sz w:val="18"/>
                <w:szCs w:val="18"/>
              </w:rPr>
              <w:t>100.</w:t>
            </w:r>
            <w:r w:rsidR="006A2543" w:rsidRPr="00D76711">
              <w:rPr>
                <w:rFonts w:ascii="Garamond" w:hAnsi="Garamond"/>
                <w:sz w:val="18"/>
                <w:szCs w:val="18"/>
              </w:rPr>
              <w:t>0%</w:t>
            </w:r>
          </w:p>
        </w:tc>
        <w:tc>
          <w:tcPr>
            <w:tcW w:w="1698" w:type="dxa"/>
            <w:noWrap/>
            <w:hideMark/>
          </w:tcPr>
          <w:p w14:paraId="2E73FA07" w14:textId="1937E76E" w:rsidR="006A2543" w:rsidRPr="00D76711" w:rsidRDefault="00641E05" w:rsidP="00B02509">
            <w:pPr>
              <w:jc w:val="both"/>
              <w:rPr>
                <w:rFonts w:ascii="Garamond" w:hAnsi="Garamond"/>
                <w:sz w:val="18"/>
                <w:szCs w:val="18"/>
              </w:rPr>
            </w:pPr>
            <w:r>
              <w:rPr>
                <w:rFonts w:ascii="Garamond" w:hAnsi="Garamond"/>
                <w:sz w:val="18"/>
                <w:szCs w:val="18"/>
              </w:rPr>
              <w:t>100.</w:t>
            </w:r>
            <w:r w:rsidR="006A2543" w:rsidRPr="00D76711">
              <w:rPr>
                <w:rFonts w:ascii="Garamond" w:hAnsi="Garamond"/>
                <w:sz w:val="18"/>
                <w:szCs w:val="18"/>
              </w:rPr>
              <w:t>0%</w:t>
            </w:r>
          </w:p>
        </w:tc>
      </w:tr>
    </w:tbl>
    <w:p w14:paraId="1BF3700A" w14:textId="77777777" w:rsidR="006A2543" w:rsidRPr="00D76711" w:rsidRDefault="006A2543" w:rsidP="006A2543">
      <w:pPr>
        <w:jc w:val="both"/>
        <w:rPr>
          <w:rFonts w:ascii="Garamond" w:hAnsi="Garamond"/>
          <w:sz w:val="18"/>
          <w:szCs w:val="18"/>
        </w:rPr>
      </w:pPr>
    </w:p>
    <w:p w14:paraId="651DDF0F" w14:textId="77777777" w:rsidR="006A2543" w:rsidRDefault="006A2543" w:rsidP="006A2543">
      <w:pPr>
        <w:rPr>
          <w:rFonts w:ascii="Garamond" w:hAnsi="Garamond"/>
          <w:b/>
          <w:bCs/>
          <w:sz w:val="18"/>
          <w:szCs w:val="18"/>
        </w:rPr>
      </w:pPr>
      <w:r>
        <w:rPr>
          <w:rFonts w:ascii="Garamond" w:hAnsi="Garamond"/>
          <w:b/>
          <w:bCs/>
          <w:sz w:val="18"/>
          <w:szCs w:val="18"/>
        </w:rPr>
        <w:br w:type="page"/>
      </w:r>
    </w:p>
    <w:p w14:paraId="460341D4" w14:textId="77777777" w:rsidR="006A2543" w:rsidRDefault="006A2543" w:rsidP="006A2543">
      <w:pPr>
        <w:jc w:val="both"/>
        <w:rPr>
          <w:rFonts w:ascii="Garamond" w:hAnsi="Garamond"/>
          <w:b/>
          <w:bCs/>
          <w:sz w:val="18"/>
          <w:szCs w:val="18"/>
        </w:rPr>
      </w:pPr>
      <w:r w:rsidRPr="00D76711">
        <w:rPr>
          <w:rFonts w:ascii="Garamond" w:hAnsi="Garamond"/>
          <w:b/>
          <w:bCs/>
          <w:sz w:val="18"/>
          <w:szCs w:val="18"/>
        </w:rPr>
        <w:lastRenderedPageBreak/>
        <w:t xml:space="preserve">Table </w:t>
      </w:r>
      <w:r w:rsidRPr="00612600">
        <w:rPr>
          <w:rFonts w:ascii="Garamond" w:hAnsi="Garamond"/>
          <w:b/>
          <w:bCs/>
          <w:sz w:val="18"/>
          <w:szCs w:val="18"/>
        </w:rPr>
        <w:t>2</w:t>
      </w:r>
      <w:r w:rsidRPr="00D76711">
        <w:rPr>
          <w:rFonts w:ascii="Garamond" w:hAnsi="Garamond"/>
          <w:b/>
          <w:bCs/>
          <w:sz w:val="18"/>
          <w:szCs w:val="18"/>
        </w:rPr>
        <w:t xml:space="preserve"> – Relationship between reference to the case law and discursive style</w:t>
      </w:r>
    </w:p>
    <w:p w14:paraId="060133C4" w14:textId="77777777" w:rsidR="006A2543" w:rsidRPr="00D76711" w:rsidRDefault="006A2543" w:rsidP="006A2543">
      <w:pPr>
        <w:jc w:val="both"/>
        <w:rPr>
          <w:rFonts w:ascii="Garamond" w:hAnsi="Garamond"/>
          <w:b/>
          <w:bCs/>
          <w:sz w:val="18"/>
          <w:szCs w:val="18"/>
        </w:rPr>
      </w:pPr>
    </w:p>
    <w:tbl>
      <w:tblPr>
        <w:tblStyle w:val="TableGrid"/>
        <w:tblW w:w="7668" w:type="dxa"/>
        <w:tblLook w:val="04A0" w:firstRow="1" w:lastRow="0" w:firstColumn="1" w:lastColumn="0" w:noHBand="0" w:noVBand="1"/>
      </w:tblPr>
      <w:tblGrid>
        <w:gridCol w:w="1269"/>
        <w:gridCol w:w="601"/>
        <w:gridCol w:w="1672"/>
        <w:gridCol w:w="908"/>
        <w:gridCol w:w="1612"/>
        <w:gridCol w:w="1606"/>
      </w:tblGrid>
      <w:tr w:rsidR="006A2543" w:rsidRPr="00D76711" w14:paraId="2B734D83" w14:textId="77777777" w:rsidTr="00B02509">
        <w:trPr>
          <w:trHeight w:val="259"/>
        </w:trPr>
        <w:tc>
          <w:tcPr>
            <w:tcW w:w="3542" w:type="dxa"/>
            <w:gridSpan w:val="3"/>
            <w:vMerge w:val="restart"/>
            <w:hideMark/>
          </w:tcPr>
          <w:p w14:paraId="772BA032" w14:textId="77777777" w:rsidR="006A2543" w:rsidRPr="00D76711" w:rsidRDefault="006A2543" w:rsidP="00B02509">
            <w:pPr>
              <w:jc w:val="both"/>
              <w:rPr>
                <w:rFonts w:ascii="Garamond" w:hAnsi="Garamond"/>
                <w:b/>
                <w:bCs/>
                <w:sz w:val="18"/>
                <w:szCs w:val="18"/>
              </w:rPr>
            </w:pPr>
            <w:r w:rsidRPr="00D76711">
              <w:rPr>
                <w:rFonts w:ascii="Garamond" w:hAnsi="Garamond"/>
                <w:b/>
                <w:bCs/>
                <w:sz w:val="18"/>
                <w:szCs w:val="18"/>
              </w:rPr>
              <w:t> </w:t>
            </w:r>
          </w:p>
        </w:tc>
        <w:tc>
          <w:tcPr>
            <w:tcW w:w="2520" w:type="dxa"/>
            <w:gridSpan w:val="2"/>
            <w:hideMark/>
          </w:tcPr>
          <w:p w14:paraId="5FAD8EA1" w14:textId="77777777" w:rsidR="006A2543" w:rsidRPr="00D76711" w:rsidRDefault="006A2543" w:rsidP="00B02509">
            <w:pPr>
              <w:jc w:val="both"/>
              <w:rPr>
                <w:rFonts w:ascii="Garamond" w:hAnsi="Garamond"/>
                <w:b/>
                <w:bCs/>
                <w:sz w:val="18"/>
                <w:szCs w:val="18"/>
              </w:rPr>
            </w:pPr>
            <w:r w:rsidRPr="00D76711">
              <w:rPr>
                <w:rFonts w:ascii="Garamond" w:hAnsi="Garamond"/>
                <w:b/>
                <w:bCs/>
                <w:sz w:val="18"/>
                <w:szCs w:val="18"/>
              </w:rPr>
              <w:t>Discursive style</w:t>
            </w:r>
          </w:p>
        </w:tc>
        <w:tc>
          <w:tcPr>
            <w:tcW w:w="1606" w:type="dxa"/>
            <w:vMerge w:val="restart"/>
            <w:hideMark/>
          </w:tcPr>
          <w:p w14:paraId="2045A90E" w14:textId="77777777" w:rsidR="006A2543" w:rsidRPr="00D76711" w:rsidRDefault="006A2543" w:rsidP="00B02509">
            <w:pPr>
              <w:jc w:val="both"/>
              <w:rPr>
                <w:rFonts w:ascii="Garamond" w:hAnsi="Garamond"/>
                <w:b/>
                <w:bCs/>
                <w:sz w:val="18"/>
                <w:szCs w:val="18"/>
              </w:rPr>
            </w:pPr>
            <w:r w:rsidRPr="00D76711">
              <w:rPr>
                <w:rFonts w:ascii="Garamond" w:hAnsi="Garamond"/>
                <w:b/>
                <w:bCs/>
                <w:sz w:val="18"/>
                <w:szCs w:val="18"/>
              </w:rPr>
              <w:t>Total</w:t>
            </w:r>
          </w:p>
        </w:tc>
      </w:tr>
      <w:tr w:rsidR="006A2543" w:rsidRPr="00D76711" w14:paraId="6DFDDFA1" w14:textId="77777777" w:rsidTr="00B02509">
        <w:trPr>
          <w:trHeight w:val="259"/>
        </w:trPr>
        <w:tc>
          <w:tcPr>
            <w:tcW w:w="3542" w:type="dxa"/>
            <w:gridSpan w:val="3"/>
            <w:vMerge/>
            <w:hideMark/>
          </w:tcPr>
          <w:p w14:paraId="017162C0" w14:textId="77777777" w:rsidR="006A2543" w:rsidRPr="00D76711" w:rsidRDefault="006A2543" w:rsidP="00B02509">
            <w:pPr>
              <w:jc w:val="both"/>
              <w:rPr>
                <w:rFonts w:ascii="Garamond" w:hAnsi="Garamond"/>
                <w:b/>
                <w:bCs/>
                <w:sz w:val="18"/>
                <w:szCs w:val="18"/>
              </w:rPr>
            </w:pPr>
          </w:p>
        </w:tc>
        <w:tc>
          <w:tcPr>
            <w:tcW w:w="908" w:type="dxa"/>
            <w:noWrap/>
            <w:hideMark/>
          </w:tcPr>
          <w:p w14:paraId="75E61027" w14:textId="77777777" w:rsidR="006A2543" w:rsidRPr="00D76711" w:rsidRDefault="006A2543" w:rsidP="00B02509">
            <w:pPr>
              <w:jc w:val="both"/>
              <w:rPr>
                <w:rFonts w:ascii="Garamond" w:hAnsi="Garamond"/>
                <w:sz w:val="18"/>
                <w:szCs w:val="18"/>
              </w:rPr>
            </w:pPr>
            <w:r w:rsidRPr="00D76711">
              <w:rPr>
                <w:rFonts w:ascii="Garamond" w:hAnsi="Garamond"/>
                <w:sz w:val="18"/>
                <w:szCs w:val="18"/>
              </w:rPr>
              <w:t>No</w:t>
            </w:r>
          </w:p>
        </w:tc>
        <w:tc>
          <w:tcPr>
            <w:tcW w:w="1611" w:type="dxa"/>
            <w:noWrap/>
            <w:hideMark/>
          </w:tcPr>
          <w:p w14:paraId="16068F0C" w14:textId="77777777" w:rsidR="006A2543" w:rsidRPr="00D76711" w:rsidRDefault="006A2543" w:rsidP="00B02509">
            <w:pPr>
              <w:jc w:val="both"/>
              <w:rPr>
                <w:rFonts w:ascii="Garamond" w:hAnsi="Garamond"/>
                <w:sz w:val="18"/>
                <w:szCs w:val="18"/>
              </w:rPr>
            </w:pPr>
            <w:r w:rsidRPr="00D76711">
              <w:rPr>
                <w:rFonts w:ascii="Garamond" w:hAnsi="Garamond"/>
                <w:sz w:val="18"/>
                <w:szCs w:val="18"/>
              </w:rPr>
              <w:t>Yes</w:t>
            </w:r>
          </w:p>
        </w:tc>
        <w:tc>
          <w:tcPr>
            <w:tcW w:w="0" w:type="auto"/>
            <w:vMerge/>
            <w:hideMark/>
          </w:tcPr>
          <w:p w14:paraId="14AA8D5D" w14:textId="77777777" w:rsidR="006A2543" w:rsidRPr="00D76711" w:rsidRDefault="006A2543" w:rsidP="00B02509">
            <w:pPr>
              <w:jc w:val="both"/>
              <w:rPr>
                <w:rFonts w:ascii="Garamond" w:hAnsi="Garamond"/>
                <w:sz w:val="18"/>
                <w:szCs w:val="18"/>
              </w:rPr>
            </w:pPr>
          </w:p>
        </w:tc>
      </w:tr>
      <w:tr w:rsidR="006A2543" w:rsidRPr="00D76711" w14:paraId="0D63945A" w14:textId="77777777" w:rsidTr="00B02509">
        <w:trPr>
          <w:trHeight w:val="271"/>
        </w:trPr>
        <w:tc>
          <w:tcPr>
            <w:tcW w:w="1221" w:type="dxa"/>
            <w:vMerge w:val="restart"/>
            <w:hideMark/>
          </w:tcPr>
          <w:p w14:paraId="3F792231" w14:textId="77777777" w:rsidR="006A2543" w:rsidRPr="00D76711" w:rsidRDefault="006A2543" w:rsidP="00B02509">
            <w:pPr>
              <w:jc w:val="both"/>
              <w:rPr>
                <w:rFonts w:ascii="Garamond" w:hAnsi="Garamond"/>
                <w:b/>
                <w:bCs/>
                <w:sz w:val="18"/>
                <w:szCs w:val="18"/>
              </w:rPr>
            </w:pPr>
            <w:r w:rsidRPr="00D76711">
              <w:rPr>
                <w:rFonts w:ascii="Garamond" w:hAnsi="Garamond"/>
                <w:b/>
                <w:bCs/>
                <w:sz w:val="18"/>
                <w:szCs w:val="18"/>
              </w:rPr>
              <w:t xml:space="preserve">Refers to the CCC/ECtHR case law </w:t>
            </w:r>
          </w:p>
        </w:tc>
        <w:tc>
          <w:tcPr>
            <w:tcW w:w="600" w:type="dxa"/>
            <w:vMerge w:val="restart"/>
            <w:noWrap/>
            <w:hideMark/>
          </w:tcPr>
          <w:p w14:paraId="252191A3" w14:textId="77777777" w:rsidR="006A2543" w:rsidRPr="00D76711" w:rsidRDefault="006A2543" w:rsidP="00B02509">
            <w:pPr>
              <w:jc w:val="both"/>
              <w:rPr>
                <w:rFonts w:ascii="Garamond" w:hAnsi="Garamond"/>
                <w:sz w:val="18"/>
                <w:szCs w:val="18"/>
              </w:rPr>
            </w:pPr>
            <w:r w:rsidRPr="00D76711">
              <w:rPr>
                <w:rFonts w:ascii="Garamond" w:hAnsi="Garamond"/>
                <w:sz w:val="18"/>
                <w:szCs w:val="18"/>
              </w:rPr>
              <w:t>No</w:t>
            </w:r>
          </w:p>
        </w:tc>
        <w:tc>
          <w:tcPr>
            <w:tcW w:w="1720" w:type="dxa"/>
            <w:hideMark/>
          </w:tcPr>
          <w:p w14:paraId="13DCD9E8" w14:textId="77777777" w:rsidR="006A2543" w:rsidRPr="00D76711" w:rsidRDefault="006A2543" w:rsidP="00B02509">
            <w:pPr>
              <w:jc w:val="both"/>
              <w:rPr>
                <w:rFonts w:ascii="Garamond" w:hAnsi="Garamond"/>
                <w:sz w:val="18"/>
                <w:szCs w:val="18"/>
              </w:rPr>
            </w:pPr>
            <w:r w:rsidRPr="00D76711">
              <w:rPr>
                <w:rFonts w:ascii="Garamond" w:hAnsi="Garamond"/>
                <w:sz w:val="18"/>
                <w:szCs w:val="18"/>
              </w:rPr>
              <w:t>Count</w:t>
            </w:r>
          </w:p>
        </w:tc>
        <w:tc>
          <w:tcPr>
            <w:tcW w:w="908" w:type="dxa"/>
            <w:noWrap/>
            <w:hideMark/>
          </w:tcPr>
          <w:p w14:paraId="1AA05BE5" w14:textId="77777777" w:rsidR="006A2543" w:rsidRPr="00D76711" w:rsidRDefault="006A2543" w:rsidP="00B02509">
            <w:pPr>
              <w:jc w:val="both"/>
              <w:rPr>
                <w:rFonts w:ascii="Garamond" w:hAnsi="Garamond"/>
                <w:sz w:val="18"/>
                <w:szCs w:val="18"/>
              </w:rPr>
            </w:pPr>
            <w:r w:rsidRPr="00D76711">
              <w:rPr>
                <w:rFonts w:ascii="Garamond" w:hAnsi="Garamond"/>
                <w:sz w:val="18"/>
                <w:szCs w:val="18"/>
              </w:rPr>
              <w:t>8</w:t>
            </w:r>
          </w:p>
        </w:tc>
        <w:tc>
          <w:tcPr>
            <w:tcW w:w="1611" w:type="dxa"/>
            <w:noWrap/>
            <w:hideMark/>
          </w:tcPr>
          <w:p w14:paraId="14F22607" w14:textId="77777777" w:rsidR="006A2543" w:rsidRPr="00D76711" w:rsidRDefault="006A2543" w:rsidP="00B02509">
            <w:pPr>
              <w:jc w:val="both"/>
              <w:rPr>
                <w:rFonts w:ascii="Garamond" w:hAnsi="Garamond"/>
                <w:sz w:val="18"/>
                <w:szCs w:val="18"/>
              </w:rPr>
            </w:pPr>
            <w:r w:rsidRPr="00D76711">
              <w:rPr>
                <w:rFonts w:ascii="Garamond" w:hAnsi="Garamond"/>
                <w:sz w:val="18"/>
                <w:szCs w:val="18"/>
              </w:rPr>
              <w:t>13</w:t>
            </w:r>
          </w:p>
        </w:tc>
        <w:tc>
          <w:tcPr>
            <w:tcW w:w="1606" w:type="dxa"/>
            <w:noWrap/>
            <w:hideMark/>
          </w:tcPr>
          <w:p w14:paraId="28A9991C" w14:textId="77777777" w:rsidR="006A2543" w:rsidRPr="00D76711" w:rsidRDefault="006A2543" w:rsidP="00B02509">
            <w:pPr>
              <w:jc w:val="both"/>
              <w:rPr>
                <w:rFonts w:ascii="Garamond" w:hAnsi="Garamond"/>
                <w:sz w:val="18"/>
                <w:szCs w:val="18"/>
              </w:rPr>
            </w:pPr>
            <w:r w:rsidRPr="00D76711">
              <w:rPr>
                <w:rFonts w:ascii="Garamond" w:hAnsi="Garamond"/>
                <w:sz w:val="18"/>
                <w:szCs w:val="18"/>
              </w:rPr>
              <w:t>21</w:t>
            </w:r>
          </w:p>
        </w:tc>
      </w:tr>
      <w:tr w:rsidR="006A2543" w:rsidRPr="00D76711" w14:paraId="20F327A6" w14:textId="77777777" w:rsidTr="00B02509">
        <w:trPr>
          <w:trHeight w:val="521"/>
        </w:trPr>
        <w:tc>
          <w:tcPr>
            <w:tcW w:w="0" w:type="auto"/>
            <w:vMerge/>
            <w:hideMark/>
          </w:tcPr>
          <w:p w14:paraId="403EF79E" w14:textId="77777777" w:rsidR="006A2543" w:rsidRPr="00D76711" w:rsidRDefault="006A2543" w:rsidP="00B02509">
            <w:pPr>
              <w:jc w:val="both"/>
              <w:rPr>
                <w:rFonts w:ascii="Garamond" w:hAnsi="Garamond"/>
                <w:b/>
                <w:bCs/>
                <w:sz w:val="18"/>
                <w:szCs w:val="18"/>
              </w:rPr>
            </w:pPr>
          </w:p>
        </w:tc>
        <w:tc>
          <w:tcPr>
            <w:tcW w:w="0" w:type="auto"/>
            <w:vMerge/>
            <w:hideMark/>
          </w:tcPr>
          <w:p w14:paraId="4AAE47B5" w14:textId="77777777" w:rsidR="006A2543" w:rsidRPr="00D76711" w:rsidRDefault="006A2543" w:rsidP="00B02509">
            <w:pPr>
              <w:jc w:val="both"/>
              <w:rPr>
                <w:rFonts w:ascii="Garamond" w:hAnsi="Garamond"/>
                <w:sz w:val="18"/>
                <w:szCs w:val="18"/>
              </w:rPr>
            </w:pPr>
          </w:p>
        </w:tc>
        <w:tc>
          <w:tcPr>
            <w:tcW w:w="1720" w:type="dxa"/>
            <w:hideMark/>
          </w:tcPr>
          <w:p w14:paraId="1B01C665" w14:textId="77777777" w:rsidR="006A2543" w:rsidRPr="00D76711" w:rsidRDefault="006A2543" w:rsidP="00B02509">
            <w:pPr>
              <w:jc w:val="both"/>
              <w:rPr>
                <w:rFonts w:ascii="Garamond" w:hAnsi="Garamond"/>
                <w:sz w:val="18"/>
                <w:szCs w:val="18"/>
              </w:rPr>
            </w:pPr>
            <w:r w:rsidRPr="00D76711">
              <w:rPr>
                <w:rFonts w:ascii="Garamond" w:hAnsi="Garamond"/>
                <w:sz w:val="18"/>
                <w:szCs w:val="18"/>
              </w:rPr>
              <w:t>% within Refers to case law CCC, ECtHR</w:t>
            </w:r>
          </w:p>
        </w:tc>
        <w:tc>
          <w:tcPr>
            <w:tcW w:w="908" w:type="dxa"/>
            <w:noWrap/>
            <w:hideMark/>
          </w:tcPr>
          <w:p w14:paraId="2E24C9CA" w14:textId="123BE4E7" w:rsidR="006A2543" w:rsidRPr="00D76711" w:rsidRDefault="00641E05" w:rsidP="00B02509">
            <w:pPr>
              <w:jc w:val="both"/>
              <w:rPr>
                <w:rFonts w:ascii="Garamond" w:hAnsi="Garamond"/>
                <w:sz w:val="18"/>
                <w:szCs w:val="18"/>
              </w:rPr>
            </w:pPr>
            <w:r>
              <w:rPr>
                <w:rFonts w:ascii="Garamond" w:hAnsi="Garamond"/>
                <w:sz w:val="18"/>
                <w:szCs w:val="18"/>
              </w:rPr>
              <w:t>38.</w:t>
            </w:r>
            <w:r w:rsidR="006A2543" w:rsidRPr="00D76711">
              <w:rPr>
                <w:rFonts w:ascii="Garamond" w:hAnsi="Garamond"/>
                <w:sz w:val="18"/>
                <w:szCs w:val="18"/>
              </w:rPr>
              <w:t>1%</w:t>
            </w:r>
          </w:p>
        </w:tc>
        <w:tc>
          <w:tcPr>
            <w:tcW w:w="1611" w:type="dxa"/>
            <w:noWrap/>
            <w:hideMark/>
          </w:tcPr>
          <w:p w14:paraId="545E0D98" w14:textId="296C7A2C" w:rsidR="006A2543" w:rsidRPr="00D76711" w:rsidRDefault="006A2543" w:rsidP="00641E05">
            <w:pPr>
              <w:jc w:val="both"/>
              <w:rPr>
                <w:rFonts w:ascii="Garamond" w:hAnsi="Garamond"/>
                <w:sz w:val="18"/>
                <w:szCs w:val="18"/>
              </w:rPr>
            </w:pPr>
            <w:r w:rsidRPr="00D76711">
              <w:rPr>
                <w:rFonts w:ascii="Garamond" w:hAnsi="Garamond"/>
                <w:sz w:val="18"/>
                <w:szCs w:val="18"/>
              </w:rPr>
              <w:t>61</w:t>
            </w:r>
            <w:r w:rsidR="00641E05">
              <w:rPr>
                <w:rFonts w:ascii="Garamond" w:hAnsi="Garamond"/>
                <w:sz w:val="18"/>
                <w:szCs w:val="18"/>
              </w:rPr>
              <w:t>.</w:t>
            </w:r>
            <w:r w:rsidRPr="00D76711">
              <w:rPr>
                <w:rFonts w:ascii="Garamond" w:hAnsi="Garamond"/>
                <w:sz w:val="18"/>
                <w:szCs w:val="18"/>
              </w:rPr>
              <w:t>9%</w:t>
            </w:r>
          </w:p>
        </w:tc>
        <w:tc>
          <w:tcPr>
            <w:tcW w:w="1606" w:type="dxa"/>
            <w:noWrap/>
            <w:hideMark/>
          </w:tcPr>
          <w:p w14:paraId="373C5770" w14:textId="6B92CFA1" w:rsidR="006A2543" w:rsidRPr="00D76711" w:rsidRDefault="006A2543" w:rsidP="00641E05">
            <w:pPr>
              <w:jc w:val="both"/>
              <w:rPr>
                <w:rFonts w:ascii="Garamond" w:hAnsi="Garamond"/>
                <w:sz w:val="18"/>
                <w:szCs w:val="18"/>
              </w:rPr>
            </w:pPr>
            <w:r w:rsidRPr="00D76711">
              <w:rPr>
                <w:rFonts w:ascii="Garamond" w:hAnsi="Garamond"/>
                <w:sz w:val="18"/>
                <w:szCs w:val="18"/>
              </w:rPr>
              <w:t>100</w:t>
            </w:r>
            <w:r w:rsidR="00641E05">
              <w:rPr>
                <w:rFonts w:ascii="Garamond" w:hAnsi="Garamond"/>
                <w:sz w:val="18"/>
                <w:szCs w:val="18"/>
              </w:rPr>
              <w:t>.</w:t>
            </w:r>
            <w:r w:rsidRPr="00D76711">
              <w:rPr>
                <w:rFonts w:ascii="Garamond" w:hAnsi="Garamond"/>
                <w:sz w:val="18"/>
                <w:szCs w:val="18"/>
              </w:rPr>
              <w:t>0%</w:t>
            </w:r>
          </w:p>
        </w:tc>
      </w:tr>
      <w:tr w:rsidR="006A2543" w:rsidRPr="00D76711" w14:paraId="627FA4EF" w14:textId="77777777" w:rsidTr="00B02509">
        <w:trPr>
          <w:trHeight w:val="521"/>
        </w:trPr>
        <w:tc>
          <w:tcPr>
            <w:tcW w:w="0" w:type="auto"/>
            <w:vMerge/>
            <w:hideMark/>
          </w:tcPr>
          <w:p w14:paraId="2B44DB7B" w14:textId="77777777" w:rsidR="006A2543" w:rsidRPr="00D76711" w:rsidRDefault="006A2543" w:rsidP="00B02509">
            <w:pPr>
              <w:jc w:val="both"/>
              <w:rPr>
                <w:rFonts w:ascii="Garamond" w:hAnsi="Garamond"/>
                <w:b/>
                <w:bCs/>
                <w:sz w:val="18"/>
                <w:szCs w:val="18"/>
              </w:rPr>
            </w:pPr>
          </w:p>
        </w:tc>
        <w:tc>
          <w:tcPr>
            <w:tcW w:w="0" w:type="auto"/>
            <w:vMerge/>
            <w:hideMark/>
          </w:tcPr>
          <w:p w14:paraId="0BA4BECD" w14:textId="77777777" w:rsidR="006A2543" w:rsidRPr="00D76711" w:rsidRDefault="006A2543" w:rsidP="00B02509">
            <w:pPr>
              <w:jc w:val="both"/>
              <w:rPr>
                <w:rFonts w:ascii="Garamond" w:hAnsi="Garamond"/>
                <w:sz w:val="18"/>
                <w:szCs w:val="18"/>
              </w:rPr>
            </w:pPr>
          </w:p>
        </w:tc>
        <w:tc>
          <w:tcPr>
            <w:tcW w:w="1720" w:type="dxa"/>
            <w:hideMark/>
          </w:tcPr>
          <w:p w14:paraId="4A386C07" w14:textId="77777777" w:rsidR="006A2543" w:rsidRPr="00D76711" w:rsidRDefault="006A2543" w:rsidP="00B02509">
            <w:pPr>
              <w:jc w:val="both"/>
              <w:rPr>
                <w:rFonts w:ascii="Garamond" w:hAnsi="Garamond"/>
                <w:sz w:val="18"/>
                <w:szCs w:val="18"/>
              </w:rPr>
            </w:pPr>
            <w:r w:rsidRPr="00D76711">
              <w:rPr>
                <w:rFonts w:ascii="Garamond" w:hAnsi="Garamond"/>
                <w:sz w:val="18"/>
                <w:szCs w:val="18"/>
              </w:rPr>
              <w:t>% within Discursive style</w:t>
            </w:r>
          </w:p>
        </w:tc>
        <w:tc>
          <w:tcPr>
            <w:tcW w:w="908" w:type="dxa"/>
            <w:noWrap/>
            <w:hideMark/>
          </w:tcPr>
          <w:p w14:paraId="7195332A" w14:textId="3BDA0317" w:rsidR="006A2543" w:rsidRPr="00D76711" w:rsidRDefault="00641E05" w:rsidP="00B02509">
            <w:pPr>
              <w:jc w:val="both"/>
              <w:rPr>
                <w:rFonts w:ascii="Garamond" w:hAnsi="Garamond"/>
                <w:sz w:val="18"/>
                <w:szCs w:val="18"/>
              </w:rPr>
            </w:pPr>
            <w:r>
              <w:rPr>
                <w:rFonts w:ascii="Garamond" w:hAnsi="Garamond"/>
                <w:sz w:val="18"/>
                <w:szCs w:val="18"/>
              </w:rPr>
              <w:t>32.</w:t>
            </w:r>
            <w:r w:rsidR="006A2543" w:rsidRPr="00D76711">
              <w:rPr>
                <w:rFonts w:ascii="Garamond" w:hAnsi="Garamond"/>
                <w:sz w:val="18"/>
                <w:szCs w:val="18"/>
              </w:rPr>
              <w:t>0%</w:t>
            </w:r>
          </w:p>
        </w:tc>
        <w:tc>
          <w:tcPr>
            <w:tcW w:w="1611" w:type="dxa"/>
            <w:noWrap/>
            <w:hideMark/>
          </w:tcPr>
          <w:p w14:paraId="03D8BE4F" w14:textId="2D907667" w:rsidR="006A2543" w:rsidRPr="00D76711" w:rsidRDefault="00641E05" w:rsidP="00B02509">
            <w:pPr>
              <w:jc w:val="both"/>
              <w:rPr>
                <w:rFonts w:ascii="Garamond" w:hAnsi="Garamond"/>
                <w:sz w:val="18"/>
                <w:szCs w:val="18"/>
              </w:rPr>
            </w:pPr>
            <w:r>
              <w:rPr>
                <w:rFonts w:ascii="Garamond" w:hAnsi="Garamond"/>
                <w:sz w:val="18"/>
                <w:szCs w:val="18"/>
              </w:rPr>
              <w:t>28.</w:t>
            </w:r>
            <w:r w:rsidR="006A2543" w:rsidRPr="00D76711">
              <w:rPr>
                <w:rFonts w:ascii="Garamond" w:hAnsi="Garamond"/>
                <w:sz w:val="18"/>
                <w:szCs w:val="18"/>
              </w:rPr>
              <w:t>9%</w:t>
            </w:r>
          </w:p>
        </w:tc>
        <w:tc>
          <w:tcPr>
            <w:tcW w:w="1606" w:type="dxa"/>
            <w:noWrap/>
            <w:hideMark/>
          </w:tcPr>
          <w:p w14:paraId="2D098D54" w14:textId="3410ABED" w:rsidR="006A2543" w:rsidRPr="00D76711" w:rsidRDefault="00641E05" w:rsidP="00B02509">
            <w:pPr>
              <w:jc w:val="both"/>
              <w:rPr>
                <w:rFonts w:ascii="Garamond" w:hAnsi="Garamond"/>
                <w:sz w:val="18"/>
                <w:szCs w:val="18"/>
              </w:rPr>
            </w:pPr>
            <w:r>
              <w:rPr>
                <w:rFonts w:ascii="Garamond" w:hAnsi="Garamond"/>
                <w:sz w:val="18"/>
                <w:szCs w:val="18"/>
              </w:rPr>
              <w:t>30.</w:t>
            </w:r>
            <w:r w:rsidR="006A2543" w:rsidRPr="00D76711">
              <w:rPr>
                <w:rFonts w:ascii="Garamond" w:hAnsi="Garamond"/>
                <w:sz w:val="18"/>
                <w:szCs w:val="18"/>
              </w:rPr>
              <w:t>0%</w:t>
            </w:r>
          </w:p>
        </w:tc>
      </w:tr>
      <w:tr w:rsidR="006A2543" w:rsidRPr="00D76711" w14:paraId="478F4C68" w14:textId="77777777" w:rsidTr="00B02509">
        <w:trPr>
          <w:trHeight w:val="271"/>
        </w:trPr>
        <w:tc>
          <w:tcPr>
            <w:tcW w:w="0" w:type="auto"/>
            <w:vMerge/>
            <w:hideMark/>
          </w:tcPr>
          <w:p w14:paraId="55E7415C" w14:textId="77777777" w:rsidR="006A2543" w:rsidRPr="00D76711" w:rsidRDefault="006A2543" w:rsidP="00B02509">
            <w:pPr>
              <w:jc w:val="both"/>
              <w:rPr>
                <w:rFonts w:ascii="Garamond" w:hAnsi="Garamond"/>
                <w:b/>
                <w:bCs/>
                <w:sz w:val="18"/>
                <w:szCs w:val="18"/>
              </w:rPr>
            </w:pPr>
          </w:p>
        </w:tc>
        <w:tc>
          <w:tcPr>
            <w:tcW w:w="600" w:type="dxa"/>
            <w:vMerge w:val="restart"/>
            <w:noWrap/>
            <w:hideMark/>
          </w:tcPr>
          <w:p w14:paraId="23C34CC7" w14:textId="77777777" w:rsidR="006A2543" w:rsidRPr="00D76711" w:rsidRDefault="006A2543" w:rsidP="00B02509">
            <w:pPr>
              <w:jc w:val="both"/>
              <w:rPr>
                <w:rFonts w:ascii="Garamond" w:hAnsi="Garamond"/>
                <w:sz w:val="18"/>
                <w:szCs w:val="18"/>
              </w:rPr>
            </w:pPr>
            <w:r w:rsidRPr="00D76711">
              <w:rPr>
                <w:rFonts w:ascii="Garamond" w:hAnsi="Garamond"/>
                <w:sz w:val="18"/>
                <w:szCs w:val="18"/>
              </w:rPr>
              <w:t>Yes</w:t>
            </w:r>
          </w:p>
        </w:tc>
        <w:tc>
          <w:tcPr>
            <w:tcW w:w="1720" w:type="dxa"/>
            <w:hideMark/>
          </w:tcPr>
          <w:p w14:paraId="1665266B" w14:textId="77777777" w:rsidR="006A2543" w:rsidRPr="00D76711" w:rsidRDefault="006A2543" w:rsidP="00B02509">
            <w:pPr>
              <w:jc w:val="both"/>
              <w:rPr>
                <w:rFonts w:ascii="Garamond" w:hAnsi="Garamond"/>
                <w:sz w:val="18"/>
                <w:szCs w:val="18"/>
              </w:rPr>
            </w:pPr>
            <w:r w:rsidRPr="00D76711">
              <w:rPr>
                <w:rFonts w:ascii="Garamond" w:hAnsi="Garamond"/>
                <w:sz w:val="18"/>
                <w:szCs w:val="18"/>
              </w:rPr>
              <w:t>Count</w:t>
            </w:r>
          </w:p>
        </w:tc>
        <w:tc>
          <w:tcPr>
            <w:tcW w:w="908" w:type="dxa"/>
            <w:noWrap/>
            <w:hideMark/>
          </w:tcPr>
          <w:p w14:paraId="417F8C38" w14:textId="77777777" w:rsidR="006A2543" w:rsidRPr="00D76711" w:rsidRDefault="006A2543" w:rsidP="00B02509">
            <w:pPr>
              <w:jc w:val="both"/>
              <w:rPr>
                <w:rFonts w:ascii="Garamond" w:hAnsi="Garamond"/>
                <w:sz w:val="18"/>
                <w:szCs w:val="18"/>
              </w:rPr>
            </w:pPr>
            <w:r w:rsidRPr="00D76711">
              <w:rPr>
                <w:rFonts w:ascii="Garamond" w:hAnsi="Garamond"/>
                <w:sz w:val="18"/>
                <w:szCs w:val="18"/>
              </w:rPr>
              <w:t>17</w:t>
            </w:r>
          </w:p>
        </w:tc>
        <w:tc>
          <w:tcPr>
            <w:tcW w:w="1611" w:type="dxa"/>
            <w:noWrap/>
            <w:hideMark/>
          </w:tcPr>
          <w:p w14:paraId="553326C5" w14:textId="77777777" w:rsidR="006A2543" w:rsidRPr="00D76711" w:rsidRDefault="006A2543" w:rsidP="00B02509">
            <w:pPr>
              <w:jc w:val="both"/>
              <w:rPr>
                <w:rFonts w:ascii="Garamond" w:hAnsi="Garamond"/>
                <w:sz w:val="18"/>
                <w:szCs w:val="18"/>
              </w:rPr>
            </w:pPr>
            <w:r w:rsidRPr="00D76711">
              <w:rPr>
                <w:rFonts w:ascii="Garamond" w:hAnsi="Garamond"/>
                <w:sz w:val="18"/>
                <w:szCs w:val="18"/>
              </w:rPr>
              <w:t>32</w:t>
            </w:r>
          </w:p>
        </w:tc>
        <w:tc>
          <w:tcPr>
            <w:tcW w:w="1606" w:type="dxa"/>
            <w:noWrap/>
            <w:hideMark/>
          </w:tcPr>
          <w:p w14:paraId="26633905" w14:textId="77777777" w:rsidR="006A2543" w:rsidRPr="00D76711" w:rsidRDefault="006A2543" w:rsidP="00B02509">
            <w:pPr>
              <w:jc w:val="both"/>
              <w:rPr>
                <w:rFonts w:ascii="Garamond" w:hAnsi="Garamond"/>
                <w:sz w:val="18"/>
                <w:szCs w:val="18"/>
              </w:rPr>
            </w:pPr>
            <w:r w:rsidRPr="00D76711">
              <w:rPr>
                <w:rFonts w:ascii="Garamond" w:hAnsi="Garamond"/>
                <w:sz w:val="18"/>
                <w:szCs w:val="18"/>
              </w:rPr>
              <w:t>49</w:t>
            </w:r>
          </w:p>
        </w:tc>
      </w:tr>
      <w:tr w:rsidR="006A2543" w:rsidRPr="00D76711" w14:paraId="6593ADCA" w14:textId="77777777" w:rsidTr="00B02509">
        <w:trPr>
          <w:trHeight w:val="521"/>
        </w:trPr>
        <w:tc>
          <w:tcPr>
            <w:tcW w:w="0" w:type="auto"/>
            <w:vMerge/>
            <w:hideMark/>
          </w:tcPr>
          <w:p w14:paraId="5F731895" w14:textId="77777777" w:rsidR="006A2543" w:rsidRPr="00D76711" w:rsidRDefault="006A2543" w:rsidP="00B02509">
            <w:pPr>
              <w:jc w:val="both"/>
              <w:rPr>
                <w:rFonts w:ascii="Garamond" w:hAnsi="Garamond"/>
                <w:b/>
                <w:bCs/>
                <w:sz w:val="18"/>
                <w:szCs w:val="18"/>
              </w:rPr>
            </w:pPr>
          </w:p>
        </w:tc>
        <w:tc>
          <w:tcPr>
            <w:tcW w:w="0" w:type="auto"/>
            <w:vMerge/>
            <w:hideMark/>
          </w:tcPr>
          <w:p w14:paraId="5D82EE0F" w14:textId="77777777" w:rsidR="006A2543" w:rsidRPr="00D76711" w:rsidRDefault="006A2543" w:rsidP="00B02509">
            <w:pPr>
              <w:jc w:val="both"/>
              <w:rPr>
                <w:rFonts w:ascii="Garamond" w:hAnsi="Garamond"/>
                <w:sz w:val="18"/>
                <w:szCs w:val="18"/>
              </w:rPr>
            </w:pPr>
          </w:p>
        </w:tc>
        <w:tc>
          <w:tcPr>
            <w:tcW w:w="1720" w:type="dxa"/>
            <w:hideMark/>
          </w:tcPr>
          <w:p w14:paraId="02F39ECD" w14:textId="77777777" w:rsidR="006A2543" w:rsidRPr="00D76711" w:rsidRDefault="006A2543" w:rsidP="00B02509">
            <w:pPr>
              <w:jc w:val="both"/>
              <w:rPr>
                <w:rFonts w:ascii="Garamond" w:hAnsi="Garamond"/>
                <w:sz w:val="18"/>
                <w:szCs w:val="18"/>
              </w:rPr>
            </w:pPr>
            <w:r w:rsidRPr="00D76711">
              <w:rPr>
                <w:rFonts w:ascii="Garamond" w:hAnsi="Garamond"/>
                <w:sz w:val="18"/>
                <w:szCs w:val="18"/>
              </w:rPr>
              <w:t>% within Refers to case law CCC, ECtHR</w:t>
            </w:r>
          </w:p>
        </w:tc>
        <w:tc>
          <w:tcPr>
            <w:tcW w:w="908" w:type="dxa"/>
            <w:noWrap/>
            <w:hideMark/>
          </w:tcPr>
          <w:p w14:paraId="571FE0C8" w14:textId="4C4F147D" w:rsidR="006A2543" w:rsidRPr="00D76711" w:rsidRDefault="00641E05" w:rsidP="00B02509">
            <w:pPr>
              <w:jc w:val="both"/>
              <w:rPr>
                <w:rFonts w:ascii="Garamond" w:hAnsi="Garamond"/>
                <w:sz w:val="18"/>
                <w:szCs w:val="18"/>
              </w:rPr>
            </w:pPr>
            <w:r>
              <w:rPr>
                <w:rFonts w:ascii="Garamond" w:hAnsi="Garamond"/>
                <w:sz w:val="18"/>
                <w:szCs w:val="18"/>
              </w:rPr>
              <w:t>34.</w:t>
            </w:r>
            <w:r w:rsidR="006A2543" w:rsidRPr="00D76711">
              <w:rPr>
                <w:rFonts w:ascii="Garamond" w:hAnsi="Garamond"/>
                <w:sz w:val="18"/>
                <w:szCs w:val="18"/>
              </w:rPr>
              <w:t>7%</w:t>
            </w:r>
          </w:p>
        </w:tc>
        <w:tc>
          <w:tcPr>
            <w:tcW w:w="1611" w:type="dxa"/>
            <w:noWrap/>
            <w:hideMark/>
          </w:tcPr>
          <w:p w14:paraId="7CFF4F57" w14:textId="2F346FE6" w:rsidR="006A2543" w:rsidRPr="00D76711" w:rsidRDefault="00641E05" w:rsidP="00B02509">
            <w:pPr>
              <w:jc w:val="both"/>
              <w:rPr>
                <w:rFonts w:ascii="Garamond" w:hAnsi="Garamond"/>
                <w:sz w:val="18"/>
                <w:szCs w:val="18"/>
              </w:rPr>
            </w:pPr>
            <w:r>
              <w:rPr>
                <w:rFonts w:ascii="Garamond" w:hAnsi="Garamond"/>
                <w:sz w:val="18"/>
                <w:szCs w:val="18"/>
              </w:rPr>
              <w:t>65.</w:t>
            </w:r>
            <w:r w:rsidR="006A2543" w:rsidRPr="00D76711">
              <w:rPr>
                <w:rFonts w:ascii="Garamond" w:hAnsi="Garamond"/>
                <w:sz w:val="18"/>
                <w:szCs w:val="18"/>
              </w:rPr>
              <w:t>3%</w:t>
            </w:r>
          </w:p>
        </w:tc>
        <w:tc>
          <w:tcPr>
            <w:tcW w:w="1606" w:type="dxa"/>
            <w:noWrap/>
            <w:hideMark/>
          </w:tcPr>
          <w:p w14:paraId="6993C905" w14:textId="631C0620" w:rsidR="006A2543" w:rsidRPr="00D76711" w:rsidRDefault="006A2543" w:rsidP="00641E05">
            <w:pPr>
              <w:jc w:val="both"/>
              <w:rPr>
                <w:rFonts w:ascii="Garamond" w:hAnsi="Garamond"/>
                <w:sz w:val="18"/>
                <w:szCs w:val="18"/>
              </w:rPr>
            </w:pPr>
            <w:r w:rsidRPr="00D76711">
              <w:rPr>
                <w:rFonts w:ascii="Garamond" w:hAnsi="Garamond"/>
                <w:sz w:val="18"/>
                <w:szCs w:val="18"/>
              </w:rPr>
              <w:t>100</w:t>
            </w:r>
            <w:r w:rsidR="00641E05">
              <w:rPr>
                <w:rFonts w:ascii="Garamond" w:hAnsi="Garamond"/>
                <w:sz w:val="18"/>
                <w:szCs w:val="18"/>
              </w:rPr>
              <w:t>.</w:t>
            </w:r>
            <w:r w:rsidRPr="00D76711">
              <w:rPr>
                <w:rFonts w:ascii="Garamond" w:hAnsi="Garamond"/>
                <w:sz w:val="18"/>
                <w:szCs w:val="18"/>
              </w:rPr>
              <w:t>0%</w:t>
            </w:r>
          </w:p>
        </w:tc>
      </w:tr>
      <w:tr w:rsidR="006A2543" w:rsidRPr="00D76711" w14:paraId="3A015306" w14:textId="77777777" w:rsidTr="00B02509">
        <w:trPr>
          <w:trHeight w:val="521"/>
        </w:trPr>
        <w:tc>
          <w:tcPr>
            <w:tcW w:w="0" w:type="auto"/>
            <w:vMerge/>
            <w:hideMark/>
          </w:tcPr>
          <w:p w14:paraId="6D7F0A94" w14:textId="77777777" w:rsidR="006A2543" w:rsidRPr="00D76711" w:rsidRDefault="006A2543" w:rsidP="00B02509">
            <w:pPr>
              <w:jc w:val="both"/>
              <w:rPr>
                <w:rFonts w:ascii="Garamond" w:hAnsi="Garamond"/>
                <w:b/>
                <w:bCs/>
                <w:sz w:val="18"/>
                <w:szCs w:val="18"/>
              </w:rPr>
            </w:pPr>
          </w:p>
        </w:tc>
        <w:tc>
          <w:tcPr>
            <w:tcW w:w="0" w:type="auto"/>
            <w:vMerge/>
            <w:hideMark/>
          </w:tcPr>
          <w:p w14:paraId="3DC5B4B2" w14:textId="77777777" w:rsidR="006A2543" w:rsidRPr="00D76711" w:rsidRDefault="006A2543" w:rsidP="00B02509">
            <w:pPr>
              <w:jc w:val="both"/>
              <w:rPr>
                <w:rFonts w:ascii="Garamond" w:hAnsi="Garamond"/>
                <w:sz w:val="18"/>
                <w:szCs w:val="18"/>
              </w:rPr>
            </w:pPr>
          </w:p>
        </w:tc>
        <w:tc>
          <w:tcPr>
            <w:tcW w:w="1720" w:type="dxa"/>
            <w:hideMark/>
          </w:tcPr>
          <w:p w14:paraId="64B1DDEA" w14:textId="77777777" w:rsidR="006A2543" w:rsidRPr="00D76711" w:rsidRDefault="006A2543" w:rsidP="00B02509">
            <w:pPr>
              <w:jc w:val="both"/>
              <w:rPr>
                <w:rFonts w:ascii="Garamond" w:hAnsi="Garamond"/>
                <w:sz w:val="18"/>
                <w:szCs w:val="18"/>
              </w:rPr>
            </w:pPr>
            <w:r w:rsidRPr="00D76711">
              <w:rPr>
                <w:rFonts w:ascii="Garamond" w:hAnsi="Garamond"/>
                <w:sz w:val="18"/>
                <w:szCs w:val="18"/>
              </w:rPr>
              <w:t>% within Discursive style</w:t>
            </w:r>
          </w:p>
        </w:tc>
        <w:tc>
          <w:tcPr>
            <w:tcW w:w="908" w:type="dxa"/>
            <w:noWrap/>
            <w:hideMark/>
          </w:tcPr>
          <w:p w14:paraId="169B3E44" w14:textId="0D8AB3E2" w:rsidR="006A2543" w:rsidRPr="00D76711" w:rsidRDefault="00641E05" w:rsidP="00B02509">
            <w:pPr>
              <w:jc w:val="both"/>
              <w:rPr>
                <w:rFonts w:ascii="Garamond" w:hAnsi="Garamond"/>
                <w:sz w:val="18"/>
                <w:szCs w:val="18"/>
              </w:rPr>
            </w:pPr>
            <w:r>
              <w:rPr>
                <w:rFonts w:ascii="Garamond" w:hAnsi="Garamond"/>
                <w:sz w:val="18"/>
                <w:szCs w:val="18"/>
              </w:rPr>
              <w:t>68.</w:t>
            </w:r>
            <w:r w:rsidR="006A2543" w:rsidRPr="00D76711">
              <w:rPr>
                <w:rFonts w:ascii="Garamond" w:hAnsi="Garamond"/>
                <w:sz w:val="18"/>
                <w:szCs w:val="18"/>
              </w:rPr>
              <w:t>0%</w:t>
            </w:r>
          </w:p>
        </w:tc>
        <w:tc>
          <w:tcPr>
            <w:tcW w:w="1611" w:type="dxa"/>
            <w:noWrap/>
            <w:hideMark/>
          </w:tcPr>
          <w:p w14:paraId="5CB06B87" w14:textId="3FFEE338" w:rsidR="006A2543" w:rsidRPr="00D76711" w:rsidRDefault="00641E05" w:rsidP="00B02509">
            <w:pPr>
              <w:jc w:val="both"/>
              <w:rPr>
                <w:rFonts w:ascii="Garamond" w:hAnsi="Garamond"/>
                <w:sz w:val="18"/>
                <w:szCs w:val="18"/>
              </w:rPr>
            </w:pPr>
            <w:r>
              <w:rPr>
                <w:rFonts w:ascii="Garamond" w:hAnsi="Garamond"/>
                <w:sz w:val="18"/>
                <w:szCs w:val="18"/>
              </w:rPr>
              <w:t>71.</w:t>
            </w:r>
            <w:r w:rsidR="006A2543" w:rsidRPr="00D76711">
              <w:rPr>
                <w:rFonts w:ascii="Garamond" w:hAnsi="Garamond"/>
                <w:sz w:val="18"/>
                <w:szCs w:val="18"/>
              </w:rPr>
              <w:t>1%</w:t>
            </w:r>
          </w:p>
        </w:tc>
        <w:tc>
          <w:tcPr>
            <w:tcW w:w="1606" w:type="dxa"/>
            <w:noWrap/>
            <w:hideMark/>
          </w:tcPr>
          <w:p w14:paraId="7719F60D" w14:textId="00D56622" w:rsidR="006A2543" w:rsidRPr="00D76711" w:rsidRDefault="00641E05" w:rsidP="00B02509">
            <w:pPr>
              <w:jc w:val="both"/>
              <w:rPr>
                <w:rFonts w:ascii="Garamond" w:hAnsi="Garamond"/>
                <w:sz w:val="18"/>
                <w:szCs w:val="18"/>
              </w:rPr>
            </w:pPr>
            <w:r>
              <w:rPr>
                <w:rFonts w:ascii="Garamond" w:hAnsi="Garamond"/>
                <w:sz w:val="18"/>
                <w:szCs w:val="18"/>
              </w:rPr>
              <w:t>70.</w:t>
            </w:r>
            <w:r w:rsidR="006A2543" w:rsidRPr="00D76711">
              <w:rPr>
                <w:rFonts w:ascii="Garamond" w:hAnsi="Garamond"/>
                <w:sz w:val="18"/>
                <w:szCs w:val="18"/>
              </w:rPr>
              <w:t>0%</w:t>
            </w:r>
          </w:p>
        </w:tc>
      </w:tr>
      <w:tr w:rsidR="006A2543" w:rsidRPr="00D76711" w14:paraId="7BC73082" w14:textId="77777777" w:rsidTr="00B02509">
        <w:trPr>
          <w:trHeight w:val="271"/>
        </w:trPr>
        <w:tc>
          <w:tcPr>
            <w:tcW w:w="1822" w:type="dxa"/>
            <w:gridSpan w:val="2"/>
            <w:vMerge w:val="restart"/>
            <w:hideMark/>
          </w:tcPr>
          <w:p w14:paraId="5FDAE239" w14:textId="77777777" w:rsidR="006A2543" w:rsidRPr="00D76711" w:rsidRDefault="006A2543" w:rsidP="00B02509">
            <w:pPr>
              <w:jc w:val="both"/>
              <w:rPr>
                <w:rFonts w:ascii="Garamond" w:hAnsi="Garamond"/>
                <w:b/>
                <w:bCs/>
                <w:sz w:val="18"/>
                <w:szCs w:val="18"/>
              </w:rPr>
            </w:pPr>
            <w:r w:rsidRPr="00D76711">
              <w:rPr>
                <w:rFonts w:ascii="Garamond" w:hAnsi="Garamond"/>
                <w:b/>
                <w:bCs/>
                <w:sz w:val="18"/>
                <w:szCs w:val="18"/>
              </w:rPr>
              <w:t>Total</w:t>
            </w:r>
          </w:p>
        </w:tc>
        <w:tc>
          <w:tcPr>
            <w:tcW w:w="1720" w:type="dxa"/>
            <w:hideMark/>
          </w:tcPr>
          <w:p w14:paraId="6B2584C3" w14:textId="77777777" w:rsidR="006A2543" w:rsidRPr="00D76711" w:rsidRDefault="006A2543" w:rsidP="00B02509">
            <w:pPr>
              <w:jc w:val="both"/>
              <w:rPr>
                <w:rFonts w:ascii="Garamond" w:hAnsi="Garamond"/>
                <w:sz w:val="18"/>
                <w:szCs w:val="18"/>
              </w:rPr>
            </w:pPr>
            <w:r w:rsidRPr="00D76711">
              <w:rPr>
                <w:rFonts w:ascii="Garamond" w:hAnsi="Garamond"/>
                <w:sz w:val="18"/>
                <w:szCs w:val="18"/>
              </w:rPr>
              <w:t>Count</w:t>
            </w:r>
          </w:p>
        </w:tc>
        <w:tc>
          <w:tcPr>
            <w:tcW w:w="908" w:type="dxa"/>
            <w:noWrap/>
            <w:hideMark/>
          </w:tcPr>
          <w:p w14:paraId="196327CD" w14:textId="77777777" w:rsidR="006A2543" w:rsidRPr="00D76711" w:rsidRDefault="006A2543" w:rsidP="00B02509">
            <w:pPr>
              <w:jc w:val="both"/>
              <w:rPr>
                <w:rFonts w:ascii="Garamond" w:hAnsi="Garamond"/>
                <w:sz w:val="18"/>
                <w:szCs w:val="18"/>
              </w:rPr>
            </w:pPr>
            <w:r w:rsidRPr="00D76711">
              <w:rPr>
                <w:rFonts w:ascii="Garamond" w:hAnsi="Garamond"/>
                <w:sz w:val="18"/>
                <w:szCs w:val="18"/>
              </w:rPr>
              <w:t>25</w:t>
            </w:r>
          </w:p>
        </w:tc>
        <w:tc>
          <w:tcPr>
            <w:tcW w:w="1611" w:type="dxa"/>
            <w:noWrap/>
            <w:hideMark/>
          </w:tcPr>
          <w:p w14:paraId="0BFA99CD" w14:textId="77777777" w:rsidR="006A2543" w:rsidRPr="00D76711" w:rsidRDefault="006A2543" w:rsidP="00B02509">
            <w:pPr>
              <w:jc w:val="both"/>
              <w:rPr>
                <w:rFonts w:ascii="Garamond" w:hAnsi="Garamond"/>
                <w:sz w:val="18"/>
                <w:szCs w:val="18"/>
              </w:rPr>
            </w:pPr>
            <w:r w:rsidRPr="00D76711">
              <w:rPr>
                <w:rFonts w:ascii="Garamond" w:hAnsi="Garamond"/>
                <w:sz w:val="18"/>
                <w:szCs w:val="18"/>
              </w:rPr>
              <w:t>45</w:t>
            </w:r>
          </w:p>
        </w:tc>
        <w:tc>
          <w:tcPr>
            <w:tcW w:w="1606" w:type="dxa"/>
            <w:noWrap/>
            <w:hideMark/>
          </w:tcPr>
          <w:p w14:paraId="27EAF509" w14:textId="77777777" w:rsidR="006A2543" w:rsidRPr="00D76711" w:rsidRDefault="006A2543" w:rsidP="00B02509">
            <w:pPr>
              <w:jc w:val="both"/>
              <w:rPr>
                <w:rFonts w:ascii="Garamond" w:hAnsi="Garamond"/>
                <w:sz w:val="18"/>
                <w:szCs w:val="18"/>
              </w:rPr>
            </w:pPr>
            <w:r w:rsidRPr="00D76711">
              <w:rPr>
                <w:rFonts w:ascii="Garamond" w:hAnsi="Garamond"/>
                <w:sz w:val="18"/>
                <w:szCs w:val="18"/>
              </w:rPr>
              <w:t>70</w:t>
            </w:r>
          </w:p>
        </w:tc>
      </w:tr>
      <w:tr w:rsidR="006A2543" w:rsidRPr="00D76711" w14:paraId="6B45D790" w14:textId="77777777" w:rsidTr="00B02509">
        <w:trPr>
          <w:trHeight w:val="521"/>
        </w:trPr>
        <w:tc>
          <w:tcPr>
            <w:tcW w:w="0" w:type="auto"/>
            <w:gridSpan w:val="2"/>
            <w:vMerge/>
            <w:hideMark/>
          </w:tcPr>
          <w:p w14:paraId="239CEE0E" w14:textId="77777777" w:rsidR="006A2543" w:rsidRPr="00D76711" w:rsidRDefault="006A2543" w:rsidP="00B02509">
            <w:pPr>
              <w:jc w:val="both"/>
              <w:rPr>
                <w:rFonts w:ascii="Garamond" w:hAnsi="Garamond"/>
                <w:b/>
                <w:bCs/>
                <w:sz w:val="18"/>
                <w:szCs w:val="18"/>
              </w:rPr>
            </w:pPr>
          </w:p>
        </w:tc>
        <w:tc>
          <w:tcPr>
            <w:tcW w:w="1720" w:type="dxa"/>
            <w:hideMark/>
          </w:tcPr>
          <w:p w14:paraId="5665481B" w14:textId="77777777" w:rsidR="006A2543" w:rsidRPr="00D76711" w:rsidRDefault="006A2543" w:rsidP="00B02509">
            <w:pPr>
              <w:jc w:val="both"/>
              <w:rPr>
                <w:rFonts w:ascii="Garamond" w:hAnsi="Garamond"/>
                <w:sz w:val="18"/>
                <w:szCs w:val="18"/>
              </w:rPr>
            </w:pPr>
            <w:r w:rsidRPr="00D76711">
              <w:rPr>
                <w:rFonts w:ascii="Garamond" w:hAnsi="Garamond"/>
                <w:sz w:val="18"/>
                <w:szCs w:val="18"/>
              </w:rPr>
              <w:t>% within Refers to case law CCC, ECtHR</w:t>
            </w:r>
          </w:p>
        </w:tc>
        <w:tc>
          <w:tcPr>
            <w:tcW w:w="908" w:type="dxa"/>
            <w:noWrap/>
            <w:hideMark/>
          </w:tcPr>
          <w:p w14:paraId="068C166B" w14:textId="216A5AC7" w:rsidR="006A2543" w:rsidRPr="00D76711" w:rsidRDefault="00641E05" w:rsidP="00B02509">
            <w:pPr>
              <w:jc w:val="both"/>
              <w:rPr>
                <w:rFonts w:ascii="Garamond" w:hAnsi="Garamond"/>
                <w:sz w:val="18"/>
                <w:szCs w:val="18"/>
              </w:rPr>
            </w:pPr>
            <w:r>
              <w:rPr>
                <w:rFonts w:ascii="Garamond" w:hAnsi="Garamond"/>
                <w:sz w:val="18"/>
                <w:szCs w:val="18"/>
              </w:rPr>
              <w:t>35.</w:t>
            </w:r>
            <w:r w:rsidR="006A2543" w:rsidRPr="00D76711">
              <w:rPr>
                <w:rFonts w:ascii="Garamond" w:hAnsi="Garamond"/>
                <w:sz w:val="18"/>
                <w:szCs w:val="18"/>
              </w:rPr>
              <w:t>7%</w:t>
            </w:r>
          </w:p>
        </w:tc>
        <w:tc>
          <w:tcPr>
            <w:tcW w:w="1611" w:type="dxa"/>
            <w:noWrap/>
            <w:hideMark/>
          </w:tcPr>
          <w:p w14:paraId="4744BBD8" w14:textId="2A1DA6F9" w:rsidR="006A2543" w:rsidRPr="00D76711" w:rsidRDefault="00641E05" w:rsidP="00B02509">
            <w:pPr>
              <w:jc w:val="both"/>
              <w:rPr>
                <w:rFonts w:ascii="Garamond" w:hAnsi="Garamond"/>
                <w:sz w:val="18"/>
                <w:szCs w:val="18"/>
              </w:rPr>
            </w:pPr>
            <w:r>
              <w:rPr>
                <w:rFonts w:ascii="Garamond" w:hAnsi="Garamond"/>
                <w:sz w:val="18"/>
                <w:szCs w:val="18"/>
              </w:rPr>
              <w:t>64.</w:t>
            </w:r>
            <w:r w:rsidR="006A2543" w:rsidRPr="00D76711">
              <w:rPr>
                <w:rFonts w:ascii="Garamond" w:hAnsi="Garamond"/>
                <w:sz w:val="18"/>
                <w:szCs w:val="18"/>
              </w:rPr>
              <w:t>3%</w:t>
            </w:r>
          </w:p>
        </w:tc>
        <w:tc>
          <w:tcPr>
            <w:tcW w:w="1606" w:type="dxa"/>
            <w:noWrap/>
            <w:hideMark/>
          </w:tcPr>
          <w:p w14:paraId="32E7376B" w14:textId="5B601665" w:rsidR="006A2543" w:rsidRPr="00D76711" w:rsidRDefault="00641E05" w:rsidP="00B02509">
            <w:pPr>
              <w:jc w:val="both"/>
              <w:rPr>
                <w:rFonts w:ascii="Garamond" w:hAnsi="Garamond"/>
                <w:sz w:val="18"/>
                <w:szCs w:val="18"/>
              </w:rPr>
            </w:pPr>
            <w:r>
              <w:rPr>
                <w:rFonts w:ascii="Garamond" w:hAnsi="Garamond"/>
                <w:sz w:val="18"/>
                <w:szCs w:val="18"/>
              </w:rPr>
              <w:t>100.</w:t>
            </w:r>
            <w:r w:rsidR="006A2543" w:rsidRPr="00D76711">
              <w:rPr>
                <w:rFonts w:ascii="Garamond" w:hAnsi="Garamond"/>
                <w:sz w:val="18"/>
                <w:szCs w:val="18"/>
              </w:rPr>
              <w:t>0%</w:t>
            </w:r>
          </w:p>
        </w:tc>
      </w:tr>
      <w:tr w:rsidR="006A2543" w:rsidRPr="00D76711" w14:paraId="37FE528F" w14:textId="77777777" w:rsidTr="00B02509">
        <w:trPr>
          <w:trHeight w:val="521"/>
        </w:trPr>
        <w:tc>
          <w:tcPr>
            <w:tcW w:w="0" w:type="auto"/>
            <w:gridSpan w:val="2"/>
            <w:vMerge/>
            <w:hideMark/>
          </w:tcPr>
          <w:p w14:paraId="716BAB64" w14:textId="77777777" w:rsidR="006A2543" w:rsidRPr="00D76711" w:rsidRDefault="006A2543" w:rsidP="00B02509">
            <w:pPr>
              <w:jc w:val="both"/>
              <w:rPr>
                <w:rFonts w:ascii="Garamond" w:hAnsi="Garamond"/>
                <w:b/>
                <w:bCs/>
                <w:sz w:val="18"/>
                <w:szCs w:val="18"/>
              </w:rPr>
            </w:pPr>
          </w:p>
        </w:tc>
        <w:tc>
          <w:tcPr>
            <w:tcW w:w="1720" w:type="dxa"/>
            <w:hideMark/>
          </w:tcPr>
          <w:p w14:paraId="4A9B13BD" w14:textId="77777777" w:rsidR="006A2543" w:rsidRPr="00D76711" w:rsidRDefault="006A2543" w:rsidP="00B02509">
            <w:pPr>
              <w:jc w:val="both"/>
              <w:rPr>
                <w:rFonts w:ascii="Garamond" w:hAnsi="Garamond"/>
                <w:sz w:val="18"/>
                <w:szCs w:val="18"/>
              </w:rPr>
            </w:pPr>
            <w:r w:rsidRPr="00D76711">
              <w:rPr>
                <w:rFonts w:ascii="Garamond" w:hAnsi="Garamond"/>
                <w:sz w:val="18"/>
                <w:szCs w:val="18"/>
              </w:rPr>
              <w:t>% within Discursive style</w:t>
            </w:r>
          </w:p>
        </w:tc>
        <w:tc>
          <w:tcPr>
            <w:tcW w:w="908" w:type="dxa"/>
            <w:noWrap/>
            <w:hideMark/>
          </w:tcPr>
          <w:p w14:paraId="3A510F9B" w14:textId="341326C9" w:rsidR="006A2543" w:rsidRPr="00D76711" w:rsidRDefault="006A2543" w:rsidP="00641E05">
            <w:pPr>
              <w:jc w:val="both"/>
              <w:rPr>
                <w:rFonts w:ascii="Garamond" w:hAnsi="Garamond"/>
                <w:sz w:val="18"/>
                <w:szCs w:val="18"/>
              </w:rPr>
            </w:pPr>
            <w:r w:rsidRPr="00D76711">
              <w:rPr>
                <w:rFonts w:ascii="Garamond" w:hAnsi="Garamond"/>
                <w:sz w:val="18"/>
                <w:szCs w:val="18"/>
              </w:rPr>
              <w:t>100</w:t>
            </w:r>
            <w:r w:rsidR="00641E05">
              <w:rPr>
                <w:rFonts w:ascii="Garamond" w:hAnsi="Garamond"/>
                <w:sz w:val="18"/>
                <w:szCs w:val="18"/>
              </w:rPr>
              <w:t>.</w:t>
            </w:r>
            <w:r w:rsidRPr="00D76711">
              <w:rPr>
                <w:rFonts w:ascii="Garamond" w:hAnsi="Garamond"/>
                <w:sz w:val="18"/>
                <w:szCs w:val="18"/>
              </w:rPr>
              <w:t>0%</w:t>
            </w:r>
          </w:p>
        </w:tc>
        <w:tc>
          <w:tcPr>
            <w:tcW w:w="1611" w:type="dxa"/>
            <w:noWrap/>
            <w:hideMark/>
          </w:tcPr>
          <w:p w14:paraId="52D06DE5" w14:textId="39CDD689" w:rsidR="006A2543" w:rsidRPr="00D76711" w:rsidRDefault="006A2543" w:rsidP="00641E05">
            <w:pPr>
              <w:jc w:val="both"/>
              <w:rPr>
                <w:rFonts w:ascii="Garamond" w:hAnsi="Garamond"/>
                <w:sz w:val="18"/>
                <w:szCs w:val="18"/>
              </w:rPr>
            </w:pPr>
            <w:r w:rsidRPr="00D76711">
              <w:rPr>
                <w:rFonts w:ascii="Garamond" w:hAnsi="Garamond"/>
                <w:sz w:val="18"/>
                <w:szCs w:val="18"/>
              </w:rPr>
              <w:t>100</w:t>
            </w:r>
            <w:r w:rsidR="00641E05">
              <w:rPr>
                <w:rFonts w:ascii="Garamond" w:hAnsi="Garamond"/>
                <w:sz w:val="18"/>
                <w:szCs w:val="18"/>
              </w:rPr>
              <w:t>.</w:t>
            </w:r>
            <w:r w:rsidRPr="00D76711">
              <w:rPr>
                <w:rFonts w:ascii="Garamond" w:hAnsi="Garamond"/>
                <w:sz w:val="18"/>
                <w:szCs w:val="18"/>
              </w:rPr>
              <w:t>0%</w:t>
            </w:r>
          </w:p>
        </w:tc>
        <w:tc>
          <w:tcPr>
            <w:tcW w:w="1606" w:type="dxa"/>
            <w:noWrap/>
            <w:hideMark/>
          </w:tcPr>
          <w:p w14:paraId="2114DA10" w14:textId="6FBE0466" w:rsidR="006A2543" w:rsidRPr="00D76711" w:rsidRDefault="006A2543" w:rsidP="00641E05">
            <w:pPr>
              <w:jc w:val="both"/>
              <w:rPr>
                <w:rFonts w:ascii="Garamond" w:hAnsi="Garamond"/>
                <w:sz w:val="18"/>
                <w:szCs w:val="18"/>
              </w:rPr>
            </w:pPr>
            <w:r w:rsidRPr="00D76711">
              <w:rPr>
                <w:rFonts w:ascii="Garamond" w:hAnsi="Garamond"/>
                <w:sz w:val="18"/>
                <w:szCs w:val="18"/>
              </w:rPr>
              <w:t>100</w:t>
            </w:r>
            <w:r w:rsidR="00641E05">
              <w:rPr>
                <w:rFonts w:ascii="Garamond" w:hAnsi="Garamond"/>
                <w:sz w:val="18"/>
                <w:szCs w:val="18"/>
              </w:rPr>
              <w:t>.</w:t>
            </w:r>
            <w:r w:rsidRPr="00D76711">
              <w:rPr>
                <w:rFonts w:ascii="Garamond" w:hAnsi="Garamond"/>
                <w:sz w:val="18"/>
                <w:szCs w:val="18"/>
              </w:rPr>
              <w:t>0%</w:t>
            </w:r>
          </w:p>
        </w:tc>
      </w:tr>
    </w:tbl>
    <w:p w14:paraId="32B1FB03" w14:textId="77777777" w:rsidR="006A2543" w:rsidRPr="00D76711" w:rsidRDefault="006A2543" w:rsidP="006A2543">
      <w:pPr>
        <w:jc w:val="both"/>
        <w:rPr>
          <w:rFonts w:ascii="Garamond" w:hAnsi="Garamond"/>
          <w:sz w:val="18"/>
          <w:szCs w:val="18"/>
        </w:rPr>
      </w:pPr>
    </w:p>
    <w:p w14:paraId="70F76B5E" w14:textId="77777777" w:rsidR="006A2543" w:rsidRDefault="006A2543" w:rsidP="006A2543">
      <w:pPr>
        <w:jc w:val="both"/>
        <w:rPr>
          <w:rFonts w:ascii="Garamond" w:hAnsi="Garamond"/>
          <w:b/>
          <w:bCs/>
          <w:sz w:val="18"/>
          <w:szCs w:val="18"/>
        </w:rPr>
      </w:pPr>
    </w:p>
    <w:p w14:paraId="5EDEE7B6" w14:textId="77777777" w:rsidR="006A2543" w:rsidRDefault="006A2543" w:rsidP="006A2543">
      <w:pPr>
        <w:jc w:val="both"/>
        <w:rPr>
          <w:rFonts w:ascii="Garamond" w:hAnsi="Garamond"/>
          <w:b/>
          <w:bCs/>
          <w:sz w:val="18"/>
          <w:szCs w:val="18"/>
        </w:rPr>
      </w:pPr>
      <w:r w:rsidRPr="00D76711">
        <w:rPr>
          <w:rFonts w:ascii="Garamond" w:hAnsi="Garamond"/>
          <w:b/>
          <w:bCs/>
          <w:sz w:val="18"/>
          <w:szCs w:val="18"/>
        </w:rPr>
        <w:t xml:space="preserve">Table </w:t>
      </w:r>
      <w:r w:rsidRPr="00612600">
        <w:rPr>
          <w:rFonts w:ascii="Garamond" w:hAnsi="Garamond"/>
          <w:b/>
          <w:bCs/>
          <w:sz w:val="18"/>
          <w:szCs w:val="18"/>
        </w:rPr>
        <w:t>3</w:t>
      </w:r>
      <w:r w:rsidRPr="00D76711">
        <w:rPr>
          <w:rFonts w:ascii="Garamond" w:hAnsi="Garamond"/>
          <w:b/>
          <w:bCs/>
          <w:sz w:val="18"/>
          <w:szCs w:val="18"/>
        </w:rPr>
        <w:t xml:space="preserve"> – Relationship between reference to literature and discursive style</w:t>
      </w:r>
    </w:p>
    <w:p w14:paraId="286C26FB" w14:textId="77777777" w:rsidR="006A2543" w:rsidRPr="00D76711" w:rsidRDefault="006A2543" w:rsidP="006A2543">
      <w:pPr>
        <w:jc w:val="both"/>
        <w:rPr>
          <w:rFonts w:ascii="Garamond" w:hAnsi="Garamond"/>
          <w:b/>
          <w:bCs/>
          <w:sz w:val="18"/>
          <w:szCs w:val="18"/>
        </w:rPr>
      </w:pPr>
    </w:p>
    <w:tbl>
      <w:tblPr>
        <w:tblStyle w:val="TableGrid"/>
        <w:tblW w:w="7395" w:type="dxa"/>
        <w:tblLook w:val="04A0" w:firstRow="1" w:lastRow="0" w:firstColumn="1" w:lastColumn="0" w:noHBand="0" w:noVBand="1"/>
      </w:tblPr>
      <w:tblGrid>
        <w:gridCol w:w="1265"/>
        <w:gridCol w:w="646"/>
        <w:gridCol w:w="956"/>
        <w:gridCol w:w="1507"/>
        <w:gridCol w:w="1514"/>
        <w:gridCol w:w="1507"/>
      </w:tblGrid>
      <w:tr w:rsidR="006A2543" w:rsidRPr="00D76711" w14:paraId="190C77B9" w14:textId="77777777" w:rsidTr="00B02509">
        <w:trPr>
          <w:trHeight w:val="143"/>
        </w:trPr>
        <w:tc>
          <w:tcPr>
            <w:tcW w:w="2867" w:type="dxa"/>
            <w:gridSpan w:val="3"/>
            <w:vMerge w:val="restart"/>
            <w:hideMark/>
          </w:tcPr>
          <w:p w14:paraId="58203A4F" w14:textId="77777777" w:rsidR="006A2543" w:rsidRPr="00D76711" w:rsidRDefault="006A2543" w:rsidP="00B02509">
            <w:pPr>
              <w:jc w:val="both"/>
              <w:rPr>
                <w:rFonts w:ascii="Garamond" w:hAnsi="Garamond"/>
                <w:b/>
                <w:bCs/>
                <w:sz w:val="18"/>
                <w:szCs w:val="18"/>
              </w:rPr>
            </w:pPr>
            <w:r w:rsidRPr="00D76711">
              <w:rPr>
                <w:rFonts w:ascii="Garamond" w:hAnsi="Garamond"/>
                <w:b/>
                <w:bCs/>
                <w:sz w:val="18"/>
                <w:szCs w:val="18"/>
              </w:rPr>
              <w:t> </w:t>
            </w:r>
          </w:p>
        </w:tc>
        <w:tc>
          <w:tcPr>
            <w:tcW w:w="3021" w:type="dxa"/>
            <w:gridSpan w:val="2"/>
            <w:hideMark/>
          </w:tcPr>
          <w:p w14:paraId="6769BB58" w14:textId="77777777" w:rsidR="006A2543" w:rsidRPr="00D76711" w:rsidRDefault="006A2543" w:rsidP="00B02509">
            <w:pPr>
              <w:jc w:val="both"/>
              <w:rPr>
                <w:rFonts w:ascii="Garamond" w:hAnsi="Garamond"/>
                <w:b/>
                <w:bCs/>
                <w:sz w:val="18"/>
                <w:szCs w:val="18"/>
              </w:rPr>
            </w:pPr>
            <w:r w:rsidRPr="00D76711">
              <w:rPr>
                <w:rFonts w:ascii="Garamond" w:hAnsi="Garamond"/>
                <w:b/>
                <w:bCs/>
                <w:sz w:val="18"/>
                <w:szCs w:val="18"/>
              </w:rPr>
              <w:t>Discursive style</w:t>
            </w:r>
          </w:p>
        </w:tc>
        <w:tc>
          <w:tcPr>
            <w:tcW w:w="1507" w:type="dxa"/>
            <w:vMerge w:val="restart"/>
            <w:hideMark/>
          </w:tcPr>
          <w:p w14:paraId="5E450638" w14:textId="77777777" w:rsidR="006A2543" w:rsidRPr="00D76711" w:rsidRDefault="006A2543" w:rsidP="00B02509">
            <w:pPr>
              <w:jc w:val="both"/>
              <w:rPr>
                <w:rFonts w:ascii="Garamond" w:hAnsi="Garamond"/>
                <w:b/>
                <w:bCs/>
                <w:sz w:val="18"/>
                <w:szCs w:val="18"/>
              </w:rPr>
            </w:pPr>
            <w:r w:rsidRPr="00D76711">
              <w:rPr>
                <w:rFonts w:ascii="Garamond" w:hAnsi="Garamond"/>
                <w:b/>
                <w:bCs/>
                <w:sz w:val="18"/>
                <w:szCs w:val="18"/>
              </w:rPr>
              <w:t>Total</w:t>
            </w:r>
          </w:p>
        </w:tc>
      </w:tr>
      <w:tr w:rsidR="006A2543" w:rsidRPr="00D76711" w14:paraId="31C4E01C" w14:textId="77777777" w:rsidTr="00B02509">
        <w:trPr>
          <w:trHeight w:val="143"/>
        </w:trPr>
        <w:tc>
          <w:tcPr>
            <w:tcW w:w="0" w:type="auto"/>
            <w:gridSpan w:val="3"/>
            <w:vMerge/>
            <w:hideMark/>
          </w:tcPr>
          <w:p w14:paraId="0E59C4D5" w14:textId="77777777" w:rsidR="006A2543" w:rsidRPr="00D76711" w:rsidRDefault="006A2543" w:rsidP="00B02509">
            <w:pPr>
              <w:jc w:val="both"/>
              <w:rPr>
                <w:rFonts w:ascii="Garamond" w:hAnsi="Garamond"/>
                <w:b/>
                <w:bCs/>
                <w:sz w:val="18"/>
                <w:szCs w:val="18"/>
              </w:rPr>
            </w:pPr>
          </w:p>
        </w:tc>
        <w:tc>
          <w:tcPr>
            <w:tcW w:w="1507" w:type="dxa"/>
            <w:noWrap/>
            <w:hideMark/>
          </w:tcPr>
          <w:p w14:paraId="24E0E3F1" w14:textId="77777777" w:rsidR="006A2543" w:rsidRPr="00D76711" w:rsidRDefault="006A2543" w:rsidP="00B02509">
            <w:pPr>
              <w:jc w:val="both"/>
              <w:rPr>
                <w:rFonts w:ascii="Garamond" w:hAnsi="Garamond"/>
                <w:sz w:val="18"/>
                <w:szCs w:val="18"/>
              </w:rPr>
            </w:pPr>
            <w:r w:rsidRPr="00D76711">
              <w:rPr>
                <w:rFonts w:ascii="Garamond" w:hAnsi="Garamond"/>
                <w:sz w:val="18"/>
                <w:szCs w:val="18"/>
              </w:rPr>
              <w:t>No</w:t>
            </w:r>
          </w:p>
        </w:tc>
        <w:tc>
          <w:tcPr>
            <w:tcW w:w="1514" w:type="dxa"/>
            <w:noWrap/>
            <w:hideMark/>
          </w:tcPr>
          <w:p w14:paraId="62954FBE" w14:textId="77777777" w:rsidR="006A2543" w:rsidRPr="00D76711" w:rsidRDefault="006A2543" w:rsidP="00B02509">
            <w:pPr>
              <w:jc w:val="both"/>
              <w:rPr>
                <w:rFonts w:ascii="Garamond" w:hAnsi="Garamond"/>
                <w:sz w:val="18"/>
                <w:szCs w:val="18"/>
              </w:rPr>
            </w:pPr>
            <w:r w:rsidRPr="00D76711">
              <w:rPr>
                <w:rFonts w:ascii="Garamond" w:hAnsi="Garamond"/>
                <w:sz w:val="18"/>
                <w:szCs w:val="18"/>
              </w:rPr>
              <w:t>Yes</w:t>
            </w:r>
          </w:p>
        </w:tc>
        <w:tc>
          <w:tcPr>
            <w:tcW w:w="0" w:type="auto"/>
            <w:vMerge/>
            <w:hideMark/>
          </w:tcPr>
          <w:p w14:paraId="152118E6" w14:textId="77777777" w:rsidR="006A2543" w:rsidRPr="00D76711" w:rsidRDefault="006A2543" w:rsidP="00B02509">
            <w:pPr>
              <w:jc w:val="both"/>
              <w:rPr>
                <w:rFonts w:ascii="Garamond" w:hAnsi="Garamond"/>
                <w:sz w:val="18"/>
                <w:szCs w:val="18"/>
              </w:rPr>
            </w:pPr>
          </w:p>
        </w:tc>
      </w:tr>
      <w:tr w:rsidR="006A2543" w:rsidRPr="00D76711" w14:paraId="4C33E97F" w14:textId="77777777" w:rsidTr="00B02509">
        <w:trPr>
          <w:trHeight w:val="149"/>
        </w:trPr>
        <w:tc>
          <w:tcPr>
            <w:tcW w:w="1265" w:type="dxa"/>
            <w:vMerge w:val="restart"/>
            <w:hideMark/>
          </w:tcPr>
          <w:p w14:paraId="68D6609F" w14:textId="77777777" w:rsidR="006A2543" w:rsidRPr="00D76711" w:rsidRDefault="006A2543" w:rsidP="00B02509">
            <w:pPr>
              <w:jc w:val="both"/>
              <w:rPr>
                <w:rFonts w:ascii="Garamond" w:hAnsi="Garamond"/>
                <w:b/>
                <w:bCs/>
                <w:sz w:val="18"/>
                <w:szCs w:val="18"/>
              </w:rPr>
            </w:pPr>
            <w:r w:rsidRPr="00D76711">
              <w:rPr>
                <w:rFonts w:ascii="Garamond" w:hAnsi="Garamond"/>
                <w:b/>
                <w:bCs/>
                <w:sz w:val="18"/>
                <w:szCs w:val="18"/>
              </w:rPr>
              <w:t>Refers to scholarly literature</w:t>
            </w:r>
          </w:p>
        </w:tc>
        <w:tc>
          <w:tcPr>
            <w:tcW w:w="645" w:type="dxa"/>
            <w:vMerge w:val="restart"/>
            <w:noWrap/>
            <w:hideMark/>
          </w:tcPr>
          <w:p w14:paraId="0345946C" w14:textId="77777777" w:rsidR="006A2543" w:rsidRPr="00D76711" w:rsidRDefault="006A2543" w:rsidP="00B02509">
            <w:pPr>
              <w:jc w:val="both"/>
              <w:rPr>
                <w:rFonts w:ascii="Garamond" w:hAnsi="Garamond"/>
                <w:sz w:val="18"/>
                <w:szCs w:val="18"/>
              </w:rPr>
            </w:pPr>
            <w:r w:rsidRPr="00D76711">
              <w:rPr>
                <w:rFonts w:ascii="Garamond" w:hAnsi="Garamond"/>
                <w:sz w:val="18"/>
                <w:szCs w:val="18"/>
              </w:rPr>
              <w:t>No</w:t>
            </w:r>
          </w:p>
        </w:tc>
        <w:tc>
          <w:tcPr>
            <w:tcW w:w="955" w:type="dxa"/>
            <w:hideMark/>
          </w:tcPr>
          <w:p w14:paraId="1F5BB2DA" w14:textId="77777777" w:rsidR="006A2543" w:rsidRPr="00D76711" w:rsidRDefault="006A2543" w:rsidP="00B02509">
            <w:pPr>
              <w:jc w:val="both"/>
              <w:rPr>
                <w:rFonts w:ascii="Garamond" w:hAnsi="Garamond"/>
                <w:sz w:val="18"/>
                <w:szCs w:val="18"/>
              </w:rPr>
            </w:pPr>
            <w:r w:rsidRPr="00D76711">
              <w:rPr>
                <w:rFonts w:ascii="Garamond" w:hAnsi="Garamond"/>
                <w:sz w:val="18"/>
                <w:szCs w:val="18"/>
              </w:rPr>
              <w:t>Count</w:t>
            </w:r>
          </w:p>
        </w:tc>
        <w:tc>
          <w:tcPr>
            <w:tcW w:w="1507" w:type="dxa"/>
            <w:noWrap/>
            <w:hideMark/>
          </w:tcPr>
          <w:p w14:paraId="1BE910D8" w14:textId="77777777" w:rsidR="006A2543" w:rsidRPr="00D76711" w:rsidRDefault="006A2543" w:rsidP="00B02509">
            <w:pPr>
              <w:jc w:val="both"/>
              <w:rPr>
                <w:rFonts w:ascii="Garamond" w:hAnsi="Garamond"/>
                <w:sz w:val="18"/>
                <w:szCs w:val="18"/>
              </w:rPr>
            </w:pPr>
            <w:r w:rsidRPr="00D76711">
              <w:rPr>
                <w:rFonts w:ascii="Garamond" w:hAnsi="Garamond"/>
                <w:sz w:val="18"/>
                <w:szCs w:val="18"/>
              </w:rPr>
              <w:t>21</w:t>
            </w:r>
          </w:p>
        </w:tc>
        <w:tc>
          <w:tcPr>
            <w:tcW w:w="1514" w:type="dxa"/>
            <w:noWrap/>
            <w:hideMark/>
          </w:tcPr>
          <w:p w14:paraId="5737E910" w14:textId="77777777" w:rsidR="006A2543" w:rsidRPr="00D76711" w:rsidRDefault="006A2543" w:rsidP="00B02509">
            <w:pPr>
              <w:jc w:val="both"/>
              <w:rPr>
                <w:rFonts w:ascii="Garamond" w:hAnsi="Garamond"/>
                <w:sz w:val="18"/>
                <w:szCs w:val="18"/>
              </w:rPr>
            </w:pPr>
            <w:r w:rsidRPr="00D76711">
              <w:rPr>
                <w:rFonts w:ascii="Garamond" w:hAnsi="Garamond"/>
                <w:sz w:val="18"/>
                <w:szCs w:val="18"/>
              </w:rPr>
              <w:t>37</w:t>
            </w:r>
          </w:p>
        </w:tc>
        <w:tc>
          <w:tcPr>
            <w:tcW w:w="1507" w:type="dxa"/>
            <w:noWrap/>
            <w:hideMark/>
          </w:tcPr>
          <w:p w14:paraId="16F4E64E" w14:textId="77777777" w:rsidR="006A2543" w:rsidRPr="00D76711" w:rsidRDefault="006A2543" w:rsidP="00B02509">
            <w:pPr>
              <w:jc w:val="both"/>
              <w:rPr>
                <w:rFonts w:ascii="Garamond" w:hAnsi="Garamond"/>
                <w:sz w:val="18"/>
                <w:szCs w:val="18"/>
              </w:rPr>
            </w:pPr>
            <w:r w:rsidRPr="00D76711">
              <w:rPr>
                <w:rFonts w:ascii="Garamond" w:hAnsi="Garamond"/>
                <w:sz w:val="18"/>
                <w:szCs w:val="18"/>
              </w:rPr>
              <w:t>58</w:t>
            </w:r>
          </w:p>
        </w:tc>
      </w:tr>
      <w:tr w:rsidR="006A2543" w:rsidRPr="00D76711" w14:paraId="4E0918E0" w14:textId="77777777" w:rsidTr="00B02509">
        <w:trPr>
          <w:trHeight w:val="288"/>
        </w:trPr>
        <w:tc>
          <w:tcPr>
            <w:tcW w:w="0" w:type="auto"/>
            <w:vMerge/>
            <w:hideMark/>
          </w:tcPr>
          <w:p w14:paraId="7E917896" w14:textId="77777777" w:rsidR="006A2543" w:rsidRPr="00D76711" w:rsidRDefault="006A2543" w:rsidP="00B02509">
            <w:pPr>
              <w:jc w:val="both"/>
              <w:rPr>
                <w:rFonts w:ascii="Garamond" w:hAnsi="Garamond"/>
                <w:b/>
                <w:bCs/>
                <w:sz w:val="18"/>
                <w:szCs w:val="18"/>
              </w:rPr>
            </w:pPr>
          </w:p>
        </w:tc>
        <w:tc>
          <w:tcPr>
            <w:tcW w:w="0" w:type="auto"/>
            <w:vMerge/>
            <w:hideMark/>
          </w:tcPr>
          <w:p w14:paraId="2DCC0F53" w14:textId="77777777" w:rsidR="006A2543" w:rsidRPr="00D76711" w:rsidRDefault="006A2543" w:rsidP="00B02509">
            <w:pPr>
              <w:jc w:val="both"/>
              <w:rPr>
                <w:rFonts w:ascii="Garamond" w:hAnsi="Garamond"/>
                <w:sz w:val="18"/>
                <w:szCs w:val="18"/>
              </w:rPr>
            </w:pPr>
          </w:p>
        </w:tc>
        <w:tc>
          <w:tcPr>
            <w:tcW w:w="955" w:type="dxa"/>
            <w:hideMark/>
          </w:tcPr>
          <w:p w14:paraId="0874AE29" w14:textId="77777777" w:rsidR="006A2543" w:rsidRPr="00D76711" w:rsidRDefault="006A2543" w:rsidP="00B02509">
            <w:pPr>
              <w:jc w:val="both"/>
              <w:rPr>
                <w:rFonts w:ascii="Garamond" w:hAnsi="Garamond"/>
                <w:sz w:val="18"/>
                <w:szCs w:val="18"/>
              </w:rPr>
            </w:pPr>
            <w:r w:rsidRPr="00D76711">
              <w:rPr>
                <w:rFonts w:ascii="Garamond" w:hAnsi="Garamond"/>
                <w:sz w:val="18"/>
                <w:szCs w:val="18"/>
              </w:rPr>
              <w:t>% within Refers to scholarly literature</w:t>
            </w:r>
          </w:p>
        </w:tc>
        <w:tc>
          <w:tcPr>
            <w:tcW w:w="1507" w:type="dxa"/>
            <w:noWrap/>
            <w:hideMark/>
          </w:tcPr>
          <w:p w14:paraId="7F4A078C" w14:textId="65A5C583" w:rsidR="006A2543" w:rsidRPr="00D76711" w:rsidRDefault="00641E05" w:rsidP="00B02509">
            <w:pPr>
              <w:jc w:val="both"/>
              <w:rPr>
                <w:rFonts w:ascii="Garamond" w:hAnsi="Garamond"/>
                <w:sz w:val="18"/>
                <w:szCs w:val="18"/>
              </w:rPr>
            </w:pPr>
            <w:r>
              <w:rPr>
                <w:rFonts w:ascii="Garamond" w:hAnsi="Garamond"/>
                <w:sz w:val="18"/>
                <w:szCs w:val="18"/>
              </w:rPr>
              <w:t>36.</w:t>
            </w:r>
            <w:r w:rsidR="006A2543" w:rsidRPr="00D76711">
              <w:rPr>
                <w:rFonts w:ascii="Garamond" w:hAnsi="Garamond"/>
                <w:sz w:val="18"/>
                <w:szCs w:val="18"/>
              </w:rPr>
              <w:t>2%</w:t>
            </w:r>
          </w:p>
        </w:tc>
        <w:tc>
          <w:tcPr>
            <w:tcW w:w="1514" w:type="dxa"/>
            <w:noWrap/>
            <w:hideMark/>
          </w:tcPr>
          <w:p w14:paraId="56108FF4" w14:textId="29B56E3A" w:rsidR="006A2543" w:rsidRPr="00D76711" w:rsidRDefault="00641E05" w:rsidP="00B02509">
            <w:pPr>
              <w:jc w:val="both"/>
              <w:rPr>
                <w:rFonts w:ascii="Garamond" w:hAnsi="Garamond"/>
                <w:sz w:val="18"/>
                <w:szCs w:val="18"/>
              </w:rPr>
            </w:pPr>
            <w:r>
              <w:rPr>
                <w:rFonts w:ascii="Garamond" w:hAnsi="Garamond"/>
                <w:sz w:val="18"/>
                <w:szCs w:val="18"/>
              </w:rPr>
              <w:t>63.</w:t>
            </w:r>
            <w:r w:rsidR="006A2543" w:rsidRPr="00D76711">
              <w:rPr>
                <w:rFonts w:ascii="Garamond" w:hAnsi="Garamond"/>
                <w:sz w:val="18"/>
                <w:szCs w:val="18"/>
              </w:rPr>
              <w:t>8%</w:t>
            </w:r>
          </w:p>
        </w:tc>
        <w:tc>
          <w:tcPr>
            <w:tcW w:w="1507" w:type="dxa"/>
            <w:noWrap/>
            <w:hideMark/>
          </w:tcPr>
          <w:p w14:paraId="546F547D" w14:textId="66DDAB30" w:rsidR="006A2543" w:rsidRPr="00D76711" w:rsidRDefault="006A2543" w:rsidP="00641E05">
            <w:pPr>
              <w:jc w:val="both"/>
              <w:rPr>
                <w:rFonts w:ascii="Garamond" w:hAnsi="Garamond"/>
                <w:sz w:val="18"/>
                <w:szCs w:val="18"/>
              </w:rPr>
            </w:pPr>
            <w:r w:rsidRPr="00D76711">
              <w:rPr>
                <w:rFonts w:ascii="Garamond" w:hAnsi="Garamond"/>
                <w:sz w:val="18"/>
                <w:szCs w:val="18"/>
              </w:rPr>
              <w:t>100</w:t>
            </w:r>
            <w:r w:rsidR="00641E05">
              <w:rPr>
                <w:rFonts w:ascii="Garamond" w:hAnsi="Garamond"/>
                <w:sz w:val="18"/>
                <w:szCs w:val="18"/>
              </w:rPr>
              <w:t>.</w:t>
            </w:r>
            <w:r w:rsidRPr="00D76711">
              <w:rPr>
                <w:rFonts w:ascii="Garamond" w:hAnsi="Garamond"/>
                <w:sz w:val="18"/>
                <w:szCs w:val="18"/>
              </w:rPr>
              <w:t>0%</w:t>
            </w:r>
          </w:p>
        </w:tc>
      </w:tr>
      <w:tr w:rsidR="006A2543" w:rsidRPr="00D76711" w14:paraId="782B9F0A" w14:textId="77777777" w:rsidTr="00B02509">
        <w:trPr>
          <w:trHeight w:val="288"/>
        </w:trPr>
        <w:tc>
          <w:tcPr>
            <w:tcW w:w="0" w:type="auto"/>
            <w:vMerge/>
            <w:hideMark/>
          </w:tcPr>
          <w:p w14:paraId="4E0C1E91" w14:textId="77777777" w:rsidR="006A2543" w:rsidRPr="00D76711" w:rsidRDefault="006A2543" w:rsidP="00B02509">
            <w:pPr>
              <w:jc w:val="both"/>
              <w:rPr>
                <w:rFonts w:ascii="Garamond" w:hAnsi="Garamond"/>
                <w:b/>
                <w:bCs/>
                <w:sz w:val="18"/>
                <w:szCs w:val="18"/>
              </w:rPr>
            </w:pPr>
          </w:p>
        </w:tc>
        <w:tc>
          <w:tcPr>
            <w:tcW w:w="0" w:type="auto"/>
            <w:vMerge/>
            <w:hideMark/>
          </w:tcPr>
          <w:p w14:paraId="41FD8EAC" w14:textId="77777777" w:rsidR="006A2543" w:rsidRPr="00D76711" w:rsidRDefault="006A2543" w:rsidP="00B02509">
            <w:pPr>
              <w:jc w:val="both"/>
              <w:rPr>
                <w:rFonts w:ascii="Garamond" w:hAnsi="Garamond"/>
                <w:sz w:val="18"/>
                <w:szCs w:val="18"/>
              </w:rPr>
            </w:pPr>
          </w:p>
        </w:tc>
        <w:tc>
          <w:tcPr>
            <w:tcW w:w="955" w:type="dxa"/>
            <w:hideMark/>
          </w:tcPr>
          <w:p w14:paraId="375728D6" w14:textId="77777777" w:rsidR="006A2543" w:rsidRPr="00D76711" w:rsidRDefault="006A2543" w:rsidP="00B02509">
            <w:pPr>
              <w:jc w:val="both"/>
              <w:rPr>
                <w:rFonts w:ascii="Garamond" w:hAnsi="Garamond"/>
                <w:sz w:val="18"/>
                <w:szCs w:val="18"/>
              </w:rPr>
            </w:pPr>
            <w:r w:rsidRPr="00D76711">
              <w:rPr>
                <w:rFonts w:ascii="Garamond" w:hAnsi="Garamond"/>
                <w:sz w:val="18"/>
                <w:szCs w:val="18"/>
              </w:rPr>
              <w:t>% within Discursive style</w:t>
            </w:r>
          </w:p>
        </w:tc>
        <w:tc>
          <w:tcPr>
            <w:tcW w:w="1507" w:type="dxa"/>
            <w:noWrap/>
            <w:hideMark/>
          </w:tcPr>
          <w:p w14:paraId="25C6771B" w14:textId="319A81BB" w:rsidR="006A2543" w:rsidRPr="00D76711" w:rsidRDefault="00641E05" w:rsidP="00B02509">
            <w:pPr>
              <w:jc w:val="both"/>
              <w:rPr>
                <w:rFonts w:ascii="Garamond" w:hAnsi="Garamond"/>
                <w:sz w:val="18"/>
                <w:szCs w:val="18"/>
              </w:rPr>
            </w:pPr>
            <w:r>
              <w:rPr>
                <w:rFonts w:ascii="Garamond" w:hAnsi="Garamond"/>
                <w:sz w:val="18"/>
                <w:szCs w:val="18"/>
              </w:rPr>
              <w:t>84.</w:t>
            </w:r>
            <w:r w:rsidR="006A2543" w:rsidRPr="00D76711">
              <w:rPr>
                <w:rFonts w:ascii="Garamond" w:hAnsi="Garamond"/>
                <w:sz w:val="18"/>
                <w:szCs w:val="18"/>
              </w:rPr>
              <w:t>0%</w:t>
            </w:r>
          </w:p>
        </w:tc>
        <w:tc>
          <w:tcPr>
            <w:tcW w:w="1514" w:type="dxa"/>
            <w:noWrap/>
            <w:hideMark/>
          </w:tcPr>
          <w:p w14:paraId="49D406B9" w14:textId="55F6DD39" w:rsidR="006A2543" w:rsidRPr="00D76711" w:rsidRDefault="00641E05" w:rsidP="00B02509">
            <w:pPr>
              <w:jc w:val="both"/>
              <w:rPr>
                <w:rFonts w:ascii="Garamond" w:hAnsi="Garamond"/>
                <w:sz w:val="18"/>
                <w:szCs w:val="18"/>
              </w:rPr>
            </w:pPr>
            <w:r>
              <w:rPr>
                <w:rFonts w:ascii="Garamond" w:hAnsi="Garamond"/>
                <w:sz w:val="18"/>
                <w:szCs w:val="18"/>
              </w:rPr>
              <w:t>82.</w:t>
            </w:r>
            <w:r w:rsidR="006A2543" w:rsidRPr="00D76711">
              <w:rPr>
                <w:rFonts w:ascii="Garamond" w:hAnsi="Garamond"/>
                <w:sz w:val="18"/>
                <w:szCs w:val="18"/>
              </w:rPr>
              <w:t>2%</w:t>
            </w:r>
          </w:p>
        </w:tc>
        <w:tc>
          <w:tcPr>
            <w:tcW w:w="1507" w:type="dxa"/>
            <w:noWrap/>
            <w:hideMark/>
          </w:tcPr>
          <w:p w14:paraId="6612BEB9" w14:textId="34EC8C7D" w:rsidR="006A2543" w:rsidRPr="00D76711" w:rsidRDefault="00641E05" w:rsidP="00B02509">
            <w:pPr>
              <w:jc w:val="both"/>
              <w:rPr>
                <w:rFonts w:ascii="Garamond" w:hAnsi="Garamond"/>
                <w:sz w:val="18"/>
                <w:szCs w:val="18"/>
              </w:rPr>
            </w:pPr>
            <w:r>
              <w:rPr>
                <w:rFonts w:ascii="Garamond" w:hAnsi="Garamond"/>
                <w:sz w:val="18"/>
                <w:szCs w:val="18"/>
              </w:rPr>
              <w:t>82.</w:t>
            </w:r>
            <w:r w:rsidR="006A2543" w:rsidRPr="00D76711">
              <w:rPr>
                <w:rFonts w:ascii="Garamond" w:hAnsi="Garamond"/>
                <w:sz w:val="18"/>
                <w:szCs w:val="18"/>
              </w:rPr>
              <w:t>9%</w:t>
            </w:r>
          </w:p>
        </w:tc>
      </w:tr>
      <w:tr w:rsidR="006A2543" w:rsidRPr="00D76711" w14:paraId="7EEAE320" w14:textId="77777777" w:rsidTr="00B02509">
        <w:trPr>
          <w:trHeight w:val="149"/>
        </w:trPr>
        <w:tc>
          <w:tcPr>
            <w:tcW w:w="0" w:type="auto"/>
            <w:vMerge/>
            <w:hideMark/>
          </w:tcPr>
          <w:p w14:paraId="3C8128B0" w14:textId="77777777" w:rsidR="006A2543" w:rsidRPr="00D76711" w:rsidRDefault="006A2543" w:rsidP="00B02509">
            <w:pPr>
              <w:jc w:val="both"/>
              <w:rPr>
                <w:rFonts w:ascii="Garamond" w:hAnsi="Garamond"/>
                <w:b/>
                <w:bCs/>
                <w:sz w:val="18"/>
                <w:szCs w:val="18"/>
              </w:rPr>
            </w:pPr>
          </w:p>
        </w:tc>
        <w:tc>
          <w:tcPr>
            <w:tcW w:w="645" w:type="dxa"/>
            <w:vMerge w:val="restart"/>
            <w:noWrap/>
            <w:hideMark/>
          </w:tcPr>
          <w:p w14:paraId="4202AA8D" w14:textId="77777777" w:rsidR="006A2543" w:rsidRPr="00D76711" w:rsidRDefault="006A2543" w:rsidP="00B02509">
            <w:pPr>
              <w:jc w:val="both"/>
              <w:rPr>
                <w:rFonts w:ascii="Garamond" w:hAnsi="Garamond"/>
                <w:sz w:val="18"/>
                <w:szCs w:val="18"/>
              </w:rPr>
            </w:pPr>
            <w:r w:rsidRPr="00D76711">
              <w:rPr>
                <w:rFonts w:ascii="Garamond" w:hAnsi="Garamond"/>
                <w:sz w:val="18"/>
                <w:szCs w:val="18"/>
              </w:rPr>
              <w:t>Yes</w:t>
            </w:r>
          </w:p>
        </w:tc>
        <w:tc>
          <w:tcPr>
            <w:tcW w:w="955" w:type="dxa"/>
            <w:hideMark/>
          </w:tcPr>
          <w:p w14:paraId="7B55A90D" w14:textId="77777777" w:rsidR="006A2543" w:rsidRPr="00D76711" w:rsidRDefault="006A2543" w:rsidP="00B02509">
            <w:pPr>
              <w:jc w:val="both"/>
              <w:rPr>
                <w:rFonts w:ascii="Garamond" w:hAnsi="Garamond"/>
                <w:sz w:val="18"/>
                <w:szCs w:val="18"/>
              </w:rPr>
            </w:pPr>
            <w:r w:rsidRPr="00D76711">
              <w:rPr>
                <w:rFonts w:ascii="Garamond" w:hAnsi="Garamond"/>
                <w:sz w:val="18"/>
                <w:szCs w:val="18"/>
              </w:rPr>
              <w:t>Count</w:t>
            </w:r>
          </w:p>
        </w:tc>
        <w:tc>
          <w:tcPr>
            <w:tcW w:w="1507" w:type="dxa"/>
            <w:noWrap/>
            <w:hideMark/>
          </w:tcPr>
          <w:p w14:paraId="20436304" w14:textId="77777777" w:rsidR="006A2543" w:rsidRPr="00D76711" w:rsidRDefault="006A2543" w:rsidP="00B02509">
            <w:pPr>
              <w:jc w:val="both"/>
              <w:rPr>
                <w:rFonts w:ascii="Garamond" w:hAnsi="Garamond"/>
                <w:sz w:val="18"/>
                <w:szCs w:val="18"/>
              </w:rPr>
            </w:pPr>
            <w:r w:rsidRPr="00D76711">
              <w:rPr>
                <w:rFonts w:ascii="Garamond" w:hAnsi="Garamond"/>
                <w:sz w:val="18"/>
                <w:szCs w:val="18"/>
              </w:rPr>
              <w:t>4</w:t>
            </w:r>
          </w:p>
        </w:tc>
        <w:tc>
          <w:tcPr>
            <w:tcW w:w="1514" w:type="dxa"/>
            <w:noWrap/>
            <w:hideMark/>
          </w:tcPr>
          <w:p w14:paraId="543A5DB4" w14:textId="77777777" w:rsidR="006A2543" w:rsidRPr="00D76711" w:rsidRDefault="006A2543" w:rsidP="00B02509">
            <w:pPr>
              <w:jc w:val="both"/>
              <w:rPr>
                <w:rFonts w:ascii="Garamond" w:hAnsi="Garamond"/>
                <w:sz w:val="18"/>
                <w:szCs w:val="18"/>
              </w:rPr>
            </w:pPr>
            <w:r w:rsidRPr="00D76711">
              <w:rPr>
                <w:rFonts w:ascii="Garamond" w:hAnsi="Garamond"/>
                <w:sz w:val="18"/>
                <w:szCs w:val="18"/>
              </w:rPr>
              <w:t>8</w:t>
            </w:r>
          </w:p>
        </w:tc>
        <w:tc>
          <w:tcPr>
            <w:tcW w:w="1507" w:type="dxa"/>
            <w:noWrap/>
            <w:hideMark/>
          </w:tcPr>
          <w:p w14:paraId="5E29A6A5" w14:textId="77777777" w:rsidR="006A2543" w:rsidRPr="00D76711" w:rsidRDefault="006A2543" w:rsidP="00B02509">
            <w:pPr>
              <w:jc w:val="both"/>
              <w:rPr>
                <w:rFonts w:ascii="Garamond" w:hAnsi="Garamond"/>
                <w:sz w:val="18"/>
                <w:szCs w:val="18"/>
              </w:rPr>
            </w:pPr>
            <w:r w:rsidRPr="00D76711">
              <w:rPr>
                <w:rFonts w:ascii="Garamond" w:hAnsi="Garamond"/>
                <w:sz w:val="18"/>
                <w:szCs w:val="18"/>
              </w:rPr>
              <w:t>12</w:t>
            </w:r>
          </w:p>
        </w:tc>
      </w:tr>
      <w:tr w:rsidR="006A2543" w:rsidRPr="00D76711" w14:paraId="29885741" w14:textId="77777777" w:rsidTr="00B02509">
        <w:trPr>
          <w:trHeight w:val="288"/>
        </w:trPr>
        <w:tc>
          <w:tcPr>
            <w:tcW w:w="0" w:type="auto"/>
            <w:vMerge/>
            <w:hideMark/>
          </w:tcPr>
          <w:p w14:paraId="14184501" w14:textId="77777777" w:rsidR="006A2543" w:rsidRPr="00D76711" w:rsidRDefault="006A2543" w:rsidP="00B02509">
            <w:pPr>
              <w:jc w:val="both"/>
              <w:rPr>
                <w:rFonts w:ascii="Garamond" w:hAnsi="Garamond"/>
                <w:b/>
                <w:bCs/>
                <w:sz w:val="18"/>
                <w:szCs w:val="18"/>
              </w:rPr>
            </w:pPr>
          </w:p>
        </w:tc>
        <w:tc>
          <w:tcPr>
            <w:tcW w:w="0" w:type="auto"/>
            <w:vMerge/>
            <w:hideMark/>
          </w:tcPr>
          <w:p w14:paraId="021BECF1" w14:textId="77777777" w:rsidR="006A2543" w:rsidRPr="00D76711" w:rsidRDefault="006A2543" w:rsidP="00B02509">
            <w:pPr>
              <w:jc w:val="both"/>
              <w:rPr>
                <w:rFonts w:ascii="Garamond" w:hAnsi="Garamond"/>
                <w:sz w:val="18"/>
                <w:szCs w:val="18"/>
              </w:rPr>
            </w:pPr>
          </w:p>
        </w:tc>
        <w:tc>
          <w:tcPr>
            <w:tcW w:w="955" w:type="dxa"/>
            <w:hideMark/>
          </w:tcPr>
          <w:p w14:paraId="045D8829" w14:textId="77777777" w:rsidR="006A2543" w:rsidRPr="00D76711" w:rsidRDefault="006A2543" w:rsidP="00B02509">
            <w:pPr>
              <w:jc w:val="both"/>
              <w:rPr>
                <w:rFonts w:ascii="Garamond" w:hAnsi="Garamond"/>
                <w:sz w:val="18"/>
                <w:szCs w:val="18"/>
              </w:rPr>
            </w:pPr>
            <w:r w:rsidRPr="00D76711">
              <w:rPr>
                <w:rFonts w:ascii="Garamond" w:hAnsi="Garamond"/>
                <w:sz w:val="18"/>
                <w:szCs w:val="18"/>
              </w:rPr>
              <w:t>% within Refers to scholarly literature</w:t>
            </w:r>
          </w:p>
        </w:tc>
        <w:tc>
          <w:tcPr>
            <w:tcW w:w="1507" w:type="dxa"/>
            <w:noWrap/>
            <w:hideMark/>
          </w:tcPr>
          <w:p w14:paraId="133D3FA0" w14:textId="38D7FBB4" w:rsidR="006A2543" w:rsidRPr="00D76711" w:rsidRDefault="00641E05" w:rsidP="00B02509">
            <w:pPr>
              <w:jc w:val="both"/>
              <w:rPr>
                <w:rFonts w:ascii="Garamond" w:hAnsi="Garamond"/>
                <w:sz w:val="18"/>
                <w:szCs w:val="18"/>
              </w:rPr>
            </w:pPr>
            <w:r>
              <w:rPr>
                <w:rFonts w:ascii="Garamond" w:hAnsi="Garamond"/>
                <w:sz w:val="18"/>
                <w:szCs w:val="18"/>
              </w:rPr>
              <w:t>33.</w:t>
            </w:r>
            <w:r w:rsidR="006A2543" w:rsidRPr="00D76711">
              <w:rPr>
                <w:rFonts w:ascii="Garamond" w:hAnsi="Garamond"/>
                <w:sz w:val="18"/>
                <w:szCs w:val="18"/>
              </w:rPr>
              <w:t>3%</w:t>
            </w:r>
          </w:p>
        </w:tc>
        <w:tc>
          <w:tcPr>
            <w:tcW w:w="1514" w:type="dxa"/>
            <w:noWrap/>
            <w:hideMark/>
          </w:tcPr>
          <w:p w14:paraId="2FBEA67A" w14:textId="4656CAA7" w:rsidR="006A2543" w:rsidRPr="00D76711" w:rsidRDefault="00641E05" w:rsidP="00B02509">
            <w:pPr>
              <w:jc w:val="both"/>
              <w:rPr>
                <w:rFonts w:ascii="Garamond" w:hAnsi="Garamond"/>
                <w:sz w:val="18"/>
                <w:szCs w:val="18"/>
              </w:rPr>
            </w:pPr>
            <w:r>
              <w:rPr>
                <w:rFonts w:ascii="Garamond" w:hAnsi="Garamond"/>
                <w:sz w:val="18"/>
                <w:szCs w:val="18"/>
              </w:rPr>
              <w:t>66.</w:t>
            </w:r>
            <w:r w:rsidR="006A2543" w:rsidRPr="00D76711">
              <w:rPr>
                <w:rFonts w:ascii="Garamond" w:hAnsi="Garamond"/>
                <w:sz w:val="18"/>
                <w:szCs w:val="18"/>
              </w:rPr>
              <w:t>7%</w:t>
            </w:r>
          </w:p>
        </w:tc>
        <w:tc>
          <w:tcPr>
            <w:tcW w:w="1507" w:type="dxa"/>
            <w:noWrap/>
            <w:hideMark/>
          </w:tcPr>
          <w:p w14:paraId="400561DE" w14:textId="53F1F983" w:rsidR="006A2543" w:rsidRPr="00D76711" w:rsidRDefault="00641E05" w:rsidP="00B02509">
            <w:pPr>
              <w:jc w:val="both"/>
              <w:rPr>
                <w:rFonts w:ascii="Garamond" w:hAnsi="Garamond"/>
                <w:sz w:val="18"/>
                <w:szCs w:val="18"/>
              </w:rPr>
            </w:pPr>
            <w:r>
              <w:rPr>
                <w:rFonts w:ascii="Garamond" w:hAnsi="Garamond"/>
                <w:sz w:val="18"/>
                <w:szCs w:val="18"/>
              </w:rPr>
              <w:t>100.</w:t>
            </w:r>
            <w:r w:rsidR="006A2543" w:rsidRPr="00D76711">
              <w:rPr>
                <w:rFonts w:ascii="Garamond" w:hAnsi="Garamond"/>
                <w:sz w:val="18"/>
                <w:szCs w:val="18"/>
              </w:rPr>
              <w:t>0%</w:t>
            </w:r>
          </w:p>
        </w:tc>
      </w:tr>
      <w:tr w:rsidR="006A2543" w:rsidRPr="00D76711" w14:paraId="105D1F28" w14:textId="77777777" w:rsidTr="00B02509">
        <w:trPr>
          <w:trHeight w:val="288"/>
        </w:trPr>
        <w:tc>
          <w:tcPr>
            <w:tcW w:w="0" w:type="auto"/>
            <w:vMerge/>
            <w:hideMark/>
          </w:tcPr>
          <w:p w14:paraId="6E88336D" w14:textId="77777777" w:rsidR="006A2543" w:rsidRPr="00D76711" w:rsidRDefault="006A2543" w:rsidP="00B02509">
            <w:pPr>
              <w:jc w:val="both"/>
              <w:rPr>
                <w:rFonts w:ascii="Garamond" w:hAnsi="Garamond"/>
                <w:b/>
                <w:bCs/>
                <w:sz w:val="18"/>
                <w:szCs w:val="18"/>
              </w:rPr>
            </w:pPr>
          </w:p>
        </w:tc>
        <w:tc>
          <w:tcPr>
            <w:tcW w:w="0" w:type="auto"/>
            <w:vMerge/>
            <w:hideMark/>
          </w:tcPr>
          <w:p w14:paraId="7A29BC21" w14:textId="77777777" w:rsidR="006A2543" w:rsidRPr="00D76711" w:rsidRDefault="006A2543" w:rsidP="00B02509">
            <w:pPr>
              <w:jc w:val="both"/>
              <w:rPr>
                <w:rFonts w:ascii="Garamond" w:hAnsi="Garamond"/>
                <w:sz w:val="18"/>
                <w:szCs w:val="18"/>
              </w:rPr>
            </w:pPr>
          </w:p>
        </w:tc>
        <w:tc>
          <w:tcPr>
            <w:tcW w:w="955" w:type="dxa"/>
            <w:hideMark/>
          </w:tcPr>
          <w:p w14:paraId="2E232E9B" w14:textId="77777777" w:rsidR="006A2543" w:rsidRPr="00D76711" w:rsidRDefault="006A2543" w:rsidP="00B02509">
            <w:pPr>
              <w:jc w:val="both"/>
              <w:rPr>
                <w:rFonts w:ascii="Garamond" w:hAnsi="Garamond"/>
                <w:sz w:val="18"/>
                <w:szCs w:val="18"/>
              </w:rPr>
            </w:pPr>
            <w:r w:rsidRPr="00D76711">
              <w:rPr>
                <w:rFonts w:ascii="Garamond" w:hAnsi="Garamond"/>
                <w:sz w:val="18"/>
                <w:szCs w:val="18"/>
              </w:rPr>
              <w:t>% within Discursive style</w:t>
            </w:r>
          </w:p>
        </w:tc>
        <w:tc>
          <w:tcPr>
            <w:tcW w:w="1507" w:type="dxa"/>
            <w:noWrap/>
            <w:hideMark/>
          </w:tcPr>
          <w:p w14:paraId="16BFCA73" w14:textId="2E567E04" w:rsidR="006A2543" w:rsidRPr="00D76711" w:rsidRDefault="00641E05" w:rsidP="00B02509">
            <w:pPr>
              <w:jc w:val="both"/>
              <w:rPr>
                <w:rFonts w:ascii="Garamond" w:hAnsi="Garamond"/>
                <w:sz w:val="18"/>
                <w:szCs w:val="18"/>
              </w:rPr>
            </w:pPr>
            <w:r>
              <w:rPr>
                <w:rFonts w:ascii="Garamond" w:hAnsi="Garamond"/>
                <w:sz w:val="18"/>
                <w:szCs w:val="18"/>
              </w:rPr>
              <w:t>16.</w:t>
            </w:r>
            <w:r w:rsidR="006A2543" w:rsidRPr="00D76711">
              <w:rPr>
                <w:rFonts w:ascii="Garamond" w:hAnsi="Garamond"/>
                <w:sz w:val="18"/>
                <w:szCs w:val="18"/>
              </w:rPr>
              <w:t>0%</w:t>
            </w:r>
          </w:p>
        </w:tc>
        <w:tc>
          <w:tcPr>
            <w:tcW w:w="1514" w:type="dxa"/>
            <w:noWrap/>
            <w:hideMark/>
          </w:tcPr>
          <w:p w14:paraId="56C664F5" w14:textId="5E8A948A" w:rsidR="006A2543" w:rsidRPr="00D76711" w:rsidRDefault="00641E05" w:rsidP="00B02509">
            <w:pPr>
              <w:jc w:val="both"/>
              <w:rPr>
                <w:rFonts w:ascii="Garamond" w:hAnsi="Garamond"/>
                <w:sz w:val="18"/>
                <w:szCs w:val="18"/>
              </w:rPr>
            </w:pPr>
            <w:r>
              <w:rPr>
                <w:rFonts w:ascii="Garamond" w:hAnsi="Garamond"/>
                <w:sz w:val="18"/>
                <w:szCs w:val="18"/>
              </w:rPr>
              <w:t>17.</w:t>
            </w:r>
            <w:r w:rsidR="006A2543" w:rsidRPr="00D76711">
              <w:rPr>
                <w:rFonts w:ascii="Garamond" w:hAnsi="Garamond"/>
                <w:sz w:val="18"/>
                <w:szCs w:val="18"/>
              </w:rPr>
              <w:t>8%</w:t>
            </w:r>
          </w:p>
        </w:tc>
        <w:tc>
          <w:tcPr>
            <w:tcW w:w="1507" w:type="dxa"/>
            <w:noWrap/>
            <w:hideMark/>
          </w:tcPr>
          <w:p w14:paraId="141BFA47" w14:textId="02B6FA1B" w:rsidR="006A2543" w:rsidRPr="00D76711" w:rsidRDefault="00641E05" w:rsidP="00B02509">
            <w:pPr>
              <w:jc w:val="both"/>
              <w:rPr>
                <w:rFonts w:ascii="Garamond" w:hAnsi="Garamond"/>
                <w:sz w:val="18"/>
                <w:szCs w:val="18"/>
              </w:rPr>
            </w:pPr>
            <w:r>
              <w:rPr>
                <w:rFonts w:ascii="Garamond" w:hAnsi="Garamond"/>
                <w:sz w:val="18"/>
                <w:szCs w:val="18"/>
              </w:rPr>
              <w:t>17.</w:t>
            </w:r>
            <w:r w:rsidR="006A2543" w:rsidRPr="00D76711">
              <w:rPr>
                <w:rFonts w:ascii="Garamond" w:hAnsi="Garamond"/>
                <w:sz w:val="18"/>
                <w:szCs w:val="18"/>
              </w:rPr>
              <w:t>1%</w:t>
            </w:r>
          </w:p>
        </w:tc>
      </w:tr>
      <w:tr w:rsidR="006A2543" w:rsidRPr="00D76711" w14:paraId="69A514E4" w14:textId="77777777" w:rsidTr="00B02509">
        <w:trPr>
          <w:trHeight w:val="149"/>
        </w:trPr>
        <w:tc>
          <w:tcPr>
            <w:tcW w:w="1911" w:type="dxa"/>
            <w:gridSpan w:val="2"/>
            <w:vMerge w:val="restart"/>
            <w:hideMark/>
          </w:tcPr>
          <w:p w14:paraId="5F80FF32" w14:textId="77777777" w:rsidR="006A2543" w:rsidRPr="00D76711" w:rsidRDefault="006A2543" w:rsidP="00B02509">
            <w:pPr>
              <w:jc w:val="both"/>
              <w:rPr>
                <w:rFonts w:ascii="Garamond" w:hAnsi="Garamond"/>
                <w:b/>
                <w:bCs/>
                <w:sz w:val="18"/>
                <w:szCs w:val="18"/>
              </w:rPr>
            </w:pPr>
            <w:r w:rsidRPr="00D76711">
              <w:rPr>
                <w:rFonts w:ascii="Garamond" w:hAnsi="Garamond"/>
                <w:b/>
                <w:bCs/>
                <w:sz w:val="18"/>
                <w:szCs w:val="18"/>
              </w:rPr>
              <w:t>Total</w:t>
            </w:r>
          </w:p>
        </w:tc>
        <w:tc>
          <w:tcPr>
            <w:tcW w:w="955" w:type="dxa"/>
            <w:hideMark/>
          </w:tcPr>
          <w:p w14:paraId="72CB0DCF" w14:textId="77777777" w:rsidR="006A2543" w:rsidRPr="00D76711" w:rsidRDefault="006A2543" w:rsidP="00B02509">
            <w:pPr>
              <w:jc w:val="both"/>
              <w:rPr>
                <w:rFonts w:ascii="Garamond" w:hAnsi="Garamond"/>
                <w:sz w:val="18"/>
                <w:szCs w:val="18"/>
              </w:rPr>
            </w:pPr>
            <w:r w:rsidRPr="00D76711">
              <w:rPr>
                <w:rFonts w:ascii="Garamond" w:hAnsi="Garamond"/>
                <w:sz w:val="18"/>
                <w:szCs w:val="18"/>
              </w:rPr>
              <w:t>Count</w:t>
            </w:r>
          </w:p>
        </w:tc>
        <w:tc>
          <w:tcPr>
            <w:tcW w:w="1507" w:type="dxa"/>
            <w:noWrap/>
            <w:hideMark/>
          </w:tcPr>
          <w:p w14:paraId="72DDA692" w14:textId="77777777" w:rsidR="006A2543" w:rsidRPr="00D76711" w:rsidRDefault="006A2543" w:rsidP="00B02509">
            <w:pPr>
              <w:jc w:val="both"/>
              <w:rPr>
                <w:rFonts w:ascii="Garamond" w:hAnsi="Garamond"/>
                <w:sz w:val="18"/>
                <w:szCs w:val="18"/>
              </w:rPr>
            </w:pPr>
            <w:r w:rsidRPr="00D76711">
              <w:rPr>
                <w:rFonts w:ascii="Garamond" w:hAnsi="Garamond"/>
                <w:sz w:val="18"/>
                <w:szCs w:val="18"/>
              </w:rPr>
              <w:t>25</w:t>
            </w:r>
          </w:p>
        </w:tc>
        <w:tc>
          <w:tcPr>
            <w:tcW w:w="1514" w:type="dxa"/>
            <w:noWrap/>
            <w:hideMark/>
          </w:tcPr>
          <w:p w14:paraId="3C4C304A" w14:textId="77777777" w:rsidR="006A2543" w:rsidRPr="00D76711" w:rsidRDefault="006A2543" w:rsidP="00B02509">
            <w:pPr>
              <w:jc w:val="both"/>
              <w:rPr>
                <w:rFonts w:ascii="Garamond" w:hAnsi="Garamond"/>
                <w:sz w:val="18"/>
                <w:szCs w:val="18"/>
              </w:rPr>
            </w:pPr>
            <w:r w:rsidRPr="00D76711">
              <w:rPr>
                <w:rFonts w:ascii="Garamond" w:hAnsi="Garamond"/>
                <w:sz w:val="18"/>
                <w:szCs w:val="18"/>
              </w:rPr>
              <w:t>45</w:t>
            </w:r>
          </w:p>
        </w:tc>
        <w:tc>
          <w:tcPr>
            <w:tcW w:w="1507" w:type="dxa"/>
            <w:noWrap/>
            <w:hideMark/>
          </w:tcPr>
          <w:p w14:paraId="51E56D75" w14:textId="77777777" w:rsidR="006A2543" w:rsidRPr="00D76711" w:rsidRDefault="006A2543" w:rsidP="00B02509">
            <w:pPr>
              <w:jc w:val="both"/>
              <w:rPr>
                <w:rFonts w:ascii="Garamond" w:hAnsi="Garamond"/>
                <w:sz w:val="18"/>
                <w:szCs w:val="18"/>
              </w:rPr>
            </w:pPr>
            <w:r w:rsidRPr="00D76711">
              <w:rPr>
                <w:rFonts w:ascii="Garamond" w:hAnsi="Garamond"/>
                <w:sz w:val="18"/>
                <w:szCs w:val="18"/>
              </w:rPr>
              <w:t>70</w:t>
            </w:r>
          </w:p>
        </w:tc>
      </w:tr>
      <w:tr w:rsidR="006A2543" w:rsidRPr="00D76711" w14:paraId="30830896" w14:textId="77777777" w:rsidTr="00B02509">
        <w:trPr>
          <w:trHeight w:val="288"/>
        </w:trPr>
        <w:tc>
          <w:tcPr>
            <w:tcW w:w="0" w:type="auto"/>
            <w:gridSpan w:val="2"/>
            <w:vMerge/>
            <w:hideMark/>
          </w:tcPr>
          <w:p w14:paraId="7D1F6489" w14:textId="77777777" w:rsidR="006A2543" w:rsidRPr="00D76711" w:rsidRDefault="006A2543" w:rsidP="00B02509">
            <w:pPr>
              <w:jc w:val="both"/>
              <w:rPr>
                <w:rFonts w:ascii="Garamond" w:hAnsi="Garamond"/>
                <w:b/>
                <w:bCs/>
                <w:sz w:val="18"/>
                <w:szCs w:val="18"/>
              </w:rPr>
            </w:pPr>
          </w:p>
        </w:tc>
        <w:tc>
          <w:tcPr>
            <w:tcW w:w="955" w:type="dxa"/>
            <w:hideMark/>
          </w:tcPr>
          <w:p w14:paraId="3860E9AF" w14:textId="77777777" w:rsidR="006A2543" w:rsidRPr="00D76711" w:rsidRDefault="006A2543" w:rsidP="00B02509">
            <w:pPr>
              <w:jc w:val="both"/>
              <w:rPr>
                <w:rFonts w:ascii="Garamond" w:hAnsi="Garamond"/>
                <w:sz w:val="18"/>
                <w:szCs w:val="18"/>
              </w:rPr>
            </w:pPr>
            <w:r w:rsidRPr="00D76711">
              <w:rPr>
                <w:rFonts w:ascii="Garamond" w:hAnsi="Garamond"/>
                <w:sz w:val="18"/>
                <w:szCs w:val="18"/>
              </w:rPr>
              <w:t>% within Refers to scholarly literature</w:t>
            </w:r>
          </w:p>
        </w:tc>
        <w:tc>
          <w:tcPr>
            <w:tcW w:w="1507" w:type="dxa"/>
            <w:noWrap/>
            <w:hideMark/>
          </w:tcPr>
          <w:p w14:paraId="78F1B976" w14:textId="713D4BD9" w:rsidR="006A2543" w:rsidRPr="00D76711" w:rsidRDefault="00641E05" w:rsidP="00B02509">
            <w:pPr>
              <w:jc w:val="both"/>
              <w:rPr>
                <w:rFonts w:ascii="Garamond" w:hAnsi="Garamond"/>
                <w:sz w:val="18"/>
                <w:szCs w:val="18"/>
              </w:rPr>
            </w:pPr>
            <w:r>
              <w:rPr>
                <w:rFonts w:ascii="Garamond" w:hAnsi="Garamond"/>
                <w:sz w:val="18"/>
                <w:szCs w:val="18"/>
              </w:rPr>
              <w:t>35.</w:t>
            </w:r>
            <w:r w:rsidR="006A2543" w:rsidRPr="00D76711">
              <w:rPr>
                <w:rFonts w:ascii="Garamond" w:hAnsi="Garamond"/>
                <w:sz w:val="18"/>
                <w:szCs w:val="18"/>
              </w:rPr>
              <w:t>7%</w:t>
            </w:r>
          </w:p>
        </w:tc>
        <w:tc>
          <w:tcPr>
            <w:tcW w:w="1514" w:type="dxa"/>
            <w:noWrap/>
            <w:hideMark/>
          </w:tcPr>
          <w:p w14:paraId="6C64CA5E" w14:textId="46E9548F" w:rsidR="006A2543" w:rsidRPr="00D76711" w:rsidRDefault="00641E05" w:rsidP="00B02509">
            <w:pPr>
              <w:jc w:val="both"/>
              <w:rPr>
                <w:rFonts w:ascii="Garamond" w:hAnsi="Garamond"/>
                <w:sz w:val="18"/>
                <w:szCs w:val="18"/>
              </w:rPr>
            </w:pPr>
            <w:r>
              <w:rPr>
                <w:rFonts w:ascii="Garamond" w:hAnsi="Garamond"/>
                <w:sz w:val="18"/>
                <w:szCs w:val="18"/>
              </w:rPr>
              <w:t>64.</w:t>
            </w:r>
            <w:r w:rsidR="006A2543" w:rsidRPr="00D76711">
              <w:rPr>
                <w:rFonts w:ascii="Garamond" w:hAnsi="Garamond"/>
                <w:sz w:val="18"/>
                <w:szCs w:val="18"/>
              </w:rPr>
              <w:t>3%</w:t>
            </w:r>
          </w:p>
        </w:tc>
        <w:tc>
          <w:tcPr>
            <w:tcW w:w="1507" w:type="dxa"/>
            <w:noWrap/>
            <w:hideMark/>
          </w:tcPr>
          <w:p w14:paraId="71B46491" w14:textId="1C8EB273" w:rsidR="006A2543" w:rsidRPr="00D76711" w:rsidRDefault="00641E05" w:rsidP="00B02509">
            <w:pPr>
              <w:jc w:val="both"/>
              <w:rPr>
                <w:rFonts w:ascii="Garamond" w:hAnsi="Garamond"/>
                <w:sz w:val="18"/>
                <w:szCs w:val="18"/>
              </w:rPr>
            </w:pPr>
            <w:r>
              <w:rPr>
                <w:rFonts w:ascii="Garamond" w:hAnsi="Garamond"/>
                <w:sz w:val="18"/>
                <w:szCs w:val="18"/>
              </w:rPr>
              <w:t>100.</w:t>
            </w:r>
            <w:r w:rsidR="006A2543" w:rsidRPr="00D76711">
              <w:rPr>
                <w:rFonts w:ascii="Garamond" w:hAnsi="Garamond"/>
                <w:sz w:val="18"/>
                <w:szCs w:val="18"/>
              </w:rPr>
              <w:t>0%</w:t>
            </w:r>
          </w:p>
        </w:tc>
      </w:tr>
      <w:tr w:rsidR="006A2543" w:rsidRPr="00D76711" w14:paraId="3F78EC0B" w14:textId="77777777" w:rsidTr="00B02509">
        <w:trPr>
          <w:trHeight w:val="288"/>
        </w:trPr>
        <w:tc>
          <w:tcPr>
            <w:tcW w:w="0" w:type="auto"/>
            <w:gridSpan w:val="2"/>
            <w:vMerge/>
            <w:hideMark/>
          </w:tcPr>
          <w:p w14:paraId="2DED2A5A" w14:textId="77777777" w:rsidR="006A2543" w:rsidRPr="00D76711" w:rsidRDefault="006A2543" w:rsidP="00B02509">
            <w:pPr>
              <w:jc w:val="both"/>
              <w:rPr>
                <w:rFonts w:ascii="Garamond" w:hAnsi="Garamond"/>
                <w:b/>
                <w:bCs/>
                <w:sz w:val="18"/>
                <w:szCs w:val="18"/>
              </w:rPr>
            </w:pPr>
          </w:p>
        </w:tc>
        <w:tc>
          <w:tcPr>
            <w:tcW w:w="955" w:type="dxa"/>
            <w:hideMark/>
          </w:tcPr>
          <w:p w14:paraId="7E7E7996" w14:textId="77777777" w:rsidR="006A2543" w:rsidRPr="00D76711" w:rsidRDefault="006A2543" w:rsidP="00B02509">
            <w:pPr>
              <w:jc w:val="both"/>
              <w:rPr>
                <w:rFonts w:ascii="Garamond" w:hAnsi="Garamond"/>
                <w:sz w:val="18"/>
                <w:szCs w:val="18"/>
              </w:rPr>
            </w:pPr>
            <w:r w:rsidRPr="00D76711">
              <w:rPr>
                <w:rFonts w:ascii="Garamond" w:hAnsi="Garamond"/>
                <w:sz w:val="18"/>
                <w:szCs w:val="18"/>
              </w:rPr>
              <w:t>% within Discursive style</w:t>
            </w:r>
          </w:p>
        </w:tc>
        <w:tc>
          <w:tcPr>
            <w:tcW w:w="1507" w:type="dxa"/>
            <w:noWrap/>
            <w:hideMark/>
          </w:tcPr>
          <w:p w14:paraId="550B66DA" w14:textId="06BD7C1B" w:rsidR="006A2543" w:rsidRPr="00D76711" w:rsidRDefault="00641E05" w:rsidP="00B02509">
            <w:pPr>
              <w:jc w:val="both"/>
              <w:rPr>
                <w:rFonts w:ascii="Garamond" w:hAnsi="Garamond"/>
                <w:sz w:val="18"/>
                <w:szCs w:val="18"/>
              </w:rPr>
            </w:pPr>
            <w:r>
              <w:rPr>
                <w:rFonts w:ascii="Garamond" w:hAnsi="Garamond"/>
                <w:sz w:val="18"/>
                <w:szCs w:val="18"/>
              </w:rPr>
              <w:t>100.</w:t>
            </w:r>
            <w:r w:rsidR="006A2543" w:rsidRPr="00D76711">
              <w:rPr>
                <w:rFonts w:ascii="Garamond" w:hAnsi="Garamond"/>
                <w:sz w:val="18"/>
                <w:szCs w:val="18"/>
              </w:rPr>
              <w:t>0%</w:t>
            </w:r>
          </w:p>
        </w:tc>
        <w:tc>
          <w:tcPr>
            <w:tcW w:w="1514" w:type="dxa"/>
            <w:noWrap/>
            <w:hideMark/>
          </w:tcPr>
          <w:p w14:paraId="3175A0AC" w14:textId="5C4D564A" w:rsidR="006A2543" w:rsidRPr="00D76711" w:rsidRDefault="00641E05" w:rsidP="00B02509">
            <w:pPr>
              <w:jc w:val="both"/>
              <w:rPr>
                <w:rFonts w:ascii="Garamond" w:hAnsi="Garamond"/>
                <w:sz w:val="18"/>
                <w:szCs w:val="18"/>
              </w:rPr>
            </w:pPr>
            <w:r>
              <w:rPr>
                <w:rFonts w:ascii="Garamond" w:hAnsi="Garamond"/>
                <w:sz w:val="18"/>
                <w:szCs w:val="18"/>
              </w:rPr>
              <w:t>100.</w:t>
            </w:r>
            <w:r w:rsidR="006A2543" w:rsidRPr="00D76711">
              <w:rPr>
                <w:rFonts w:ascii="Garamond" w:hAnsi="Garamond"/>
                <w:sz w:val="18"/>
                <w:szCs w:val="18"/>
              </w:rPr>
              <w:t>0%</w:t>
            </w:r>
          </w:p>
        </w:tc>
        <w:tc>
          <w:tcPr>
            <w:tcW w:w="1507" w:type="dxa"/>
            <w:noWrap/>
            <w:hideMark/>
          </w:tcPr>
          <w:p w14:paraId="08A1BA68" w14:textId="2A6C285A" w:rsidR="006A2543" w:rsidRPr="00D76711" w:rsidRDefault="00641E05" w:rsidP="00B02509">
            <w:pPr>
              <w:jc w:val="both"/>
              <w:rPr>
                <w:rFonts w:ascii="Garamond" w:hAnsi="Garamond"/>
                <w:sz w:val="18"/>
                <w:szCs w:val="18"/>
              </w:rPr>
            </w:pPr>
            <w:r>
              <w:rPr>
                <w:rFonts w:ascii="Garamond" w:hAnsi="Garamond"/>
                <w:sz w:val="18"/>
                <w:szCs w:val="18"/>
              </w:rPr>
              <w:t>100.</w:t>
            </w:r>
            <w:bookmarkStart w:id="0" w:name="_GoBack"/>
            <w:bookmarkEnd w:id="0"/>
            <w:r w:rsidR="006A2543" w:rsidRPr="00D76711">
              <w:rPr>
                <w:rFonts w:ascii="Garamond" w:hAnsi="Garamond"/>
                <w:sz w:val="18"/>
                <w:szCs w:val="18"/>
              </w:rPr>
              <w:t>0%</w:t>
            </w:r>
          </w:p>
        </w:tc>
      </w:tr>
    </w:tbl>
    <w:p w14:paraId="3408E269" w14:textId="77777777" w:rsidR="000150D7" w:rsidRDefault="000150D7"/>
    <w:sectPr w:rsidR="000150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charset w:val="00"/>
    <w:family w:val="roman"/>
    <w:pitch w:val="variable"/>
    <w:sig w:usb0="00000001"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43"/>
    <w:rsid w:val="000150D7"/>
    <w:rsid w:val="000E2C5D"/>
    <w:rsid w:val="001C30F8"/>
    <w:rsid w:val="00357B70"/>
    <w:rsid w:val="00641E05"/>
    <w:rsid w:val="006A2543"/>
    <w:rsid w:val="00A326E6"/>
    <w:rsid w:val="00A541B2"/>
    <w:rsid w:val="00AE30E1"/>
    <w:rsid w:val="00C06E4D"/>
    <w:rsid w:val="00C850B7"/>
    <w:rsid w:val="00C85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3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5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C30F8"/>
    <w:pPr>
      <w:spacing w:before="240" w:after="120"/>
    </w:pPr>
    <w:rPr>
      <w:rFonts w:ascii="Century Schoolbook" w:eastAsiaTheme="majorEastAsia" w:hAnsi="Century Schoolbook" w:cstheme="majorBidi"/>
      <w:b/>
      <w:spacing w:val="-10"/>
      <w:kern w:val="28"/>
      <w:sz w:val="26"/>
      <w:szCs w:val="56"/>
    </w:rPr>
  </w:style>
  <w:style w:type="character" w:customStyle="1" w:styleId="TitleChar">
    <w:name w:val="Title Char"/>
    <w:basedOn w:val="DefaultParagraphFont"/>
    <w:link w:val="Title"/>
    <w:uiPriority w:val="10"/>
    <w:rsid w:val="001C30F8"/>
    <w:rPr>
      <w:rFonts w:ascii="Century Schoolbook" w:eastAsiaTheme="majorEastAsia" w:hAnsi="Century Schoolbook" w:cstheme="majorBidi"/>
      <w:b/>
      <w:spacing w:val="-10"/>
      <w:kern w:val="28"/>
      <w:sz w:val="26"/>
      <w:szCs w:val="56"/>
    </w:rPr>
  </w:style>
  <w:style w:type="table" w:styleId="TableGrid">
    <w:name w:val="Table Grid"/>
    <w:basedOn w:val="TableNormal"/>
    <w:uiPriority w:val="39"/>
    <w:rsid w:val="006A2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5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C30F8"/>
    <w:pPr>
      <w:spacing w:before="240" w:after="120"/>
    </w:pPr>
    <w:rPr>
      <w:rFonts w:ascii="Century Schoolbook" w:eastAsiaTheme="majorEastAsia" w:hAnsi="Century Schoolbook" w:cstheme="majorBidi"/>
      <w:b/>
      <w:spacing w:val="-10"/>
      <w:kern w:val="28"/>
      <w:sz w:val="26"/>
      <w:szCs w:val="56"/>
    </w:rPr>
  </w:style>
  <w:style w:type="character" w:customStyle="1" w:styleId="TitleChar">
    <w:name w:val="Title Char"/>
    <w:basedOn w:val="DefaultParagraphFont"/>
    <w:link w:val="Title"/>
    <w:uiPriority w:val="10"/>
    <w:rsid w:val="001C30F8"/>
    <w:rPr>
      <w:rFonts w:ascii="Century Schoolbook" w:eastAsiaTheme="majorEastAsia" w:hAnsi="Century Schoolbook" w:cstheme="majorBidi"/>
      <w:b/>
      <w:spacing w:val="-10"/>
      <w:kern w:val="28"/>
      <w:sz w:val="26"/>
      <w:szCs w:val="56"/>
    </w:rPr>
  </w:style>
  <w:style w:type="table" w:styleId="TableGrid">
    <w:name w:val="Table Grid"/>
    <w:basedOn w:val="TableNormal"/>
    <w:uiPriority w:val="39"/>
    <w:rsid w:val="006A2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3113">
      <w:bodyDiv w:val="1"/>
      <w:marLeft w:val="0"/>
      <w:marRight w:val="0"/>
      <w:marTop w:val="0"/>
      <w:marBottom w:val="0"/>
      <w:divBdr>
        <w:top w:val="none" w:sz="0" w:space="0" w:color="auto"/>
        <w:left w:val="none" w:sz="0" w:space="0" w:color="auto"/>
        <w:bottom w:val="none" w:sz="0" w:space="0" w:color="auto"/>
        <w:right w:val="none" w:sz="0" w:space="0" w:color="auto"/>
      </w:divBdr>
    </w:div>
    <w:div w:id="8030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953</Words>
  <Characters>5435</Characters>
  <Application>Microsoft Office Word</Application>
  <DocSecurity>0</DocSecurity>
  <Lines>45</Lines>
  <Paragraphs>12</Paragraphs>
  <ScaleCrop>false</ScaleCrop>
  <Company>Microsoft</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Kovalčík</dc:creator>
  <cp:lastModifiedBy>Mariask</cp:lastModifiedBy>
  <cp:revision>6</cp:revision>
  <dcterms:created xsi:type="dcterms:W3CDTF">2024-03-05T11:29:00Z</dcterms:created>
  <dcterms:modified xsi:type="dcterms:W3CDTF">2024-03-11T13:41:00Z</dcterms:modified>
</cp:coreProperties>
</file>