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EE84" w14:textId="77777777" w:rsidR="00766FB4" w:rsidRDefault="00766FB4" w:rsidP="00141CAB">
      <w:pPr>
        <w:jc w:val="center"/>
      </w:pPr>
      <w:r w:rsidRPr="00766FB4">
        <w:t>Appendix</w:t>
      </w:r>
    </w:p>
    <w:p w14:paraId="7A0B2A12" w14:textId="77777777" w:rsidR="00141CAB" w:rsidRPr="00141CAB" w:rsidRDefault="00141CAB" w:rsidP="00141CAB">
      <w:pPr>
        <w:jc w:val="center"/>
        <w:rPr>
          <w:rFonts w:eastAsia="Yu Mincho"/>
        </w:rPr>
      </w:pPr>
    </w:p>
    <w:p w14:paraId="1959F8F1" w14:textId="77777777" w:rsidR="00766FB4" w:rsidRPr="00141CAB" w:rsidRDefault="00766FB4" w:rsidP="00141CAB">
      <w:pPr>
        <w:rPr>
          <w:i/>
        </w:rPr>
      </w:pPr>
      <w:r w:rsidRPr="00141CAB">
        <w:rPr>
          <w:i/>
        </w:rPr>
        <w:t>Table 1. Items for thriving at work (</w:t>
      </w:r>
      <w:r w:rsidRPr="00141CAB">
        <w:rPr>
          <w:i/>
        </w:rPr>
        <w:fldChar w:fldCharType="begin" w:fldLock="1"/>
      </w:r>
      <w:r w:rsidRPr="00141CAB">
        <w:rPr>
          <w:i/>
        </w:rPr>
        <w:instrText>ADDIN CSL_CITATION {"citationItems":[{"id":"ITEM-1","itemData":{"DOI":"10.1002/job.756","ISSN":"08943796","abstract":"Thriving is defined as the psychological state in which individuals experience both a sense of vitality and learning. We developed and validated a measure of the construct of thriving at work. Additionally, we theoretically refined the construct by linking it to key outcomes, such as job performance, and by examining its contextual embeddedness. In Study 1, we conducted second-order confirmatory factor analyses in two samples, demonstrating initial support for the two-dimensional structure of thriving. We provided evidence for the convergent and discriminant validity of thriving in relation to theoretically related constructs, such as positive and negative affects, learning and performance goal orientations, proactive personality, and core self-evaluations. In Study 2, across two different samples, we further assessed construct validity by establishing a relationship between thriving and career development initiative, burnout, health, and individual job performance, explaining significant variance beyond traditional attitudinal predictors, such as job satisfaction and organizational commitment. Finally, in Study 3, we focused on understanding the contextual embeddedness of thriving. We found differences in reports of thriving across two points in time, when substantial changes are occurring in peoples' work lives and across contexts (i.e., work and non-work). Implications for theory and practice, as well as directions for future research, are discussed. © 2011 John Wiley &amp; Sons, Ltd.","author":[{"dropping-particle":"","family":"Porath","given":"Christine L.","non-dropping-particle":"","parse-names":false,"suffix":""},{"dropping-particle":"","family":"Spreitzer","given":"Gretchen","non-dropping-particle":"","parse-names":false,"suffix":""},{"dropping-particle":"","family":"Gibson","given":"Cristina","non-dropping-particle":"","parse-names":false,"suffix":""},{"dropping-particle":"","family":"Garnett","given":"Flannery G.","non-dropping-particle":"","parse-names":false,"suffix":""}],"container-title":"Journal of Organizational Behavior","id":"ITEM-1","issue":"2","issued":{"date-parts":[["2012","2"]]},"note":"questionnaire resource","page":"250-275","title":"Thriving at work: Toward its measurement, construct validation, and theoretical refinement","type":"article-journal","volume":"33"},"uris":["http://www.mendeley.com/documents/?uuid=01e13b56-9049-4b8b-ba0d-7959addc7b46"]}],"mendeley":{"formattedCitation":"(Porath et al., 2012)","manualFormatting":"Porath et al, 2012)","plainTextFormattedCitation":"(Porath et al., 2012)","previouslyFormattedCitation":"(Porath et al., 2012)"},"properties":{"noteIndex":0},"schema":"https://github.com/citation-style-language/schema/raw/master/csl-citation.json"}</w:instrText>
      </w:r>
      <w:r w:rsidRPr="00141CAB">
        <w:rPr>
          <w:i/>
        </w:rPr>
        <w:fldChar w:fldCharType="separate"/>
      </w:r>
      <w:r w:rsidRPr="00141CAB">
        <w:rPr>
          <w:i/>
        </w:rPr>
        <w:t>Porath et al., 2012)</w:t>
      </w:r>
      <w:r w:rsidRPr="00141CAB">
        <w:rPr>
          <w:i/>
        </w:rPr>
        <w:fldChar w:fldCharType="end"/>
      </w:r>
      <w:r w:rsidRPr="00141CAB">
        <w:rPr>
          <w:i/>
          <w:sz w:val="22"/>
          <w:szCs w:val="16"/>
        </w:rPr>
        <w:t xml:space="preserve"> </w:t>
      </w:r>
    </w:p>
    <w:tbl>
      <w:tblPr>
        <w:tblStyle w:val="APAReport"/>
        <w:tblW w:w="0" w:type="auto"/>
        <w:tblLook w:val="04A0" w:firstRow="1" w:lastRow="0" w:firstColumn="1" w:lastColumn="0" w:noHBand="0" w:noVBand="1"/>
      </w:tblPr>
      <w:tblGrid>
        <w:gridCol w:w="4453"/>
      </w:tblGrid>
      <w:tr w:rsidR="00766FB4" w:rsidRPr="00766FB4" w14:paraId="165205CE" w14:textId="77777777" w:rsidTr="00766FB4">
        <w:trPr>
          <w:cnfStyle w:val="100000000000" w:firstRow="1" w:lastRow="0" w:firstColumn="0" w:lastColumn="0" w:oddVBand="0" w:evenVBand="0" w:oddHBand="0" w:evenHBand="0" w:firstRowFirstColumn="0" w:firstRowLastColumn="0" w:lastRowFirstColumn="0" w:lastRowLastColumn="0"/>
        </w:trPr>
        <w:tc>
          <w:tcPr>
            <w:tcW w:w="0" w:type="auto"/>
          </w:tcPr>
          <w:p w14:paraId="2BAFE788" w14:textId="77777777" w:rsidR="00766FB4" w:rsidRPr="00766FB4" w:rsidRDefault="00766FB4" w:rsidP="00141CAB">
            <w:r w:rsidRPr="00766FB4">
              <w:t>At work…</w:t>
            </w:r>
          </w:p>
        </w:tc>
      </w:tr>
      <w:tr w:rsidR="00766FB4" w:rsidRPr="00766FB4" w14:paraId="4178FCAF" w14:textId="77777777" w:rsidTr="00766FB4">
        <w:tc>
          <w:tcPr>
            <w:tcW w:w="0" w:type="auto"/>
          </w:tcPr>
          <w:p w14:paraId="63B5688E" w14:textId="77777777" w:rsidR="00766FB4" w:rsidRPr="00766FB4" w:rsidRDefault="00766FB4" w:rsidP="00141CAB">
            <w:r w:rsidRPr="00766FB4">
              <w:rPr>
                <w:rFonts w:hint="eastAsia"/>
              </w:rPr>
              <w:t>(</w:t>
            </w:r>
            <w:r w:rsidRPr="00766FB4">
              <w:t>1) I find myself learning often.</w:t>
            </w:r>
          </w:p>
        </w:tc>
      </w:tr>
      <w:tr w:rsidR="00766FB4" w:rsidRPr="00766FB4" w14:paraId="001C9A5C" w14:textId="77777777" w:rsidTr="00766FB4">
        <w:tc>
          <w:tcPr>
            <w:tcW w:w="0" w:type="auto"/>
          </w:tcPr>
          <w:p w14:paraId="59828B08" w14:textId="77777777" w:rsidR="00766FB4" w:rsidRPr="00766FB4" w:rsidRDefault="00766FB4" w:rsidP="00141CAB">
            <w:r w:rsidRPr="00766FB4">
              <w:t>(2) I continue to learn more as time goes by.</w:t>
            </w:r>
          </w:p>
        </w:tc>
      </w:tr>
      <w:tr w:rsidR="00766FB4" w:rsidRPr="00766FB4" w14:paraId="7D8DF184" w14:textId="77777777" w:rsidTr="00766FB4">
        <w:tc>
          <w:tcPr>
            <w:tcW w:w="0" w:type="auto"/>
          </w:tcPr>
          <w:p w14:paraId="645A76D7" w14:textId="77777777" w:rsidR="00766FB4" w:rsidRPr="00766FB4" w:rsidRDefault="00766FB4" w:rsidP="00141CAB">
            <w:r w:rsidRPr="00766FB4">
              <w:rPr>
                <w:rFonts w:hint="eastAsia"/>
              </w:rPr>
              <w:t>(</w:t>
            </w:r>
            <w:r w:rsidRPr="00766FB4">
              <w:t>3) I see myself continually improving.</w:t>
            </w:r>
          </w:p>
        </w:tc>
      </w:tr>
      <w:tr w:rsidR="00766FB4" w:rsidRPr="00766FB4" w14:paraId="01E832D6" w14:textId="77777777" w:rsidTr="00766FB4">
        <w:tc>
          <w:tcPr>
            <w:tcW w:w="0" w:type="auto"/>
          </w:tcPr>
          <w:p w14:paraId="49775442" w14:textId="77777777" w:rsidR="00766FB4" w:rsidRPr="00766FB4" w:rsidRDefault="00766FB4" w:rsidP="00141CAB">
            <w:r w:rsidRPr="00766FB4">
              <w:rPr>
                <w:rFonts w:hint="eastAsia"/>
              </w:rPr>
              <w:t>(</w:t>
            </w:r>
            <w:r w:rsidRPr="00766FB4">
              <w:t>4) I am not learning. *</w:t>
            </w:r>
          </w:p>
        </w:tc>
      </w:tr>
      <w:tr w:rsidR="00766FB4" w:rsidRPr="00766FB4" w14:paraId="56B3CCD7" w14:textId="77777777" w:rsidTr="00766FB4">
        <w:tc>
          <w:tcPr>
            <w:tcW w:w="0" w:type="auto"/>
          </w:tcPr>
          <w:p w14:paraId="43F2DA76" w14:textId="77777777" w:rsidR="00766FB4" w:rsidRPr="00766FB4" w:rsidRDefault="00766FB4" w:rsidP="00141CAB">
            <w:r w:rsidRPr="00766FB4">
              <w:t>(5) I am developing a lot as a person.</w:t>
            </w:r>
          </w:p>
        </w:tc>
      </w:tr>
      <w:tr w:rsidR="00766FB4" w:rsidRPr="00766FB4" w14:paraId="31D757D3" w14:textId="77777777" w:rsidTr="00766FB4">
        <w:tc>
          <w:tcPr>
            <w:tcW w:w="0" w:type="auto"/>
          </w:tcPr>
          <w:p w14:paraId="4AC63B22" w14:textId="77777777" w:rsidR="00766FB4" w:rsidRPr="00766FB4" w:rsidRDefault="00766FB4" w:rsidP="00141CAB">
            <w:r w:rsidRPr="00766FB4">
              <w:rPr>
                <w:rFonts w:hint="eastAsia"/>
              </w:rPr>
              <w:t>(</w:t>
            </w:r>
            <w:r w:rsidRPr="00766FB4">
              <w:t>6) I feel alive and vital.</w:t>
            </w:r>
          </w:p>
        </w:tc>
      </w:tr>
      <w:tr w:rsidR="00766FB4" w:rsidRPr="00766FB4" w14:paraId="1ADE5504" w14:textId="77777777" w:rsidTr="00766FB4">
        <w:tc>
          <w:tcPr>
            <w:tcW w:w="0" w:type="auto"/>
          </w:tcPr>
          <w:p w14:paraId="2D5116A4" w14:textId="77777777" w:rsidR="00766FB4" w:rsidRPr="00766FB4" w:rsidRDefault="00766FB4" w:rsidP="00141CAB">
            <w:r w:rsidRPr="00766FB4">
              <w:rPr>
                <w:rFonts w:hint="eastAsia"/>
              </w:rPr>
              <w:t>(</w:t>
            </w:r>
            <w:r w:rsidRPr="00766FB4">
              <w:t>7) I have energy and spirit.</w:t>
            </w:r>
          </w:p>
        </w:tc>
      </w:tr>
      <w:tr w:rsidR="00766FB4" w:rsidRPr="00766FB4" w14:paraId="135C3595" w14:textId="77777777" w:rsidTr="00766FB4">
        <w:tc>
          <w:tcPr>
            <w:tcW w:w="0" w:type="auto"/>
          </w:tcPr>
          <w:p w14:paraId="5E704036" w14:textId="77777777" w:rsidR="00766FB4" w:rsidRPr="00766FB4" w:rsidRDefault="00766FB4" w:rsidP="00141CAB">
            <w:r w:rsidRPr="00766FB4">
              <w:rPr>
                <w:rFonts w:hint="eastAsia"/>
              </w:rPr>
              <w:t>(</w:t>
            </w:r>
            <w:r w:rsidRPr="00766FB4">
              <w:t>8) I do not feel very energetic. *</w:t>
            </w:r>
          </w:p>
        </w:tc>
      </w:tr>
      <w:tr w:rsidR="00766FB4" w:rsidRPr="00766FB4" w14:paraId="7A2682B8" w14:textId="77777777" w:rsidTr="00766FB4">
        <w:tc>
          <w:tcPr>
            <w:tcW w:w="0" w:type="auto"/>
          </w:tcPr>
          <w:p w14:paraId="53804010" w14:textId="77777777" w:rsidR="00766FB4" w:rsidRPr="00766FB4" w:rsidRDefault="00766FB4" w:rsidP="00141CAB">
            <w:r w:rsidRPr="00766FB4">
              <w:rPr>
                <w:rFonts w:hint="eastAsia"/>
              </w:rPr>
              <w:t>(</w:t>
            </w:r>
            <w:r w:rsidRPr="00766FB4">
              <w:t>9) I feel alert and awake.</w:t>
            </w:r>
          </w:p>
        </w:tc>
      </w:tr>
      <w:tr w:rsidR="00766FB4" w:rsidRPr="00766FB4" w14:paraId="542D0796" w14:textId="77777777" w:rsidTr="00766FB4">
        <w:tc>
          <w:tcPr>
            <w:tcW w:w="0" w:type="auto"/>
          </w:tcPr>
          <w:p w14:paraId="3271D60A" w14:textId="77777777" w:rsidR="00766FB4" w:rsidRPr="00766FB4" w:rsidRDefault="00766FB4" w:rsidP="00141CAB">
            <w:r w:rsidRPr="00766FB4">
              <w:rPr>
                <w:rFonts w:hint="eastAsia"/>
              </w:rPr>
              <w:t>(</w:t>
            </w:r>
            <w:r w:rsidRPr="00766FB4">
              <w:t>10) I am looking forward to each new day.</w:t>
            </w:r>
          </w:p>
        </w:tc>
      </w:tr>
    </w:tbl>
    <w:p w14:paraId="5E88EA0B" w14:textId="77777777" w:rsidR="00766FB4" w:rsidRPr="00141CAB" w:rsidRDefault="00766FB4" w:rsidP="00141CAB">
      <w:pPr>
        <w:rPr>
          <w:i/>
        </w:rPr>
      </w:pPr>
      <w:r w:rsidRPr="00141CAB">
        <w:rPr>
          <w:i/>
        </w:rPr>
        <w:t>Note: * reverse-scored item.</w:t>
      </w:r>
    </w:p>
    <w:p w14:paraId="45879F0F" w14:textId="77777777" w:rsidR="00766FB4" w:rsidRPr="00766FB4" w:rsidRDefault="00766FB4" w:rsidP="00141CAB"/>
    <w:p w14:paraId="7EEDCDF9" w14:textId="77777777" w:rsidR="00766FB4" w:rsidRPr="00141CAB" w:rsidRDefault="00766FB4" w:rsidP="00141CAB">
      <w:pPr>
        <w:rPr>
          <w:i/>
        </w:rPr>
      </w:pPr>
      <w:r w:rsidRPr="00141CAB">
        <w:rPr>
          <w:i/>
        </w:rPr>
        <w:t>Table 2. Standardized effects, with a cutoff of 2 = from 1 to 3 hours</w:t>
      </w:r>
    </w:p>
    <w:tbl>
      <w:tblPr>
        <w:tblStyle w:val="APAReport"/>
        <w:tblW w:w="0" w:type="auto"/>
        <w:tblLook w:val="04A0" w:firstRow="1" w:lastRow="0" w:firstColumn="1" w:lastColumn="0" w:noHBand="0" w:noVBand="1"/>
      </w:tblPr>
      <w:tblGrid>
        <w:gridCol w:w="4656"/>
        <w:gridCol w:w="876"/>
        <w:gridCol w:w="516"/>
        <w:gridCol w:w="2258"/>
      </w:tblGrid>
      <w:tr w:rsidR="00766FB4" w:rsidRPr="00766FB4" w14:paraId="10A3A297" w14:textId="77777777" w:rsidTr="008405E1">
        <w:trPr>
          <w:cnfStyle w:val="100000000000" w:firstRow="1" w:lastRow="0" w:firstColumn="0" w:lastColumn="0" w:oddVBand="0" w:evenVBand="0" w:oddHBand="0" w:evenHBand="0" w:firstRowFirstColumn="0" w:firstRowLastColumn="0" w:lastRowFirstColumn="0" w:lastRowLastColumn="0"/>
        </w:trPr>
        <w:tc>
          <w:tcPr>
            <w:tcW w:w="0" w:type="auto"/>
          </w:tcPr>
          <w:p w14:paraId="0403CD43" w14:textId="77777777" w:rsidR="00766FB4" w:rsidRPr="00766FB4" w:rsidRDefault="00766FB4" w:rsidP="00141CAB">
            <w:r w:rsidRPr="00766FB4">
              <w:t>Effect</w:t>
            </w:r>
          </w:p>
        </w:tc>
        <w:tc>
          <w:tcPr>
            <w:tcW w:w="0" w:type="auto"/>
          </w:tcPr>
          <w:p w14:paraId="20E623F0" w14:textId="77777777" w:rsidR="00766FB4" w:rsidRPr="00766FB4" w:rsidRDefault="00766FB4" w:rsidP="00141CAB">
            <w:r w:rsidRPr="00766FB4">
              <w:t>β</w:t>
            </w:r>
          </w:p>
        </w:tc>
        <w:tc>
          <w:tcPr>
            <w:tcW w:w="0" w:type="auto"/>
          </w:tcPr>
          <w:p w14:paraId="37FD6230" w14:textId="77777777" w:rsidR="00766FB4" w:rsidRPr="00766FB4" w:rsidRDefault="00766FB4" w:rsidP="00141CAB">
            <w:r w:rsidRPr="00766FB4">
              <w:rPr>
                <w:rFonts w:hint="eastAsia"/>
              </w:rPr>
              <w:t>S</w:t>
            </w:r>
            <w:r w:rsidRPr="00766FB4">
              <w:t>E</w:t>
            </w:r>
          </w:p>
        </w:tc>
        <w:tc>
          <w:tcPr>
            <w:tcW w:w="0" w:type="auto"/>
          </w:tcPr>
          <w:p w14:paraId="0EACA787" w14:textId="77777777" w:rsidR="00766FB4" w:rsidRPr="00766FB4" w:rsidRDefault="00766FB4" w:rsidP="00141CAB">
            <w:r w:rsidRPr="00766FB4">
              <w:rPr>
                <w:rFonts w:hint="eastAsia"/>
              </w:rPr>
              <w:t>9</w:t>
            </w:r>
            <w:r w:rsidRPr="00766FB4">
              <w:t>5% confidence interval</w:t>
            </w:r>
          </w:p>
        </w:tc>
      </w:tr>
      <w:tr w:rsidR="00766FB4" w:rsidRPr="00766FB4" w14:paraId="1BDA1478" w14:textId="77777777" w:rsidTr="008405E1">
        <w:tc>
          <w:tcPr>
            <w:tcW w:w="0" w:type="auto"/>
          </w:tcPr>
          <w:p w14:paraId="70A12556" w14:textId="77777777" w:rsidR="00766FB4" w:rsidRPr="00766FB4" w:rsidRDefault="00766FB4" w:rsidP="00141CAB">
            <w:r w:rsidRPr="00766FB4">
              <w:t>Direct effect</w:t>
            </w:r>
          </w:p>
        </w:tc>
        <w:tc>
          <w:tcPr>
            <w:tcW w:w="0" w:type="auto"/>
          </w:tcPr>
          <w:p w14:paraId="71225411" w14:textId="77777777" w:rsidR="00766FB4" w:rsidRPr="00766FB4" w:rsidRDefault="00766FB4" w:rsidP="00141CAB"/>
        </w:tc>
        <w:tc>
          <w:tcPr>
            <w:tcW w:w="0" w:type="auto"/>
          </w:tcPr>
          <w:p w14:paraId="4D000BE2" w14:textId="77777777" w:rsidR="00766FB4" w:rsidRPr="00766FB4" w:rsidRDefault="00766FB4" w:rsidP="00141CAB"/>
        </w:tc>
        <w:tc>
          <w:tcPr>
            <w:tcW w:w="0" w:type="auto"/>
          </w:tcPr>
          <w:p w14:paraId="15D4B2BF" w14:textId="77777777" w:rsidR="00766FB4" w:rsidRPr="00766FB4" w:rsidRDefault="00766FB4" w:rsidP="00141CAB"/>
        </w:tc>
      </w:tr>
      <w:tr w:rsidR="00766FB4" w:rsidRPr="00766FB4" w14:paraId="4CE7AD21" w14:textId="77777777" w:rsidTr="008405E1">
        <w:tc>
          <w:tcPr>
            <w:tcW w:w="0" w:type="auto"/>
          </w:tcPr>
          <w:p w14:paraId="184FF339" w14:textId="77777777" w:rsidR="00766FB4" w:rsidRPr="00766FB4" w:rsidRDefault="00766FB4" w:rsidP="00141CAB">
            <w:r w:rsidRPr="00766FB4">
              <w:t xml:space="preserve">Communication centrality </w:t>
            </w:r>
            <w:r w:rsidRPr="00766FB4">
              <w:rPr>
                <w:rFonts w:ascii="Wingdings" w:eastAsia="Wingdings" w:hAnsi="Wingdings" w:cs="Wingdings"/>
              </w:rPr>
              <w:t></w:t>
            </w:r>
            <w:r w:rsidRPr="00766FB4">
              <w:t xml:space="preserve"> Advice-seeking centrality</w:t>
            </w:r>
          </w:p>
        </w:tc>
        <w:tc>
          <w:tcPr>
            <w:tcW w:w="0" w:type="auto"/>
          </w:tcPr>
          <w:p w14:paraId="4E328AF4" w14:textId="77777777" w:rsidR="00766FB4" w:rsidRPr="00766FB4" w:rsidRDefault="00766FB4" w:rsidP="00141CAB">
            <w:r w:rsidRPr="00766FB4">
              <w:rPr>
                <w:rFonts w:hint="eastAsia"/>
              </w:rPr>
              <w:t>.</w:t>
            </w:r>
            <w:r w:rsidRPr="00766FB4">
              <w:t>26**</w:t>
            </w:r>
          </w:p>
        </w:tc>
        <w:tc>
          <w:tcPr>
            <w:tcW w:w="0" w:type="auto"/>
          </w:tcPr>
          <w:p w14:paraId="040983CB" w14:textId="77777777" w:rsidR="00766FB4" w:rsidRPr="00766FB4" w:rsidRDefault="00766FB4" w:rsidP="00141CAB">
            <w:r w:rsidRPr="00766FB4">
              <w:rPr>
                <w:rFonts w:hint="eastAsia"/>
              </w:rPr>
              <w:t>.</w:t>
            </w:r>
            <w:r w:rsidRPr="00766FB4">
              <w:t>08</w:t>
            </w:r>
          </w:p>
        </w:tc>
        <w:tc>
          <w:tcPr>
            <w:tcW w:w="0" w:type="auto"/>
          </w:tcPr>
          <w:p w14:paraId="7C11AB5B" w14:textId="77777777" w:rsidR="00766FB4" w:rsidRPr="00766FB4" w:rsidRDefault="00766FB4" w:rsidP="00141CAB">
            <w:r w:rsidRPr="00766FB4">
              <w:rPr>
                <w:rFonts w:hint="eastAsia"/>
              </w:rPr>
              <w:t>[</w:t>
            </w:r>
            <w:r w:rsidRPr="00766FB4">
              <w:t>.10, .43]</w:t>
            </w:r>
          </w:p>
        </w:tc>
      </w:tr>
      <w:tr w:rsidR="00766FB4" w:rsidRPr="00766FB4" w14:paraId="151924F0" w14:textId="77777777" w:rsidTr="008405E1">
        <w:tc>
          <w:tcPr>
            <w:tcW w:w="0" w:type="auto"/>
          </w:tcPr>
          <w:p w14:paraId="6EE9BA8E" w14:textId="77777777" w:rsidR="00766FB4" w:rsidRPr="00766FB4" w:rsidRDefault="00766FB4" w:rsidP="00141CAB">
            <w:r w:rsidRPr="00766FB4">
              <w:t xml:space="preserve">Communication centrality </w:t>
            </w:r>
            <w:r w:rsidRPr="00766FB4">
              <w:rPr>
                <w:rFonts w:ascii="Wingdings" w:eastAsia="Wingdings" w:hAnsi="Wingdings" w:cs="Wingdings"/>
              </w:rPr>
              <w:t></w:t>
            </w:r>
            <w:r w:rsidRPr="00766FB4">
              <w:t xml:space="preserve"> Friendship centrality</w:t>
            </w:r>
          </w:p>
        </w:tc>
        <w:tc>
          <w:tcPr>
            <w:tcW w:w="0" w:type="auto"/>
          </w:tcPr>
          <w:p w14:paraId="17A6C530" w14:textId="77777777" w:rsidR="00766FB4" w:rsidRPr="00766FB4" w:rsidRDefault="00766FB4" w:rsidP="00141CAB">
            <w:r w:rsidRPr="00766FB4">
              <w:rPr>
                <w:rFonts w:hint="eastAsia"/>
              </w:rPr>
              <w:t>.</w:t>
            </w:r>
            <w:r w:rsidRPr="00766FB4">
              <w:t>34***</w:t>
            </w:r>
          </w:p>
        </w:tc>
        <w:tc>
          <w:tcPr>
            <w:tcW w:w="0" w:type="auto"/>
          </w:tcPr>
          <w:p w14:paraId="73E76F9E" w14:textId="77777777" w:rsidR="00766FB4" w:rsidRPr="00766FB4" w:rsidRDefault="00766FB4" w:rsidP="00141CAB">
            <w:r w:rsidRPr="00766FB4">
              <w:rPr>
                <w:rFonts w:hint="eastAsia"/>
              </w:rPr>
              <w:t>.</w:t>
            </w:r>
            <w:r w:rsidRPr="00766FB4">
              <w:t>08</w:t>
            </w:r>
          </w:p>
        </w:tc>
        <w:tc>
          <w:tcPr>
            <w:tcW w:w="0" w:type="auto"/>
          </w:tcPr>
          <w:p w14:paraId="10B1EE8C" w14:textId="77777777" w:rsidR="00766FB4" w:rsidRPr="00766FB4" w:rsidRDefault="00766FB4" w:rsidP="00141CAB">
            <w:r w:rsidRPr="00766FB4">
              <w:rPr>
                <w:rFonts w:hint="eastAsia"/>
              </w:rPr>
              <w:t>[</w:t>
            </w:r>
            <w:r w:rsidRPr="00766FB4">
              <w:t>.18, .50]</w:t>
            </w:r>
          </w:p>
        </w:tc>
      </w:tr>
      <w:tr w:rsidR="00766FB4" w:rsidRPr="00766FB4" w14:paraId="29B11423" w14:textId="77777777" w:rsidTr="008405E1">
        <w:tc>
          <w:tcPr>
            <w:tcW w:w="0" w:type="auto"/>
          </w:tcPr>
          <w:p w14:paraId="00AAC7E2" w14:textId="77777777" w:rsidR="00766FB4" w:rsidRPr="00766FB4" w:rsidRDefault="00766FB4" w:rsidP="00141CAB">
            <w:r w:rsidRPr="00766FB4">
              <w:t xml:space="preserve">Advice-seeking centrality </w:t>
            </w:r>
            <w:r w:rsidRPr="00766FB4">
              <w:rPr>
                <w:rFonts w:ascii="Wingdings" w:eastAsia="Wingdings" w:hAnsi="Wingdings" w:cs="Wingdings"/>
              </w:rPr>
              <w:t></w:t>
            </w:r>
            <w:r w:rsidRPr="00766FB4">
              <w:t xml:space="preserve"> Thriving at work</w:t>
            </w:r>
          </w:p>
        </w:tc>
        <w:tc>
          <w:tcPr>
            <w:tcW w:w="0" w:type="auto"/>
          </w:tcPr>
          <w:p w14:paraId="32C2E186" w14:textId="77777777" w:rsidR="00766FB4" w:rsidRPr="00766FB4" w:rsidRDefault="00766FB4" w:rsidP="00141CAB">
            <w:r w:rsidRPr="00766FB4">
              <w:rPr>
                <w:rFonts w:hint="eastAsia"/>
              </w:rPr>
              <w:t>-</w:t>
            </w:r>
            <w:r w:rsidRPr="00766FB4">
              <w:t>.17*</w:t>
            </w:r>
          </w:p>
        </w:tc>
        <w:tc>
          <w:tcPr>
            <w:tcW w:w="0" w:type="auto"/>
          </w:tcPr>
          <w:p w14:paraId="7952A2E6" w14:textId="77777777" w:rsidR="00766FB4" w:rsidRPr="00766FB4" w:rsidRDefault="00766FB4" w:rsidP="00141CAB">
            <w:r w:rsidRPr="00766FB4">
              <w:rPr>
                <w:rFonts w:hint="eastAsia"/>
              </w:rPr>
              <w:t>.</w:t>
            </w:r>
            <w:r w:rsidRPr="00766FB4">
              <w:t>08</w:t>
            </w:r>
          </w:p>
        </w:tc>
        <w:tc>
          <w:tcPr>
            <w:tcW w:w="0" w:type="auto"/>
          </w:tcPr>
          <w:p w14:paraId="7240595C" w14:textId="77777777" w:rsidR="00766FB4" w:rsidRPr="00766FB4" w:rsidRDefault="00766FB4" w:rsidP="00141CAB">
            <w:r w:rsidRPr="00766FB4">
              <w:rPr>
                <w:rFonts w:hint="eastAsia"/>
              </w:rPr>
              <w:t>[</w:t>
            </w:r>
            <w:r w:rsidRPr="00766FB4">
              <w:t>-.34, -.01]</w:t>
            </w:r>
          </w:p>
        </w:tc>
      </w:tr>
      <w:tr w:rsidR="00766FB4" w:rsidRPr="00766FB4" w14:paraId="68471DFB" w14:textId="77777777" w:rsidTr="008405E1">
        <w:tc>
          <w:tcPr>
            <w:tcW w:w="0" w:type="auto"/>
          </w:tcPr>
          <w:p w14:paraId="095E43FB" w14:textId="77777777" w:rsidR="00766FB4" w:rsidRPr="00766FB4" w:rsidRDefault="00766FB4" w:rsidP="00141CAB">
            <w:r w:rsidRPr="00766FB4">
              <w:t xml:space="preserve">Friendship centrality </w:t>
            </w:r>
            <w:r w:rsidRPr="00766FB4">
              <w:rPr>
                <w:rFonts w:ascii="Wingdings" w:eastAsia="Wingdings" w:hAnsi="Wingdings" w:cs="Wingdings"/>
              </w:rPr>
              <w:t></w:t>
            </w:r>
            <w:r w:rsidRPr="00766FB4">
              <w:t xml:space="preserve"> Thriving at work</w:t>
            </w:r>
          </w:p>
        </w:tc>
        <w:tc>
          <w:tcPr>
            <w:tcW w:w="0" w:type="auto"/>
          </w:tcPr>
          <w:p w14:paraId="0062AFAE" w14:textId="77777777" w:rsidR="00766FB4" w:rsidRPr="00766FB4" w:rsidRDefault="00766FB4" w:rsidP="00141CAB">
            <w:r w:rsidRPr="00766FB4">
              <w:rPr>
                <w:rFonts w:hint="eastAsia"/>
              </w:rPr>
              <w:t>.</w:t>
            </w:r>
            <w:r w:rsidRPr="00766FB4">
              <w:t>30***</w:t>
            </w:r>
          </w:p>
        </w:tc>
        <w:tc>
          <w:tcPr>
            <w:tcW w:w="0" w:type="auto"/>
          </w:tcPr>
          <w:p w14:paraId="64FA623A" w14:textId="77777777" w:rsidR="00766FB4" w:rsidRPr="00766FB4" w:rsidRDefault="00766FB4" w:rsidP="00141CAB">
            <w:r w:rsidRPr="00766FB4">
              <w:rPr>
                <w:rFonts w:hint="eastAsia"/>
              </w:rPr>
              <w:t>.</w:t>
            </w:r>
            <w:r w:rsidRPr="00766FB4">
              <w:t>09</w:t>
            </w:r>
          </w:p>
        </w:tc>
        <w:tc>
          <w:tcPr>
            <w:tcW w:w="0" w:type="auto"/>
          </w:tcPr>
          <w:p w14:paraId="749737DD" w14:textId="77777777" w:rsidR="00766FB4" w:rsidRPr="00766FB4" w:rsidRDefault="00766FB4" w:rsidP="00141CAB">
            <w:r w:rsidRPr="00766FB4">
              <w:rPr>
                <w:rFonts w:hint="eastAsia"/>
              </w:rPr>
              <w:t>[</w:t>
            </w:r>
            <w:r w:rsidRPr="00766FB4">
              <w:t>.12, .48]</w:t>
            </w:r>
          </w:p>
        </w:tc>
      </w:tr>
      <w:tr w:rsidR="00766FB4" w:rsidRPr="00766FB4" w14:paraId="2C74EB06" w14:textId="77777777" w:rsidTr="008405E1">
        <w:tc>
          <w:tcPr>
            <w:tcW w:w="0" w:type="auto"/>
          </w:tcPr>
          <w:p w14:paraId="0B561A67" w14:textId="77777777" w:rsidR="00766FB4" w:rsidRPr="00766FB4" w:rsidRDefault="00766FB4" w:rsidP="00141CAB">
            <w:r w:rsidRPr="00766FB4">
              <w:t xml:space="preserve">Communication centrality </w:t>
            </w:r>
            <w:r w:rsidRPr="00766FB4">
              <w:rPr>
                <w:rFonts w:ascii="Wingdings" w:eastAsia="Wingdings" w:hAnsi="Wingdings" w:cs="Wingdings"/>
              </w:rPr>
              <w:t></w:t>
            </w:r>
            <w:r w:rsidRPr="00766FB4">
              <w:t xml:space="preserve"> Thriving at work</w:t>
            </w:r>
          </w:p>
        </w:tc>
        <w:tc>
          <w:tcPr>
            <w:tcW w:w="0" w:type="auto"/>
          </w:tcPr>
          <w:p w14:paraId="013F8A55" w14:textId="77777777" w:rsidR="00766FB4" w:rsidRPr="00766FB4" w:rsidRDefault="00766FB4" w:rsidP="00141CAB">
            <w:r w:rsidRPr="00766FB4">
              <w:rPr>
                <w:rFonts w:hint="eastAsia"/>
              </w:rPr>
              <w:t>-</w:t>
            </w:r>
            <w:r w:rsidRPr="00766FB4">
              <w:t>.08</w:t>
            </w:r>
          </w:p>
        </w:tc>
        <w:tc>
          <w:tcPr>
            <w:tcW w:w="0" w:type="auto"/>
          </w:tcPr>
          <w:p w14:paraId="7DAA9918" w14:textId="77777777" w:rsidR="00766FB4" w:rsidRPr="00766FB4" w:rsidRDefault="00766FB4" w:rsidP="00141CAB">
            <w:r w:rsidRPr="00766FB4">
              <w:rPr>
                <w:rFonts w:hint="eastAsia"/>
              </w:rPr>
              <w:t>.</w:t>
            </w:r>
            <w:r w:rsidRPr="00766FB4">
              <w:t>09</w:t>
            </w:r>
          </w:p>
        </w:tc>
        <w:tc>
          <w:tcPr>
            <w:tcW w:w="0" w:type="auto"/>
          </w:tcPr>
          <w:p w14:paraId="14C03318" w14:textId="77777777" w:rsidR="00766FB4" w:rsidRPr="00766FB4" w:rsidRDefault="00766FB4" w:rsidP="00141CAB">
            <w:r w:rsidRPr="00766FB4">
              <w:rPr>
                <w:rFonts w:hint="eastAsia"/>
              </w:rPr>
              <w:t>[</w:t>
            </w:r>
            <w:r w:rsidRPr="00766FB4">
              <w:t>-.26, .11]</w:t>
            </w:r>
          </w:p>
        </w:tc>
      </w:tr>
      <w:tr w:rsidR="00766FB4" w:rsidRPr="00766FB4" w14:paraId="7D9F4E9D" w14:textId="77777777" w:rsidTr="008405E1">
        <w:tc>
          <w:tcPr>
            <w:tcW w:w="0" w:type="auto"/>
          </w:tcPr>
          <w:p w14:paraId="1C690DB6" w14:textId="77777777" w:rsidR="00766FB4" w:rsidRPr="00766FB4" w:rsidRDefault="00766FB4" w:rsidP="00141CAB">
            <w:r w:rsidRPr="00766FB4">
              <w:t>Indirect effects</w:t>
            </w:r>
          </w:p>
        </w:tc>
        <w:tc>
          <w:tcPr>
            <w:tcW w:w="0" w:type="auto"/>
          </w:tcPr>
          <w:p w14:paraId="053FD25E" w14:textId="77777777" w:rsidR="00766FB4" w:rsidRPr="00766FB4" w:rsidRDefault="00766FB4" w:rsidP="00141CAB"/>
        </w:tc>
        <w:tc>
          <w:tcPr>
            <w:tcW w:w="0" w:type="auto"/>
          </w:tcPr>
          <w:p w14:paraId="7C760C0E" w14:textId="77777777" w:rsidR="00766FB4" w:rsidRPr="00766FB4" w:rsidRDefault="00766FB4" w:rsidP="00141CAB"/>
        </w:tc>
        <w:tc>
          <w:tcPr>
            <w:tcW w:w="0" w:type="auto"/>
          </w:tcPr>
          <w:p w14:paraId="57B95FDC" w14:textId="77777777" w:rsidR="00766FB4" w:rsidRPr="00766FB4" w:rsidRDefault="00766FB4" w:rsidP="00141CAB"/>
        </w:tc>
      </w:tr>
      <w:tr w:rsidR="00766FB4" w:rsidRPr="00766FB4" w14:paraId="1AE53335" w14:textId="77777777" w:rsidTr="008405E1">
        <w:tc>
          <w:tcPr>
            <w:tcW w:w="0" w:type="auto"/>
          </w:tcPr>
          <w:p w14:paraId="6397D91D" w14:textId="77777777" w:rsidR="00766FB4" w:rsidRPr="00766FB4" w:rsidRDefault="00766FB4" w:rsidP="00141CAB">
            <w:r w:rsidRPr="00766FB4">
              <w:t xml:space="preserve">Communication centrality </w:t>
            </w:r>
            <w:r w:rsidRPr="00766FB4">
              <w:rPr>
                <w:rFonts w:ascii="Wingdings" w:eastAsia="Wingdings" w:hAnsi="Wingdings" w:cs="Wingdings"/>
              </w:rPr>
              <w:t></w:t>
            </w:r>
            <w:r w:rsidRPr="00766FB4">
              <w:t xml:space="preserve"> Thriving at work</w:t>
            </w:r>
          </w:p>
        </w:tc>
        <w:tc>
          <w:tcPr>
            <w:tcW w:w="0" w:type="auto"/>
          </w:tcPr>
          <w:p w14:paraId="537125F2" w14:textId="77777777" w:rsidR="00766FB4" w:rsidRPr="00766FB4" w:rsidRDefault="00766FB4" w:rsidP="00141CAB"/>
        </w:tc>
        <w:tc>
          <w:tcPr>
            <w:tcW w:w="0" w:type="auto"/>
          </w:tcPr>
          <w:p w14:paraId="36C98AC8" w14:textId="77777777" w:rsidR="00766FB4" w:rsidRPr="00766FB4" w:rsidRDefault="00766FB4" w:rsidP="00141CAB"/>
        </w:tc>
        <w:tc>
          <w:tcPr>
            <w:tcW w:w="0" w:type="auto"/>
          </w:tcPr>
          <w:p w14:paraId="6CDDFAA3" w14:textId="77777777" w:rsidR="00766FB4" w:rsidRPr="00766FB4" w:rsidRDefault="00766FB4" w:rsidP="00141CAB"/>
        </w:tc>
      </w:tr>
      <w:tr w:rsidR="00766FB4" w:rsidRPr="00766FB4" w14:paraId="4AC7A550" w14:textId="77777777" w:rsidTr="008405E1">
        <w:tc>
          <w:tcPr>
            <w:tcW w:w="0" w:type="auto"/>
          </w:tcPr>
          <w:p w14:paraId="65EA329F" w14:textId="77777777" w:rsidR="00766FB4" w:rsidRPr="00766FB4" w:rsidRDefault="00766FB4" w:rsidP="00141CAB">
            <w:r w:rsidRPr="00766FB4">
              <w:t>Via advice-seeking centrality</w:t>
            </w:r>
          </w:p>
        </w:tc>
        <w:tc>
          <w:tcPr>
            <w:tcW w:w="0" w:type="auto"/>
          </w:tcPr>
          <w:p w14:paraId="64A4EAB5" w14:textId="77777777" w:rsidR="00766FB4" w:rsidRPr="00766FB4" w:rsidRDefault="00766FB4" w:rsidP="00141CAB">
            <w:r w:rsidRPr="00766FB4">
              <w:rPr>
                <w:rFonts w:hint="eastAsia"/>
              </w:rPr>
              <w:t>-</w:t>
            </w:r>
            <w:r w:rsidRPr="00766FB4">
              <w:t>.05*</w:t>
            </w:r>
          </w:p>
        </w:tc>
        <w:tc>
          <w:tcPr>
            <w:tcW w:w="0" w:type="auto"/>
          </w:tcPr>
          <w:p w14:paraId="25CCFFA4" w14:textId="77777777" w:rsidR="00766FB4" w:rsidRPr="00766FB4" w:rsidRDefault="00766FB4" w:rsidP="00141CAB">
            <w:r w:rsidRPr="00766FB4">
              <w:rPr>
                <w:rFonts w:hint="eastAsia"/>
              </w:rPr>
              <w:t>.</w:t>
            </w:r>
            <w:r w:rsidRPr="00766FB4">
              <w:t>02</w:t>
            </w:r>
          </w:p>
        </w:tc>
        <w:tc>
          <w:tcPr>
            <w:tcW w:w="0" w:type="auto"/>
          </w:tcPr>
          <w:p w14:paraId="447800E8" w14:textId="77777777" w:rsidR="00766FB4" w:rsidRPr="00766FB4" w:rsidRDefault="00766FB4" w:rsidP="00141CAB">
            <w:r w:rsidRPr="00766FB4">
              <w:rPr>
                <w:rFonts w:hint="eastAsia"/>
              </w:rPr>
              <w:t>[</w:t>
            </w:r>
            <w:r w:rsidRPr="00766FB4">
              <w:t>-.09, -.003]</w:t>
            </w:r>
          </w:p>
        </w:tc>
      </w:tr>
      <w:tr w:rsidR="00766FB4" w:rsidRPr="00766FB4" w14:paraId="2EB332B9" w14:textId="77777777" w:rsidTr="008405E1">
        <w:tc>
          <w:tcPr>
            <w:tcW w:w="0" w:type="auto"/>
          </w:tcPr>
          <w:p w14:paraId="681DD084" w14:textId="77777777" w:rsidR="00766FB4" w:rsidRPr="00766FB4" w:rsidRDefault="00766FB4" w:rsidP="00141CAB">
            <w:r w:rsidRPr="00766FB4">
              <w:t>Via friendship centrality</w:t>
            </w:r>
          </w:p>
        </w:tc>
        <w:tc>
          <w:tcPr>
            <w:tcW w:w="0" w:type="auto"/>
          </w:tcPr>
          <w:p w14:paraId="5AD54BB7" w14:textId="77777777" w:rsidR="00766FB4" w:rsidRPr="00766FB4" w:rsidRDefault="00766FB4" w:rsidP="00141CAB">
            <w:r w:rsidRPr="00766FB4">
              <w:rPr>
                <w:rFonts w:hint="eastAsia"/>
              </w:rPr>
              <w:t>.</w:t>
            </w:r>
            <w:r w:rsidRPr="00766FB4">
              <w:t>10**</w:t>
            </w:r>
          </w:p>
        </w:tc>
        <w:tc>
          <w:tcPr>
            <w:tcW w:w="0" w:type="auto"/>
          </w:tcPr>
          <w:p w14:paraId="43C69DAC" w14:textId="77777777" w:rsidR="00766FB4" w:rsidRPr="00766FB4" w:rsidRDefault="00766FB4" w:rsidP="00141CAB">
            <w:r w:rsidRPr="00766FB4">
              <w:rPr>
                <w:rFonts w:hint="eastAsia"/>
              </w:rPr>
              <w:t>.</w:t>
            </w:r>
            <w:r w:rsidRPr="00766FB4">
              <w:t>04</w:t>
            </w:r>
          </w:p>
        </w:tc>
        <w:tc>
          <w:tcPr>
            <w:tcW w:w="0" w:type="auto"/>
          </w:tcPr>
          <w:p w14:paraId="359BA26E" w14:textId="77777777" w:rsidR="00766FB4" w:rsidRPr="00766FB4" w:rsidRDefault="00766FB4" w:rsidP="00141CAB">
            <w:r w:rsidRPr="00766FB4">
              <w:rPr>
                <w:rFonts w:hint="eastAsia"/>
              </w:rPr>
              <w:t>[</w:t>
            </w:r>
            <w:r w:rsidRPr="00766FB4">
              <w:t>.03, .17]</w:t>
            </w:r>
          </w:p>
        </w:tc>
      </w:tr>
      <w:tr w:rsidR="00766FB4" w:rsidRPr="00766FB4" w14:paraId="4243F324" w14:textId="77777777" w:rsidTr="008405E1">
        <w:tc>
          <w:tcPr>
            <w:tcW w:w="0" w:type="auto"/>
          </w:tcPr>
          <w:p w14:paraId="2BADB81A" w14:textId="77777777" w:rsidR="00766FB4" w:rsidRPr="00766FB4" w:rsidRDefault="00766FB4" w:rsidP="00141CAB">
            <w:r w:rsidRPr="00766FB4">
              <w:t>Total effect</w:t>
            </w:r>
          </w:p>
        </w:tc>
        <w:tc>
          <w:tcPr>
            <w:tcW w:w="0" w:type="auto"/>
          </w:tcPr>
          <w:p w14:paraId="427C8F91" w14:textId="77777777" w:rsidR="00766FB4" w:rsidRPr="00766FB4" w:rsidRDefault="00766FB4" w:rsidP="00141CAB"/>
        </w:tc>
        <w:tc>
          <w:tcPr>
            <w:tcW w:w="0" w:type="auto"/>
          </w:tcPr>
          <w:p w14:paraId="3F9C8A83" w14:textId="77777777" w:rsidR="00766FB4" w:rsidRPr="00766FB4" w:rsidRDefault="00766FB4" w:rsidP="00141CAB"/>
        </w:tc>
        <w:tc>
          <w:tcPr>
            <w:tcW w:w="0" w:type="auto"/>
          </w:tcPr>
          <w:p w14:paraId="737A9F73" w14:textId="77777777" w:rsidR="00766FB4" w:rsidRPr="00766FB4" w:rsidRDefault="00766FB4" w:rsidP="00141CAB"/>
        </w:tc>
      </w:tr>
      <w:tr w:rsidR="00766FB4" w:rsidRPr="00766FB4" w14:paraId="06ACE388" w14:textId="77777777" w:rsidTr="008405E1">
        <w:tc>
          <w:tcPr>
            <w:tcW w:w="0" w:type="auto"/>
          </w:tcPr>
          <w:p w14:paraId="43D3895D" w14:textId="77777777" w:rsidR="00766FB4" w:rsidRPr="00766FB4" w:rsidRDefault="00766FB4" w:rsidP="00141CAB">
            <w:r w:rsidRPr="00766FB4">
              <w:t xml:space="preserve">Communication centrality </w:t>
            </w:r>
            <w:r w:rsidRPr="00766FB4">
              <w:rPr>
                <w:rFonts w:ascii="Wingdings" w:eastAsia="Wingdings" w:hAnsi="Wingdings" w:cs="Wingdings"/>
              </w:rPr>
              <w:t></w:t>
            </w:r>
            <w:r w:rsidRPr="00766FB4">
              <w:t xml:space="preserve"> Thriving at work</w:t>
            </w:r>
          </w:p>
        </w:tc>
        <w:tc>
          <w:tcPr>
            <w:tcW w:w="0" w:type="auto"/>
          </w:tcPr>
          <w:p w14:paraId="25499419" w14:textId="77777777" w:rsidR="00766FB4" w:rsidRPr="00766FB4" w:rsidRDefault="00766FB4" w:rsidP="00141CAB">
            <w:r w:rsidRPr="00766FB4">
              <w:t>-.02</w:t>
            </w:r>
          </w:p>
        </w:tc>
        <w:tc>
          <w:tcPr>
            <w:tcW w:w="0" w:type="auto"/>
          </w:tcPr>
          <w:p w14:paraId="12C3385C" w14:textId="77777777" w:rsidR="00766FB4" w:rsidRPr="00766FB4" w:rsidRDefault="00766FB4" w:rsidP="00141CAB">
            <w:r w:rsidRPr="00766FB4">
              <w:rPr>
                <w:rFonts w:hint="eastAsia"/>
              </w:rPr>
              <w:t>.</w:t>
            </w:r>
            <w:r w:rsidRPr="00766FB4">
              <w:t>08</w:t>
            </w:r>
          </w:p>
        </w:tc>
        <w:tc>
          <w:tcPr>
            <w:tcW w:w="0" w:type="auto"/>
          </w:tcPr>
          <w:p w14:paraId="6655DA84" w14:textId="77777777" w:rsidR="00766FB4" w:rsidRPr="00766FB4" w:rsidRDefault="00766FB4" w:rsidP="00141CAB">
            <w:r w:rsidRPr="00766FB4">
              <w:rPr>
                <w:rFonts w:hint="eastAsia"/>
              </w:rPr>
              <w:t>[</w:t>
            </w:r>
            <w:r w:rsidRPr="00766FB4">
              <w:t>-.19, .14]</w:t>
            </w:r>
          </w:p>
        </w:tc>
      </w:tr>
    </w:tbl>
    <w:p w14:paraId="31A18943" w14:textId="77777777" w:rsidR="00766FB4" w:rsidRPr="00766FB4" w:rsidRDefault="00766FB4" w:rsidP="00141CAB">
      <w:r w:rsidRPr="00766FB4">
        <w:t>Note: Bootstrapping: 10,000 samples; *p &lt; .05.</w:t>
      </w:r>
    </w:p>
    <w:p w14:paraId="1D1B934D" w14:textId="77777777" w:rsidR="00766FB4" w:rsidRPr="00766FB4" w:rsidRDefault="00766FB4" w:rsidP="00141CAB"/>
    <w:p w14:paraId="59C1FE4A" w14:textId="77777777" w:rsidR="00411B40" w:rsidRPr="00766FB4" w:rsidRDefault="00411B40" w:rsidP="00141CAB"/>
    <w:sectPr w:rsidR="00411B40" w:rsidRPr="00766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Wingdings">
    <w:panose1 w:val="05000000000000000000"/>
    <w:charset w:val="00"/>
    <w:family w:val="decorative"/>
    <w:pitch w:val="variable"/>
    <w:sig w:usb0="00000003" w:usb1="00000000" w:usb2="00000000" w:usb3="00000000" w:csb0="8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B4"/>
    <w:rsid w:val="0004210B"/>
    <w:rsid w:val="000B57B5"/>
    <w:rsid w:val="000F5A11"/>
    <w:rsid w:val="00101A94"/>
    <w:rsid w:val="00141CAB"/>
    <w:rsid w:val="00411B40"/>
    <w:rsid w:val="00657685"/>
    <w:rsid w:val="00766FB4"/>
    <w:rsid w:val="009F573A"/>
    <w:rsid w:val="00C562A1"/>
    <w:rsid w:val="00CA7A2D"/>
    <w:rsid w:val="00D83D7E"/>
    <w:rsid w:val="00DB3966"/>
    <w:rsid w:val="00EF0B8E"/>
    <w:rsid w:val="00F43509"/>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E8017"/>
  <w15:chartTrackingRefBased/>
  <w15:docId w15:val="{71BCD99A-2991-41DA-8E93-4E4540A6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CAB"/>
    <w:rPr>
      <w:rFonts w:ascii="Times New Roman" w:eastAsia="宋体" w:hAnsi="Times New Roman" w:cs="Times New Roman"/>
      <w:kern w:val="24"/>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766FB4"/>
  </w:style>
  <w:style w:type="character" w:customStyle="1" w:styleId="a4">
    <w:name w:val="批注文字 字符"/>
    <w:basedOn w:val="a0"/>
    <w:link w:val="a3"/>
    <w:uiPriority w:val="99"/>
    <w:semiHidden/>
    <w:rsid w:val="00766FB4"/>
  </w:style>
  <w:style w:type="table" w:customStyle="1" w:styleId="APAReport">
    <w:name w:val="APA Report"/>
    <w:basedOn w:val="a1"/>
    <w:uiPriority w:val="99"/>
    <w:rsid w:val="00766FB4"/>
    <w:rPr>
      <w:kern w:val="0"/>
      <w:sz w:val="24"/>
      <w:szCs w:val="24"/>
      <w:lang w:eastAsia="ja-JP"/>
    </w:rPr>
    <w:tblPr>
      <w:tblBorders>
        <w:top w:val="single" w:sz="12" w:space="0" w:color="auto"/>
        <w:bottom w:val="single" w:sz="12" w:space="0" w:color="auto"/>
      </w:tblBorders>
    </w:tblPr>
    <w:tblStylePr w:type="firstRow">
      <w:rPr>
        <w:rFonts w:ascii="Times New Roman" w:hAnsi="Times New Roman"/>
      </w:rPr>
      <w:tblPr/>
      <w:trPr>
        <w:tblHeader/>
      </w:trPr>
      <w:tcPr>
        <w:tcBorders>
          <w:top w:val="single" w:sz="12" w:space="0" w:color="auto"/>
          <w:left w:val="nil"/>
          <w:bottom w:val="single" w:sz="12" w:space="0" w:color="auto"/>
          <w:right w:val="nil"/>
          <w:insideH w:val="nil"/>
          <w:insideV w:val="nil"/>
          <w:tl2br w:val="nil"/>
          <w:tr2bl w:val="nil"/>
        </w:tcBorders>
      </w:tcPr>
    </w:tblStylePr>
  </w:style>
  <w:style w:type="character" w:styleId="a5">
    <w:name w:val="annotation reference"/>
    <w:basedOn w:val="a0"/>
    <w:uiPriority w:val="99"/>
    <w:semiHidden/>
    <w:unhideWhenUsed/>
    <w:rsid w:val="00766FB4"/>
    <w:rPr>
      <w:sz w:val="22"/>
      <w:szCs w:val="16"/>
    </w:rPr>
  </w:style>
  <w:style w:type="table" w:customStyle="1" w:styleId="61">
    <w:name w:val="清单表 6 彩色1"/>
    <w:basedOn w:val="a1"/>
    <w:next w:val="6"/>
    <w:uiPriority w:val="51"/>
    <w:rsid w:val="00766FB4"/>
    <w:pPr>
      <w:ind w:firstLine="720"/>
    </w:pPr>
    <w:rPr>
      <w:color w:val="000000"/>
      <w:kern w:val="0"/>
      <w:sz w:val="24"/>
      <w:szCs w:val="24"/>
      <w:lang w:eastAsia="ja-JP"/>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
    <w:name w:val="List Table 6 Colorful"/>
    <w:basedOn w:val="a1"/>
    <w:uiPriority w:val="51"/>
    <w:rsid w:val="00766FB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6">
    <w:name w:val="Balloon Text"/>
    <w:basedOn w:val="a"/>
    <w:link w:val="a7"/>
    <w:uiPriority w:val="99"/>
    <w:semiHidden/>
    <w:unhideWhenUsed/>
    <w:rsid w:val="00766FB4"/>
    <w:rPr>
      <w:sz w:val="18"/>
      <w:szCs w:val="18"/>
    </w:rPr>
  </w:style>
  <w:style w:type="character" w:customStyle="1" w:styleId="a7">
    <w:name w:val="批注框文本 字符"/>
    <w:basedOn w:val="a0"/>
    <w:link w:val="a6"/>
    <w:uiPriority w:val="99"/>
    <w:semiHidden/>
    <w:rsid w:val="00766F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6e578e-7176-457e-8cbc-1dcaed7ab6e2">
      <Terms xmlns="http://schemas.microsoft.com/office/infopath/2007/PartnerControls"/>
    </lcf76f155ced4ddcb4097134ff3c332f>
    <TaxCatchAll xmlns="dbb61228-fa39-40cd-bd12-a7e7a8c448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2A1237E303E70F478CAB9AC95A23F65E" ma:contentTypeVersion="11" ma:contentTypeDescription="新建文档。" ma:contentTypeScope="" ma:versionID="f48a1b771d406fb86109acf8877b5959">
  <xsd:schema xmlns:xsd="http://www.w3.org/2001/XMLSchema" xmlns:xs="http://www.w3.org/2001/XMLSchema" xmlns:p="http://schemas.microsoft.com/office/2006/metadata/properties" xmlns:ns2="cc6e578e-7176-457e-8cbc-1dcaed7ab6e2" xmlns:ns3="dbb61228-fa39-40cd-bd12-a7e7a8c44861" targetNamespace="http://schemas.microsoft.com/office/2006/metadata/properties" ma:root="true" ma:fieldsID="990755795982393429e798625ead61fa" ns2:_="" ns3:_="">
    <xsd:import namespace="cc6e578e-7176-457e-8cbc-1dcaed7ab6e2"/>
    <xsd:import namespace="dbb61228-fa39-40cd-bd12-a7e7a8c4486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e578e-7176-457e-8cbc-1dcaed7ab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图像标记" ma:readOnly="false" ma:fieldId="{5cf76f15-5ced-4ddc-b409-7134ff3c332f}" ma:taxonomyMulti="true" ma:sspId="1d867438-9d18-4464-b057-eec7a8cc70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b61228-fa39-40cd-bd12-a7e7a8c448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3bcf04-db2c-4d09-b06d-c98743761b59}" ma:internalName="TaxCatchAll" ma:showField="CatchAllData" ma:web="dbb61228-fa39-40cd-bd12-a7e7a8c448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E00F14-B956-418B-900F-20C875267FAF}">
  <ds:schemaRefs>
    <ds:schemaRef ds:uri="http://schemas.microsoft.com/sharepoint/v3/contenttype/forms"/>
  </ds:schemaRefs>
</ds:datastoreItem>
</file>

<file path=customXml/itemProps2.xml><?xml version="1.0" encoding="utf-8"?>
<ds:datastoreItem xmlns:ds="http://schemas.openxmlformats.org/officeDocument/2006/customXml" ds:itemID="{904B0A5E-FAFE-41FD-B9EB-86D24B673AC4}">
  <ds:schemaRefs>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elements/1.1/"/>
    <ds:schemaRef ds:uri="dbb61228-fa39-40cd-bd12-a7e7a8c44861"/>
    <ds:schemaRef ds:uri="cc6e578e-7176-457e-8cbc-1dcaed7ab6e2"/>
  </ds:schemaRefs>
</ds:datastoreItem>
</file>

<file path=customXml/itemProps3.xml><?xml version="1.0" encoding="utf-8"?>
<ds:datastoreItem xmlns:ds="http://schemas.openxmlformats.org/officeDocument/2006/customXml" ds:itemID="{F5062D0F-66FB-4A0B-81A5-F64D9620F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e578e-7176-457e-8cbc-1dcaed7ab6e2"/>
    <ds:schemaRef ds:uri="dbb61228-fa39-40cd-bd12-a7e7a8c44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authors</dc:creator>
  <cp:keywords/>
  <dc:description/>
  <cp:lastModifiedBy>Authors</cp:lastModifiedBy>
  <cp:revision>2</cp:revision>
  <dcterms:created xsi:type="dcterms:W3CDTF">2023-10-08T22:24:00Z</dcterms:created>
  <dcterms:modified xsi:type="dcterms:W3CDTF">2023-10-08T22:24:00Z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0x0101002A1237E303E70F478CAB9AC95A23F65E</vt:lpwstr>
  </property>
  <property fmtid="{D5CDD505-2E9C-101B-9397-08002B2CF9AE}" pid="3" name="MediaServiceImageTags">
    <vt:lpwstr/>
  </property>
</Properties>
</file>