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98" w:rsidRPr="00D346B8" w:rsidRDefault="00C30998" w:rsidP="00C30998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D346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Appendix </w:t>
      </w: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Appendix I</w:t>
      </w:r>
      <w:r w:rsidRPr="00D346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.</w:t>
      </w: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Set of sentences used in the experiment. Each sentence was extracted from French movies and spoken by the same actor with neutral or angry emotional prosody.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4125"/>
        <w:gridCol w:w="3840"/>
      </w:tblGrid>
      <w:tr w:rsidR="00C30998" w:rsidRPr="00D346B8" w:rsidTr="00FB5B46">
        <w:trPr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Emotion 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Original verbal content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Film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Tu comprends pas que c'est un cadeau que je te fais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[Don't you understand that this is a gift I'm giving you]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L'Humanité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Bruno Dumont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1999)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Dis ce soir on va à la brasserie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[Hey tonight we’re going to the brewery]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L'Humanité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Bruno Dumont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1999)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Pas un voleur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[Not a thief]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La Drôlesse ‘The Hussy’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Jacques Doillon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1979 )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C'est mon beau père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[He’s my father-in-law]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La Drôlesse ‘The Hussy’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Jacques Doillon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Tu tires dans le tunnel</w:t>
            </w:r>
          </w:p>
          <w:p w:rsidR="00C30998" w:rsidRPr="00D346B8" w:rsidRDefault="00C30998" w:rsidP="00FB5B46">
            <w:pPr>
              <w:spacing w:after="16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t-IT"/>
              </w:rPr>
              <w:t>[You’re shooting in the tunnel]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Bande de Fille ‘Girlhood’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Céline Sciamma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2014)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On a qu'à faire un truc qui change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[Let's do something different]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Bande de Fille ‘Girlhood’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Céline Sciamma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2014)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J’te parle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[I'm talking to you]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Bande de Fille ‘Girlhood’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Céline Sciamma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2014)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Je veux pas faire de CAP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[I don't want to do a CAP]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Bande de Fille ‘Girlhood’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Céline Sciamma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2014)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J'y toucherai quand j'aurai envie d'y toucher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[I'll touch it when I want to touch it]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Boirait pas encore un petit verre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[Wouldn't drink a little more]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 xml:space="preserve">anger 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Rends-le moi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lastRenderedPageBreak/>
              <w:t>[Give it back to me]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lastRenderedPageBreak/>
              <w:t xml:space="preserve">Rosetta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lastRenderedPageBreak/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Frères Dardennes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1999)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lastRenderedPageBreak/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J'ai travaillé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[I worked]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Rosetta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Frères Dardennes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1999)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 xml:space="preserve">anger 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 xml:space="preserve">Arrête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[Stop it]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Une étrange affaire ‘Strange Affair’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 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Pierre Granier-Deferre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1981)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Tu veux pas je descende Filo  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[You don't want me to come down Filo]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Une étrange affaire ‘Strange Affair’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Pierre Granier-Deferre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1981)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Je suis pas malade moi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[I'm not crazy]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C'est fermé à clef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[It's locked]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anger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Des idées de quoi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[Ideas of what]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  <w:tr w:rsidR="00C30998" w:rsidRPr="00D346B8" w:rsidTr="00FB5B46">
        <w:trPr>
          <w:trHeight w:val="290"/>
          <w:jc w:val="center"/>
        </w:trPr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neutral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Pas vraiment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t-IT"/>
              </w:rPr>
              <w:t>[Not really]</w:t>
            </w:r>
          </w:p>
        </w:tc>
        <w:tc>
          <w:tcPr>
            <w:tcW w:w="0" w:type="auto"/>
          </w:tcPr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 xml:space="preserve">Buffet Froid </w:t>
            </w:r>
          </w:p>
          <w:p w:rsidR="00C30998" w:rsidRPr="00D346B8" w:rsidRDefault="00C30998" w:rsidP="00FB5B46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(</w:t>
            </w:r>
            <w:r w:rsidRPr="00D34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fr-FR" w:eastAsia="it-IT"/>
              </w:rPr>
              <w:t>Bertrand Blier</w:t>
            </w: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it-IT"/>
              </w:rPr>
              <w:t>, 1979)</w:t>
            </w:r>
          </w:p>
        </w:tc>
      </w:tr>
    </w:tbl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Appendix II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Output of the linear mixed models estimated for ratings of valence (a) and intensity (b), with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 w:eastAsia="ja-JP"/>
        </w:rPr>
        <w:t>PROSODY (neutral vs. angry), FACE (presence vs. absence) and MORPHING (morphing+ vs. morphing-) as fixed effects. PARTICIPANT SEX (female vs. male) and ACTOR SEX (female vs. male) were also included as control variables.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level (intercept): Face: absence; Prosody: angry; Morphing: morphing-; Participant Sex male; Actor Sex: male. (</w:t>
      </w:r>
      <w:r w:rsidRPr="00D346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3600 for valence and </w:t>
      </w:r>
      <w:r w:rsidRPr="00D346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3600).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ouput is reported only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one model (i.e., the one with no reveling of the intercept). Models on the same data sets with relevel of the intercept are not reported for the sake of brevity. </w:t>
      </w:r>
      <w:r w:rsidRPr="00D346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Significance codes: p &lt; 0.001 (***), p &lt; 0.01 (**), p &lt; 0.05 (*). Cut-off point for significance: </w:t>
      </w:r>
      <w:r w:rsidRPr="00D346B8">
        <w:rPr>
          <w:rStyle w:val="markedcontent"/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D346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= 0.016.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[p = 0.05 divided by the number of models (3) run].</w:t>
      </w: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:rsidR="00C30998" w:rsidRPr="00D346B8" w:rsidRDefault="00C30998" w:rsidP="00C3099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sectPr w:rsidR="00C30998" w:rsidRPr="00D346B8" w:rsidSect="00E90DB7">
          <w:footerReference w:type="default" r:id="rId5"/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C30998" w:rsidRPr="00D346B8" w:rsidRDefault="00C30998" w:rsidP="00C3099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Valence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  <w:gridCol w:w="803"/>
        <w:gridCol w:w="616"/>
        <w:gridCol w:w="951"/>
        <w:gridCol w:w="728"/>
        <w:gridCol w:w="834"/>
        <w:gridCol w:w="560"/>
      </w:tblGrid>
      <w:tr w:rsidR="00C30998" w:rsidRPr="00D346B8" w:rsidTr="00FB5B46">
        <w:trPr>
          <w:trHeight w:val="288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Effect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β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df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pvalue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(Intercept)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48.48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3.54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14.30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13.70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Morphing_morphing+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22.36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2.96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32.40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7.55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Face_presence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2736.54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ParticipantSex_female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2.88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591.82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-4.96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10.83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-20.98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1351.82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-8.26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Face_presence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-2.33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2876.77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ParticipantSex_female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3.30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2293.37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Face_presence x ParticipantSex_female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2723.10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-1.23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4.33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29.18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Face_presence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3.33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2808.36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ParticipantSex_female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3.34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2804.04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-22.99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2878.37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-7.29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Face_presence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-8.07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2869.55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ParticipantSex_female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-4.40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3.61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1355.00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-5.14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2812.68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2877.83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lastRenderedPageBreak/>
              <w:t>Morphing_morphing+ x Face_presence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2817.91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2813.53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2800.67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2961.19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2879.68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2870.54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2818.86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2814.67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0.51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ParticipantSex_female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2812.48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ActorSex_female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6.68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2817.94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-4.93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6.34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2962.83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6.65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2858.81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6.68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2819.05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0.57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6.69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2814.65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ActorSex_female x Prosody_neutral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9.46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2858.75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:rsidR="00C30998" w:rsidRPr="00D346B8" w:rsidRDefault="00C30998" w:rsidP="00C3099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30998" w:rsidRPr="00D346B8" w:rsidRDefault="00C30998" w:rsidP="00C3099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Intensity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9"/>
        <w:gridCol w:w="2363"/>
        <w:gridCol w:w="490"/>
        <w:gridCol w:w="838"/>
        <w:gridCol w:w="667"/>
        <w:gridCol w:w="753"/>
        <w:gridCol w:w="452"/>
      </w:tblGrid>
      <w:tr w:rsidR="00C30998" w:rsidRPr="00D346B8" w:rsidTr="00FB5B46">
        <w:trPr>
          <w:trHeight w:val="288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Effect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β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df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(Intercept)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52.26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13.74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14.34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 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Morphing_morphing+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18.29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53.55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7.47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 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Face_presence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-1.52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2599.38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-0.72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ParticipantSex_female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2.88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494.38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-0.41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-1.93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5.04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9.99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-0.38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-19.60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979.02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-7.74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 0.001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Face_presence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4.98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2.93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2870.07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1.70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ParticipantSex_female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3.01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2557.46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Face_presence x ParticipantSex_female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5.67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2.99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2591.34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1.90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.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3.61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50.08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Face_presence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3.09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2807.52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ParticipantSex_female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-0.48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3.11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2791.12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Morphing_morphing+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-23.28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2.93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2869.72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-7.94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 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***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Face_presence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2.94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2859.08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-0.37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ParticipantSex_female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-3.67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981.26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fr-FR"/>
              </w:rPr>
              <w:t>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-4.13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2799.33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-6.05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2869.17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-1.45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lastRenderedPageBreak/>
              <w:t>Morphing_morphing+ x Face_presence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2810.71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5.43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2796.32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1.23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-4.91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2798.99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-3.18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2957.15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-0.77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-1.31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2869.06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-0.68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2858.11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3.06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2810.80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2805.77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ParticipantSex_female x ActorSex_female x Prosody_neutral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-0.24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4.40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2798.53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-0.06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ActorSex_female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3.98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2809.86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0.52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5.90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2955.24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-0.85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6.19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2853.28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ParticipantSex_female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-6.02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2810.09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-0.97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Face_presence x ParticipantSex_female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6.22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2804.91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288"/>
        </w:trPr>
        <w:tc>
          <w:tcPr>
            <w:tcW w:w="26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Morphing_morphing+ x Face_presence x ParticipantSex_female x ActorSex_female x Prosody_neutral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2.07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8.80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2851.53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</w:tbl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sectPr w:rsidR="00C30998" w:rsidRPr="00D346B8" w:rsidSect="00FE06BF">
          <w:pgSz w:w="16838" w:h="11906" w:orient="landscape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Appendix IV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Dendrogram (bottom) and gap statistic plot (bottom) based on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valence judgments of neutral prosody. </w:t>
      </w:r>
    </w:p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C30998" w:rsidRPr="00D346B8" w:rsidRDefault="00C30998" w:rsidP="00C30998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53B6A45E" wp14:editId="20CC99CB">
            <wp:extent cx="3527954" cy="370935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42" cy="371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98" w:rsidRPr="00D346B8" w:rsidRDefault="00C30998" w:rsidP="00C30998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346B8">
        <w:rPr>
          <w:noProof/>
          <w:color w:val="000000" w:themeColor="text1"/>
          <w:lang w:val="fr-FR" w:eastAsia="fr-FR"/>
        </w:rPr>
        <w:drawing>
          <wp:inline distT="0" distB="0" distL="0" distR="0" wp14:anchorId="6434CCF2" wp14:editId="58A755B3">
            <wp:extent cx="3307202" cy="3271113"/>
            <wp:effectExtent l="0" t="0" r="762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554" cy="328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98" w:rsidRPr="00D346B8" w:rsidRDefault="00C30998" w:rsidP="00C30998">
      <w:pPr>
        <w:spacing w:line="48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Appendix IV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D34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Output of the linear mixed models estimated for ratings of valence (a) and intensity (b), with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 w:eastAsia="ja-JP"/>
        </w:rPr>
        <w:t xml:space="preserve">PROSODY (neutral vs. angry), FACE (neutral vs. angry) and CLUSTER (cluster1 vs. cluster2) as fixed effects.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Reference level (intercept): Prosody: angry; Face: angry; Cluster: cluster1. (</w:t>
      </w:r>
      <w:r w:rsidRPr="00D346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1206 for valence and </w:t>
      </w:r>
      <w:r w:rsidRPr="00D346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1206 for intensity).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ouput</w:t>
      </w:r>
      <w:r w:rsidRPr="00D346B8">
        <w:rPr>
          <w:rStyle w:val="Marquedecommentaire"/>
          <w:color w:val="000000" w:themeColor="text1"/>
        </w:rPr>
        <w:t xml:space="preserve">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reported only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one model (i.e., the one with no reveling of the intercept). Models on the same data sets with relevel of the intercept are not reported for the sake of brevity. </w:t>
      </w:r>
      <w:r w:rsidRPr="00D346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Significance codes: p &lt; 0.001 (***), p &lt; 0.01 (**), p &lt; 0.05 (*). Cut-off point for significance: </w:t>
      </w:r>
      <w:r w:rsidRPr="00D346B8">
        <w:rPr>
          <w:rStyle w:val="markedcontent"/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D346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= 0.016. </w:t>
      </w: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[p = 0.05 divided by the number of models (3) run].</w:t>
      </w:r>
    </w:p>
    <w:p w:rsidR="00C30998" w:rsidRPr="00D346B8" w:rsidRDefault="00C30998" w:rsidP="00C30998">
      <w:pPr>
        <w:pStyle w:val="Paragraphedeliste"/>
        <w:numPr>
          <w:ilvl w:val="0"/>
          <w:numId w:val="2"/>
        </w:numPr>
        <w:spacing w:line="48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D346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Valence</w:t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3"/>
        <w:gridCol w:w="880"/>
        <w:gridCol w:w="1000"/>
        <w:gridCol w:w="1000"/>
        <w:gridCol w:w="880"/>
        <w:gridCol w:w="880"/>
        <w:gridCol w:w="440"/>
      </w:tblGrid>
      <w:tr w:rsidR="00C30998" w:rsidRPr="00D346B8" w:rsidTr="00FB5B46">
        <w:trPr>
          <w:trHeight w:val="3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Effect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df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(Intercept)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64.97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26.42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18.36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&lt;2e-16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Face_neutral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-20.67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112.46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-6.91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3.01e-10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Prosody_neutral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-35.51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1124.98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-12.1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&lt;2e-16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Cluster_cluster2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-17.04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219.97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-4.81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2.71e-06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Face_neutral:Prosody_neutral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46.16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4.16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1125.88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&lt;2e-16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Face_neutral:Cluster_cluster2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13.07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1121.21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Prosody_neutral:Cluster_cluster2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1122.29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Face_neutral:Prosody_neutral:Cluster_cluster2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5.66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1125.23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-6.25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5.64e-10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</w:tbl>
    <w:p w:rsidR="00C30998" w:rsidRPr="00D346B8" w:rsidRDefault="00C30998" w:rsidP="00C3099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30998" w:rsidRPr="00D346B8" w:rsidRDefault="00C30998" w:rsidP="00C30998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346B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Intensity</w:t>
      </w:r>
    </w:p>
    <w:tbl>
      <w:tblPr>
        <w:tblW w:w="8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3"/>
        <w:gridCol w:w="760"/>
        <w:gridCol w:w="900"/>
        <w:gridCol w:w="900"/>
        <w:gridCol w:w="900"/>
        <w:gridCol w:w="900"/>
        <w:gridCol w:w="440"/>
      </w:tblGrid>
      <w:tr w:rsidR="00C30998" w:rsidRPr="00D346B8" w:rsidTr="00FB5B46">
        <w:trPr>
          <w:trHeight w:val="3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Effect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df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bookmarkStart w:id="0" w:name="RANGE!A1:G8"/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(Intercept)</w:t>
            </w:r>
            <w:bookmarkEnd w:id="0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62.44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39.48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19.53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&lt;2e-16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Face_neutral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-10.59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45.03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0.0005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Prosody_neutral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-34.79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-14.06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&lt;2e-16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Cluster_cluster2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147.33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0.0015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Face_neutral:Prosody_neutral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20.73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5.90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4.59e-09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lastRenderedPageBreak/>
              <w:t>Face_neutral:Cluster_cluster2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7.80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3.372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1119.35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Prosody_neutral:Cluster_cluster2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3.372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 </w:t>
            </w:r>
          </w:p>
        </w:tc>
      </w:tr>
      <w:tr w:rsidR="00C30998" w:rsidRPr="00D346B8" w:rsidTr="00FB5B46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fr-FR"/>
              </w:rPr>
              <w:t>Face_neutral:Prosody_neutral:Cluster_cluster2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-17.11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4.782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1121.8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-3.57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0.0003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998" w:rsidRPr="00D346B8" w:rsidRDefault="00C30998" w:rsidP="00FB5B4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</w:pPr>
            <w:r w:rsidRPr="00D346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fr-FR"/>
              </w:rPr>
              <w:t>***</w:t>
            </w:r>
          </w:p>
        </w:tc>
      </w:tr>
    </w:tbl>
    <w:p w:rsidR="00C30998" w:rsidRPr="00D346B8" w:rsidRDefault="00C30998" w:rsidP="00C30998">
      <w:pPr>
        <w:spacing w:line="480" w:lineRule="auto"/>
        <w:jc w:val="both"/>
        <w:rPr>
          <w:color w:val="000000" w:themeColor="text1"/>
          <w:lang w:val="en-GB"/>
        </w:rPr>
      </w:pPr>
    </w:p>
    <w:p w:rsidR="007E274C" w:rsidRDefault="007E274C">
      <w:bookmarkStart w:id="1" w:name="_GoBack"/>
      <w:bookmarkEnd w:id="1"/>
    </w:p>
    <w:sectPr w:rsidR="007E274C" w:rsidSect="00E90DB7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020409"/>
      <w:docPartObj>
        <w:docPartGallery w:val="Page Numbers (Bottom of Page)"/>
        <w:docPartUnique/>
      </w:docPartObj>
    </w:sdtPr>
    <w:sdtEndPr/>
    <w:sdtContent>
      <w:p w:rsidR="007B5C7C" w:rsidRDefault="00C309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0998">
          <w:rPr>
            <w:noProof/>
            <w:lang w:val="fr-FR"/>
          </w:rPr>
          <w:t>10</w:t>
        </w:r>
        <w:r>
          <w:fldChar w:fldCharType="end"/>
        </w:r>
      </w:p>
    </w:sdtContent>
  </w:sdt>
  <w:p w:rsidR="007B5C7C" w:rsidRDefault="00C30998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E51"/>
    <w:multiLevelType w:val="hybridMultilevel"/>
    <w:tmpl w:val="46C452D8"/>
    <w:lvl w:ilvl="0" w:tplc="8F04EE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76A7"/>
    <w:multiLevelType w:val="hybridMultilevel"/>
    <w:tmpl w:val="8BBAD840"/>
    <w:lvl w:ilvl="0" w:tplc="CEBC7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98"/>
    <w:rsid w:val="007E274C"/>
    <w:rsid w:val="00C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FD64-A23E-4868-AC41-EAEADFA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998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3099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09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0998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C30998"/>
  </w:style>
  <w:style w:type="paragraph" w:styleId="Pieddepage">
    <w:name w:val="footer"/>
    <w:basedOn w:val="Normal"/>
    <w:link w:val="PieddepageCar"/>
    <w:uiPriority w:val="99"/>
    <w:unhideWhenUsed/>
    <w:rsid w:val="00C3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998"/>
    <w:rPr>
      <w:lang w:val="it-IT"/>
    </w:rPr>
  </w:style>
  <w:style w:type="character" w:styleId="Numrodeligne">
    <w:name w:val="line number"/>
    <w:basedOn w:val="Policepardfaut"/>
    <w:uiPriority w:val="99"/>
    <w:semiHidden/>
    <w:unhideWhenUsed/>
    <w:rsid w:val="00C3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Laboratoire Parole et Langage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Petrone</dc:creator>
  <cp:keywords/>
  <dc:description/>
  <cp:lastModifiedBy>Caterina Petrone</cp:lastModifiedBy>
  <cp:revision>1</cp:revision>
  <dcterms:created xsi:type="dcterms:W3CDTF">2024-01-10T13:58:00Z</dcterms:created>
  <dcterms:modified xsi:type="dcterms:W3CDTF">2024-01-10T13:58:00Z</dcterms:modified>
</cp:coreProperties>
</file>