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143" w:type="pct"/>
        <w:jc w:val="center"/>
        <w:tblLook w:val="04A0" w:firstRow="1" w:lastRow="0" w:firstColumn="1" w:lastColumn="0" w:noHBand="0" w:noVBand="1"/>
      </w:tblPr>
      <w:tblGrid>
        <w:gridCol w:w="1116"/>
        <w:gridCol w:w="890"/>
        <w:gridCol w:w="643"/>
        <w:gridCol w:w="1150"/>
        <w:gridCol w:w="1455"/>
        <w:gridCol w:w="1422"/>
        <w:gridCol w:w="1275"/>
        <w:gridCol w:w="1467"/>
        <w:gridCol w:w="3902"/>
      </w:tblGrid>
      <w:tr w:rsidR="004C386A" w14:paraId="243EEC21" w14:textId="36BD7525" w:rsidTr="004C386A">
        <w:trPr>
          <w:trHeight w:val="1087"/>
          <w:jc w:val="center"/>
        </w:trPr>
        <w:tc>
          <w:tcPr>
            <w:tcW w:w="419" w:type="pct"/>
            <w:vMerge w:val="restart"/>
            <w:vAlign w:val="center"/>
          </w:tcPr>
          <w:p w14:paraId="6936E1F2" w14:textId="05DE24C8" w:rsidR="004C386A" w:rsidRPr="00DD2436" w:rsidRDefault="004C386A" w:rsidP="00C2287F">
            <w:pPr>
              <w:jc w:val="center"/>
            </w:pPr>
            <w:r>
              <w:t>Recording Number</w:t>
            </w:r>
          </w:p>
        </w:tc>
        <w:tc>
          <w:tcPr>
            <w:tcW w:w="589" w:type="pct"/>
            <w:gridSpan w:val="2"/>
            <w:vAlign w:val="center"/>
          </w:tcPr>
          <w:p w14:paraId="47D03546" w14:textId="5E8A7F0A" w:rsidR="004C386A" w:rsidRDefault="004C386A" w:rsidP="00C2287F">
            <w:pPr>
              <w:jc w:val="center"/>
            </w:pPr>
            <w:r>
              <w:t>Demographic data</w:t>
            </w:r>
          </w:p>
        </w:tc>
        <w:tc>
          <w:tcPr>
            <w:tcW w:w="432" w:type="pct"/>
            <w:vMerge w:val="restart"/>
            <w:vAlign w:val="center"/>
          </w:tcPr>
          <w:p w14:paraId="6B7F54E7" w14:textId="02388039" w:rsidR="004C386A" w:rsidRPr="00DD2436" w:rsidRDefault="004C386A" w:rsidP="00B83246">
            <w:pPr>
              <w:jc w:val="center"/>
            </w:pPr>
            <w:r>
              <w:t>Oxygen Saturation at admission</w:t>
            </w:r>
          </w:p>
        </w:tc>
        <w:tc>
          <w:tcPr>
            <w:tcW w:w="546" w:type="pct"/>
            <w:vMerge w:val="restart"/>
            <w:vAlign w:val="center"/>
          </w:tcPr>
          <w:p w14:paraId="19989713" w14:textId="05FA3992" w:rsidR="004C386A" w:rsidRDefault="004C386A" w:rsidP="00C2287F">
            <w:pPr>
              <w:jc w:val="center"/>
            </w:pPr>
            <w:r w:rsidRPr="00DD2436">
              <w:t>Supplemental oxygen</w:t>
            </w:r>
          </w:p>
        </w:tc>
        <w:tc>
          <w:tcPr>
            <w:tcW w:w="1542" w:type="pct"/>
            <w:gridSpan w:val="3"/>
            <w:vAlign w:val="center"/>
          </w:tcPr>
          <w:p w14:paraId="153819B5" w14:textId="2EE35844" w:rsidR="004C386A" w:rsidRPr="00DD2436" w:rsidRDefault="004C386A" w:rsidP="00C228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Cardiovascular risk factors</w:t>
            </w:r>
          </w:p>
        </w:tc>
        <w:tc>
          <w:tcPr>
            <w:tcW w:w="1472" w:type="pct"/>
            <w:vMerge w:val="restart"/>
            <w:vAlign w:val="center"/>
          </w:tcPr>
          <w:p w14:paraId="1D43D101" w14:textId="6DEF0F91" w:rsidR="004C386A" w:rsidRPr="006E3C3A" w:rsidRDefault="004C386A" w:rsidP="00C228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X-ray findings</w:t>
            </w:r>
          </w:p>
        </w:tc>
      </w:tr>
      <w:tr w:rsidR="004C386A" w14:paraId="21EE4705" w14:textId="4DB5CE8E" w:rsidTr="004C386A">
        <w:trPr>
          <w:trHeight w:val="1087"/>
          <w:jc w:val="center"/>
        </w:trPr>
        <w:tc>
          <w:tcPr>
            <w:tcW w:w="419" w:type="pct"/>
            <w:vMerge/>
            <w:vAlign w:val="center"/>
          </w:tcPr>
          <w:p w14:paraId="1CF56A62" w14:textId="77777777" w:rsidR="004C386A" w:rsidRDefault="004C386A" w:rsidP="00C2287F">
            <w:pPr>
              <w:jc w:val="center"/>
            </w:pPr>
          </w:p>
        </w:tc>
        <w:tc>
          <w:tcPr>
            <w:tcW w:w="341" w:type="pct"/>
            <w:vAlign w:val="center"/>
          </w:tcPr>
          <w:p w14:paraId="0DFEF484" w14:textId="59D8D535" w:rsidR="004C386A" w:rsidRPr="00DD2436" w:rsidRDefault="004C386A" w:rsidP="00C2287F">
            <w:pPr>
              <w:jc w:val="center"/>
            </w:pPr>
            <w:r>
              <w:t>Genre</w:t>
            </w:r>
          </w:p>
        </w:tc>
        <w:tc>
          <w:tcPr>
            <w:tcW w:w="248" w:type="pct"/>
            <w:vAlign w:val="center"/>
          </w:tcPr>
          <w:p w14:paraId="08F7274D" w14:textId="3373310E" w:rsidR="004C386A" w:rsidRPr="00DD2436" w:rsidRDefault="004C386A" w:rsidP="00C2287F">
            <w:pPr>
              <w:jc w:val="center"/>
            </w:pPr>
            <w:r>
              <w:t>Age</w:t>
            </w:r>
          </w:p>
        </w:tc>
        <w:tc>
          <w:tcPr>
            <w:tcW w:w="432" w:type="pct"/>
            <w:vMerge/>
          </w:tcPr>
          <w:p w14:paraId="1D56990C" w14:textId="77777777" w:rsidR="004C386A" w:rsidRDefault="004C386A" w:rsidP="00C2287F">
            <w:pPr>
              <w:jc w:val="center"/>
            </w:pPr>
          </w:p>
        </w:tc>
        <w:tc>
          <w:tcPr>
            <w:tcW w:w="546" w:type="pct"/>
            <w:vMerge/>
            <w:vAlign w:val="center"/>
          </w:tcPr>
          <w:p w14:paraId="0CAB630F" w14:textId="0EE90AF9" w:rsidR="004C386A" w:rsidRDefault="004C386A" w:rsidP="00C2287F">
            <w:pPr>
              <w:jc w:val="center"/>
            </w:pPr>
          </w:p>
        </w:tc>
        <w:tc>
          <w:tcPr>
            <w:tcW w:w="534" w:type="pct"/>
            <w:vAlign w:val="center"/>
          </w:tcPr>
          <w:p w14:paraId="2603DEC3" w14:textId="74D23D88" w:rsidR="004C386A" w:rsidRDefault="004C386A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Arterial Hypertension</w:t>
            </w:r>
          </w:p>
        </w:tc>
        <w:tc>
          <w:tcPr>
            <w:tcW w:w="498" w:type="pct"/>
            <w:vAlign w:val="center"/>
          </w:tcPr>
          <w:p w14:paraId="75ABD33B" w14:textId="4C9BB92A" w:rsidR="004C386A" w:rsidRDefault="004C386A" w:rsidP="00C228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Diabetes</w:t>
            </w:r>
          </w:p>
          <w:p w14:paraId="7D85AE09" w14:textId="5BD37D49" w:rsidR="00B638E4" w:rsidRDefault="00B638E4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Mellitus</w:t>
            </w:r>
          </w:p>
        </w:tc>
        <w:tc>
          <w:tcPr>
            <w:tcW w:w="511" w:type="pct"/>
            <w:vAlign w:val="center"/>
          </w:tcPr>
          <w:p w14:paraId="0C728F40" w14:textId="5B7A474A" w:rsidR="004C386A" w:rsidRDefault="004C386A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Dyslipid</w:t>
            </w:r>
            <w:r w:rsidR="00B638E4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emia</w:t>
            </w:r>
          </w:p>
        </w:tc>
        <w:tc>
          <w:tcPr>
            <w:tcW w:w="1472" w:type="pct"/>
            <w:vMerge/>
            <w:vAlign w:val="center"/>
          </w:tcPr>
          <w:p w14:paraId="52C20A75" w14:textId="77777777" w:rsidR="004C386A" w:rsidRDefault="004C386A" w:rsidP="00C2287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86A" w14:paraId="11A0B548" w14:textId="7918016B" w:rsidTr="004C386A">
        <w:trPr>
          <w:trHeight w:val="543"/>
          <w:jc w:val="center"/>
        </w:trPr>
        <w:tc>
          <w:tcPr>
            <w:tcW w:w="419" w:type="pct"/>
            <w:vAlign w:val="center"/>
          </w:tcPr>
          <w:p w14:paraId="4D274A35" w14:textId="5F64E1BE" w:rsidR="00D162D1" w:rsidRPr="007F6C6F" w:rsidRDefault="00D162D1" w:rsidP="00C2287F">
            <w:pPr>
              <w:jc w:val="center"/>
            </w:pPr>
            <w:r>
              <w:t>1</w:t>
            </w:r>
          </w:p>
        </w:tc>
        <w:tc>
          <w:tcPr>
            <w:tcW w:w="341" w:type="pct"/>
            <w:vAlign w:val="center"/>
          </w:tcPr>
          <w:p w14:paraId="7756A05A" w14:textId="508C2EA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51529960" w14:textId="7455CAF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432" w:type="pct"/>
            <w:vAlign w:val="center"/>
          </w:tcPr>
          <w:p w14:paraId="38602355" w14:textId="7E665729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546" w:type="pct"/>
            <w:vAlign w:val="center"/>
          </w:tcPr>
          <w:p w14:paraId="68D2DB4D" w14:textId="1E3A29B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NC 4L</w:t>
            </w:r>
          </w:p>
        </w:tc>
        <w:tc>
          <w:tcPr>
            <w:tcW w:w="534" w:type="pct"/>
            <w:vAlign w:val="center"/>
          </w:tcPr>
          <w:p w14:paraId="7C341A98" w14:textId="4BFDB318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98" w:type="pct"/>
            <w:vAlign w:val="center"/>
          </w:tcPr>
          <w:p w14:paraId="75ED428F" w14:textId="5ECC81B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511" w:type="pct"/>
            <w:vAlign w:val="center"/>
          </w:tcPr>
          <w:p w14:paraId="2A1F6634" w14:textId="66998686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472" w:type="pct"/>
            <w:vAlign w:val="center"/>
          </w:tcPr>
          <w:p w14:paraId="28FB5AB0" w14:textId="5A04147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Bilateral pulmonary cotton-like infiltrates</w:t>
            </w:r>
          </w:p>
        </w:tc>
      </w:tr>
      <w:tr w:rsidR="004C386A" w14:paraId="2C8427E5" w14:textId="4DD2CC4E" w:rsidTr="004C386A">
        <w:trPr>
          <w:trHeight w:val="543"/>
          <w:jc w:val="center"/>
        </w:trPr>
        <w:tc>
          <w:tcPr>
            <w:tcW w:w="419" w:type="pct"/>
            <w:vAlign w:val="center"/>
          </w:tcPr>
          <w:p w14:paraId="5D573D35" w14:textId="3C35218C" w:rsidR="00D162D1" w:rsidRPr="007F6C6F" w:rsidRDefault="00D162D1" w:rsidP="00C2287F">
            <w:pPr>
              <w:jc w:val="center"/>
            </w:pPr>
            <w:r>
              <w:t>2</w:t>
            </w:r>
          </w:p>
        </w:tc>
        <w:tc>
          <w:tcPr>
            <w:tcW w:w="341" w:type="pct"/>
            <w:vAlign w:val="center"/>
          </w:tcPr>
          <w:p w14:paraId="76D400FA" w14:textId="2CE5CE13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3E367826" w14:textId="1A578E1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432" w:type="pct"/>
            <w:vAlign w:val="center"/>
          </w:tcPr>
          <w:p w14:paraId="1A243C5B" w14:textId="13D0633B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546" w:type="pct"/>
            <w:vAlign w:val="center"/>
          </w:tcPr>
          <w:p w14:paraId="4AAC1110" w14:textId="5B384E6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40%</w:t>
            </w:r>
          </w:p>
        </w:tc>
        <w:tc>
          <w:tcPr>
            <w:tcW w:w="534" w:type="pct"/>
            <w:vAlign w:val="center"/>
          </w:tcPr>
          <w:p w14:paraId="461762B0" w14:textId="2ACAA73C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98" w:type="pct"/>
            <w:vAlign w:val="center"/>
          </w:tcPr>
          <w:p w14:paraId="0A31C58B" w14:textId="3B7E797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3274238A" w14:textId="7E07C8A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2AF4B949" w14:textId="6991241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Increased density in the peripheral right mid to lower lung</w:t>
            </w:r>
          </w:p>
        </w:tc>
      </w:tr>
      <w:tr w:rsidR="004C386A" w14:paraId="3E24FD4B" w14:textId="0974DD0C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64FB4FF6" w14:textId="5D54C46F" w:rsidR="00D162D1" w:rsidRPr="007F6C6F" w:rsidRDefault="00D162D1" w:rsidP="00C2287F">
            <w:pPr>
              <w:jc w:val="center"/>
            </w:pPr>
            <w:r>
              <w:t>3</w:t>
            </w:r>
          </w:p>
        </w:tc>
        <w:tc>
          <w:tcPr>
            <w:tcW w:w="341" w:type="pct"/>
            <w:vAlign w:val="center"/>
          </w:tcPr>
          <w:p w14:paraId="18376D0E" w14:textId="071F84D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8" w:type="pct"/>
            <w:vAlign w:val="center"/>
          </w:tcPr>
          <w:p w14:paraId="215F8003" w14:textId="2BF1E83C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432" w:type="pct"/>
            <w:vAlign w:val="center"/>
          </w:tcPr>
          <w:p w14:paraId="67555204" w14:textId="03A59681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546" w:type="pct"/>
            <w:vAlign w:val="center"/>
          </w:tcPr>
          <w:p w14:paraId="67BEC955" w14:textId="7B2C235B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Reservoir bag-10L</w:t>
            </w:r>
          </w:p>
        </w:tc>
        <w:tc>
          <w:tcPr>
            <w:tcW w:w="534" w:type="pct"/>
            <w:vAlign w:val="center"/>
          </w:tcPr>
          <w:p w14:paraId="1D3E9E58" w14:textId="0BA9FF3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98" w:type="pct"/>
            <w:vAlign w:val="center"/>
          </w:tcPr>
          <w:p w14:paraId="064D4EFE" w14:textId="13AFE82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5EDC2284" w14:textId="5E68C7A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6350B953" w14:textId="350EA00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Peripheral GGO in both lungs</w:t>
            </w:r>
          </w:p>
        </w:tc>
      </w:tr>
      <w:tr w:rsidR="004C386A" w14:paraId="3D955B0D" w14:textId="2AE28630" w:rsidTr="004C386A">
        <w:trPr>
          <w:trHeight w:val="543"/>
          <w:jc w:val="center"/>
        </w:trPr>
        <w:tc>
          <w:tcPr>
            <w:tcW w:w="419" w:type="pct"/>
            <w:vAlign w:val="center"/>
          </w:tcPr>
          <w:p w14:paraId="2C15E9D5" w14:textId="1800C898" w:rsidR="00D162D1" w:rsidRPr="007F6C6F" w:rsidRDefault="00D162D1" w:rsidP="00C2287F">
            <w:pPr>
              <w:jc w:val="center"/>
            </w:pPr>
            <w:r>
              <w:t>4</w:t>
            </w:r>
          </w:p>
        </w:tc>
        <w:tc>
          <w:tcPr>
            <w:tcW w:w="341" w:type="pct"/>
            <w:vAlign w:val="center"/>
          </w:tcPr>
          <w:p w14:paraId="5FB86412" w14:textId="5F38396B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3FE4029F" w14:textId="7A67194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" w:type="pct"/>
            <w:vAlign w:val="center"/>
          </w:tcPr>
          <w:p w14:paraId="403A4261" w14:textId="36220491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546" w:type="pct"/>
            <w:vAlign w:val="center"/>
          </w:tcPr>
          <w:p w14:paraId="29455FCF" w14:textId="4F385C5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40%</w:t>
            </w:r>
          </w:p>
        </w:tc>
        <w:tc>
          <w:tcPr>
            <w:tcW w:w="534" w:type="pct"/>
            <w:vAlign w:val="center"/>
          </w:tcPr>
          <w:p w14:paraId="65795E11" w14:textId="74BF213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7C1A9228" w14:textId="6369F78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2265FC86" w14:textId="7349A086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4F429B88" w14:textId="0D1D2D8B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Faint peripheral GGO in lower lungs</w:t>
            </w:r>
          </w:p>
        </w:tc>
      </w:tr>
      <w:tr w:rsidR="004C386A" w14:paraId="034106FC" w14:textId="49557DCF" w:rsidTr="004C386A">
        <w:trPr>
          <w:trHeight w:val="543"/>
          <w:jc w:val="center"/>
        </w:trPr>
        <w:tc>
          <w:tcPr>
            <w:tcW w:w="419" w:type="pct"/>
            <w:vAlign w:val="center"/>
          </w:tcPr>
          <w:p w14:paraId="25D2C84F" w14:textId="711C22C4" w:rsidR="00D162D1" w:rsidRPr="007F6C6F" w:rsidRDefault="00D162D1" w:rsidP="00C2287F">
            <w:pPr>
              <w:jc w:val="center"/>
            </w:pPr>
            <w:r>
              <w:t>5</w:t>
            </w:r>
          </w:p>
        </w:tc>
        <w:tc>
          <w:tcPr>
            <w:tcW w:w="341" w:type="pct"/>
            <w:vAlign w:val="center"/>
          </w:tcPr>
          <w:p w14:paraId="225B3639" w14:textId="0AFFADB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203BF30A" w14:textId="60412CE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32" w:type="pct"/>
            <w:vAlign w:val="center"/>
          </w:tcPr>
          <w:p w14:paraId="3063BA03" w14:textId="42ADEBD8" w:rsidR="00D162D1" w:rsidRPr="004C386A" w:rsidRDefault="004C386A" w:rsidP="004C386A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93%</w:t>
            </w:r>
          </w:p>
        </w:tc>
        <w:tc>
          <w:tcPr>
            <w:tcW w:w="546" w:type="pct"/>
            <w:vAlign w:val="center"/>
          </w:tcPr>
          <w:p w14:paraId="36E7814D" w14:textId="16114A7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NC 4L</w:t>
            </w:r>
          </w:p>
        </w:tc>
        <w:tc>
          <w:tcPr>
            <w:tcW w:w="534" w:type="pct"/>
            <w:vAlign w:val="center"/>
          </w:tcPr>
          <w:p w14:paraId="6A58496D" w14:textId="6AA0348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5805CE5C" w14:textId="1F0B349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71CA919C" w14:textId="0BEC9A9C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6FC83A06" w14:textId="4F37A9FC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Increased density in the mid</w:t>
            </w:r>
            <w:r w:rsidR="00B638E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to</w:t>
            </w:r>
            <w:r w:rsidR="00B638E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lower lungs</w:t>
            </w:r>
          </w:p>
        </w:tc>
      </w:tr>
      <w:tr w:rsidR="004C386A" w14:paraId="753F1501" w14:textId="6F66F17C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70B5A804" w14:textId="5F6EB834" w:rsidR="00D162D1" w:rsidRPr="007F6C6F" w:rsidRDefault="00D162D1" w:rsidP="00C2287F">
            <w:pPr>
              <w:jc w:val="center"/>
            </w:pPr>
            <w:r>
              <w:t>6</w:t>
            </w:r>
          </w:p>
        </w:tc>
        <w:tc>
          <w:tcPr>
            <w:tcW w:w="341" w:type="pct"/>
            <w:vAlign w:val="center"/>
          </w:tcPr>
          <w:p w14:paraId="03FBA3AF" w14:textId="0DB90CC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8" w:type="pct"/>
            <w:vAlign w:val="center"/>
          </w:tcPr>
          <w:p w14:paraId="67C32F49" w14:textId="3F63923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32" w:type="pct"/>
            <w:vAlign w:val="center"/>
          </w:tcPr>
          <w:p w14:paraId="4AC9FAB4" w14:textId="1818B881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546" w:type="pct"/>
            <w:vAlign w:val="center"/>
          </w:tcPr>
          <w:p w14:paraId="45FA04FF" w14:textId="7CE3D0B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al 31%</w:t>
            </w:r>
          </w:p>
        </w:tc>
        <w:tc>
          <w:tcPr>
            <w:tcW w:w="534" w:type="pct"/>
            <w:vAlign w:val="center"/>
          </w:tcPr>
          <w:p w14:paraId="239E7FAF" w14:textId="0EF416C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12951646" w14:textId="451AD4C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7C8429A8" w14:textId="3161427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472" w:type="pct"/>
            <w:vAlign w:val="center"/>
          </w:tcPr>
          <w:p w14:paraId="5B4B253F" w14:textId="21346B9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Consolidation and patched infiltrates, some of them with </w:t>
            </w:r>
            <w:proofErr w:type="spellStart"/>
            <w:r>
              <w:rPr>
                <w:rFonts w:ascii="Calibri" w:hAnsi="Calibri" w:cs="Calibri"/>
                <w:color w:val="000000"/>
              </w:rPr>
              <w:t>pseudonodular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morphology, in both lungs</w:t>
            </w:r>
          </w:p>
        </w:tc>
      </w:tr>
      <w:tr w:rsidR="004C386A" w14:paraId="241F8684" w14:textId="77777777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12367FCB" w14:textId="359D9E99" w:rsidR="00D162D1" w:rsidRPr="007F6C6F" w:rsidRDefault="00D162D1" w:rsidP="00C2287F">
            <w:pPr>
              <w:jc w:val="center"/>
            </w:pPr>
            <w:r>
              <w:t>7</w:t>
            </w:r>
          </w:p>
        </w:tc>
        <w:tc>
          <w:tcPr>
            <w:tcW w:w="341" w:type="pct"/>
            <w:vAlign w:val="center"/>
          </w:tcPr>
          <w:p w14:paraId="4FD13EA0" w14:textId="0F2BA4A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248" w:type="pct"/>
            <w:vAlign w:val="center"/>
          </w:tcPr>
          <w:p w14:paraId="295C5C97" w14:textId="69ED706B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432" w:type="pct"/>
            <w:vAlign w:val="center"/>
          </w:tcPr>
          <w:p w14:paraId="4050FFB9" w14:textId="651C411B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546" w:type="pct"/>
            <w:vAlign w:val="center"/>
          </w:tcPr>
          <w:p w14:paraId="5758C5E0" w14:textId="41A3B48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31%</w:t>
            </w:r>
          </w:p>
        </w:tc>
        <w:tc>
          <w:tcPr>
            <w:tcW w:w="534" w:type="pct"/>
            <w:vAlign w:val="center"/>
          </w:tcPr>
          <w:p w14:paraId="03AC04FC" w14:textId="7B3E975A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7947EC85" w14:textId="2B4161A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57499444" w14:textId="064B937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3CC9C88C" w14:textId="7BB9FD0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Increased density in the right mid</w:t>
            </w:r>
            <w:r w:rsidR="00B638E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to</w:t>
            </w:r>
            <w:r w:rsidR="00B638E4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lower lung and GGO</w:t>
            </w:r>
          </w:p>
        </w:tc>
      </w:tr>
      <w:tr w:rsidR="004C386A" w14:paraId="7BF22486" w14:textId="77777777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2734D119" w14:textId="7ADA2926" w:rsidR="00D162D1" w:rsidRPr="007F6C6F" w:rsidRDefault="00D162D1" w:rsidP="00C2287F">
            <w:pPr>
              <w:jc w:val="center"/>
            </w:pPr>
            <w:r>
              <w:t>8</w:t>
            </w:r>
          </w:p>
        </w:tc>
        <w:tc>
          <w:tcPr>
            <w:tcW w:w="341" w:type="pct"/>
            <w:vAlign w:val="center"/>
          </w:tcPr>
          <w:p w14:paraId="30466AE0" w14:textId="18577DC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M*</w:t>
            </w:r>
          </w:p>
        </w:tc>
        <w:tc>
          <w:tcPr>
            <w:tcW w:w="248" w:type="pct"/>
            <w:vAlign w:val="center"/>
          </w:tcPr>
          <w:p w14:paraId="187ECF18" w14:textId="54FE9F4C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32" w:type="pct"/>
            <w:vAlign w:val="center"/>
          </w:tcPr>
          <w:p w14:paraId="0BE6771F" w14:textId="43573AC8" w:rsidR="00D162D1" w:rsidRPr="004C386A" w:rsidRDefault="004C386A" w:rsidP="004C386A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90%</w:t>
            </w:r>
          </w:p>
        </w:tc>
        <w:tc>
          <w:tcPr>
            <w:tcW w:w="546" w:type="pct"/>
            <w:vAlign w:val="center"/>
          </w:tcPr>
          <w:p w14:paraId="53DB9CA4" w14:textId="7E6F38E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NC 4L</w:t>
            </w:r>
          </w:p>
        </w:tc>
        <w:tc>
          <w:tcPr>
            <w:tcW w:w="534" w:type="pct"/>
            <w:vAlign w:val="center"/>
          </w:tcPr>
          <w:p w14:paraId="2B152003" w14:textId="1C66041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98" w:type="pct"/>
            <w:vAlign w:val="center"/>
          </w:tcPr>
          <w:p w14:paraId="6479E429" w14:textId="10B8C75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3332E744" w14:textId="1BC449A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472" w:type="pct"/>
            <w:vAlign w:val="center"/>
          </w:tcPr>
          <w:p w14:paraId="42DEE489" w14:textId="77DAA566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GGO in the left mid lung</w:t>
            </w:r>
          </w:p>
        </w:tc>
      </w:tr>
      <w:tr w:rsidR="004C386A" w14:paraId="3A7E1164" w14:textId="77777777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68485F4C" w14:textId="1E698148" w:rsidR="00D162D1" w:rsidRPr="007F6C6F" w:rsidRDefault="00D162D1" w:rsidP="00C2287F">
            <w:pPr>
              <w:jc w:val="center"/>
            </w:pPr>
            <w:r>
              <w:t>9</w:t>
            </w:r>
          </w:p>
        </w:tc>
        <w:tc>
          <w:tcPr>
            <w:tcW w:w="341" w:type="pct"/>
            <w:vAlign w:val="center"/>
          </w:tcPr>
          <w:p w14:paraId="3B7CE204" w14:textId="6F80BAC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40F79383" w14:textId="47320C1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32" w:type="pct"/>
            <w:vAlign w:val="center"/>
          </w:tcPr>
          <w:p w14:paraId="49CA918A" w14:textId="32E8C45C" w:rsidR="00D162D1" w:rsidRPr="004C386A" w:rsidRDefault="004C386A" w:rsidP="004C386A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94%</w:t>
            </w:r>
          </w:p>
        </w:tc>
        <w:tc>
          <w:tcPr>
            <w:tcW w:w="546" w:type="pct"/>
            <w:vAlign w:val="center"/>
          </w:tcPr>
          <w:p w14:paraId="74E2DD2E" w14:textId="23749025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NC 3L</w:t>
            </w:r>
          </w:p>
        </w:tc>
        <w:tc>
          <w:tcPr>
            <w:tcW w:w="534" w:type="pct"/>
            <w:vAlign w:val="center"/>
          </w:tcPr>
          <w:p w14:paraId="3E4C30B0" w14:textId="544A0E24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0BF496E6" w14:textId="380D54B1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414DA98E" w14:textId="7276ED6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472" w:type="pct"/>
            <w:vAlign w:val="center"/>
          </w:tcPr>
          <w:p w14:paraId="5B6E88AC" w14:textId="1A082548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Bilateral alveolar infiltrates and peripheral nodules</w:t>
            </w:r>
          </w:p>
        </w:tc>
      </w:tr>
      <w:tr w:rsidR="004C386A" w14:paraId="54A708A1" w14:textId="77777777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1A5132AD" w14:textId="73F58305" w:rsidR="00D162D1" w:rsidRPr="007F6C6F" w:rsidRDefault="00D162D1" w:rsidP="00C2287F">
            <w:pPr>
              <w:jc w:val="center"/>
            </w:pPr>
            <w:r>
              <w:t>10</w:t>
            </w:r>
          </w:p>
        </w:tc>
        <w:tc>
          <w:tcPr>
            <w:tcW w:w="341" w:type="pct"/>
            <w:vAlign w:val="center"/>
          </w:tcPr>
          <w:p w14:paraId="3811D963" w14:textId="3889E6FE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M*</w:t>
            </w:r>
          </w:p>
        </w:tc>
        <w:tc>
          <w:tcPr>
            <w:tcW w:w="248" w:type="pct"/>
            <w:vAlign w:val="center"/>
          </w:tcPr>
          <w:p w14:paraId="1FCD69D5" w14:textId="66059967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432" w:type="pct"/>
            <w:vAlign w:val="center"/>
          </w:tcPr>
          <w:p w14:paraId="1D57BC90" w14:textId="14E26243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546" w:type="pct"/>
            <w:vAlign w:val="center"/>
          </w:tcPr>
          <w:p w14:paraId="2661D311" w14:textId="7B3E3A83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35%</w:t>
            </w:r>
          </w:p>
        </w:tc>
        <w:tc>
          <w:tcPr>
            <w:tcW w:w="534" w:type="pct"/>
            <w:vAlign w:val="center"/>
          </w:tcPr>
          <w:p w14:paraId="11EAFFFB" w14:textId="577F7AB6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98" w:type="pct"/>
            <w:vAlign w:val="center"/>
          </w:tcPr>
          <w:p w14:paraId="7F6AFAA0" w14:textId="50938BBB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461DC00A" w14:textId="47646930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472" w:type="pct"/>
            <w:vAlign w:val="center"/>
          </w:tcPr>
          <w:p w14:paraId="7E5D1978" w14:textId="458AEBE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GGO in the left mid lung</w:t>
            </w:r>
          </w:p>
        </w:tc>
      </w:tr>
      <w:tr w:rsidR="004C386A" w14:paraId="7E74BC33" w14:textId="77777777" w:rsidTr="004C386A">
        <w:trPr>
          <w:trHeight w:val="509"/>
          <w:jc w:val="center"/>
        </w:trPr>
        <w:tc>
          <w:tcPr>
            <w:tcW w:w="419" w:type="pct"/>
            <w:vAlign w:val="center"/>
          </w:tcPr>
          <w:p w14:paraId="5F92640F" w14:textId="02A2BC9B" w:rsidR="00D162D1" w:rsidRPr="007F6C6F" w:rsidRDefault="00D162D1" w:rsidP="00C2287F">
            <w:pPr>
              <w:jc w:val="center"/>
            </w:pPr>
            <w:r>
              <w:t>11</w:t>
            </w:r>
          </w:p>
        </w:tc>
        <w:tc>
          <w:tcPr>
            <w:tcW w:w="341" w:type="pct"/>
            <w:vAlign w:val="center"/>
          </w:tcPr>
          <w:p w14:paraId="0E1585CB" w14:textId="1D6F666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248" w:type="pct"/>
            <w:vAlign w:val="center"/>
          </w:tcPr>
          <w:p w14:paraId="6ABA7743" w14:textId="7FDAEB37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32" w:type="pct"/>
            <w:vAlign w:val="center"/>
          </w:tcPr>
          <w:p w14:paraId="2110FB78" w14:textId="50F1A7B9" w:rsidR="00D162D1" w:rsidRDefault="004C386A" w:rsidP="004C38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546" w:type="pct"/>
            <w:vAlign w:val="center"/>
          </w:tcPr>
          <w:p w14:paraId="0E7E403A" w14:textId="49E99549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VMK 35%</w:t>
            </w:r>
          </w:p>
        </w:tc>
        <w:tc>
          <w:tcPr>
            <w:tcW w:w="534" w:type="pct"/>
            <w:vAlign w:val="center"/>
          </w:tcPr>
          <w:p w14:paraId="1C72A05A" w14:textId="7224319F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98" w:type="pct"/>
            <w:vAlign w:val="center"/>
          </w:tcPr>
          <w:p w14:paraId="747E67C5" w14:textId="7190A322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511" w:type="pct"/>
            <w:vAlign w:val="center"/>
          </w:tcPr>
          <w:p w14:paraId="305FF0EB" w14:textId="54CF51A7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472" w:type="pct"/>
            <w:vAlign w:val="center"/>
          </w:tcPr>
          <w:p w14:paraId="6BAA470D" w14:textId="7A55F5C8" w:rsidR="00D162D1" w:rsidRDefault="00D162D1" w:rsidP="00C2287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GGO in the right lung</w:t>
            </w:r>
          </w:p>
        </w:tc>
      </w:tr>
    </w:tbl>
    <w:p w14:paraId="00EE5CDF" w14:textId="65035F8E" w:rsidR="001A77E3" w:rsidRDefault="001A77E3" w:rsidP="00DD2436"/>
    <w:p w14:paraId="4D75A7F2" w14:textId="10394BB8" w:rsidR="00C06333" w:rsidRPr="00F62722" w:rsidRDefault="00C06333" w:rsidP="00F62722">
      <w:r>
        <w:lastRenderedPageBreak/>
        <w:t xml:space="preserve">Table 1. </w:t>
      </w:r>
      <w:r w:rsidR="00B638E4">
        <w:t xml:space="preserve">Sociodemographic and clinical characteristics of </w:t>
      </w:r>
      <w:r>
        <w:t xml:space="preserve">patients included in the study. This table shows the </w:t>
      </w:r>
      <w:r w:rsidR="00EA0414">
        <w:t>demographic data (age and genre)</w:t>
      </w:r>
      <w:r w:rsidR="00883C9C">
        <w:t xml:space="preserve"> and</w:t>
      </w:r>
      <w:r w:rsidR="00EA0414">
        <w:t xml:space="preserve"> cardiovascular risk factors (</w:t>
      </w:r>
      <w:r w:rsidR="00B638E4">
        <w:t xml:space="preserve">arterial </w:t>
      </w:r>
      <w:r w:rsidR="00EA0414">
        <w:t>hypertension, dyslipid</w:t>
      </w:r>
      <w:r w:rsidR="00B638E4">
        <w:t>a</w:t>
      </w:r>
      <w:r w:rsidR="00EA0414">
        <w:t>emia</w:t>
      </w:r>
      <w:r w:rsidR="00515FBB">
        <w:t>, and</w:t>
      </w:r>
      <w:r w:rsidR="00EA0414">
        <w:t xml:space="preserve"> diabetes)</w:t>
      </w:r>
      <w:r w:rsidR="00B638E4">
        <w:t>,</w:t>
      </w:r>
      <w:r w:rsidR="00EA0414">
        <w:t xml:space="preserve"> </w:t>
      </w:r>
      <w:r w:rsidR="00B638E4">
        <w:t>as well as</w:t>
      </w:r>
      <w:r w:rsidR="00EA0414">
        <w:t xml:space="preserve"> the</w:t>
      </w:r>
      <w:r w:rsidR="00362801">
        <w:t xml:space="preserve"> oxygen saturation at hospital </w:t>
      </w:r>
      <w:proofErr w:type="gramStart"/>
      <w:r w:rsidR="00362801">
        <w:t>admission ,</w:t>
      </w:r>
      <w:proofErr w:type="gramEnd"/>
      <w:r w:rsidR="00EA0414">
        <w:t xml:space="preserve"> supplemental o</w:t>
      </w:r>
      <w:r w:rsidR="00F23819">
        <w:t>xygen used along</w:t>
      </w:r>
      <w:r w:rsidR="00EA34BE">
        <w:t xml:space="preserve"> with</w:t>
      </w:r>
      <w:r w:rsidR="00F23819">
        <w:t xml:space="preserve"> the recordings</w:t>
      </w:r>
      <w:r w:rsidR="00AD24FC">
        <w:t xml:space="preserve"> and X-ray findings at hospital admission</w:t>
      </w:r>
      <w:r w:rsidR="00F23819">
        <w:t xml:space="preserve">. </w:t>
      </w:r>
      <w:r w:rsidR="00E14858" w:rsidRPr="00F62722">
        <w:rPr>
          <w:i/>
          <w:iCs/>
        </w:rPr>
        <w:t>F= Female; M = Male; N</w:t>
      </w:r>
      <w:r w:rsidR="00844F38" w:rsidRPr="00F62722">
        <w:rPr>
          <w:i/>
          <w:iCs/>
        </w:rPr>
        <w:t>C</w:t>
      </w:r>
      <w:r w:rsidR="00E14858" w:rsidRPr="00F62722">
        <w:rPr>
          <w:i/>
          <w:iCs/>
        </w:rPr>
        <w:t xml:space="preserve"> = </w:t>
      </w:r>
      <w:r w:rsidR="00BA6DE5" w:rsidRPr="00F62722">
        <w:rPr>
          <w:i/>
          <w:iCs/>
        </w:rPr>
        <w:t>Nasal</w:t>
      </w:r>
      <w:r w:rsidR="00844F38" w:rsidRPr="00F62722">
        <w:rPr>
          <w:i/>
          <w:iCs/>
        </w:rPr>
        <w:t xml:space="preserve"> Cannula;</w:t>
      </w:r>
      <w:r w:rsidR="00256A2D" w:rsidRPr="00F62722">
        <w:rPr>
          <w:i/>
          <w:iCs/>
        </w:rPr>
        <w:t xml:space="preserve"> VMK = Venturi Mask; X-ray = </w:t>
      </w:r>
      <w:r w:rsidR="00F62722" w:rsidRPr="00F62722">
        <w:rPr>
          <w:i/>
          <w:iCs/>
        </w:rPr>
        <w:t>Radiography;</w:t>
      </w:r>
      <w:r w:rsidR="00BA6DE5" w:rsidRPr="00F62722">
        <w:rPr>
          <w:i/>
          <w:iCs/>
        </w:rPr>
        <w:t xml:space="preserve"> </w:t>
      </w:r>
      <w:r w:rsidR="00E14858" w:rsidRPr="00F62722">
        <w:rPr>
          <w:i/>
          <w:iCs/>
        </w:rPr>
        <w:t>GGO=</w:t>
      </w:r>
      <w:r w:rsidR="00E14858" w:rsidRPr="00F62722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ground-glass opacity</w:t>
      </w:r>
      <w:r w:rsidR="00F62722">
        <w:rPr>
          <w:rFonts w:ascii="Calibri" w:eastAsia="Times New Roman" w:hAnsi="Calibri" w:cs="Calibri"/>
          <w:color w:val="000000"/>
          <w:lang w:eastAsia="en-GB"/>
        </w:rPr>
        <w:t>.</w:t>
      </w:r>
    </w:p>
    <w:p w14:paraId="74FD17E6" w14:textId="2C8AD4A2" w:rsidR="00DD2436" w:rsidRDefault="00DD2436" w:rsidP="00DD2436"/>
    <w:p w14:paraId="650C0AEA" w14:textId="34825706" w:rsidR="00DD2436" w:rsidRPr="00DD2436" w:rsidRDefault="00DD2436" w:rsidP="00DD2436"/>
    <w:sectPr w:rsidR="00DD2436" w:rsidRPr="00DD2436" w:rsidSect="007F6C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MTU2MrQ0MjEzMTNV0lEKTi0uzszPAykwrQUAthjpbCwAAAA="/>
  </w:docVars>
  <w:rsids>
    <w:rsidRoot w:val="00DD2436"/>
    <w:rsid w:val="000057D6"/>
    <w:rsid w:val="00005DB0"/>
    <w:rsid w:val="00006137"/>
    <w:rsid w:val="00010A07"/>
    <w:rsid w:val="000848C9"/>
    <w:rsid w:val="000E7EF1"/>
    <w:rsid w:val="001A77E3"/>
    <w:rsid w:val="0023752C"/>
    <w:rsid w:val="00237AEC"/>
    <w:rsid w:val="00256A2D"/>
    <w:rsid w:val="002B0F3E"/>
    <w:rsid w:val="00362801"/>
    <w:rsid w:val="003F72A7"/>
    <w:rsid w:val="00440E43"/>
    <w:rsid w:val="00496152"/>
    <w:rsid w:val="004C386A"/>
    <w:rsid w:val="00500178"/>
    <w:rsid w:val="00501298"/>
    <w:rsid w:val="00515FBB"/>
    <w:rsid w:val="0052406F"/>
    <w:rsid w:val="00553D2B"/>
    <w:rsid w:val="00614D6A"/>
    <w:rsid w:val="00640235"/>
    <w:rsid w:val="00687E05"/>
    <w:rsid w:val="006A49EA"/>
    <w:rsid w:val="006D2060"/>
    <w:rsid w:val="006E3C3A"/>
    <w:rsid w:val="00741A22"/>
    <w:rsid w:val="00746515"/>
    <w:rsid w:val="0079409D"/>
    <w:rsid w:val="007D22BB"/>
    <w:rsid w:val="007F6C6F"/>
    <w:rsid w:val="00844F38"/>
    <w:rsid w:val="008454CD"/>
    <w:rsid w:val="00883C9C"/>
    <w:rsid w:val="008A5829"/>
    <w:rsid w:val="008F3EBC"/>
    <w:rsid w:val="00903105"/>
    <w:rsid w:val="0097705A"/>
    <w:rsid w:val="009F55C5"/>
    <w:rsid w:val="00A174B7"/>
    <w:rsid w:val="00A96C88"/>
    <w:rsid w:val="00A96DED"/>
    <w:rsid w:val="00AD24FC"/>
    <w:rsid w:val="00AF003B"/>
    <w:rsid w:val="00B02996"/>
    <w:rsid w:val="00B16DFA"/>
    <w:rsid w:val="00B5666C"/>
    <w:rsid w:val="00B638E4"/>
    <w:rsid w:val="00B83246"/>
    <w:rsid w:val="00B934C6"/>
    <w:rsid w:val="00BA6DE5"/>
    <w:rsid w:val="00BC537F"/>
    <w:rsid w:val="00BD758A"/>
    <w:rsid w:val="00BE0CD8"/>
    <w:rsid w:val="00C06333"/>
    <w:rsid w:val="00C2287F"/>
    <w:rsid w:val="00C72586"/>
    <w:rsid w:val="00CB4F7B"/>
    <w:rsid w:val="00CC79D3"/>
    <w:rsid w:val="00CF0338"/>
    <w:rsid w:val="00D162D1"/>
    <w:rsid w:val="00D260C5"/>
    <w:rsid w:val="00D57A7F"/>
    <w:rsid w:val="00D85A5A"/>
    <w:rsid w:val="00D86B26"/>
    <w:rsid w:val="00DD2436"/>
    <w:rsid w:val="00E14858"/>
    <w:rsid w:val="00E210C5"/>
    <w:rsid w:val="00E252BA"/>
    <w:rsid w:val="00E343F5"/>
    <w:rsid w:val="00E90164"/>
    <w:rsid w:val="00E960B2"/>
    <w:rsid w:val="00EA0414"/>
    <w:rsid w:val="00EA2F6A"/>
    <w:rsid w:val="00EA34BE"/>
    <w:rsid w:val="00EE33F9"/>
    <w:rsid w:val="00F23819"/>
    <w:rsid w:val="00F501FA"/>
    <w:rsid w:val="00F62722"/>
    <w:rsid w:val="00F8593A"/>
    <w:rsid w:val="00FD0A49"/>
    <w:rsid w:val="00FD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083B"/>
  <w15:chartTrackingRefBased/>
  <w15:docId w15:val="{5632E7C7-5F39-4D70-AAC1-C26FA30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3C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24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4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lopez viñas</dc:creator>
  <cp:keywords/>
  <dc:description/>
  <cp:lastModifiedBy>laura lopez viñas</cp:lastModifiedBy>
  <cp:revision>2</cp:revision>
  <dcterms:created xsi:type="dcterms:W3CDTF">2022-09-15T20:58:00Z</dcterms:created>
  <dcterms:modified xsi:type="dcterms:W3CDTF">2022-09-15T20:58:00Z</dcterms:modified>
</cp:coreProperties>
</file>