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2CE1" w14:textId="77777777" w:rsidR="00691EEE" w:rsidRDefault="00B17343">
      <w:pPr>
        <w:pStyle w:val="Title"/>
      </w:pPr>
      <w:r>
        <w:t>Supplementary material for: If long-term suppression is not possible, how do we minimize mortality for infectious disease outbreaks?</w:t>
      </w:r>
    </w:p>
    <w:p w14:paraId="2E66820A" w14:textId="77777777" w:rsidR="00691EEE" w:rsidRDefault="00B17343">
      <w:pPr>
        <w:pStyle w:val="Heading1"/>
      </w:pPr>
      <w:bookmarkStart w:id="0" w:name="authors"/>
      <w:r>
        <w:rPr>
          <w:rStyle w:val="SectionNumber"/>
        </w:rPr>
        <w:t>1</w:t>
      </w:r>
      <w:r>
        <w:tab/>
        <w:t>Authors</w:t>
      </w:r>
    </w:p>
    <w:p w14:paraId="2D978C5B" w14:textId="77777777" w:rsidR="00691EEE" w:rsidRDefault="00B17343">
      <w:pPr>
        <w:pStyle w:val="FirstParagraph"/>
      </w:pPr>
      <w:r>
        <w:t xml:space="preserve">Andreas Handel </w:t>
      </w:r>
      <m:oMath>
        <m:sSup>
          <m:sSupPr>
            <m:ctrlPr>
              <w:rPr>
                <w:rFonts w:ascii="Cambria Math" w:hAnsi="Cambria Math"/>
              </w:rPr>
            </m:ctrlPr>
          </m:sSupPr>
          <m:e>
            <m:r>
              <w:rPr>
                <w:rFonts w:ascii="Cambria Math" w:hAnsi="Cambria Math"/>
              </w:rPr>
              <m:t>​</m:t>
            </m:r>
          </m:e>
          <m:sup>
            <m:r>
              <w:rPr>
                <w:rFonts w:ascii="Cambria Math" w:hAnsi="Cambria Math"/>
              </w:rPr>
              <m:t>1</m:t>
            </m:r>
          </m:sup>
        </m:sSup>
      </m:oMath>
      <w:r>
        <w:t xml:space="preserve">, Department of Epidemiology and Biostatistics, The University of Georgia, Athens, GA, USA, </w:t>
      </w:r>
      <w:hyperlink r:id="rId8">
        <w:r>
          <w:rPr>
            <w:rStyle w:val="Hyperlink"/>
          </w:rPr>
          <w:t>http://orcid.org/0000-0002-4622-1146</w:t>
        </w:r>
      </w:hyperlink>
    </w:p>
    <w:p w14:paraId="29F046EB" w14:textId="77777777" w:rsidR="00691EEE" w:rsidRDefault="00B17343">
      <w:pPr>
        <w:pStyle w:val="BodyText"/>
      </w:pPr>
      <w:r>
        <w:t xml:space="preserve">Joel C. Miller, School of Engineering and Mathematical Sciences, La Trobe University, Bundoora, VIC, Australia, </w:t>
      </w:r>
      <w:hyperlink r:id="rId9">
        <w:r>
          <w:rPr>
            <w:rStyle w:val="Hyperlink"/>
          </w:rPr>
          <w:t>https://orcid.org/0000-0003-4426-0405</w:t>
        </w:r>
      </w:hyperlink>
    </w:p>
    <w:p w14:paraId="01DD6045" w14:textId="23C3B096" w:rsidR="00691EEE" w:rsidRDefault="00B17343">
      <w:pPr>
        <w:pStyle w:val="BodyText"/>
      </w:pPr>
      <w:r>
        <w:t xml:space="preserve">Yang Ge, </w:t>
      </w:r>
      <w:r w:rsidR="009136D2">
        <w:t xml:space="preserve">School of Health Professions, </w:t>
      </w:r>
      <w:r>
        <w:t xml:space="preserve">The University of </w:t>
      </w:r>
      <w:r w:rsidR="009136D2">
        <w:t>Southern Mississippi, Hattiesburg, MS</w:t>
      </w:r>
      <w:r>
        <w:t xml:space="preserve">, USA, </w:t>
      </w:r>
      <w:hyperlink r:id="rId10">
        <w:r>
          <w:rPr>
            <w:rStyle w:val="Hyperlink"/>
          </w:rPr>
          <w:t>https://orcid.org/0000-0001-5100-0703</w:t>
        </w:r>
      </w:hyperlink>
    </w:p>
    <w:p w14:paraId="24C2E1B4" w14:textId="77777777" w:rsidR="00691EEE" w:rsidRDefault="00B17343">
      <w:pPr>
        <w:pStyle w:val="BodyText"/>
      </w:pPr>
      <w:r>
        <w:t xml:space="preserve">Isaac Chun-Hai Fung </w:t>
      </w:r>
      <m:oMath>
        <m:sSup>
          <m:sSupPr>
            <m:ctrlPr>
              <w:rPr>
                <w:rFonts w:ascii="Cambria Math" w:hAnsi="Cambria Math"/>
              </w:rPr>
            </m:ctrlPr>
          </m:sSupPr>
          <m:e>
            <m:r>
              <w:rPr>
                <w:rFonts w:ascii="Cambria Math" w:hAnsi="Cambria Math"/>
              </w:rPr>
              <m:t>​</m:t>
            </m:r>
          </m:e>
          <m:sup>
            <m:r>
              <w:rPr>
                <w:rFonts w:ascii="Cambria Math" w:hAnsi="Cambria Math"/>
              </w:rPr>
              <m:t>2</m:t>
            </m:r>
          </m:sup>
        </m:sSup>
      </m:oMath>
      <w:r>
        <w:t xml:space="preserve">, Department of Biostatistics, Epidemiology, and Environmental Health Sciences, Jiann-Ping Hsu College of Public Health, Georgia Southern University, Statesboro, GA, USA, </w:t>
      </w:r>
      <w:hyperlink r:id="rId11">
        <w:r>
          <w:rPr>
            <w:rStyle w:val="Hyperlink"/>
          </w:rPr>
          <w:t>https://orcid.org/0000-0001-5496-2529</w:t>
        </w:r>
      </w:hyperlink>
    </w:p>
    <w:p w14:paraId="6359776E" w14:textId="77777777" w:rsidR="00691EEE" w:rsidRDefault="00B17343">
      <w:pPr>
        <w:pStyle w:val="BodyText"/>
      </w:pPr>
      <w:r>
        <w:t xml:space="preserve">Corresponding authors: </w:t>
      </w:r>
      <m:oMath>
        <m:r>
          <w:rPr>
            <w:rFonts w:ascii="Cambria Math" w:hAnsi="Cambria Math"/>
          </w:rPr>
          <m:t>ahandel@uga.ed</m:t>
        </m:r>
        <m:sSup>
          <m:sSupPr>
            <m:ctrlPr>
              <w:rPr>
                <w:rFonts w:ascii="Cambria Math" w:hAnsi="Cambria Math"/>
              </w:rPr>
            </m:ctrlPr>
          </m:sSupPr>
          <m:e>
            <m:r>
              <w:rPr>
                <w:rFonts w:ascii="Cambria Math" w:hAnsi="Cambria Math"/>
              </w:rPr>
              <m:t>u</m:t>
            </m:r>
          </m:e>
          <m:sup>
            <m:r>
              <w:rPr>
                <w:rFonts w:ascii="Cambria Math" w:hAnsi="Cambria Math"/>
              </w:rPr>
              <m:t>1</m:t>
            </m:r>
          </m:sup>
        </m:sSup>
      </m:oMath>
      <w:r>
        <w:t xml:space="preserve">, </w:t>
      </w:r>
      <m:oMath>
        <m:r>
          <w:rPr>
            <w:rFonts w:ascii="Cambria Math" w:hAnsi="Cambria Math"/>
          </w:rPr>
          <m:t>cfung@georgiasouthern.ed</m:t>
        </m:r>
        <m:sSup>
          <m:sSupPr>
            <m:ctrlPr>
              <w:rPr>
                <w:rFonts w:ascii="Cambria Math" w:hAnsi="Cambria Math"/>
              </w:rPr>
            </m:ctrlPr>
          </m:sSupPr>
          <m:e>
            <m:r>
              <w:rPr>
                <w:rFonts w:ascii="Cambria Math" w:hAnsi="Cambria Math"/>
              </w:rPr>
              <m:t>u</m:t>
            </m:r>
          </m:e>
          <m:sup>
            <m:r>
              <w:rPr>
                <w:rFonts w:ascii="Cambria Math" w:hAnsi="Cambria Math"/>
              </w:rPr>
              <m:t>2</m:t>
            </m:r>
          </m:sup>
        </m:sSup>
      </m:oMath>
    </w:p>
    <w:p w14:paraId="7A479AE9" w14:textId="77777777" w:rsidR="00691EEE" w:rsidRDefault="00B17343">
      <w:pPr>
        <w:pStyle w:val="Heading1"/>
      </w:pPr>
      <w:bookmarkStart w:id="1" w:name="overview"/>
      <w:bookmarkEnd w:id="0"/>
      <w:r>
        <w:rPr>
          <w:rStyle w:val="SectionNumber"/>
        </w:rPr>
        <w:t>2</w:t>
      </w:r>
      <w:r>
        <w:tab/>
        <w:t>Overview</w:t>
      </w:r>
    </w:p>
    <w:p w14:paraId="280EE8B0" w14:textId="77777777" w:rsidR="00691EEE" w:rsidRDefault="00B17343">
      <w:pPr>
        <w:pStyle w:val="FirstParagraph"/>
      </w:pPr>
      <w:r>
        <w:t>This document describes the technical details of the model.</w:t>
      </w:r>
    </w:p>
    <w:p w14:paraId="5F016E25" w14:textId="6F968FDA" w:rsidR="00691EEE" w:rsidRDefault="00B17343">
      <w:pPr>
        <w:pStyle w:val="BodyText"/>
      </w:pPr>
      <w:r>
        <w:t>Also</w:t>
      </w:r>
      <w:r w:rsidR="00701DA1">
        <w:t>,</w:t>
      </w:r>
      <w:r>
        <w:t xml:space="preserve"> part of the supplement are 3 R scripts which allow an interested reader to explore our model and fully reproduce the figures shown in the manuscript.</w:t>
      </w:r>
    </w:p>
    <w:p w14:paraId="54EB62D9" w14:textId="77777777" w:rsidR="00691EEE" w:rsidRDefault="00B17343">
      <w:pPr>
        <w:pStyle w:val="BodyText"/>
      </w:pPr>
      <w:r>
        <w:t xml:space="preserve">A version of the model is also freely available in the DSAIDE R package (1). By using this package, the user can access and explore the model through a graphical interface. The simulation is called </w:t>
      </w:r>
      <w:r>
        <w:rPr>
          <w:i/>
        </w:rPr>
        <w:t>Control of different populations</w:t>
      </w:r>
      <w:r>
        <w:t xml:space="preserve">. For more on the DSAIDE package, including how to install it and how to access an online version that does not require installing R and only needs a browser, see this website: </w:t>
      </w:r>
      <w:hyperlink r:id="rId12">
        <w:r>
          <w:rPr>
            <w:rStyle w:val="Hyperlink"/>
          </w:rPr>
          <w:t>https://ahgroup.github.io/DSAIDE/</w:t>
        </w:r>
      </w:hyperlink>
    </w:p>
    <w:p w14:paraId="653BFDC4" w14:textId="77777777" w:rsidR="00691EEE" w:rsidRDefault="00B17343">
      <w:pPr>
        <w:pStyle w:val="Heading1"/>
      </w:pPr>
      <w:bookmarkStart w:id="2" w:name="the-model"/>
      <w:bookmarkEnd w:id="1"/>
      <w:r>
        <w:rPr>
          <w:rStyle w:val="SectionNumber"/>
        </w:rPr>
        <w:t>3</w:t>
      </w:r>
      <w:r>
        <w:tab/>
        <w:t>The model</w:t>
      </w:r>
    </w:p>
    <w:p w14:paraId="4983275D" w14:textId="77777777" w:rsidR="00691EEE" w:rsidRDefault="00B17343">
      <w:pPr>
        <w:pStyle w:val="FirstParagraph"/>
      </w:pPr>
      <w:r>
        <w:t xml:space="preserve">We use a simple simulation model (a compartmental SIR-type model). The model tracks individuals who are uninfected and susceptible, </w:t>
      </w:r>
      <m:oMath>
        <m:sSub>
          <m:sSubPr>
            <m:ctrlPr>
              <w:rPr>
                <w:rFonts w:ascii="Cambria Math" w:hAnsi="Cambria Math"/>
              </w:rPr>
            </m:ctrlPr>
          </m:sSubPr>
          <m:e>
            <m:r>
              <w:rPr>
                <w:rFonts w:ascii="Cambria Math" w:hAnsi="Cambria Math"/>
              </w:rPr>
              <m:t>S</m:t>
            </m:r>
          </m:e>
          <m:sub>
            <m:r>
              <w:rPr>
                <w:rFonts w:ascii="Cambria Math" w:hAnsi="Cambria Math"/>
              </w:rPr>
              <m:t>i</m:t>
            </m:r>
          </m:sub>
        </m:sSub>
      </m:oMath>
      <w:r>
        <w:t xml:space="preserve">, individuals who are infected and infectious, </w:t>
      </w:r>
      <m:oMath>
        <m:sSub>
          <m:sSubPr>
            <m:ctrlPr>
              <w:rPr>
                <w:rFonts w:ascii="Cambria Math" w:hAnsi="Cambria Math"/>
              </w:rPr>
            </m:ctrlPr>
          </m:sSubPr>
          <m:e>
            <m:r>
              <w:rPr>
                <w:rFonts w:ascii="Cambria Math" w:hAnsi="Cambria Math"/>
              </w:rPr>
              <m:t>I</m:t>
            </m:r>
          </m:e>
          <m:sub>
            <m:r>
              <w:rPr>
                <w:rFonts w:ascii="Cambria Math" w:hAnsi="Cambria Math"/>
              </w:rPr>
              <m:t>i</m:t>
            </m:r>
          </m:sub>
        </m:sSub>
      </m:oMath>
      <w:r>
        <w:t xml:space="preserve">, recovered,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and dead, </w:t>
      </w:r>
      <m:oMath>
        <m:sSub>
          <m:sSubPr>
            <m:ctrlPr>
              <w:rPr>
                <w:rFonts w:ascii="Cambria Math" w:hAnsi="Cambria Math"/>
              </w:rPr>
            </m:ctrlPr>
          </m:sSubPr>
          <m:e>
            <m:r>
              <w:rPr>
                <w:rFonts w:ascii="Cambria Math" w:hAnsi="Cambria Math"/>
              </w:rPr>
              <m:t>D</m:t>
            </m:r>
          </m:e>
          <m:sub>
            <m:r>
              <w:rPr>
                <w:rFonts w:ascii="Cambria Math" w:hAnsi="Cambria Math"/>
              </w:rPr>
              <m:t>i</m:t>
            </m:r>
          </m:sub>
        </m:sSub>
      </m:oMath>
      <w:r>
        <w:t xml:space="preserve"> individuals. Individuals are divided into 3 populations, namely children, adults and elderly (</w:t>
      </w:r>
      <m:oMath>
        <m:r>
          <w:rPr>
            <w:rFonts w:ascii="Cambria Math" w:hAnsi="Cambria Math"/>
          </w:rPr>
          <m:t>i=c,a,e</m:t>
        </m:r>
      </m:oMath>
      <w:r>
        <w:t xml:space="preserve">). Thus, our model with 3 age groups and 4 compartments per age group leads to a 12-compartment differential equation </w:t>
      </w:r>
      <w:r>
        <w:lastRenderedPageBreak/>
        <w:t>model. The model is implemented as a set of ordinary differential equations, which are given by</w:t>
      </w:r>
    </w:p>
    <w:p w14:paraId="4789E87C" w14:textId="77777777" w:rsidR="00691EEE" w:rsidRDefault="00000000">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c</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cc</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ac</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ec</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c</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c</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cc</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ac</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ec</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c</m:t>
                    </m:r>
                  </m:sub>
                </m:sSub>
                <m:sSub>
                  <m:sSubPr>
                    <m:ctrlPr>
                      <w:rPr>
                        <w:rFonts w:ascii="Cambria Math" w:hAnsi="Cambria Math"/>
                      </w:rPr>
                    </m:ctrlPr>
                  </m:sSubPr>
                  <m:e>
                    <m:r>
                      <w:rPr>
                        <w:rFonts w:ascii="Cambria Math" w:hAnsi="Cambria Math"/>
                      </w:rPr>
                      <m:t>I</m:t>
                    </m:r>
                  </m:e>
                  <m:sub>
                    <m:r>
                      <w:rPr>
                        <w:rFonts w:ascii="Cambria Math" w:hAnsi="Cambria Math"/>
                      </w:rPr>
                      <m:t>c</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w:rPr>
                        <w:rFonts w:ascii="Cambria Math" w:hAnsi="Cambria Math"/>
                      </w:rPr>
                      <m:t>c</m:t>
                    </m:r>
                  </m:sub>
                </m:sSub>
              </m:e>
              <m:e>
                <m:r>
                  <w:rPr>
                    <w:rFonts w:ascii="Cambria Math" w:hAnsi="Cambria Math"/>
                  </w:rPr>
                  <m:t>=(1-</m:t>
                </m:r>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c</m:t>
                    </m:r>
                  </m:sub>
                </m:sSub>
                <m:sSub>
                  <m:sSubPr>
                    <m:ctrlPr>
                      <w:rPr>
                        <w:rFonts w:ascii="Cambria Math" w:hAnsi="Cambria Math"/>
                      </w:rPr>
                    </m:ctrlPr>
                  </m:sSubPr>
                  <m:e>
                    <m:r>
                      <w:rPr>
                        <w:rFonts w:ascii="Cambria Math" w:hAnsi="Cambria Math"/>
                      </w:rPr>
                      <m:t>I</m:t>
                    </m:r>
                  </m:e>
                  <m:sub>
                    <m:r>
                      <w:rPr>
                        <w:rFonts w:ascii="Cambria Math" w:hAnsi="Cambria Math"/>
                      </w:rPr>
                      <m:t>c</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c</m:t>
                    </m:r>
                  </m:sub>
                </m:sSub>
              </m:e>
              <m:e>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sSub>
                  <m:sSubPr>
                    <m:ctrlPr>
                      <w:rPr>
                        <w:rFonts w:ascii="Cambria Math" w:hAnsi="Cambria Math"/>
                      </w:rPr>
                    </m:ctrlPr>
                  </m:sSubPr>
                  <m:e>
                    <m:r>
                      <w:rPr>
                        <w:rFonts w:ascii="Cambria Math" w:hAnsi="Cambria Math"/>
                      </w:rPr>
                      <m:t>g</m:t>
                    </m:r>
                  </m:e>
                  <m:sub>
                    <m:r>
                      <w:rPr>
                        <w:rFonts w:ascii="Cambria Math" w:hAnsi="Cambria Math"/>
                      </w:rPr>
                      <m:t>c</m:t>
                    </m:r>
                  </m:sub>
                </m:sSub>
                <m:sSub>
                  <m:sSubPr>
                    <m:ctrlPr>
                      <w:rPr>
                        <w:rFonts w:ascii="Cambria Math" w:hAnsi="Cambria Math"/>
                      </w:rPr>
                    </m:ctrlPr>
                  </m:sSubPr>
                  <m:e>
                    <m:r>
                      <w:rPr>
                        <w:rFonts w:ascii="Cambria Math" w:hAnsi="Cambria Math"/>
                      </w:rPr>
                      <m:t>I</m:t>
                    </m:r>
                  </m:e>
                  <m:sub>
                    <m:r>
                      <w:rPr>
                        <w:rFonts w:ascii="Cambria Math" w:hAnsi="Cambria Math"/>
                      </w:rPr>
                      <m:t>c</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a</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ca</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aa</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ea</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a</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ca</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aa</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ea</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sSub>
                  <m:sSubPr>
                    <m:ctrlPr>
                      <w:rPr>
                        <w:rFonts w:ascii="Cambria Math" w:hAnsi="Cambria Math"/>
                      </w:rPr>
                    </m:ctrlPr>
                  </m:sSubPr>
                  <m:e>
                    <m:r>
                      <w:rPr>
                        <w:rFonts w:ascii="Cambria Math" w:hAnsi="Cambria Math"/>
                      </w:rPr>
                      <m:t>I</m:t>
                    </m:r>
                  </m:e>
                  <m:sub>
                    <m:r>
                      <w:rPr>
                        <w:rFonts w:ascii="Cambria Math" w:hAnsi="Cambria Math"/>
                      </w:rPr>
                      <m:t>a</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w:rPr>
                        <w:rFonts w:ascii="Cambria Math" w:hAnsi="Cambria Math"/>
                      </w:rPr>
                      <m:t>a</m:t>
                    </m:r>
                  </m:sub>
                </m:sSub>
              </m:e>
              <m:e>
                <m:r>
                  <w:rPr>
                    <w:rFonts w:ascii="Cambria Math" w:hAnsi="Cambria Math"/>
                  </w:rPr>
                  <m:t>=(1-</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sSub>
                  <m:sSubPr>
                    <m:ctrlPr>
                      <w:rPr>
                        <w:rFonts w:ascii="Cambria Math" w:hAnsi="Cambria Math"/>
                      </w:rPr>
                    </m:ctrlPr>
                  </m:sSubPr>
                  <m:e>
                    <m:r>
                      <w:rPr>
                        <w:rFonts w:ascii="Cambria Math" w:hAnsi="Cambria Math"/>
                      </w:rPr>
                      <m:t>I</m:t>
                    </m:r>
                  </m:e>
                  <m:sub>
                    <m:r>
                      <w:rPr>
                        <w:rFonts w:ascii="Cambria Math" w:hAnsi="Cambria Math"/>
                      </w:rPr>
                      <m:t>a</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a</m:t>
                    </m:r>
                  </m:sub>
                </m:sSub>
              </m:e>
              <m:e>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w:rPr>
                        <w:rFonts w:ascii="Cambria Math" w:hAnsi="Cambria Math"/>
                      </w:rPr>
                      <m:t>g</m:t>
                    </m:r>
                  </m:e>
                  <m:sub>
                    <m:r>
                      <w:rPr>
                        <w:rFonts w:ascii="Cambria Math" w:hAnsi="Cambria Math"/>
                      </w:rPr>
                      <m:t>a</m:t>
                    </m:r>
                  </m:sub>
                </m:sSub>
                <m:sSub>
                  <m:sSubPr>
                    <m:ctrlPr>
                      <w:rPr>
                        <w:rFonts w:ascii="Cambria Math" w:hAnsi="Cambria Math"/>
                      </w:rPr>
                    </m:ctrlPr>
                  </m:sSubPr>
                  <m:e>
                    <m:r>
                      <w:rPr>
                        <w:rFonts w:ascii="Cambria Math" w:hAnsi="Cambria Math"/>
                      </w:rPr>
                      <m:t>I</m:t>
                    </m:r>
                  </m:e>
                  <m:sub>
                    <m:r>
                      <w:rPr>
                        <w:rFonts w:ascii="Cambria Math" w:hAnsi="Cambria Math"/>
                      </w:rPr>
                      <m:t>a</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S</m:t>
                        </m:r>
                      </m:e>
                    </m:acc>
                  </m:e>
                  <m:sub>
                    <m:r>
                      <w:rPr>
                        <w:rFonts w:ascii="Cambria Math" w:hAnsi="Cambria Math"/>
                      </w:rPr>
                      <m:t>e</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ce</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ae</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ee</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e</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I</m:t>
                        </m:r>
                      </m:e>
                    </m:acc>
                  </m:e>
                  <m:sub>
                    <m:r>
                      <w:rPr>
                        <w:rFonts w:ascii="Cambria Math" w:hAnsi="Cambria Math"/>
                      </w:rPr>
                      <m:t>e</m:t>
                    </m:r>
                  </m:sub>
                </m:sSub>
              </m:e>
              <m:e>
                <m:r>
                  <w:rPr>
                    <w:rFonts w:ascii="Cambria Math" w:hAnsi="Cambria Math"/>
                  </w:rPr>
                  <m:t>=k(</m:t>
                </m:r>
                <m:sSub>
                  <m:sSubPr>
                    <m:ctrlPr>
                      <w:rPr>
                        <w:rFonts w:ascii="Cambria Math" w:hAnsi="Cambria Math"/>
                      </w:rPr>
                    </m:ctrlPr>
                  </m:sSubPr>
                  <m:e>
                    <m:r>
                      <w:rPr>
                        <w:rFonts w:ascii="Cambria Math" w:hAnsi="Cambria Math"/>
                      </w:rPr>
                      <m:t>b</m:t>
                    </m:r>
                  </m:e>
                  <m:sub>
                    <m:r>
                      <w:rPr>
                        <w:rFonts w:ascii="Cambria Math" w:hAnsi="Cambria Math"/>
                      </w:rPr>
                      <m:t>ce</m:t>
                    </m:r>
                  </m:sub>
                </m:sSub>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ae</m:t>
                    </m:r>
                  </m:sub>
                </m:sSub>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ee</m:t>
                    </m:r>
                  </m:sub>
                </m:sSub>
                <m:sSub>
                  <m:sSubPr>
                    <m:ctrlPr>
                      <w:rPr>
                        <w:rFonts w:ascii="Cambria Math" w:hAnsi="Cambria Math"/>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e</m:t>
                    </m:r>
                  </m:sub>
                </m:sSub>
                <m:sSub>
                  <m:sSubPr>
                    <m:ctrlPr>
                      <w:rPr>
                        <w:rFonts w:ascii="Cambria Math" w:hAnsi="Cambria Math"/>
                      </w:rPr>
                    </m:ctrlPr>
                  </m:sSubPr>
                  <m:e>
                    <m:r>
                      <w:rPr>
                        <w:rFonts w:ascii="Cambria Math" w:hAnsi="Cambria Math"/>
                      </w:rPr>
                      <m:t>I</m:t>
                    </m:r>
                  </m:e>
                  <m:sub>
                    <m:r>
                      <w:rPr>
                        <w:rFonts w:ascii="Cambria Math" w:hAnsi="Cambria Math"/>
                      </w:rPr>
                      <m:t>e</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w:rPr>
                        <w:rFonts w:ascii="Cambria Math" w:hAnsi="Cambria Math"/>
                      </w:rPr>
                      <m:t>e</m:t>
                    </m:r>
                  </m:sub>
                </m:sSub>
              </m:e>
              <m:e>
                <m:r>
                  <w:rPr>
                    <w:rFonts w:ascii="Cambria Math" w:hAnsi="Cambria Math"/>
                  </w:rPr>
                  <m:t>=(1-</m:t>
                </m:r>
                <m:sSub>
                  <m:sSubPr>
                    <m:ctrlPr>
                      <w:rPr>
                        <w:rFonts w:ascii="Cambria Math" w:hAnsi="Cambria Math"/>
                      </w:rPr>
                    </m:ctrlPr>
                  </m:sSubPr>
                  <m:e>
                    <m:r>
                      <w:rPr>
                        <w:rFonts w:ascii="Cambria Math" w:hAnsi="Cambria Math"/>
                      </w:rPr>
                      <m:t>m</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e</m:t>
                    </m:r>
                  </m:sub>
                </m:sSub>
                <m:sSub>
                  <m:sSubPr>
                    <m:ctrlPr>
                      <w:rPr>
                        <w:rFonts w:ascii="Cambria Math" w:hAnsi="Cambria Math"/>
                      </w:rPr>
                    </m:ctrlPr>
                  </m:sSubPr>
                  <m:e>
                    <m:r>
                      <w:rPr>
                        <w:rFonts w:ascii="Cambria Math" w:hAnsi="Cambria Math"/>
                      </w:rPr>
                      <m:t>I</m:t>
                    </m:r>
                  </m:e>
                  <m:sub>
                    <m:r>
                      <w:rPr>
                        <w:rFonts w:ascii="Cambria Math" w:hAnsi="Cambria Math"/>
                      </w:rPr>
                      <m:t>e</m:t>
                    </m:r>
                  </m:sub>
                </m:sSub>
              </m:e>
            </m:mr>
            <m:mr>
              <m:e>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e</m:t>
                    </m:r>
                  </m:sub>
                </m:sSub>
              </m:e>
              <m:e>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e</m:t>
                    </m:r>
                  </m:sub>
                </m:sSub>
                <m:sSub>
                  <m:sSubPr>
                    <m:ctrlPr>
                      <w:rPr>
                        <w:rFonts w:ascii="Cambria Math" w:hAnsi="Cambria Math"/>
                      </w:rPr>
                    </m:ctrlPr>
                  </m:sSubPr>
                  <m:e>
                    <m:r>
                      <w:rPr>
                        <w:rFonts w:ascii="Cambria Math" w:hAnsi="Cambria Math"/>
                      </w:rPr>
                      <m:t>g</m:t>
                    </m:r>
                  </m:e>
                  <m:sub>
                    <m:r>
                      <w:rPr>
                        <w:rFonts w:ascii="Cambria Math" w:hAnsi="Cambria Math"/>
                      </w:rPr>
                      <m:t>e</m:t>
                    </m:r>
                  </m:sub>
                </m:sSub>
                <m:sSub>
                  <m:sSubPr>
                    <m:ctrlPr>
                      <w:rPr>
                        <w:rFonts w:ascii="Cambria Math" w:hAnsi="Cambria Math"/>
                      </w:rPr>
                    </m:ctrlPr>
                  </m:sSubPr>
                  <m:e>
                    <m:r>
                      <w:rPr>
                        <w:rFonts w:ascii="Cambria Math" w:hAnsi="Cambria Math"/>
                      </w:rPr>
                      <m:t>I</m:t>
                    </m:r>
                  </m:e>
                  <m:sub>
                    <m:r>
                      <w:rPr>
                        <w:rFonts w:ascii="Cambria Math" w:hAnsi="Cambria Math"/>
                      </w:rPr>
                      <m:t>e</m:t>
                    </m:r>
                  </m:sub>
                </m:sSub>
              </m:e>
            </m:mr>
          </m:m>
        </m:oMath>
      </m:oMathPara>
    </w:p>
    <w:p w14:paraId="10A8C4C0" w14:textId="77777777" w:rsidR="00691EEE" w:rsidRDefault="00B17343">
      <w:pPr>
        <w:pStyle w:val="FirstParagraph"/>
      </w:pPr>
      <w:r>
        <w:t>The main text shows a schematic drawing of the model, figure 3.1 shows another model schematic that more directly indicates how different model components map to the equations and interact with each other.</w:t>
      </w:r>
    </w:p>
    <w:p w14:paraId="3590BC36" w14:textId="77777777" w:rsidR="00691EEE" w:rsidRDefault="00B17343">
      <w:pPr>
        <w:pStyle w:val="CaptionedFigure"/>
      </w:pPr>
      <w:r>
        <w:rPr>
          <w:noProof/>
        </w:rPr>
        <w:drawing>
          <wp:inline distT="0" distB="0" distL="0" distR="0" wp14:anchorId="13A6850A" wp14:editId="764A9E7B">
            <wp:extent cx="5334000" cy="3602691"/>
            <wp:effectExtent l="0" t="0" r="0" b="0"/>
            <wp:docPr id="1" name="Picture" descr="Figure 3.1: Schematic of model."/>
            <wp:cNvGraphicFramePr/>
            <a:graphic xmlns:a="http://schemas.openxmlformats.org/drawingml/2006/main">
              <a:graphicData uri="http://schemas.openxmlformats.org/drawingml/2006/picture">
                <pic:pic xmlns:pic="http://schemas.openxmlformats.org/drawingml/2006/picture">
                  <pic:nvPicPr>
                    <pic:cNvPr id="0" name="Picture" descr="D:/Dropbox/StudentProjects/YangGe/dmphp-revision/modelfigtechnical.png"/>
                    <pic:cNvPicPr>
                      <a:picLocks noChangeAspect="1" noChangeArrowheads="1"/>
                    </pic:cNvPicPr>
                  </pic:nvPicPr>
                  <pic:blipFill>
                    <a:blip r:embed="rId13"/>
                    <a:stretch>
                      <a:fillRect/>
                    </a:stretch>
                  </pic:blipFill>
                  <pic:spPr bwMode="auto">
                    <a:xfrm>
                      <a:off x="0" y="0"/>
                      <a:ext cx="5334000" cy="3602691"/>
                    </a:xfrm>
                    <a:prstGeom prst="rect">
                      <a:avLst/>
                    </a:prstGeom>
                    <a:noFill/>
                    <a:ln w="9525">
                      <a:noFill/>
                      <a:headEnd/>
                      <a:tailEnd/>
                    </a:ln>
                  </pic:spPr>
                </pic:pic>
              </a:graphicData>
            </a:graphic>
          </wp:inline>
        </w:drawing>
      </w:r>
    </w:p>
    <w:p w14:paraId="0C9141E1" w14:textId="77777777" w:rsidR="00691EEE" w:rsidRDefault="00B17343">
      <w:pPr>
        <w:pStyle w:val="ImageCaption"/>
      </w:pPr>
      <w:r>
        <w:t>Figure 3.1: Schematic of model.</w:t>
      </w:r>
    </w:p>
    <w:p w14:paraId="3B991B8C" w14:textId="77777777" w:rsidR="00691EEE" w:rsidRDefault="00B17343">
      <w:pPr>
        <w:pStyle w:val="Heading1"/>
      </w:pPr>
      <w:bookmarkStart w:id="3" w:name="model-parameters"/>
      <w:bookmarkEnd w:id="2"/>
      <w:r>
        <w:rPr>
          <w:rStyle w:val="SectionNumber"/>
        </w:rPr>
        <w:lastRenderedPageBreak/>
        <w:t>4</w:t>
      </w:r>
      <w:r>
        <w:tab/>
        <w:t>Model Parameters</w:t>
      </w:r>
    </w:p>
    <w:p w14:paraId="7BC29648" w14:textId="77777777" w:rsidR="00691EEE" w:rsidRDefault="00B17343">
      <w:pPr>
        <w:pStyle w:val="FirstParagraph"/>
      </w:pPr>
      <w:r>
        <w:t>The following table provides values and sources for all parameter values used in the model. The overall model results do not depend on the exact model settings.</w:t>
      </w:r>
    </w:p>
    <w:tbl>
      <w:tblPr>
        <w:tblStyle w:val="Table"/>
        <w:tblW w:w="5000" w:type="pct"/>
        <w:tblLook w:val="0020" w:firstRow="1" w:lastRow="0" w:firstColumn="0" w:lastColumn="0" w:noHBand="0" w:noVBand="0"/>
      </w:tblPr>
      <w:tblGrid>
        <w:gridCol w:w="1301"/>
        <w:gridCol w:w="3474"/>
        <w:gridCol w:w="1022"/>
        <w:gridCol w:w="3563"/>
      </w:tblGrid>
      <w:tr w:rsidR="00691EEE" w14:paraId="6980E78F" w14:textId="77777777">
        <w:tc>
          <w:tcPr>
            <w:tcW w:w="0" w:type="auto"/>
            <w:tcBorders>
              <w:bottom w:val="single" w:sz="0" w:space="0" w:color="auto"/>
            </w:tcBorders>
            <w:vAlign w:val="bottom"/>
          </w:tcPr>
          <w:p w14:paraId="730C52D9" w14:textId="77777777" w:rsidR="00691EEE" w:rsidRDefault="00B17343">
            <w:pPr>
              <w:pStyle w:val="Compact"/>
            </w:pPr>
            <w:r>
              <w:t>Parameter</w:t>
            </w:r>
          </w:p>
        </w:tc>
        <w:tc>
          <w:tcPr>
            <w:tcW w:w="0" w:type="auto"/>
            <w:tcBorders>
              <w:bottom w:val="single" w:sz="0" w:space="0" w:color="auto"/>
            </w:tcBorders>
            <w:vAlign w:val="bottom"/>
          </w:tcPr>
          <w:p w14:paraId="3AD33110" w14:textId="77777777" w:rsidR="00691EEE" w:rsidRDefault="00B17343">
            <w:pPr>
              <w:pStyle w:val="Compact"/>
            </w:pPr>
            <w:r>
              <w:t>Meaning</w:t>
            </w:r>
          </w:p>
        </w:tc>
        <w:tc>
          <w:tcPr>
            <w:tcW w:w="0" w:type="auto"/>
            <w:tcBorders>
              <w:bottom w:val="single" w:sz="0" w:space="0" w:color="auto"/>
            </w:tcBorders>
            <w:vAlign w:val="bottom"/>
          </w:tcPr>
          <w:p w14:paraId="530E11BF" w14:textId="77777777" w:rsidR="00691EEE" w:rsidRDefault="00B17343">
            <w:pPr>
              <w:pStyle w:val="Compact"/>
            </w:pPr>
            <w:r>
              <w:t>Value</w:t>
            </w:r>
          </w:p>
        </w:tc>
        <w:tc>
          <w:tcPr>
            <w:tcW w:w="0" w:type="auto"/>
            <w:tcBorders>
              <w:bottom w:val="single" w:sz="0" w:space="0" w:color="auto"/>
            </w:tcBorders>
            <w:vAlign w:val="bottom"/>
          </w:tcPr>
          <w:p w14:paraId="5DCBAB8B" w14:textId="77777777" w:rsidR="00691EEE" w:rsidRDefault="00B17343">
            <w:pPr>
              <w:pStyle w:val="Compact"/>
            </w:pPr>
            <w:r>
              <w:t>Notes</w:t>
            </w:r>
          </w:p>
        </w:tc>
      </w:tr>
      <w:tr w:rsidR="00691EEE" w14:paraId="02A8AEE1" w14:textId="77777777">
        <w:tc>
          <w:tcPr>
            <w:tcW w:w="0" w:type="auto"/>
          </w:tcPr>
          <w:p w14:paraId="114040A7" w14:textId="77777777" w:rsidR="00691EEE" w:rsidRDefault="00B17343">
            <w:pPr>
              <w:pStyle w:val="Compact"/>
            </w:pPr>
            <m:oMathPara>
              <m:oMath>
                <m:r>
                  <w:rPr>
                    <w:rFonts w:ascii="Cambria Math" w:hAnsi="Cambria Math"/>
                  </w:rPr>
                  <m:t>N</m:t>
                </m:r>
              </m:oMath>
            </m:oMathPara>
          </w:p>
        </w:tc>
        <w:tc>
          <w:tcPr>
            <w:tcW w:w="0" w:type="auto"/>
          </w:tcPr>
          <w:p w14:paraId="68FD0921" w14:textId="77777777" w:rsidR="00691EEE" w:rsidRDefault="00B17343">
            <w:pPr>
              <w:pStyle w:val="Compact"/>
            </w:pPr>
            <w:r>
              <w:t>total population size</w:t>
            </w:r>
          </w:p>
        </w:tc>
        <w:tc>
          <w:tcPr>
            <w:tcW w:w="0" w:type="auto"/>
          </w:tcPr>
          <w:p w14:paraId="4E54153F" w14:textId="77777777" w:rsidR="00691EEE" w:rsidRDefault="00000000">
            <w:pPr>
              <w:pStyle w:val="Compact"/>
            </w:pPr>
            <m:oMathPara>
              <m:oMath>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c>
          <w:tcPr>
            <w:tcW w:w="0" w:type="auto"/>
          </w:tcPr>
          <w:p w14:paraId="0ABFFF10" w14:textId="77777777" w:rsidR="00691EEE" w:rsidRDefault="00B17343">
            <w:pPr>
              <w:pStyle w:val="Compact"/>
            </w:pPr>
            <w:r>
              <w:t>adjusting this number only scales the model and does not affect results</w:t>
            </w:r>
          </w:p>
        </w:tc>
      </w:tr>
      <w:tr w:rsidR="00691EEE" w14:paraId="2114D1B2" w14:textId="77777777">
        <w:tc>
          <w:tcPr>
            <w:tcW w:w="0" w:type="auto"/>
          </w:tcPr>
          <w:p w14:paraId="1C49ABB5" w14:textId="77777777" w:rsidR="00691EEE" w:rsidRDefault="00000000">
            <w:pPr>
              <w:pStyle w:val="Compact"/>
            </w:pPr>
            <m:oMathPara>
              <m:oMath>
                <m:sSub>
                  <m:sSubPr>
                    <m:ctrlPr>
                      <w:rPr>
                        <w:rFonts w:ascii="Cambria Math" w:hAnsi="Cambria Math"/>
                      </w:rPr>
                    </m:ctrlPr>
                  </m:sSubPr>
                  <m:e>
                    <m:r>
                      <w:rPr>
                        <w:rFonts w:ascii="Cambria Math" w:hAnsi="Cambria Math"/>
                      </w:rPr>
                      <m:t>S</m:t>
                    </m:r>
                  </m:e>
                  <m:sub>
                    <m:r>
                      <w:rPr>
                        <w:rFonts w:ascii="Cambria Math" w:hAnsi="Cambria Math"/>
                      </w:rPr>
                      <m:t>c</m:t>
                    </m:r>
                  </m:sub>
                </m:sSub>
              </m:oMath>
            </m:oMathPara>
          </w:p>
        </w:tc>
        <w:tc>
          <w:tcPr>
            <w:tcW w:w="0" w:type="auto"/>
          </w:tcPr>
          <w:p w14:paraId="514CFA8C" w14:textId="77777777" w:rsidR="00691EEE" w:rsidRDefault="00B17343">
            <w:pPr>
              <w:pStyle w:val="Compact"/>
            </w:pPr>
            <w:r>
              <w:t>Population size of children</w:t>
            </w:r>
          </w:p>
        </w:tc>
        <w:tc>
          <w:tcPr>
            <w:tcW w:w="0" w:type="auto"/>
          </w:tcPr>
          <w:p w14:paraId="1134BBC2" w14:textId="77777777" w:rsidR="00691EEE" w:rsidRDefault="00B17343">
            <w:pPr>
              <w:pStyle w:val="Compact"/>
            </w:pPr>
            <m:oMathPara>
              <m:oMath>
                <m:r>
                  <w:rPr>
                    <w:rFonts w:ascii="Cambria Math" w:hAnsi="Cambria Math"/>
                  </w:rPr>
                  <m:t>0.2N</m:t>
                </m:r>
              </m:oMath>
            </m:oMathPara>
          </w:p>
        </w:tc>
        <w:tc>
          <w:tcPr>
            <w:tcW w:w="0" w:type="auto"/>
          </w:tcPr>
          <w:p w14:paraId="2F13AE5C" w14:textId="77777777" w:rsidR="00691EEE" w:rsidRDefault="00B17343">
            <w:pPr>
              <w:pStyle w:val="Compact"/>
            </w:pPr>
            <w:r>
              <w:t>in line with many European countries</w:t>
            </w:r>
          </w:p>
        </w:tc>
      </w:tr>
      <w:tr w:rsidR="00691EEE" w14:paraId="6B67E67B" w14:textId="77777777">
        <w:tc>
          <w:tcPr>
            <w:tcW w:w="0" w:type="auto"/>
          </w:tcPr>
          <w:p w14:paraId="36BD5E13" w14:textId="77777777" w:rsidR="00691EEE" w:rsidRDefault="00000000">
            <w:pPr>
              <w:pStyle w:val="Compact"/>
            </w:pPr>
            <m:oMathPara>
              <m:oMath>
                <m:sSub>
                  <m:sSubPr>
                    <m:ctrlPr>
                      <w:rPr>
                        <w:rFonts w:ascii="Cambria Math" w:hAnsi="Cambria Math"/>
                      </w:rPr>
                    </m:ctrlPr>
                  </m:sSubPr>
                  <m:e>
                    <m:r>
                      <w:rPr>
                        <w:rFonts w:ascii="Cambria Math" w:hAnsi="Cambria Math"/>
                      </w:rPr>
                      <m:t>S</m:t>
                    </m:r>
                  </m:e>
                  <m:sub>
                    <m:r>
                      <w:rPr>
                        <w:rFonts w:ascii="Cambria Math" w:hAnsi="Cambria Math"/>
                      </w:rPr>
                      <m:t>a</m:t>
                    </m:r>
                  </m:sub>
                </m:sSub>
              </m:oMath>
            </m:oMathPara>
          </w:p>
        </w:tc>
        <w:tc>
          <w:tcPr>
            <w:tcW w:w="0" w:type="auto"/>
          </w:tcPr>
          <w:p w14:paraId="19CED286" w14:textId="77777777" w:rsidR="00691EEE" w:rsidRDefault="00B17343">
            <w:pPr>
              <w:pStyle w:val="Compact"/>
            </w:pPr>
            <w:r>
              <w:t>Population size of adults</w:t>
            </w:r>
          </w:p>
        </w:tc>
        <w:tc>
          <w:tcPr>
            <w:tcW w:w="0" w:type="auto"/>
          </w:tcPr>
          <w:p w14:paraId="2E6F2D6E" w14:textId="77777777" w:rsidR="00691EEE" w:rsidRDefault="00B17343">
            <w:pPr>
              <w:pStyle w:val="Compact"/>
            </w:pPr>
            <m:oMathPara>
              <m:oMath>
                <m:r>
                  <w:rPr>
                    <w:rFonts w:ascii="Cambria Math" w:hAnsi="Cambria Math"/>
                  </w:rPr>
                  <m:t>0.55N</m:t>
                </m:r>
              </m:oMath>
            </m:oMathPara>
          </w:p>
        </w:tc>
        <w:tc>
          <w:tcPr>
            <w:tcW w:w="0" w:type="auto"/>
          </w:tcPr>
          <w:p w14:paraId="7A2EAB20" w14:textId="77777777" w:rsidR="00691EEE" w:rsidRDefault="00B17343">
            <w:pPr>
              <w:pStyle w:val="Compact"/>
            </w:pPr>
            <w:r>
              <w:t>in line with many European countries</w:t>
            </w:r>
          </w:p>
        </w:tc>
      </w:tr>
      <w:tr w:rsidR="00691EEE" w14:paraId="2FDE0A45" w14:textId="77777777">
        <w:tc>
          <w:tcPr>
            <w:tcW w:w="0" w:type="auto"/>
          </w:tcPr>
          <w:p w14:paraId="0C01E044" w14:textId="77777777" w:rsidR="00691EEE" w:rsidRDefault="00000000">
            <w:pPr>
              <w:pStyle w:val="Compact"/>
            </w:pPr>
            <m:oMathPara>
              <m:oMath>
                <m:sSub>
                  <m:sSubPr>
                    <m:ctrlPr>
                      <w:rPr>
                        <w:rFonts w:ascii="Cambria Math" w:hAnsi="Cambria Math"/>
                      </w:rPr>
                    </m:ctrlPr>
                  </m:sSubPr>
                  <m:e>
                    <m:r>
                      <w:rPr>
                        <w:rFonts w:ascii="Cambria Math" w:hAnsi="Cambria Math"/>
                      </w:rPr>
                      <m:t>S</m:t>
                    </m:r>
                  </m:e>
                  <m:sub>
                    <m:r>
                      <w:rPr>
                        <w:rFonts w:ascii="Cambria Math" w:hAnsi="Cambria Math"/>
                      </w:rPr>
                      <m:t>e</m:t>
                    </m:r>
                  </m:sub>
                </m:sSub>
              </m:oMath>
            </m:oMathPara>
          </w:p>
        </w:tc>
        <w:tc>
          <w:tcPr>
            <w:tcW w:w="0" w:type="auto"/>
          </w:tcPr>
          <w:p w14:paraId="3F05539D" w14:textId="77777777" w:rsidR="00691EEE" w:rsidRDefault="00B17343">
            <w:pPr>
              <w:pStyle w:val="Compact"/>
            </w:pPr>
            <w:r>
              <w:t>Population size of elderly</w:t>
            </w:r>
          </w:p>
        </w:tc>
        <w:tc>
          <w:tcPr>
            <w:tcW w:w="0" w:type="auto"/>
          </w:tcPr>
          <w:p w14:paraId="4A658FBE" w14:textId="77777777" w:rsidR="00691EEE" w:rsidRDefault="00B17343">
            <w:pPr>
              <w:pStyle w:val="Compact"/>
            </w:pPr>
            <m:oMathPara>
              <m:oMath>
                <m:r>
                  <w:rPr>
                    <w:rFonts w:ascii="Cambria Math" w:hAnsi="Cambria Math"/>
                  </w:rPr>
                  <m:t>0.25N</m:t>
                </m:r>
              </m:oMath>
            </m:oMathPara>
          </w:p>
        </w:tc>
        <w:tc>
          <w:tcPr>
            <w:tcW w:w="0" w:type="auto"/>
          </w:tcPr>
          <w:p w14:paraId="35484078" w14:textId="77777777" w:rsidR="00691EEE" w:rsidRDefault="00B17343">
            <w:pPr>
              <w:pStyle w:val="Compact"/>
            </w:pPr>
            <w:r>
              <w:t>in line with many European countries</w:t>
            </w:r>
          </w:p>
        </w:tc>
      </w:tr>
      <w:tr w:rsidR="00691EEE" w14:paraId="62A05FB4" w14:textId="77777777">
        <w:tc>
          <w:tcPr>
            <w:tcW w:w="0" w:type="auto"/>
          </w:tcPr>
          <w:p w14:paraId="743CC843" w14:textId="77777777" w:rsidR="00691EEE" w:rsidRDefault="00000000">
            <w:pPr>
              <w:pStyle w:val="Compact"/>
            </w:pPr>
            <m:oMathPara>
              <m:oMath>
                <m:sSub>
                  <m:sSubPr>
                    <m:ctrlPr>
                      <w:rPr>
                        <w:rFonts w:ascii="Cambria Math" w:hAnsi="Cambria Math"/>
                      </w:rPr>
                    </m:ctrlPr>
                  </m:sSubPr>
                  <m:e>
                    <m:r>
                      <w:rPr>
                        <w:rFonts w:ascii="Cambria Math" w:hAnsi="Cambria Math"/>
                      </w:rPr>
                      <m:t>m</m:t>
                    </m:r>
                  </m:e>
                  <m:sub>
                    <m:r>
                      <w:rPr>
                        <w:rFonts w:ascii="Cambria Math" w:hAnsi="Cambria Math"/>
                      </w:rPr>
                      <m:t>c</m:t>
                    </m:r>
                  </m:sub>
                </m:sSub>
              </m:oMath>
            </m:oMathPara>
          </w:p>
        </w:tc>
        <w:tc>
          <w:tcPr>
            <w:tcW w:w="0" w:type="auto"/>
          </w:tcPr>
          <w:p w14:paraId="5ADBB251" w14:textId="77777777" w:rsidR="00691EEE" w:rsidRDefault="00B17343">
            <w:pPr>
              <w:pStyle w:val="Compact"/>
            </w:pPr>
            <w:r>
              <w:t>Fraction dying among children</w:t>
            </w:r>
          </w:p>
        </w:tc>
        <w:tc>
          <w:tcPr>
            <w:tcW w:w="0" w:type="auto"/>
          </w:tcPr>
          <w:p w14:paraId="3954B08F" w14:textId="77777777" w:rsidR="00691EEE" w:rsidRDefault="00B17343">
            <w:pPr>
              <w:pStyle w:val="Compact"/>
            </w:pPr>
            <w:r>
              <w:t>0.001</w:t>
            </w:r>
          </w:p>
        </w:tc>
        <w:tc>
          <w:tcPr>
            <w:tcW w:w="0" w:type="auto"/>
          </w:tcPr>
          <w:p w14:paraId="01061D58" w14:textId="77777777" w:rsidR="00691EEE" w:rsidRDefault="00B17343">
            <w:pPr>
              <w:pStyle w:val="Compact"/>
            </w:pPr>
            <w:r>
              <w:t>(2,3)</w:t>
            </w:r>
          </w:p>
        </w:tc>
      </w:tr>
      <w:tr w:rsidR="00691EEE" w14:paraId="07B3937A" w14:textId="77777777">
        <w:tc>
          <w:tcPr>
            <w:tcW w:w="0" w:type="auto"/>
          </w:tcPr>
          <w:p w14:paraId="3D847913" w14:textId="77777777" w:rsidR="00691EEE" w:rsidRDefault="00000000">
            <w:pPr>
              <w:pStyle w:val="Compact"/>
            </w:pPr>
            <m:oMathPara>
              <m:oMath>
                <m:sSub>
                  <m:sSubPr>
                    <m:ctrlPr>
                      <w:rPr>
                        <w:rFonts w:ascii="Cambria Math" w:hAnsi="Cambria Math"/>
                      </w:rPr>
                    </m:ctrlPr>
                  </m:sSubPr>
                  <m:e>
                    <m:r>
                      <w:rPr>
                        <w:rFonts w:ascii="Cambria Math" w:hAnsi="Cambria Math"/>
                      </w:rPr>
                      <m:t>m</m:t>
                    </m:r>
                  </m:e>
                  <m:sub>
                    <m:r>
                      <w:rPr>
                        <w:rFonts w:ascii="Cambria Math" w:hAnsi="Cambria Math"/>
                      </w:rPr>
                      <m:t>a</m:t>
                    </m:r>
                  </m:sub>
                </m:sSub>
              </m:oMath>
            </m:oMathPara>
          </w:p>
        </w:tc>
        <w:tc>
          <w:tcPr>
            <w:tcW w:w="0" w:type="auto"/>
          </w:tcPr>
          <w:p w14:paraId="1E25966F" w14:textId="77777777" w:rsidR="00691EEE" w:rsidRDefault="00B17343">
            <w:pPr>
              <w:pStyle w:val="Compact"/>
            </w:pPr>
            <w:r>
              <w:t>Fraction dying among adults</w:t>
            </w:r>
          </w:p>
        </w:tc>
        <w:tc>
          <w:tcPr>
            <w:tcW w:w="0" w:type="auto"/>
          </w:tcPr>
          <w:p w14:paraId="2308F392" w14:textId="77777777" w:rsidR="00691EEE" w:rsidRDefault="00B17343">
            <w:pPr>
              <w:pStyle w:val="Compact"/>
            </w:pPr>
            <w:r>
              <w:t>0.01</w:t>
            </w:r>
          </w:p>
        </w:tc>
        <w:tc>
          <w:tcPr>
            <w:tcW w:w="0" w:type="auto"/>
          </w:tcPr>
          <w:p w14:paraId="2974FA50" w14:textId="77777777" w:rsidR="00691EEE" w:rsidRDefault="00B17343">
            <w:pPr>
              <w:pStyle w:val="Compact"/>
            </w:pPr>
            <w:r>
              <w:t>(2,3)</w:t>
            </w:r>
          </w:p>
        </w:tc>
      </w:tr>
      <w:tr w:rsidR="00691EEE" w14:paraId="007C379F" w14:textId="77777777">
        <w:tc>
          <w:tcPr>
            <w:tcW w:w="0" w:type="auto"/>
          </w:tcPr>
          <w:p w14:paraId="0F2D5C95" w14:textId="77777777" w:rsidR="00691EEE" w:rsidRDefault="00000000">
            <w:pPr>
              <w:pStyle w:val="Compact"/>
            </w:pPr>
            <m:oMathPara>
              <m:oMath>
                <m:sSub>
                  <m:sSubPr>
                    <m:ctrlPr>
                      <w:rPr>
                        <w:rFonts w:ascii="Cambria Math" w:hAnsi="Cambria Math"/>
                      </w:rPr>
                    </m:ctrlPr>
                  </m:sSubPr>
                  <m:e>
                    <m:r>
                      <w:rPr>
                        <w:rFonts w:ascii="Cambria Math" w:hAnsi="Cambria Math"/>
                      </w:rPr>
                      <m:t>m</m:t>
                    </m:r>
                  </m:e>
                  <m:sub>
                    <m:r>
                      <w:rPr>
                        <w:rFonts w:ascii="Cambria Math" w:hAnsi="Cambria Math"/>
                      </w:rPr>
                      <m:t>e</m:t>
                    </m:r>
                  </m:sub>
                </m:sSub>
              </m:oMath>
            </m:oMathPara>
          </w:p>
        </w:tc>
        <w:tc>
          <w:tcPr>
            <w:tcW w:w="0" w:type="auto"/>
          </w:tcPr>
          <w:p w14:paraId="5A456884" w14:textId="77777777" w:rsidR="00691EEE" w:rsidRDefault="00B17343">
            <w:pPr>
              <w:pStyle w:val="Compact"/>
            </w:pPr>
            <w:r>
              <w:t>Fraction dying among elderly</w:t>
            </w:r>
          </w:p>
        </w:tc>
        <w:tc>
          <w:tcPr>
            <w:tcW w:w="0" w:type="auto"/>
          </w:tcPr>
          <w:p w14:paraId="33C7661F" w14:textId="77777777" w:rsidR="00691EEE" w:rsidRDefault="00B17343">
            <w:pPr>
              <w:pStyle w:val="Compact"/>
            </w:pPr>
            <w:r>
              <w:t>0.1</w:t>
            </w:r>
          </w:p>
        </w:tc>
        <w:tc>
          <w:tcPr>
            <w:tcW w:w="0" w:type="auto"/>
          </w:tcPr>
          <w:p w14:paraId="03A588C2" w14:textId="77777777" w:rsidR="00691EEE" w:rsidRDefault="00B17343">
            <w:pPr>
              <w:pStyle w:val="Compact"/>
            </w:pPr>
            <w:r>
              <w:t>(2,3)</w:t>
            </w:r>
          </w:p>
        </w:tc>
      </w:tr>
      <w:tr w:rsidR="00691EEE" w14:paraId="1586B01A" w14:textId="77777777">
        <w:tc>
          <w:tcPr>
            <w:tcW w:w="0" w:type="auto"/>
          </w:tcPr>
          <w:p w14:paraId="386E8AA1" w14:textId="77777777" w:rsidR="00691EEE" w:rsidRDefault="00000000">
            <w:pPr>
              <w:pStyle w:val="Compact"/>
            </w:pPr>
            <m:oMathPara>
              <m:oMath>
                <m:sSub>
                  <m:sSubPr>
                    <m:ctrlPr>
                      <w:rPr>
                        <w:rFonts w:ascii="Cambria Math" w:hAnsi="Cambria Math"/>
                      </w:rPr>
                    </m:ctrlPr>
                  </m:sSubPr>
                  <m:e>
                    <m:r>
                      <w:rPr>
                        <w:rFonts w:ascii="Cambria Math" w:hAnsi="Cambria Math"/>
                      </w:rPr>
                      <m:t>g</m:t>
                    </m:r>
                  </m:e>
                  <m:sub>
                    <m:r>
                      <w:rPr>
                        <w:rFonts w:ascii="Cambria Math" w:hAnsi="Cambria Math"/>
                      </w:rPr>
                      <m:t>c</m:t>
                    </m:r>
                  </m:sub>
                </m:sSub>
              </m:oMath>
            </m:oMathPara>
          </w:p>
        </w:tc>
        <w:tc>
          <w:tcPr>
            <w:tcW w:w="0" w:type="auto"/>
          </w:tcPr>
          <w:p w14:paraId="03C9215A" w14:textId="77777777" w:rsidR="00691EEE" w:rsidRDefault="00B17343">
            <w:pPr>
              <w:pStyle w:val="Compact"/>
            </w:pPr>
            <w:r>
              <w:t>Recover rate of children</w:t>
            </w:r>
          </w:p>
        </w:tc>
        <w:tc>
          <w:tcPr>
            <w:tcW w:w="0" w:type="auto"/>
          </w:tcPr>
          <w:p w14:paraId="561136FC" w14:textId="77777777" w:rsidR="00691EEE" w:rsidRDefault="00B17343">
            <w:pPr>
              <w:pStyle w:val="Compact"/>
            </w:pPr>
            <w:r>
              <w:t>0.1 / day</w:t>
            </w:r>
          </w:p>
        </w:tc>
        <w:tc>
          <w:tcPr>
            <w:tcW w:w="0" w:type="auto"/>
          </w:tcPr>
          <w:p w14:paraId="6D7751B6" w14:textId="77777777" w:rsidR="00691EEE" w:rsidRDefault="00B17343">
            <w:pPr>
              <w:pStyle w:val="Compact"/>
            </w:pPr>
            <w:r>
              <w:t>(4)</w:t>
            </w:r>
          </w:p>
        </w:tc>
      </w:tr>
      <w:tr w:rsidR="00691EEE" w14:paraId="1DDBC6BA" w14:textId="77777777">
        <w:tc>
          <w:tcPr>
            <w:tcW w:w="0" w:type="auto"/>
          </w:tcPr>
          <w:p w14:paraId="6B1E8805" w14:textId="77777777" w:rsidR="00691EEE" w:rsidRDefault="00000000">
            <w:pPr>
              <w:pStyle w:val="Compact"/>
            </w:pPr>
            <m:oMathPara>
              <m:oMath>
                <m:sSub>
                  <m:sSubPr>
                    <m:ctrlPr>
                      <w:rPr>
                        <w:rFonts w:ascii="Cambria Math" w:hAnsi="Cambria Math"/>
                      </w:rPr>
                    </m:ctrlPr>
                  </m:sSubPr>
                  <m:e>
                    <m:r>
                      <w:rPr>
                        <w:rFonts w:ascii="Cambria Math" w:hAnsi="Cambria Math"/>
                      </w:rPr>
                      <m:t>g</m:t>
                    </m:r>
                  </m:e>
                  <m:sub>
                    <m:r>
                      <w:rPr>
                        <w:rFonts w:ascii="Cambria Math" w:hAnsi="Cambria Math"/>
                      </w:rPr>
                      <m:t>a</m:t>
                    </m:r>
                  </m:sub>
                </m:sSub>
              </m:oMath>
            </m:oMathPara>
          </w:p>
        </w:tc>
        <w:tc>
          <w:tcPr>
            <w:tcW w:w="0" w:type="auto"/>
          </w:tcPr>
          <w:p w14:paraId="0D5518F6" w14:textId="77777777" w:rsidR="00691EEE" w:rsidRDefault="00B17343">
            <w:pPr>
              <w:pStyle w:val="Compact"/>
            </w:pPr>
            <w:r>
              <w:t>Recover rate of adults</w:t>
            </w:r>
          </w:p>
        </w:tc>
        <w:tc>
          <w:tcPr>
            <w:tcW w:w="0" w:type="auto"/>
          </w:tcPr>
          <w:p w14:paraId="14AB53A3" w14:textId="77777777" w:rsidR="00691EEE" w:rsidRDefault="00B17343">
            <w:pPr>
              <w:pStyle w:val="Compact"/>
            </w:pPr>
            <w:r>
              <w:t>0.1 / day</w:t>
            </w:r>
          </w:p>
        </w:tc>
        <w:tc>
          <w:tcPr>
            <w:tcW w:w="0" w:type="auto"/>
          </w:tcPr>
          <w:p w14:paraId="0BB44585" w14:textId="77777777" w:rsidR="00691EEE" w:rsidRDefault="00B17343">
            <w:pPr>
              <w:pStyle w:val="Compact"/>
            </w:pPr>
            <w:r>
              <w:t>(4)</w:t>
            </w:r>
          </w:p>
        </w:tc>
      </w:tr>
      <w:tr w:rsidR="00691EEE" w14:paraId="244ED3CB" w14:textId="77777777">
        <w:tc>
          <w:tcPr>
            <w:tcW w:w="0" w:type="auto"/>
          </w:tcPr>
          <w:p w14:paraId="13638505" w14:textId="77777777" w:rsidR="00691EEE" w:rsidRDefault="00000000">
            <w:pPr>
              <w:pStyle w:val="Compact"/>
            </w:pPr>
            <m:oMathPara>
              <m:oMath>
                <m:sSub>
                  <m:sSubPr>
                    <m:ctrlPr>
                      <w:rPr>
                        <w:rFonts w:ascii="Cambria Math" w:hAnsi="Cambria Math"/>
                      </w:rPr>
                    </m:ctrlPr>
                  </m:sSubPr>
                  <m:e>
                    <m:r>
                      <w:rPr>
                        <w:rFonts w:ascii="Cambria Math" w:hAnsi="Cambria Math"/>
                      </w:rPr>
                      <m:t>g</m:t>
                    </m:r>
                  </m:e>
                  <m:sub>
                    <m:r>
                      <w:rPr>
                        <w:rFonts w:ascii="Cambria Math" w:hAnsi="Cambria Math"/>
                      </w:rPr>
                      <m:t>e</m:t>
                    </m:r>
                  </m:sub>
                </m:sSub>
              </m:oMath>
            </m:oMathPara>
          </w:p>
        </w:tc>
        <w:tc>
          <w:tcPr>
            <w:tcW w:w="0" w:type="auto"/>
          </w:tcPr>
          <w:p w14:paraId="6BF2D42D" w14:textId="77777777" w:rsidR="00691EEE" w:rsidRDefault="00B17343">
            <w:pPr>
              <w:pStyle w:val="Compact"/>
            </w:pPr>
            <w:r>
              <w:t>Recover rate of elderly</w:t>
            </w:r>
          </w:p>
        </w:tc>
        <w:tc>
          <w:tcPr>
            <w:tcW w:w="0" w:type="auto"/>
          </w:tcPr>
          <w:p w14:paraId="5DC2A780" w14:textId="77777777" w:rsidR="00691EEE" w:rsidRDefault="00B17343">
            <w:pPr>
              <w:pStyle w:val="Compact"/>
            </w:pPr>
            <w:r>
              <w:t>0.1 / day</w:t>
            </w:r>
          </w:p>
        </w:tc>
        <w:tc>
          <w:tcPr>
            <w:tcW w:w="0" w:type="auto"/>
          </w:tcPr>
          <w:p w14:paraId="0FA0BBBC" w14:textId="77777777" w:rsidR="00691EEE" w:rsidRDefault="00B17343">
            <w:pPr>
              <w:pStyle w:val="Compact"/>
            </w:pPr>
            <w:r>
              <w:t>(4)</w:t>
            </w:r>
          </w:p>
        </w:tc>
      </w:tr>
      <w:tr w:rsidR="00691EEE" w14:paraId="1D824D0B" w14:textId="77777777">
        <w:tc>
          <w:tcPr>
            <w:tcW w:w="0" w:type="auto"/>
          </w:tcPr>
          <w:p w14:paraId="7F1FEAEF" w14:textId="77777777" w:rsidR="00691EEE" w:rsidRDefault="00000000">
            <w:pPr>
              <w:pStyle w:val="Compact"/>
            </w:pPr>
            <m:oMathPara>
              <m:oMath>
                <m:sSub>
                  <m:sSubPr>
                    <m:ctrlPr>
                      <w:rPr>
                        <w:rFonts w:ascii="Cambria Math" w:hAnsi="Cambria Math"/>
                      </w:rPr>
                    </m:ctrlPr>
                  </m:sSubPr>
                  <m:e>
                    <m:r>
                      <w:rPr>
                        <w:rFonts w:ascii="Cambria Math" w:hAnsi="Cambria Math"/>
                      </w:rPr>
                      <m:t>R</m:t>
                    </m:r>
                  </m:e>
                  <m:sub>
                    <m:r>
                      <w:rPr>
                        <w:rFonts w:ascii="Cambria Math" w:hAnsi="Cambria Math"/>
                      </w:rPr>
                      <m:t>0</m:t>
                    </m:r>
                  </m:sub>
                </m:sSub>
              </m:oMath>
            </m:oMathPara>
          </w:p>
        </w:tc>
        <w:tc>
          <w:tcPr>
            <w:tcW w:w="0" w:type="auto"/>
          </w:tcPr>
          <w:p w14:paraId="0684CB03" w14:textId="77777777" w:rsidR="00691EEE" w:rsidRDefault="00B17343">
            <w:pPr>
              <w:pStyle w:val="Compact"/>
            </w:pPr>
            <w:r>
              <w:t>Basic reproductive number</w:t>
            </w:r>
          </w:p>
        </w:tc>
        <w:tc>
          <w:tcPr>
            <w:tcW w:w="0" w:type="auto"/>
          </w:tcPr>
          <w:p w14:paraId="2F6CF30E" w14:textId="77777777" w:rsidR="00691EEE" w:rsidRDefault="00B17343">
            <w:pPr>
              <w:pStyle w:val="Compact"/>
            </w:pPr>
            <w:r>
              <w:t>2</w:t>
            </w:r>
          </w:p>
        </w:tc>
        <w:tc>
          <w:tcPr>
            <w:tcW w:w="0" w:type="auto"/>
          </w:tcPr>
          <w:p w14:paraId="01B52613" w14:textId="77777777" w:rsidR="00691EEE" w:rsidRDefault="00B17343">
            <w:pPr>
              <w:pStyle w:val="Compact"/>
            </w:pPr>
            <w:r>
              <w:t>(5)</w:t>
            </w:r>
          </w:p>
        </w:tc>
      </w:tr>
      <w:tr w:rsidR="00691EEE" w14:paraId="15C085B7" w14:textId="77777777">
        <w:tc>
          <w:tcPr>
            <w:tcW w:w="0" w:type="auto"/>
          </w:tcPr>
          <w:p w14:paraId="2AD263EF"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cc</m:t>
                    </m:r>
                  </m:sub>
                </m:sSub>
              </m:oMath>
            </m:oMathPara>
          </w:p>
        </w:tc>
        <w:tc>
          <w:tcPr>
            <w:tcW w:w="0" w:type="auto"/>
          </w:tcPr>
          <w:p w14:paraId="6450967F" w14:textId="77777777" w:rsidR="00691EEE" w:rsidRDefault="00B17343">
            <w:pPr>
              <w:pStyle w:val="Compact"/>
            </w:pPr>
            <w:r>
              <w:t>relative transmission coefficient from children to children</w:t>
            </w:r>
          </w:p>
        </w:tc>
        <w:tc>
          <w:tcPr>
            <w:tcW w:w="0" w:type="auto"/>
          </w:tcPr>
          <w:p w14:paraId="02AA7BB4" w14:textId="77777777" w:rsidR="00691EEE" w:rsidRDefault="00B17343">
            <w:pPr>
              <w:pStyle w:val="Compact"/>
            </w:pPr>
            <w:r>
              <w:t>1</w:t>
            </w:r>
          </w:p>
        </w:tc>
        <w:tc>
          <w:tcPr>
            <w:tcW w:w="0" w:type="auto"/>
          </w:tcPr>
          <w:p w14:paraId="61585BA4" w14:textId="77777777" w:rsidR="00691EEE" w:rsidRDefault="00B17343">
            <w:pPr>
              <w:pStyle w:val="Compact"/>
            </w:pPr>
            <w:r>
              <w:t>approximating results in (6–8)</w:t>
            </w:r>
          </w:p>
        </w:tc>
      </w:tr>
      <w:tr w:rsidR="00691EEE" w14:paraId="1C1266BF" w14:textId="77777777">
        <w:tc>
          <w:tcPr>
            <w:tcW w:w="0" w:type="auto"/>
          </w:tcPr>
          <w:p w14:paraId="15D66D83"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ac</m:t>
                    </m:r>
                  </m:sub>
                </m:sSub>
              </m:oMath>
            </m:oMathPara>
          </w:p>
        </w:tc>
        <w:tc>
          <w:tcPr>
            <w:tcW w:w="0" w:type="auto"/>
          </w:tcPr>
          <w:p w14:paraId="5E33FEA0" w14:textId="77777777" w:rsidR="00691EEE" w:rsidRDefault="00B17343">
            <w:pPr>
              <w:pStyle w:val="Compact"/>
            </w:pPr>
            <w:r>
              <w:t>relative transmission coefficient from adults to children</w:t>
            </w:r>
          </w:p>
        </w:tc>
        <w:tc>
          <w:tcPr>
            <w:tcW w:w="0" w:type="auto"/>
          </w:tcPr>
          <w:p w14:paraId="0BBC1745" w14:textId="77777777" w:rsidR="00691EEE" w:rsidRDefault="00B17343">
            <w:pPr>
              <w:pStyle w:val="Compact"/>
            </w:pPr>
            <m:oMathPara>
              <m:oMath>
                <m:r>
                  <w:rPr>
                    <w:rFonts w:ascii="Cambria Math" w:hAnsi="Cambria Math"/>
                  </w:rPr>
                  <m:t>0.5</m:t>
                </m:r>
                <m:sSub>
                  <m:sSubPr>
                    <m:ctrlPr>
                      <w:rPr>
                        <w:rFonts w:ascii="Cambria Math" w:hAnsi="Cambria Math"/>
                      </w:rPr>
                    </m:ctrlPr>
                  </m:sSubPr>
                  <m:e>
                    <m:r>
                      <w:rPr>
                        <w:rFonts w:ascii="Cambria Math" w:hAnsi="Cambria Math"/>
                      </w:rPr>
                      <m:t>b</m:t>
                    </m:r>
                  </m:e>
                  <m:sub>
                    <m:r>
                      <w:rPr>
                        <w:rFonts w:ascii="Cambria Math" w:hAnsi="Cambria Math"/>
                      </w:rPr>
                      <m:t>cc</m:t>
                    </m:r>
                  </m:sub>
                </m:sSub>
              </m:oMath>
            </m:oMathPara>
          </w:p>
        </w:tc>
        <w:tc>
          <w:tcPr>
            <w:tcW w:w="0" w:type="auto"/>
          </w:tcPr>
          <w:p w14:paraId="49D56F0F" w14:textId="77777777" w:rsidR="00691EEE" w:rsidRDefault="00B17343">
            <w:pPr>
              <w:pStyle w:val="Compact"/>
            </w:pPr>
            <w:r>
              <w:t>see above</w:t>
            </w:r>
          </w:p>
        </w:tc>
      </w:tr>
      <w:tr w:rsidR="00691EEE" w14:paraId="58AD366F" w14:textId="77777777">
        <w:tc>
          <w:tcPr>
            <w:tcW w:w="0" w:type="auto"/>
          </w:tcPr>
          <w:p w14:paraId="08FC6E21"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ec</m:t>
                    </m:r>
                  </m:sub>
                </m:sSub>
              </m:oMath>
            </m:oMathPara>
          </w:p>
        </w:tc>
        <w:tc>
          <w:tcPr>
            <w:tcW w:w="0" w:type="auto"/>
          </w:tcPr>
          <w:p w14:paraId="57199911" w14:textId="77777777" w:rsidR="00691EEE" w:rsidRDefault="00B17343">
            <w:pPr>
              <w:pStyle w:val="Compact"/>
            </w:pPr>
            <w:r>
              <w:t>relative transmission coefficient from elderly to children</w:t>
            </w:r>
          </w:p>
        </w:tc>
        <w:tc>
          <w:tcPr>
            <w:tcW w:w="0" w:type="auto"/>
          </w:tcPr>
          <w:p w14:paraId="0C11FA0B" w14:textId="77777777" w:rsidR="00691EEE" w:rsidRDefault="00B17343">
            <w:pPr>
              <w:pStyle w:val="Compact"/>
            </w:pPr>
            <m:oMathPara>
              <m:oMath>
                <m:r>
                  <w:rPr>
                    <w:rFonts w:ascii="Cambria Math" w:hAnsi="Cambria Math"/>
                  </w:rPr>
                  <m:t>0.25</m:t>
                </m:r>
                <m:sSub>
                  <m:sSubPr>
                    <m:ctrlPr>
                      <w:rPr>
                        <w:rFonts w:ascii="Cambria Math" w:hAnsi="Cambria Math"/>
                      </w:rPr>
                    </m:ctrlPr>
                  </m:sSubPr>
                  <m:e>
                    <m:r>
                      <w:rPr>
                        <w:rFonts w:ascii="Cambria Math" w:hAnsi="Cambria Math"/>
                      </w:rPr>
                      <m:t>b</m:t>
                    </m:r>
                  </m:e>
                  <m:sub>
                    <m:r>
                      <w:rPr>
                        <w:rFonts w:ascii="Cambria Math" w:hAnsi="Cambria Math"/>
                      </w:rPr>
                      <m:t>cc</m:t>
                    </m:r>
                  </m:sub>
                </m:sSub>
              </m:oMath>
            </m:oMathPara>
          </w:p>
        </w:tc>
        <w:tc>
          <w:tcPr>
            <w:tcW w:w="0" w:type="auto"/>
          </w:tcPr>
          <w:p w14:paraId="28B23BCF" w14:textId="77777777" w:rsidR="00691EEE" w:rsidRDefault="00B17343">
            <w:pPr>
              <w:pStyle w:val="Compact"/>
            </w:pPr>
            <w:r>
              <w:t>see above</w:t>
            </w:r>
          </w:p>
        </w:tc>
      </w:tr>
      <w:tr w:rsidR="00691EEE" w14:paraId="3A1438BC" w14:textId="77777777">
        <w:tc>
          <w:tcPr>
            <w:tcW w:w="0" w:type="auto"/>
          </w:tcPr>
          <w:p w14:paraId="080E300C"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ca</m:t>
                    </m:r>
                  </m:sub>
                </m:sSub>
              </m:oMath>
            </m:oMathPara>
          </w:p>
        </w:tc>
        <w:tc>
          <w:tcPr>
            <w:tcW w:w="0" w:type="auto"/>
          </w:tcPr>
          <w:p w14:paraId="2355E92B" w14:textId="77777777" w:rsidR="00691EEE" w:rsidRDefault="00B17343">
            <w:pPr>
              <w:pStyle w:val="Compact"/>
            </w:pPr>
            <w:r>
              <w:t>relative transmission coefficient from children to adults</w:t>
            </w:r>
          </w:p>
        </w:tc>
        <w:tc>
          <w:tcPr>
            <w:tcW w:w="0" w:type="auto"/>
          </w:tcPr>
          <w:p w14:paraId="31DEE1ED"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ac</m:t>
                    </m:r>
                  </m:sub>
                </m:sSub>
              </m:oMath>
            </m:oMathPara>
          </w:p>
        </w:tc>
        <w:tc>
          <w:tcPr>
            <w:tcW w:w="0" w:type="auto"/>
          </w:tcPr>
          <w:p w14:paraId="4E8E09A1" w14:textId="77777777" w:rsidR="00691EEE" w:rsidRDefault="00B17343">
            <w:pPr>
              <w:pStyle w:val="Compact"/>
            </w:pPr>
            <w:r>
              <w:t>see above</w:t>
            </w:r>
          </w:p>
        </w:tc>
      </w:tr>
      <w:tr w:rsidR="00691EEE" w14:paraId="7C8D4600" w14:textId="77777777">
        <w:tc>
          <w:tcPr>
            <w:tcW w:w="0" w:type="auto"/>
          </w:tcPr>
          <w:p w14:paraId="34D15692"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aa</m:t>
                    </m:r>
                  </m:sub>
                </m:sSub>
              </m:oMath>
            </m:oMathPara>
          </w:p>
        </w:tc>
        <w:tc>
          <w:tcPr>
            <w:tcW w:w="0" w:type="auto"/>
          </w:tcPr>
          <w:p w14:paraId="5DF2E372" w14:textId="77777777" w:rsidR="00691EEE" w:rsidRDefault="00B17343">
            <w:pPr>
              <w:pStyle w:val="Compact"/>
            </w:pPr>
            <w:r>
              <w:t>relative transmission coefficient from adults to adults</w:t>
            </w:r>
          </w:p>
        </w:tc>
        <w:tc>
          <w:tcPr>
            <w:tcW w:w="0" w:type="auto"/>
          </w:tcPr>
          <w:p w14:paraId="4A0C8666" w14:textId="77777777" w:rsidR="00691EEE" w:rsidRDefault="00B17343">
            <w:pPr>
              <w:pStyle w:val="Compact"/>
            </w:pPr>
            <w:r>
              <w:t>1</w:t>
            </w:r>
          </w:p>
        </w:tc>
        <w:tc>
          <w:tcPr>
            <w:tcW w:w="0" w:type="auto"/>
          </w:tcPr>
          <w:p w14:paraId="5D8CC5CE" w14:textId="77777777" w:rsidR="00691EEE" w:rsidRDefault="00B17343">
            <w:pPr>
              <w:pStyle w:val="Compact"/>
            </w:pPr>
            <w:r>
              <w:t>see above</w:t>
            </w:r>
          </w:p>
        </w:tc>
      </w:tr>
      <w:tr w:rsidR="00691EEE" w14:paraId="1693B7F4" w14:textId="77777777">
        <w:tc>
          <w:tcPr>
            <w:tcW w:w="0" w:type="auto"/>
          </w:tcPr>
          <w:p w14:paraId="52C369DB"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ea</m:t>
                    </m:r>
                  </m:sub>
                </m:sSub>
              </m:oMath>
            </m:oMathPara>
          </w:p>
        </w:tc>
        <w:tc>
          <w:tcPr>
            <w:tcW w:w="0" w:type="auto"/>
          </w:tcPr>
          <w:p w14:paraId="2DC0DA24" w14:textId="77777777" w:rsidR="00691EEE" w:rsidRDefault="00B17343">
            <w:pPr>
              <w:pStyle w:val="Compact"/>
            </w:pPr>
            <w:r>
              <w:t>relative transmission coefficient from elderly to adults</w:t>
            </w:r>
          </w:p>
        </w:tc>
        <w:tc>
          <w:tcPr>
            <w:tcW w:w="0" w:type="auto"/>
          </w:tcPr>
          <w:p w14:paraId="5A7D59EA" w14:textId="77777777" w:rsidR="00691EEE" w:rsidRDefault="00B17343">
            <w:pPr>
              <w:pStyle w:val="Compact"/>
            </w:pPr>
            <m:oMathPara>
              <m:oMath>
                <m:r>
                  <w:rPr>
                    <w:rFonts w:ascii="Cambria Math" w:hAnsi="Cambria Math"/>
                  </w:rPr>
                  <m:t>0.5</m:t>
                </m:r>
                <m:sSub>
                  <m:sSubPr>
                    <m:ctrlPr>
                      <w:rPr>
                        <w:rFonts w:ascii="Cambria Math" w:hAnsi="Cambria Math"/>
                      </w:rPr>
                    </m:ctrlPr>
                  </m:sSubPr>
                  <m:e>
                    <m:r>
                      <w:rPr>
                        <w:rFonts w:ascii="Cambria Math" w:hAnsi="Cambria Math"/>
                      </w:rPr>
                      <m:t>b</m:t>
                    </m:r>
                  </m:e>
                  <m:sub>
                    <m:r>
                      <w:rPr>
                        <w:rFonts w:ascii="Cambria Math" w:hAnsi="Cambria Math"/>
                      </w:rPr>
                      <m:t>aa</m:t>
                    </m:r>
                  </m:sub>
                </m:sSub>
              </m:oMath>
            </m:oMathPara>
          </w:p>
        </w:tc>
        <w:tc>
          <w:tcPr>
            <w:tcW w:w="0" w:type="auto"/>
          </w:tcPr>
          <w:p w14:paraId="15EF40C0" w14:textId="77777777" w:rsidR="00691EEE" w:rsidRDefault="00B17343">
            <w:pPr>
              <w:pStyle w:val="Compact"/>
            </w:pPr>
            <w:r>
              <w:t>see above</w:t>
            </w:r>
          </w:p>
        </w:tc>
      </w:tr>
      <w:tr w:rsidR="00691EEE" w14:paraId="10C6964B" w14:textId="77777777">
        <w:tc>
          <w:tcPr>
            <w:tcW w:w="0" w:type="auto"/>
          </w:tcPr>
          <w:p w14:paraId="3C04D9F1"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ce</m:t>
                    </m:r>
                  </m:sub>
                </m:sSub>
              </m:oMath>
            </m:oMathPara>
          </w:p>
        </w:tc>
        <w:tc>
          <w:tcPr>
            <w:tcW w:w="0" w:type="auto"/>
          </w:tcPr>
          <w:p w14:paraId="2129C546" w14:textId="77777777" w:rsidR="00691EEE" w:rsidRDefault="00B17343">
            <w:pPr>
              <w:pStyle w:val="Compact"/>
            </w:pPr>
            <w:r>
              <w:t>relative transmission coefficient from children to elderly</w:t>
            </w:r>
          </w:p>
        </w:tc>
        <w:tc>
          <w:tcPr>
            <w:tcW w:w="0" w:type="auto"/>
          </w:tcPr>
          <w:p w14:paraId="5A81D649"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ec</m:t>
                    </m:r>
                  </m:sub>
                </m:sSub>
              </m:oMath>
            </m:oMathPara>
          </w:p>
        </w:tc>
        <w:tc>
          <w:tcPr>
            <w:tcW w:w="0" w:type="auto"/>
          </w:tcPr>
          <w:p w14:paraId="42068FC7" w14:textId="77777777" w:rsidR="00691EEE" w:rsidRDefault="00B17343">
            <w:pPr>
              <w:pStyle w:val="Compact"/>
            </w:pPr>
            <w:r>
              <w:t>see above</w:t>
            </w:r>
          </w:p>
        </w:tc>
      </w:tr>
      <w:tr w:rsidR="00691EEE" w14:paraId="2E136886" w14:textId="77777777">
        <w:tc>
          <w:tcPr>
            <w:tcW w:w="0" w:type="auto"/>
          </w:tcPr>
          <w:p w14:paraId="2D807C49"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ae</m:t>
                    </m:r>
                  </m:sub>
                </m:sSub>
              </m:oMath>
            </m:oMathPara>
          </w:p>
        </w:tc>
        <w:tc>
          <w:tcPr>
            <w:tcW w:w="0" w:type="auto"/>
          </w:tcPr>
          <w:p w14:paraId="352CC979" w14:textId="77777777" w:rsidR="00691EEE" w:rsidRDefault="00B17343">
            <w:pPr>
              <w:pStyle w:val="Compact"/>
            </w:pPr>
            <w:r>
              <w:t>relative transmission coefficient from adults to elderly</w:t>
            </w:r>
          </w:p>
        </w:tc>
        <w:tc>
          <w:tcPr>
            <w:tcW w:w="0" w:type="auto"/>
          </w:tcPr>
          <w:p w14:paraId="1239EF57"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ea</m:t>
                    </m:r>
                  </m:sub>
                </m:sSub>
              </m:oMath>
            </m:oMathPara>
          </w:p>
        </w:tc>
        <w:tc>
          <w:tcPr>
            <w:tcW w:w="0" w:type="auto"/>
          </w:tcPr>
          <w:p w14:paraId="539FA1EA" w14:textId="77777777" w:rsidR="00691EEE" w:rsidRDefault="00B17343">
            <w:pPr>
              <w:pStyle w:val="Compact"/>
            </w:pPr>
            <w:r>
              <w:t>see above</w:t>
            </w:r>
          </w:p>
        </w:tc>
      </w:tr>
      <w:tr w:rsidR="00691EEE" w14:paraId="7FAFAEED" w14:textId="77777777">
        <w:tc>
          <w:tcPr>
            <w:tcW w:w="0" w:type="auto"/>
          </w:tcPr>
          <w:p w14:paraId="399DA057" w14:textId="77777777" w:rsidR="00691EEE" w:rsidRDefault="00000000">
            <w:pPr>
              <w:pStyle w:val="Compact"/>
            </w:pPr>
            <m:oMathPara>
              <m:oMath>
                <m:sSub>
                  <m:sSubPr>
                    <m:ctrlPr>
                      <w:rPr>
                        <w:rFonts w:ascii="Cambria Math" w:hAnsi="Cambria Math"/>
                      </w:rPr>
                    </m:ctrlPr>
                  </m:sSubPr>
                  <m:e>
                    <m:r>
                      <w:rPr>
                        <w:rFonts w:ascii="Cambria Math" w:hAnsi="Cambria Math"/>
                      </w:rPr>
                      <m:t>b</m:t>
                    </m:r>
                  </m:e>
                  <m:sub>
                    <m:r>
                      <w:rPr>
                        <w:rFonts w:ascii="Cambria Math" w:hAnsi="Cambria Math"/>
                      </w:rPr>
                      <m:t>ee</m:t>
                    </m:r>
                  </m:sub>
                </m:sSub>
              </m:oMath>
            </m:oMathPara>
          </w:p>
        </w:tc>
        <w:tc>
          <w:tcPr>
            <w:tcW w:w="0" w:type="auto"/>
          </w:tcPr>
          <w:p w14:paraId="6F1D0444" w14:textId="77777777" w:rsidR="00691EEE" w:rsidRDefault="00B17343">
            <w:pPr>
              <w:pStyle w:val="Compact"/>
            </w:pPr>
            <w:r>
              <w:t>relative transmission coefficient from elderly to elderly</w:t>
            </w:r>
          </w:p>
        </w:tc>
        <w:tc>
          <w:tcPr>
            <w:tcW w:w="0" w:type="auto"/>
          </w:tcPr>
          <w:p w14:paraId="47399CAA" w14:textId="77777777" w:rsidR="00691EEE" w:rsidRDefault="00B17343">
            <w:pPr>
              <w:pStyle w:val="Compact"/>
            </w:pPr>
            <w:r>
              <w:t>0.75</w:t>
            </w:r>
          </w:p>
        </w:tc>
        <w:tc>
          <w:tcPr>
            <w:tcW w:w="0" w:type="auto"/>
          </w:tcPr>
          <w:p w14:paraId="083BF842" w14:textId="77777777" w:rsidR="00691EEE" w:rsidRDefault="00B17343">
            <w:pPr>
              <w:pStyle w:val="Compact"/>
            </w:pPr>
            <w:r>
              <w:t>see above</w:t>
            </w:r>
          </w:p>
        </w:tc>
      </w:tr>
      <w:tr w:rsidR="00691EEE" w14:paraId="5538CEFE" w14:textId="77777777">
        <w:tc>
          <w:tcPr>
            <w:tcW w:w="0" w:type="auto"/>
          </w:tcPr>
          <w:p w14:paraId="11D6A7B9" w14:textId="77777777" w:rsidR="00691EEE" w:rsidRDefault="00B17343">
            <w:pPr>
              <w:pStyle w:val="Compact"/>
            </w:pPr>
            <m:oMathPara>
              <m:oMath>
                <m:r>
                  <w:rPr>
                    <w:rFonts w:ascii="Cambria Math" w:hAnsi="Cambria Math"/>
                  </w:rPr>
                  <m:t>k</m:t>
                </m:r>
              </m:oMath>
            </m:oMathPara>
          </w:p>
        </w:tc>
        <w:tc>
          <w:tcPr>
            <w:tcW w:w="0" w:type="auto"/>
          </w:tcPr>
          <w:p w14:paraId="72ED0DCA" w14:textId="77777777" w:rsidR="00691EEE" w:rsidRDefault="00B17343">
            <w:pPr>
              <w:pStyle w:val="Compact"/>
            </w:pPr>
            <w:r>
              <w:t xml:space="preserve">scaling factor to adjust relative transmission rates to achieve desired </w:t>
            </w:r>
            <m:oMath>
              <m:sSub>
                <m:sSubPr>
                  <m:ctrlPr>
                    <w:rPr>
                      <w:rFonts w:ascii="Cambria Math" w:hAnsi="Cambria Math"/>
                    </w:rPr>
                  </m:ctrlPr>
                </m:sSubPr>
                <m:e>
                  <m:r>
                    <w:rPr>
                      <w:rFonts w:ascii="Cambria Math" w:hAnsi="Cambria Math"/>
                    </w:rPr>
                    <m:t>R</m:t>
                  </m:r>
                </m:e>
                <m:sub>
                  <m:r>
                    <w:rPr>
                      <w:rFonts w:ascii="Cambria Math" w:hAnsi="Cambria Math"/>
                    </w:rPr>
                    <m:t>0</m:t>
                  </m:r>
                </m:sub>
              </m:sSub>
            </m:oMath>
          </w:p>
        </w:tc>
        <w:tc>
          <w:tcPr>
            <w:tcW w:w="0" w:type="auto"/>
          </w:tcPr>
          <w:p w14:paraId="0B36F752" w14:textId="77777777" w:rsidR="00691EEE" w:rsidRDefault="00B17343">
            <w:pPr>
              <w:pStyle w:val="Compact"/>
            </w:pPr>
            <w:r>
              <w:t>3E-7</w:t>
            </w:r>
          </w:p>
        </w:tc>
        <w:tc>
          <w:tcPr>
            <w:tcW w:w="0" w:type="auto"/>
          </w:tcPr>
          <w:p w14:paraId="56BABEDC" w14:textId="77777777" w:rsidR="00691EEE" w:rsidRDefault="00B17343">
            <w:pPr>
              <w:pStyle w:val="Compact"/>
            </w:pPr>
            <w:r>
              <w:t>see description below</w:t>
            </w:r>
          </w:p>
        </w:tc>
      </w:tr>
    </w:tbl>
    <w:p w14:paraId="7F69D4A4" w14:textId="77777777" w:rsidR="00691EEE" w:rsidRDefault="00B17343">
      <w:pPr>
        <w:pStyle w:val="Heading1"/>
      </w:pPr>
      <w:bookmarkStart w:id="4" w:name="reproductive-number"/>
      <w:bookmarkEnd w:id="3"/>
      <w:r>
        <w:rPr>
          <w:rStyle w:val="SectionNumber"/>
        </w:rPr>
        <w:t>5</w:t>
      </w:r>
      <w:r>
        <w:tab/>
        <w:t>Reproductive number</w:t>
      </w:r>
    </w:p>
    <w:p w14:paraId="1A0F86C6" w14:textId="77777777" w:rsidR="00691EEE" w:rsidRDefault="00B17343">
      <w:pPr>
        <w:pStyle w:val="FirstParagraph"/>
      </w:pPr>
      <w:r>
        <w:t>The size of an outbreak is largely determined by the reproductive number. The reproductive number is the average new infectious infections generated by one infectious individual. If this number is larger than 1, the outbreak grows, if it is less than 1, the outbreak declines. Intervention measures try to reduce the reproductive number, ideally as close to 0 as possible, though this is often not feasible. Any reduction will lead to a reduction in the outbreak size.</w:t>
      </w:r>
    </w:p>
    <w:p w14:paraId="60B222AF" w14:textId="77777777" w:rsidR="00691EEE" w:rsidRDefault="00B17343">
      <w:pPr>
        <w:pStyle w:val="BodyText"/>
      </w:pPr>
      <w:r>
        <w:t>To ensure we implement control strategies that are comparable in overall strength while targeting different age groups, we can compute the reproductive number for our model, both in the absence and presence of control. One can compute the reproductive number for compartmental models using a next generation matrix approach (10). One starts by specifying transmission and transition matrices (9). For our model in the presence of control measures, these matrices are:</w:t>
      </w:r>
    </w:p>
    <w:p w14:paraId="2CE97BBA" w14:textId="77777777" w:rsidR="00691EEE" w:rsidRDefault="00000000">
      <w:pPr>
        <w:pStyle w:val="BodyText"/>
      </w:pPr>
      <m:oMathPara>
        <m:oMathParaPr>
          <m:jc m:val="center"/>
        </m:oMathParaPr>
        <m:oMath>
          <m:m>
            <m:mPr>
              <m:plcHide m:val="1"/>
              <m:mcs>
                <m:mc>
                  <m:mcPr>
                    <m:count m:val="1"/>
                    <m:mcJc m:val="right"/>
                  </m:mcPr>
                </m:mc>
              </m:mcs>
              <m:ctrlPr>
                <w:rPr>
                  <w:rFonts w:ascii="Cambria Math" w:hAnsi="Cambria Math"/>
                </w:rPr>
              </m:ctrlPr>
            </m:mPr>
            <m:mr>
              <m:e>
                <m:r>
                  <w:rPr>
                    <w:rFonts w:ascii="Cambria Math" w:hAnsi="Cambria Math"/>
                  </w:rPr>
                  <m:t>T=k</m:t>
                </m:r>
                <m:d>
                  <m:dPr>
                    <m:ctrlPr>
                      <w:rPr>
                        <w:rFonts w:ascii="Cambria Math" w:hAnsi="Cambria Math"/>
                      </w:rPr>
                    </m:ctrlPr>
                  </m:dPr>
                  <m:e>
                    <m:m>
                      <m:mPr>
                        <m:plcHide m:val="1"/>
                        <m:mcs>
                          <m:mc>
                            <m:mcPr>
                              <m:count m:val="3"/>
                              <m:mcJc m:val="center"/>
                            </m:mcPr>
                          </m:mc>
                        </m:mcs>
                        <m:ctrlPr>
                          <w:rPr>
                            <w:rFonts w:ascii="Cambria Math" w:hAnsi="Cambria Math"/>
                          </w:rPr>
                        </m:ctrlPr>
                      </m:mPr>
                      <m:mr>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cc</m:t>
                              </m:r>
                            </m:sub>
                          </m:sSub>
                          <m:sSub>
                            <m:sSubPr>
                              <m:ctrlPr>
                                <w:rPr>
                                  <w:rFonts w:ascii="Cambria Math" w:hAnsi="Cambria Math"/>
                                </w:rPr>
                              </m:ctrlPr>
                            </m:sSubPr>
                            <m:e>
                              <m:r>
                                <w:rPr>
                                  <w:rFonts w:ascii="Cambria Math" w:hAnsi="Cambria Math"/>
                                </w:rPr>
                                <m:t>S</m:t>
                              </m:r>
                            </m:e>
                            <m:sub>
                              <m:r>
                                <w:rPr>
                                  <w:rFonts w:ascii="Cambria Math" w:hAnsi="Cambria Math"/>
                                </w:rPr>
                                <m:t>c</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ac</m:t>
                              </m:r>
                            </m:sub>
                          </m:sSub>
                          <m:sSub>
                            <m:sSubPr>
                              <m:ctrlPr>
                                <w:rPr>
                                  <w:rFonts w:ascii="Cambria Math" w:hAnsi="Cambria Math"/>
                                </w:rPr>
                              </m:ctrlPr>
                            </m:sSubPr>
                            <m:e>
                              <m:r>
                                <w:rPr>
                                  <w:rFonts w:ascii="Cambria Math" w:hAnsi="Cambria Math"/>
                                </w:rPr>
                                <m:t>S</m:t>
                              </m:r>
                            </m:e>
                            <m:sub>
                              <m:r>
                                <w:rPr>
                                  <w:rFonts w:ascii="Cambria Math" w:hAnsi="Cambria Math"/>
                                </w:rPr>
                                <m:t>c</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ec</m:t>
                              </m:r>
                            </m:sub>
                          </m:sSub>
                          <m:sSub>
                            <m:sSubPr>
                              <m:ctrlPr>
                                <w:rPr>
                                  <w:rFonts w:ascii="Cambria Math" w:hAnsi="Cambria Math"/>
                                </w:rPr>
                              </m:ctrlPr>
                            </m:sSubPr>
                            <m:e>
                              <m:r>
                                <w:rPr>
                                  <w:rFonts w:ascii="Cambria Math" w:hAnsi="Cambria Math"/>
                                </w:rPr>
                                <m:t>S</m:t>
                              </m:r>
                            </m:e>
                            <m:sub>
                              <m:r>
                                <w:rPr>
                                  <w:rFonts w:ascii="Cambria Math" w:hAnsi="Cambria Math"/>
                                </w:rPr>
                                <m:t>c</m:t>
                              </m:r>
                            </m:sub>
                          </m:sSub>
                        </m:e>
                      </m:mr>
                      <m:mr>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ca</m:t>
                              </m:r>
                            </m:sub>
                          </m:sSub>
                          <m:sSub>
                            <m:sSubPr>
                              <m:ctrlPr>
                                <w:rPr>
                                  <w:rFonts w:ascii="Cambria Math" w:hAnsi="Cambria Math"/>
                                </w:rPr>
                              </m:ctrlPr>
                            </m:sSubPr>
                            <m:e>
                              <m:r>
                                <w:rPr>
                                  <w:rFonts w:ascii="Cambria Math" w:hAnsi="Cambria Math"/>
                                </w:rPr>
                                <m:t>S</m:t>
                              </m:r>
                            </m:e>
                            <m:sub>
                              <m:r>
                                <w:rPr>
                                  <w:rFonts w:ascii="Cambria Math" w:hAnsi="Cambria Math"/>
                                </w:rPr>
                                <m:t>a</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aa</m:t>
                              </m:r>
                            </m:sub>
                          </m:sSub>
                          <m:sSub>
                            <m:sSubPr>
                              <m:ctrlPr>
                                <w:rPr>
                                  <w:rFonts w:ascii="Cambria Math" w:hAnsi="Cambria Math"/>
                                </w:rPr>
                              </m:ctrlPr>
                            </m:sSubPr>
                            <m:e>
                              <m:r>
                                <w:rPr>
                                  <w:rFonts w:ascii="Cambria Math" w:hAnsi="Cambria Math"/>
                                </w:rPr>
                                <m:t>S</m:t>
                              </m:r>
                            </m:e>
                            <m:sub>
                              <m:r>
                                <w:rPr>
                                  <w:rFonts w:ascii="Cambria Math" w:hAnsi="Cambria Math"/>
                                </w:rPr>
                                <m:t>a</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ea</m:t>
                              </m:r>
                            </m:sub>
                          </m:sSub>
                          <m:sSub>
                            <m:sSubPr>
                              <m:ctrlPr>
                                <w:rPr>
                                  <w:rFonts w:ascii="Cambria Math" w:hAnsi="Cambria Math"/>
                                </w:rPr>
                              </m:ctrlPr>
                            </m:sSubPr>
                            <m:e>
                              <m:r>
                                <w:rPr>
                                  <w:rFonts w:ascii="Cambria Math" w:hAnsi="Cambria Math"/>
                                </w:rPr>
                                <m:t>S</m:t>
                              </m:r>
                            </m:e>
                            <m:sub>
                              <m:r>
                                <w:rPr>
                                  <w:rFonts w:ascii="Cambria Math" w:hAnsi="Cambria Math"/>
                                </w:rPr>
                                <m:t>a</m:t>
                              </m:r>
                            </m:sub>
                          </m:sSub>
                        </m:e>
                      </m:mr>
                      <m:mr>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ce</m:t>
                              </m:r>
                            </m:sub>
                          </m:sSub>
                          <m:sSub>
                            <m:sSubPr>
                              <m:ctrlPr>
                                <w:rPr>
                                  <w:rFonts w:ascii="Cambria Math" w:hAnsi="Cambria Math"/>
                                </w:rPr>
                              </m:ctrlPr>
                            </m:sSubPr>
                            <m:e>
                              <m:r>
                                <w:rPr>
                                  <w:rFonts w:ascii="Cambria Math" w:hAnsi="Cambria Math"/>
                                </w:rPr>
                                <m:t>S</m:t>
                              </m:r>
                            </m:e>
                            <m:sub>
                              <m:r>
                                <w:rPr>
                                  <w:rFonts w:ascii="Cambria Math" w:hAnsi="Cambria Math"/>
                                </w:rPr>
                                <m:t>e</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ae</m:t>
                              </m:r>
                            </m:sub>
                          </m:sSub>
                          <m:sSub>
                            <m:sSubPr>
                              <m:ctrlPr>
                                <w:rPr>
                                  <w:rFonts w:ascii="Cambria Math" w:hAnsi="Cambria Math"/>
                                </w:rPr>
                              </m:ctrlPr>
                            </m:sSubPr>
                            <m:e>
                              <m:r>
                                <w:rPr>
                                  <w:rFonts w:ascii="Cambria Math" w:hAnsi="Cambria Math"/>
                                </w:rPr>
                                <m:t>S</m:t>
                              </m:r>
                            </m:e>
                            <m:sub>
                              <m:r>
                                <w:rPr>
                                  <w:rFonts w:ascii="Cambria Math" w:hAnsi="Cambria Math"/>
                                </w:rPr>
                                <m:t>e</m:t>
                              </m:r>
                            </m:sub>
                          </m:sSub>
                        </m:e>
                        <m:e>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ee</m:t>
                              </m:r>
                            </m:sub>
                          </m:sSub>
                          <m:sSub>
                            <m:sSubPr>
                              <m:ctrlPr>
                                <w:rPr>
                                  <w:rFonts w:ascii="Cambria Math" w:hAnsi="Cambria Math"/>
                                </w:rPr>
                              </m:ctrlPr>
                            </m:sSubPr>
                            <m:e>
                              <m:r>
                                <w:rPr>
                                  <w:rFonts w:ascii="Cambria Math" w:hAnsi="Cambria Math"/>
                                </w:rPr>
                                <m:t>S</m:t>
                              </m:r>
                            </m:e>
                            <m:sub>
                              <m:r>
                                <w:rPr>
                                  <w:rFonts w:ascii="Cambria Math" w:hAnsi="Cambria Math"/>
                                </w:rPr>
                                <m:t>e</m:t>
                              </m:r>
                            </m:sub>
                          </m:sSub>
                        </m:e>
                      </m:mr>
                    </m:m>
                  </m:e>
                </m:d>
              </m:e>
            </m:mr>
          </m:m>
        </m:oMath>
      </m:oMathPara>
    </w:p>
    <w:p w14:paraId="143C547B" w14:textId="77777777" w:rsidR="00691EEE" w:rsidRDefault="00B17343">
      <w:pPr>
        <w:pStyle w:val="FirstParagraph"/>
      </w:pPr>
      <w:r>
        <w:t>and</w:t>
      </w:r>
    </w:p>
    <w:p w14:paraId="6981B837" w14:textId="77777777" w:rsidR="00691EEE" w:rsidRDefault="00000000">
      <w:pPr>
        <w:pStyle w:val="BodyText"/>
      </w:pPr>
      <m:oMathPara>
        <m:oMathParaPr>
          <m:jc m:val="center"/>
        </m:oMathParaPr>
        <m:oMath>
          <m:m>
            <m:mPr>
              <m:plcHide m:val="1"/>
              <m:mcs>
                <m:mc>
                  <m:mcPr>
                    <m:count m:val="1"/>
                    <m:mcJc m:val="right"/>
                  </m:mcPr>
                </m:mc>
              </m:mcs>
              <m:ctrlPr>
                <w:rPr>
                  <w:rFonts w:ascii="Cambria Math" w:hAnsi="Cambria Math"/>
                </w:rPr>
              </m:ctrlPr>
            </m:mPr>
            <m:mr>
              <m:e>
                <m:r>
                  <w:rPr>
                    <w:rFonts w:ascii="Cambria Math" w:hAnsi="Cambria Math"/>
                  </w:rPr>
                  <m:t>Σ=</m:t>
                </m:r>
                <m:d>
                  <m:dPr>
                    <m:ctrlPr>
                      <w:rPr>
                        <w:rFonts w:ascii="Cambria Math" w:hAnsi="Cambria Math"/>
                      </w:rPr>
                    </m:ctrlPr>
                  </m:dPr>
                  <m:e>
                    <m:m>
                      <m:mPr>
                        <m:plcHide m:val="1"/>
                        <m:mcs>
                          <m:mc>
                            <m:mcPr>
                              <m:count m:val="3"/>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c</m:t>
                              </m:r>
                            </m:sub>
                          </m:sSub>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e</m:t>
                              </m:r>
                            </m:sub>
                          </m:sSub>
                        </m:e>
                      </m:mr>
                    </m:m>
                  </m:e>
                </m:d>
              </m:e>
            </m:mr>
          </m:m>
        </m:oMath>
      </m:oMathPara>
    </w:p>
    <w:p w14:paraId="30850566" w14:textId="77777777" w:rsidR="00691EEE" w:rsidRDefault="00B17343">
      <w:pPr>
        <w:pStyle w:val="FirstParagraph"/>
      </w:pPr>
      <w:r>
        <w:t xml:space="preserve">The reproductive number, </w:t>
      </w:r>
      <m:oMath>
        <m:sSub>
          <m:sSubPr>
            <m:ctrlPr>
              <w:rPr>
                <w:rFonts w:ascii="Cambria Math" w:hAnsi="Cambria Math"/>
              </w:rPr>
            </m:ctrlPr>
          </m:sSubPr>
          <m:e>
            <m:r>
              <w:rPr>
                <w:rFonts w:ascii="Cambria Math" w:hAnsi="Cambria Math"/>
              </w:rPr>
              <m:t>R</m:t>
            </m:r>
          </m:e>
          <m:sub>
            <m:r>
              <w:rPr>
                <w:rFonts w:ascii="Cambria Math" w:hAnsi="Cambria Math"/>
              </w:rPr>
              <m:t>0</m:t>
            </m:r>
          </m:sub>
        </m:sSub>
      </m:oMath>
      <w:r>
        <w:t xml:space="preserve">, is then given by the largest eigenvalue of the matrix </w:t>
      </w:r>
      <m:oMath>
        <m:r>
          <w:rPr>
            <w:rFonts w:ascii="Cambria Math" w:hAnsi="Cambria Math"/>
          </w:rPr>
          <m:t>-T</m:t>
        </m:r>
        <m:sSup>
          <m:sSupPr>
            <m:ctrlPr>
              <w:rPr>
                <w:rFonts w:ascii="Cambria Math" w:hAnsi="Cambria Math"/>
              </w:rPr>
            </m:ctrlPr>
          </m:sSupPr>
          <m:e>
            <m:r>
              <w:rPr>
                <w:rFonts w:ascii="Cambria Math" w:hAnsi="Cambria Math"/>
              </w:rPr>
              <m:t>Σ</m:t>
            </m:r>
          </m:e>
          <m:sup>
            <m:r>
              <w:rPr>
                <w:rFonts w:ascii="Cambria Math" w:hAnsi="Cambria Math"/>
              </w:rPr>
              <m:t>-1</m:t>
            </m:r>
          </m:sup>
        </m:sSup>
      </m:oMath>
      <w:r>
        <w:t xml:space="preserve">, which can be computed easily numerically. We use this equation to determine the value of </w:t>
      </w:r>
      <m:oMath>
        <m:r>
          <w:rPr>
            <w:rFonts w:ascii="Cambria Math" w:hAnsi="Cambria Math"/>
          </w:rPr>
          <m:t>k</m:t>
        </m:r>
      </m:oMath>
      <w:r>
        <w:t xml:space="preserve"> such that we achieve the desired </w:t>
      </w:r>
      <m:oMath>
        <m:sSub>
          <m:sSubPr>
            <m:ctrlPr>
              <w:rPr>
                <w:rFonts w:ascii="Cambria Math" w:hAnsi="Cambria Math"/>
              </w:rPr>
            </m:ctrlPr>
          </m:sSubPr>
          <m:e>
            <m:r>
              <w:rPr>
                <w:rFonts w:ascii="Cambria Math" w:hAnsi="Cambria Math"/>
              </w:rPr>
              <m:t>R</m:t>
            </m:r>
          </m:e>
          <m:sub>
            <m:r>
              <w:rPr>
                <w:rFonts w:ascii="Cambria Math" w:hAnsi="Cambria Math"/>
              </w:rPr>
              <m:t>0</m:t>
            </m:r>
          </m:sub>
        </m:sSub>
      </m:oMath>
      <w:r>
        <w:t xml:space="preserve"> of 2 in the absence of control. Similarly, we use this </w:t>
      </w:r>
      <w:r>
        <w:lastRenderedPageBreak/>
        <w:t>equation to adjust the adult interventions strength for different scenarios such that the effective reproductive numbers for scenarios 3-5 are comparable.</w:t>
      </w:r>
    </w:p>
    <w:p w14:paraId="7A2CF7B6" w14:textId="77777777" w:rsidR="00691EEE" w:rsidRDefault="00B17343">
      <w:pPr>
        <w:pStyle w:val="Heading1"/>
      </w:pPr>
      <w:bookmarkStart w:id="5" w:name="modeling-interventions"/>
      <w:bookmarkEnd w:id="4"/>
      <w:r>
        <w:rPr>
          <w:rStyle w:val="SectionNumber"/>
        </w:rPr>
        <w:t>6</w:t>
      </w:r>
      <w:r>
        <w:tab/>
        <w:t>Modeling Interventions</w:t>
      </w:r>
    </w:p>
    <w:p w14:paraId="2A280345" w14:textId="77777777" w:rsidR="00691EEE" w:rsidRDefault="00B17343">
      <w:pPr>
        <w:pStyle w:val="FirstParagraph"/>
      </w:pPr>
      <w:r>
        <w:t xml:space="preserve">To model some type of – unspecified – non-pharmaceutical intervention, we reduce the rates at which individuals in any one of the age groups get infected. This is done by reducing the infection rates by some factor, </w:t>
      </w:r>
      <w:proofErr w:type="gramStart"/>
      <w:r>
        <w:t>e.g.</w:t>
      </w:r>
      <w:proofErr w:type="gramEnd"/>
      <w:r>
        <w:t xml:space="preserve"> targeting children would lead to </w:t>
      </w:r>
      <m:oMath>
        <m:sSubSup>
          <m:sSubSupPr>
            <m:ctrlPr>
              <w:rPr>
                <w:rFonts w:ascii="Cambria Math" w:hAnsi="Cambria Math"/>
              </w:rPr>
            </m:ctrlPr>
          </m:sSubSupPr>
          <m:e>
            <m:r>
              <w:rPr>
                <w:rFonts w:ascii="Cambria Math" w:hAnsi="Cambria Math"/>
              </w:rPr>
              <m:t>b</m:t>
            </m:r>
          </m:e>
          <m:sub>
            <m:r>
              <w:rPr>
                <w:rFonts w:ascii="Cambria Math" w:hAnsi="Cambria Math"/>
              </w:rPr>
              <m:t>cc</m:t>
            </m:r>
          </m:sub>
          <m:sup>
            <m:r>
              <w:rPr>
                <w:rFonts w:ascii="Cambria Math" w:hAnsi="Cambria Math"/>
              </w:rPr>
              <m:t>i</m:t>
            </m:r>
          </m:sup>
        </m:sSubSup>
        <m:r>
          <w:rPr>
            <w:rFonts w:ascii="Cambria Math" w:hAnsi="Cambria Math"/>
          </w:rPr>
          <m:t>=(1-f)</m:t>
        </m:r>
        <m:sSub>
          <m:sSubPr>
            <m:ctrlPr>
              <w:rPr>
                <w:rFonts w:ascii="Cambria Math" w:hAnsi="Cambria Math"/>
              </w:rPr>
            </m:ctrlPr>
          </m:sSubPr>
          <m:e>
            <m:r>
              <w:rPr>
                <w:rFonts w:ascii="Cambria Math" w:hAnsi="Cambria Math"/>
              </w:rPr>
              <m:t>b</m:t>
            </m:r>
          </m:e>
          <m:sub>
            <m:r>
              <w:rPr>
                <w:rFonts w:ascii="Cambria Math" w:hAnsi="Cambria Math"/>
              </w:rPr>
              <m:t>cc</m:t>
            </m:r>
          </m:sub>
        </m:sSub>
      </m:oMath>
      <w:r>
        <w:t xml:space="preserve">, </w:t>
      </w:r>
      <m:oMath>
        <m:sSubSup>
          <m:sSubSupPr>
            <m:ctrlPr>
              <w:rPr>
                <w:rFonts w:ascii="Cambria Math" w:hAnsi="Cambria Math"/>
              </w:rPr>
            </m:ctrlPr>
          </m:sSubSupPr>
          <m:e>
            <m:r>
              <w:rPr>
                <w:rFonts w:ascii="Cambria Math" w:hAnsi="Cambria Math"/>
              </w:rPr>
              <m:t>b</m:t>
            </m:r>
          </m:e>
          <m:sub>
            <m:r>
              <w:rPr>
                <w:rFonts w:ascii="Cambria Math" w:hAnsi="Cambria Math"/>
              </w:rPr>
              <m:t>ac</m:t>
            </m:r>
          </m:sub>
          <m:sup>
            <m:r>
              <w:rPr>
                <w:rFonts w:ascii="Cambria Math" w:hAnsi="Cambria Math"/>
              </w:rPr>
              <m:t>i</m:t>
            </m:r>
          </m:sup>
        </m:sSubSup>
        <m:r>
          <w:rPr>
            <w:rFonts w:ascii="Cambria Math" w:hAnsi="Cambria Math"/>
          </w:rPr>
          <m:t>=(1-f)</m:t>
        </m:r>
        <m:sSub>
          <m:sSubPr>
            <m:ctrlPr>
              <w:rPr>
                <w:rFonts w:ascii="Cambria Math" w:hAnsi="Cambria Math"/>
              </w:rPr>
            </m:ctrlPr>
          </m:sSubPr>
          <m:e>
            <m:r>
              <w:rPr>
                <w:rFonts w:ascii="Cambria Math" w:hAnsi="Cambria Math"/>
              </w:rPr>
              <m:t>b</m:t>
            </m:r>
          </m:e>
          <m:sub>
            <m:r>
              <w:rPr>
                <w:rFonts w:ascii="Cambria Math" w:hAnsi="Cambria Math"/>
              </w:rPr>
              <m:t>ac</m:t>
            </m:r>
          </m:sub>
        </m:sSub>
      </m:oMath>
      <w:r>
        <w:t xml:space="preserve"> and </w:t>
      </w:r>
      <m:oMath>
        <m:sSubSup>
          <m:sSubSupPr>
            <m:ctrlPr>
              <w:rPr>
                <w:rFonts w:ascii="Cambria Math" w:hAnsi="Cambria Math"/>
              </w:rPr>
            </m:ctrlPr>
          </m:sSubSupPr>
          <m:e>
            <m:r>
              <w:rPr>
                <w:rFonts w:ascii="Cambria Math" w:hAnsi="Cambria Math"/>
              </w:rPr>
              <m:t>b</m:t>
            </m:r>
          </m:e>
          <m:sub>
            <m:r>
              <w:rPr>
                <w:rFonts w:ascii="Cambria Math" w:hAnsi="Cambria Math"/>
              </w:rPr>
              <m:t>ec</m:t>
            </m:r>
          </m:sub>
          <m:sup>
            <m:r>
              <w:rPr>
                <w:rFonts w:ascii="Cambria Math" w:hAnsi="Cambria Math"/>
              </w:rPr>
              <m:t>i</m:t>
            </m:r>
          </m:sup>
        </m:sSubSup>
        <m:r>
          <w:rPr>
            <w:rFonts w:ascii="Cambria Math" w:hAnsi="Cambria Math"/>
          </w:rPr>
          <m:t>=(1-f)</m:t>
        </m:r>
        <m:sSub>
          <m:sSubPr>
            <m:ctrlPr>
              <w:rPr>
                <w:rFonts w:ascii="Cambria Math" w:hAnsi="Cambria Math"/>
              </w:rPr>
            </m:ctrlPr>
          </m:sSubPr>
          <m:e>
            <m:r>
              <w:rPr>
                <w:rFonts w:ascii="Cambria Math" w:hAnsi="Cambria Math"/>
              </w:rPr>
              <m:t>b</m:t>
            </m:r>
          </m:e>
          <m:sub>
            <m:r>
              <w:rPr>
                <w:rFonts w:ascii="Cambria Math" w:hAnsi="Cambria Math"/>
              </w:rPr>
              <m:t>ec</m:t>
            </m:r>
          </m:sub>
        </m:sSub>
      </m:oMath>
      <w:r>
        <w:t xml:space="preserve">. The superscript indicates the transmission rates reduced by intervention, and the intervention strength is given by </w:t>
      </w:r>
      <m:oMath>
        <m:r>
          <w:rPr>
            <w:rFonts w:ascii="Cambria Math" w:hAnsi="Cambria Math"/>
          </w:rPr>
          <m:t>f</m:t>
        </m:r>
      </m:oMath>
      <w:r>
        <w:t xml:space="preserve">, which can vary from 0 (no intervention) to 1 (perfect intervention). In the model, interventions can be applied to each group independently at strengths </w:t>
      </w:r>
      <m:oMath>
        <m:sSub>
          <m:sSubPr>
            <m:ctrlPr>
              <w:rPr>
                <w:rFonts w:ascii="Cambria Math" w:hAnsi="Cambria Math"/>
              </w:rPr>
            </m:ctrlPr>
          </m:sSubPr>
          <m:e>
            <m:r>
              <w:rPr>
                <w:rFonts w:ascii="Cambria Math" w:hAnsi="Cambria Math"/>
              </w:rPr>
              <m:t>f</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rPr>
            </m:ctrlPr>
          </m:sSubPr>
          <m:e>
            <m:r>
              <w:rPr>
                <w:rFonts w:ascii="Cambria Math" w:hAnsi="Cambria Math"/>
              </w:rPr>
              <m:t>f</m:t>
            </m:r>
          </m:e>
          <m:sub>
            <m:r>
              <w:rPr>
                <w:rFonts w:ascii="Cambria Math" w:hAnsi="Cambria Math"/>
              </w:rPr>
              <m:t>3</m:t>
            </m:r>
          </m:sub>
        </m:sSub>
      </m:oMath>
      <w:r>
        <w:t xml:space="preserve"> targeting children, adults and elderly respectively. Each intervention is started at some time </w:t>
      </w:r>
      <m:oMath>
        <m:sSub>
          <m:sSubPr>
            <m:ctrlPr>
              <w:rPr>
                <w:rFonts w:ascii="Cambria Math" w:hAnsi="Cambria Math"/>
              </w:rPr>
            </m:ctrlPr>
          </m:sSubPr>
          <m:e>
            <m:r>
              <w:rPr>
                <w:rFonts w:ascii="Cambria Math" w:hAnsi="Cambria Math"/>
              </w:rPr>
              <m:t>t</m:t>
            </m:r>
          </m:e>
          <m:sub>
            <m:r>
              <w:rPr>
                <w:rFonts w:ascii="Cambria Math" w:hAnsi="Cambria Math"/>
              </w:rPr>
              <m:t>s</m:t>
            </m:r>
          </m:sub>
        </m:sSub>
      </m:oMath>
      <w:r>
        <w:t xml:space="preserve"> after the outbreak has started, and is ended at some later time </w:t>
      </w:r>
      <m:oMath>
        <m:sSub>
          <m:sSubPr>
            <m:ctrlPr>
              <w:rPr>
                <w:rFonts w:ascii="Cambria Math" w:hAnsi="Cambria Math"/>
              </w:rPr>
            </m:ctrlPr>
          </m:sSubPr>
          <m:e>
            <m:r>
              <w:rPr>
                <w:rFonts w:ascii="Cambria Math" w:hAnsi="Cambria Math"/>
              </w:rPr>
              <m:t>t</m:t>
            </m:r>
          </m:e>
          <m:sub>
            <m:r>
              <w:rPr>
                <w:rFonts w:ascii="Cambria Math" w:hAnsi="Cambria Math"/>
              </w:rPr>
              <m:t>e</m:t>
            </m:r>
          </m:sub>
        </m:sSub>
      </m:oMath>
      <w:r>
        <w:t>.</w:t>
      </w:r>
    </w:p>
    <w:p w14:paraId="5C12352C" w14:textId="77777777" w:rsidR="00691EEE" w:rsidRDefault="00B17343">
      <w:pPr>
        <w:pStyle w:val="BodyText"/>
      </w:pPr>
      <w:r>
        <w:t xml:space="preserve">For the simulations shown in the main text, scenario 1 has not control. For scenario 2, with strong control applied to all groups, we have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=0.9</m:t>
        </m:r>
      </m:oMath>
      <w:r>
        <w:t xml:space="preserve"> and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=1</m:t>
        </m:r>
      </m:oMath>
      <w:r>
        <w:t>. This leads to an effective reproductive number of around 0.18. For scenario 3, we have maximum control applied to children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=1</m:t>
        </m:r>
      </m:oMath>
      <w:r>
        <w:t>) and no control applied to elderly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=0</m:t>
        </m:r>
      </m:oMath>
      <w:r>
        <w:t>). For scenario 5, the inverse applies. For scenario 4, control is only applied to adults (</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=0.475</m:t>
        </m:r>
      </m:oMath>
      <w: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=0</m:t>
        </m:r>
      </m:oMath>
      <w:r>
        <w:t xml:space="preserve">). For each scenario, there is some control applied to adults to get comparable effective reproductive numbers across the 3 scenarios. We chose a scenario where the effective reproductive number was approximately </w:t>
      </w:r>
      <m:oMath>
        <m:sSub>
          <m:sSubPr>
            <m:ctrlPr>
              <w:rPr>
                <w:rFonts w:ascii="Cambria Math" w:hAnsi="Cambria Math"/>
              </w:rPr>
            </m:ctrlPr>
          </m:sSubPr>
          <m:e>
            <m:r>
              <w:rPr>
                <w:rFonts w:ascii="Cambria Math" w:hAnsi="Cambria Math"/>
              </w:rPr>
              <m:t>R</m:t>
            </m:r>
          </m:e>
          <m:sub>
            <m:r>
              <w:rPr>
                <w:rFonts w:ascii="Cambria Math" w:hAnsi="Cambria Math"/>
              </w:rPr>
              <m:t>eff</m:t>
            </m:r>
          </m:sub>
        </m:sSub>
        <m:r>
          <w:rPr>
            <w:rFonts w:ascii="Cambria Math" w:hAnsi="Cambria Math"/>
          </w:rPr>
          <m:t>=1.3</m:t>
        </m:r>
      </m:oMath>
      <w:r>
        <w:t xml:space="preserve"> for each scenario while the intervention is applied. This can be achieved by setting </w:t>
      </w:r>
      <m:oMath>
        <m:sSub>
          <m:sSubPr>
            <m:ctrlPr>
              <w:rPr>
                <w:rFonts w:ascii="Cambria Math" w:hAnsi="Cambria Math"/>
              </w:rPr>
            </m:ctrlPr>
          </m:sSubPr>
          <m:e>
            <m:r>
              <w:rPr>
                <w:rFonts w:ascii="Cambria Math" w:hAnsi="Cambria Math"/>
              </w:rPr>
              <m:t>f</m:t>
            </m:r>
          </m:e>
          <m:sub>
            <m:r>
              <w:rPr>
                <w:rFonts w:ascii="Cambria Math" w:hAnsi="Cambria Math"/>
              </w:rPr>
              <m:t>2</m:t>
            </m:r>
          </m:sub>
        </m:sSub>
      </m:oMath>
      <w:r>
        <w:t xml:space="preserve"> to 0.339 and 0.318 for scenarios 3 and 5 respectively.</w:t>
      </w:r>
    </w:p>
    <w:p w14:paraId="418EC149" w14:textId="77777777" w:rsidR="00691EEE" w:rsidRDefault="00B17343">
      <w:pPr>
        <w:pStyle w:val="Heading1"/>
      </w:pPr>
      <w:bookmarkStart w:id="6" w:name="years-of-life-lost-yll"/>
      <w:bookmarkEnd w:id="5"/>
      <w:r>
        <w:rPr>
          <w:rStyle w:val="SectionNumber"/>
        </w:rPr>
        <w:t>7</w:t>
      </w:r>
      <w:r>
        <w:tab/>
        <w:t>Years of life lost (YLL)</w:t>
      </w:r>
    </w:p>
    <w:p w14:paraId="1C99E15E" w14:textId="77777777" w:rsidR="00691EEE" w:rsidRDefault="00B17343">
      <w:pPr>
        <w:pStyle w:val="FirstParagraph"/>
      </w:pPr>
      <w:r>
        <w:t>To illustrate the impact of considering years of life lost instead of mortality, we assume that the average life-expectancy in the population is 80 years, and that the average ages of death for children, adults and elderly are 10, 40 and 70 years respectively. That means that every death among children contributes to 70 years of life lost (YLL), for adults this is 40 YLL and 10 YLL for elderly.</w:t>
      </w:r>
    </w:p>
    <w:p w14:paraId="56679070" w14:textId="77777777" w:rsidR="00691EEE" w:rsidRDefault="00B17343">
      <w:pPr>
        <w:pStyle w:val="Heading1"/>
      </w:pPr>
      <w:bookmarkStart w:id="7" w:name="references"/>
      <w:bookmarkEnd w:id="6"/>
      <w:r>
        <w:t>References</w:t>
      </w:r>
    </w:p>
    <w:p w14:paraId="5E1D08DB" w14:textId="77777777" w:rsidR="00691EEE" w:rsidRDefault="00B17343">
      <w:pPr>
        <w:pStyle w:val="Bibliography"/>
      </w:pPr>
      <w:bookmarkStart w:id="8" w:name="ref-dsaide"/>
      <w:bookmarkStart w:id="9" w:name="refs"/>
      <w:r>
        <w:t xml:space="preserve">1. </w:t>
      </w:r>
      <w:r>
        <w:tab/>
        <w:t xml:space="preserve">Dynamical Systems Approach to Infectious Disease Epidemiology (Ecology/Evolution). https://ahgroup.github.io/DSAIDE/; </w:t>
      </w:r>
    </w:p>
    <w:p w14:paraId="1AE9902E" w14:textId="49BD0F6D" w:rsidR="00691EEE" w:rsidRDefault="00B17343">
      <w:pPr>
        <w:pStyle w:val="Bibliography"/>
      </w:pPr>
      <w:bookmarkStart w:id="10" w:name="ref-mizumoto2020"/>
      <w:bookmarkEnd w:id="8"/>
      <w:r>
        <w:t xml:space="preserve">2. </w:t>
      </w:r>
      <w:r>
        <w:tab/>
        <w:t>Mizumoto K</w:t>
      </w:r>
      <w:r w:rsidR="004E5071">
        <w:t>,</w:t>
      </w:r>
      <w:r>
        <w:t xml:space="preserve"> C</w:t>
      </w:r>
      <w:r w:rsidR="004E5071">
        <w:t xml:space="preserve">howell </w:t>
      </w:r>
      <w:r>
        <w:t>G. Estimating risk for death from 2019 novel coronavirus disease, China, January</w:t>
      </w:r>
      <w:r w:rsidR="004E5071">
        <w:t>-</w:t>
      </w:r>
      <w:r>
        <w:t>February 2020. Emerging Infectious Diseases. 2020</w:t>
      </w:r>
      <w:r w:rsidR="004E5071">
        <w:t xml:space="preserve"> Jun</w:t>
      </w:r>
      <w:r>
        <w:t>;</w:t>
      </w:r>
      <w:r w:rsidR="004E5071">
        <w:t xml:space="preserve"> 26(6):1251-1256.</w:t>
      </w:r>
      <w:r>
        <w:t xml:space="preserve"> </w:t>
      </w:r>
    </w:p>
    <w:p w14:paraId="0D4CE74A" w14:textId="77777777" w:rsidR="00691EEE" w:rsidRDefault="00B17343">
      <w:pPr>
        <w:pStyle w:val="Bibliography"/>
      </w:pPr>
      <w:bookmarkStart w:id="11" w:name="ref-verity2020"/>
      <w:bookmarkEnd w:id="10"/>
      <w:r>
        <w:lastRenderedPageBreak/>
        <w:t xml:space="preserve">3. </w:t>
      </w:r>
      <w:r>
        <w:tab/>
        <w:t xml:space="preserve">Verity R, Okell LC, Dorigatti I, Winskill P, Whittaker C, Imai N, et al. Estimates of the severity of coronavirus disease 2019: A model-based analysis. The Lancet Infectious Diseases. 2020 Jun;20(6):669–77. </w:t>
      </w:r>
    </w:p>
    <w:p w14:paraId="5A51CCA9" w14:textId="77777777" w:rsidR="00691EEE" w:rsidRDefault="00B17343">
      <w:pPr>
        <w:pStyle w:val="Bibliography"/>
      </w:pPr>
      <w:bookmarkStart w:id="12" w:name="ref-wolfel2020"/>
      <w:bookmarkEnd w:id="11"/>
      <w:r>
        <w:t xml:space="preserve">4. </w:t>
      </w:r>
      <w:r>
        <w:tab/>
        <w:t xml:space="preserve">Wölfel R, Corman VM, Guggemos W, Seilmaier M, Zange S, Müller MA, et al. Virological assessment of hospitalized patients with COVID-2019. Nature. 2020 May;581(7809):465–9. </w:t>
      </w:r>
    </w:p>
    <w:p w14:paraId="0F2553E0" w14:textId="5740CB14" w:rsidR="00691EEE" w:rsidRDefault="00B17343">
      <w:pPr>
        <w:pStyle w:val="Bibliography"/>
      </w:pPr>
      <w:bookmarkStart w:id="13" w:name="ref-li2020"/>
      <w:bookmarkEnd w:id="12"/>
      <w:r>
        <w:t xml:space="preserve">5. </w:t>
      </w:r>
      <w:r>
        <w:tab/>
        <w:t xml:space="preserve">Li Q, Guan X, Wu P, Wang X, Zhou L, Tong Y, et al. Early transmission dynamics in wuhan, china, of novel coronavirus-infected pneumonia. The New England journal of medicine. 2020 </w:t>
      </w:r>
      <w:r w:rsidR="004E5071">
        <w:t>Mar 26</w:t>
      </w:r>
      <w:r>
        <w:t>;</w:t>
      </w:r>
      <w:r w:rsidR="004E5071">
        <w:t xml:space="preserve"> 382(13):1199-1207.</w:t>
      </w:r>
      <w:r>
        <w:t xml:space="preserve"> </w:t>
      </w:r>
    </w:p>
    <w:p w14:paraId="260F821B" w14:textId="77777777" w:rsidR="00691EEE" w:rsidRDefault="00B17343">
      <w:pPr>
        <w:pStyle w:val="Bibliography"/>
      </w:pPr>
      <w:bookmarkStart w:id="14" w:name="ref-mossong2008"/>
      <w:bookmarkEnd w:id="13"/>
      <w:r>
        <w:t xml:space="preserve">6. </w:t>
      </w:r>
      <w:r>
        <w:tab/>
        <w:t>Mossong J, Hens N, Jit M, Beutels P, Auranen K, Mikolajczyk R, et al. Social contacts and mixing patterns relevant to the spread of infectious diseases. PLoS medicine. 2008 Mar;5(3</w:t>
      </w:r>
      <w:proofErr w:type="gramStart"/>
      <w:r>
        <w:t>):e</w:t>
      </w:r>
      <w:proofErr w:type="gramEnd"/>
      <w:r>
        <w:t xml:space="preserve">74. </w:t>
      </w:r>
    </w:p>
    <w:p w14:paraId="3BFF1575" w14:textId="6A1AD969" w:rsidR="00691EEE" w:rsidRDefault="00B17343">
      <w:pPr>
        <w:pStyle w:val="Bibliography"/>
      </w:pPr>
      <w:bookmarkStart w:id="15" w:name="ref-klepac2020"/>
      <w:bookmarkEnd w:id="14"/>
      <w:r>
        <w:t xml:space="preserve">7. </w:t>
      </w:r>
      <w:r>
        <w:tab/>
        <w:t xml:space="preserve">Klepac P, Kucharski AJ, Conlan AJ, Kissler S, Tang M, Fry H, et al. Contacts in context: Large-scale setting-specific social mixing matrices from the BBC Pandemic project. medRxiv. 2020; </w:t>
      </w:r>
      <w:r w:rsidR="004E5071" w:rsidRPr="004E5071">
        <w:t>doi: https://doi.org/10.1101/2020.02.16.20023754</w:t>
      </w:r>
    </w:p>
    <w:p w14:paraId="43E70691" w14:textId="77777777" w:rsidR="00691EEE" w:rsidRDefault="00B17343">
      <w:pPr>
        <w:pStyle w:val="Bibliography"/>
      </w:pPr>
      <w:bookmarkStart w:id="16" w:name="ref-steele2016"/>
      <w:bookmarkEnd w:id="15"/>
      <w:r>
        <w:t xml:space="preserve">8. </w:t>
      </w:r>
      <w:r>
        <w:tab/>
        <w:t xml:space="preserve">Steele MK, Remais JV, Gambhir M, Glasser JW, Handel A, Parashar UD, et al. Targeting pediatric versus elderly populations for norovirus vaccines: A model-based analysis of mass vaccination options. Epidemics. 2016 </w:t>
      </w:r>
      <w:proofErr w:type="gramStart"/>
      <w:r>
        <w:t>Dec;17:42</w:t>
      </w:r>
      <w:proofErr w:type="gramEnd"/>
      <w:r>
        <w:t xml:space="preserve">–9. </w:t>
      </w:r>
    </w:p>
    <w:p w14:paraId="10F3B315" w14:textId="77777777" w:rsidR="00691EEE" w:rsidRDefault="00B17343">
      <w:pPr>
        <w:pStyle w:val="Bibliography"/>
      </w:pPr>
      <w:bookmarkStart w:id="17" w:name="ref-diekmann2010"/>
      <w:bookmarkEnd w:id="16"/>
      <w:r>
        <w:t xml:space="preserve">9. </w:t>
      </w:r>
      <w:r>
        <w:tab/>
        <w:t xml:space="preserve">Diekmann O, Heesterbeek JAP, Roberts MG. The construction of next-generation matrices for compartmental epidemic models. Journal of the Royal Society Interface. 2010 Jun;7(47):873–85. </w:t>
      </w:r>
    </w:p>
    <w:p w14:paraId="7029EE43" w14:textId="77777777" w:rsidR="00691EEE" w:rsidRDefault="00B17343">
      <w:pPr>
        <w:pStyle w:val="Bibliography"/>
      </w:pPr>
      <w:bookmarkStart w:id="18" w:name="ref-vandendriessche2002"/>
      <w:bookmarkEnd w:id="17"/>
      <w:r>
        <w:t xml:space="preserve">10. </w:t>
      </w:r>
      <w:r>
        <w:tab/>
        <w:t xml:space="preserve">van den Driessche P, Watmough J. Reproduction numbers and sub-threshold endemic equilibria for compartmental models of disease transmission. Mathematical Biosciences. 2002 </w:t>
      </w:r>
      <w:proofErr w:type="gramStart"/>
      <w:r>
        <w:t>Dec;180:29</w:t>
      </w:r>
      <w:proofErr w:type="gramEnd"/>
      <w:r>
        <w:t xml:space="preserve">–48. </w:t>
      </w:r>
      <w:bookmarkEnd w:id="7"/>
      <w:bookmarkEnd w:id="9"/>
      <w:bookmarkEnd w:id="18"/>
    </w:p>
    <w:sectPr w:rsidR="00691EE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63AC" w14:textId="77777777" w:rsidR="00E933F2" w:rsidRDefault="00E933F2">
      <w:pPr>
        <w:spacing w:after="0"/>
      </w:pPr>
      <w:r>
        <w:separator/>
      </w:r>
    </w:p>
  </w:endnote>
  <w:endnote w:type="continuationSeparator" w:id="0">
    <w:p w14:paraId="7B68E6CC" w14:textId="77777777" w:rsidR="00E933F2" w:rsidRDefault="00E9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075E" w14:textId="77777777" w:rsidR="00E933F2" w:rsidRDefault="00E933F2">
      <w:r>
        <w:separator/>
      </w:r>
    </w:p>
  </w:footnote>
  <w:footnote w:type="continuationSeparator" w:id="0">
    <w:p w14:paraId="75F2B97E" w14:textId="77777777" w:rsidR="00E933F2" w:rsidRDefault="00E9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06B6EF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4749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7015"/>
    <w:rsid w:val="004E29B3"/>
    <w:rsid w:val="004E5071"/>
    <w:rsid w:val="00590D07"/>
    <w:rsid w:val="005D1182"/>
    <w:rsid w:val="00604323"/>
    <w:rsid w:val="00691EEE"/>
    <w:rsid w:val="00701DA1"/>
    <w:rsid w:val="00784D58"/>
    <w:rsid w:val="008D6863"/>
    <w:rsid w:val="009136D2"/>
    <w:rsid w:val="00B17343"/>
    <w:rsid w:val="00B86B75"/>
    <w:rsid w:val="00BC48D5"/>
    <w:rsid w:val="00C36279"/>
    <w:rsid w:val="00E315A3"/>
    <w:rsid w:val="00E933F2"/>
    <w:rsid w:val="00F6149D"/>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01E0"/>
  <w15:docId w15:val="{E99FF89A-AFAB-4E98-9CF6-208C546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CommentReference">
    <w:name w:val="annotation reference"/>
    <w:basedOn w:val="DefaultParagraphFont"/>
    <w:semiHidden/>
    <w:unhideWhenUsed/>
    <w:rsid w:val="004E5071"/>
    <w:rPr>
      <w:sz w:val="16"/>
      <w:szCs w:val="16"/>
    </w:rPr>
  </w:style>
  <w:style w:type="paragraph" w:styleId="CommentText">
    <w:name w:val="annotation text"/>
    <w:basedOn w:val="Normal"/>
    <w:link w:val="CommentTextChar"/>
    <w:semiHidden/>
    <w:unhideWhenUsed/>
    <w:rsid w:val="004E5071"/>
    <w:rPr>
      <w:sz w:val="20"/>
      <w:szCs w:val="20"/>
    </w:rPr>
  </w:style>
  <w:style w:type="character" w:customStyle="1" w:styleId="CommentTextChar">
    <w:name w:val="Comment Text Char"/>
    <w:basedOn w:val="DefaultParagraphFont"/>
    <w:link w:val="CommentText"/>
    <w:semiHidden/>
    <w:rsid w:val="004E5071"/>
    <w:rPr>
      <w:sz w:val="20"/>
      <w:szCs w:val="20"/>
    </w:rPr>
  </w:style>
  <w:style w:type="paragraph" w:styleId="CommentSubject">
    <w:name w:val="annotation subject"/>
    <w:basedOn w:val="CommentText"/>
    <w:next w:val="CommentText"/>
    <w:link w:val="CommentSubjectChar"/>
    <w:semiHidden/>
    <w:unhideWhenUsed/>
    <w:rsid w:val="004E5071"/>
    <w:rPr>
      <w:b/>
      <w:bCs/>
    </w:rPr>
  </w:style>
  <w:style w:type="character" w:customStyle="1" w:styleId="CommentSubjectChar">
    <w:name w:val="Comment Subject Char"/>
    <w:basedOn w:val="CommentTextChar"/>
    <w:link w:val="CommentSubject"/>
    <w:semiHidden/>
    <w:rsid w:val="004E5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4622-1146"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group.github.io/DSA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496-25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5100-0703" TargetMode="External"/><Relationship Id="rId4" Type="http://schemas.openxmlformats.org/officeDocument/2006/relationships/settings" Target="settings.xml"/><Relationship Id="rId9" Type="http://schemas.openxmlformats.org/officeDocument/2006/relationships/hyperlink" Target="https://orcid.org/0000-0003-4426-04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6E52-CF38-4F67-A668-416B426A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for: If long-term suppression is not possible, how do we minimize mortality for infectious disease outbreaks?</dc:title>
  <dc:creator>Isaac Fung</dc:creator>
  <cp:keywords/>
  <cp:lastModifiedBy>Isaac Fung</cp:lastModifiedBy>
  <cp:revision>4</cp:revision>
  <dcterms:created xsi:type="dcterms:W3CDTF">2023-10-12T20:54:00Z</dcterms:created>
  <dcterms:modified xsi:type="dcterms:W3CDTF">2023-10-12T20:56:00Z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
  </property>
  <property fmtid="{D5CDD505-2E9C-101B-9397-08002B2CF9AE}" pid="3" name="csl">
    <vt:lpwstr>vancouver.csl</vt:lpwstr>
  </property>
  <property fmtid="{D5CDD505-2E9C-101B-9397-08002B2CF9AE}" pid="4" name="documentclass">
    <vt:lpwstr>article</vt:lpwstr>
  </property>
  <property fmtid="{D5CDD505-2E9C-101B-9397-08002B2CF9AE}" pid="5" name="output">
    <vt:lpwstr/>
  </property>
  <property fmtid="{D5CDD505-2E9C-101B-9397-08002B2CF9AE}" pid="6" name="site">
    <vt:lpwstr>bookdown::bookdown_site</vt:lpwstr>
  </property>
</Properties>
</file>