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nfacheTabelle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1"/>
        <w:gridCol w:w="1053"/>
        <w:gridCol w:w="1116"/>
        <w:gridCol w:w="1310"/>
        <w:gridCol w:w="1254"/>
      </w:tblGrid>
      <w:tr w:rsidR="009E7A1B" w:rsidRPr="00EA67F2" w:rsidTr="00EA67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planned</w:t>
            </w:r>
            <w:proofErr w:type="spellEnd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/in </w:t>
            </w: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progress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proofErr w:type="spellEnd"/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chemical protective suits (hazmat suits) available?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46,8%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(22)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42,6%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(20)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10,6%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chemical resistant gloves available?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61,7%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(29)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27,7%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(13)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10,6%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What is the highest class of respiratory protection available?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face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mask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FFP2 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2,2%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face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mask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FFP3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47,8%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(22)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Full face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airpurifying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 respirator („gas mask“)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8,7%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(4)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Powered air-purifying respirator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37,0%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(17)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Self-contained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breathing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apparatus</w:t>
            </w:r>
            <w:proofErr w:type="spellEnd"/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4,3%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train regularly the correct handling of PPE (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eg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. dressing and undressing)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39,1% 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(18)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60,9%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(28)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Yes, less than once a year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61,1%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(11)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Yes, once a year or more frequently</w:t>
            </w:r>
          </w:p>
        </w:tc>
        <w:tc>
          <w:tcPr>
            <w:tcW w:w="2169" w:type="dxa"/>
            <w:gridSpan w:val="2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38,9%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 megaphone?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51,1%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(24)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46,8%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(22)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2,1%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(1)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radios in case of a disaster?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53,2%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(25)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44,7%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(21)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2,1%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(1)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any radiation detectors at your emergency department?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14,9%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83,0%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(39)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2,1%</w:t>
            </w:r>
          </w:p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If yes, does it have an alarm function?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71,4%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28,6%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9E7A1B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If yes, is it mobile?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0% </w:t>
            </w: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(0)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Are there SOPs in case of a suspected radiation incident?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19,1%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(9)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61,7%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(29)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19,1%</w:t>
            </w:r>
          </w:p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i/>
                <w:sz w:val="24"/>
                <w:szCs w:val="24"/>
              </w:rPr>
              <w:t>(9)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immediately available</w:t>
            </w:r>
            <w:proofErr w:type="gram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…</w:t>
            </w:r>
            <w:proofErr w:type="gramEnd"/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A67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&lt;5 </w:t>
            </w: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doses</w:t>
            </w:r>
            <w:proofErr w:type="spellEnd"/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7F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&gt;5 </w:t>
            </w: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doses</w:t>
            </w:r>
            <w:proofErr w:type="spellEnd"/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not </w:t>
            </w: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available</w:t>
            </w:r>
            <w:proofErr w:type="spellEnd"/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proofErr w:type="spellEnd"/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Atropin 100mg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37,8%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57,8%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4,4%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Pralidoxime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/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obidoxime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41,5%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29,3%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29,3%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Hydroxycobalamin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(„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Cyanokit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®“)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56,5%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37,0%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6,5%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Thiosulphate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43,2%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50,0%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6,8%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4-DMAP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50,0%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43,2%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6,8%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Prussian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blue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28,2%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43,6%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28,2%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DTPA (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Pentetic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acid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23,1%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35,9%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41,0%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Inhalative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corticosteroids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26,7%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71,1%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2,2%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Methylene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blue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Proveblue</w:t>
            </w:r>
            <w:proofErr w:type="spellEnd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®</w:t>
            </w:r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47,6%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42,9%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9,5%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E7A1B" w:rsidRPr="00EA67F2" w:rsidTr="00EA67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Naloxone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20,0%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80,0%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7A1B" w:rsidRPr="00EA67F2" w:rsidTr="00EA67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1" w:type="dxa"/>
            <w:shd w:val="clear" w:color="auto" w:fill="auto"/>
          </w:tcPr>
          <w:p w:rsidR="009E7A1B" w:rsidRPr="00EA67F2" w:rsidRDefault="009E7A1B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EA67F2">
              <w:rPr>
                <w:rFonts w:ascii="Times New Roman" w:hAnsi="Times New Roman" w:cs="Times New Roman"/>
                <w:b w:val="0"/>
                <w:sz w:val="24"/>
                <w:szCs w:val="24"/>
              </w:rPr>
              <w:t>Flumazenil</w:t>
            </w:r>
            <w:proofErr w:type="spellEnd"/>
          </w:p>
        </w:tc>
        <w:tc>
          <w:tcPr>
            <w:tcW w:w="1053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20,0%</w:t>
            </w:r>
          </w:p>
        </w:tc>
        <w:tc>
          <w:tcPr>
            <w:tcW w:w="1116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80,0%</w:t>
            </w:r>
          </w:p>
        </w:tc>
        <w:tc>
          <w:tcPr>
            <w:tcW w:w="1310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54" w:type="dxa"/>
            <w:shd w:val="clear" w:color="auto" w:fill="auto"/>
          </w:tcPr>
          <w:p w:rsidR="009E7A1B" w:rsidRPr="00EA67F2" w:rsidRDefault="009E7A1B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67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E7A1B" w:rsidRPr="00EA67F2" w:rsidRDefault="009E7A1B" w:rsidP="009E7A1B">
      <w:pPr>
        <w:rPr>
          <w:rFonts w:ascii="Times New Roman" w:hAnsi="Times New Roman" w:cs="Times New Roman"/>
          <w:sz w:val="24"/>
        </w:rPr>
      </w:pPr>
    </w:p>
    <w:p w:rsidR="009E7A1B" w:rsidRPr="00EA67F2" w:rsidRDefault="009E7A1B" w:rsidP="009E7A1B">
      <w:pPr>
        <w:rPr>
          <w:rFonts w:ascii="Times New Roman" w:hAnsi="Times New Roman" w:cs="Times New Roman"/>
          <w:sz w:val="24"/>
          <w:lang w:val="en-US"/>
        </w:rPr>
      </w:pPr>
      <w:r w:rsidRPr="00EA67F2">
        <w:rPr>
          <w:rFonts w:ascii="Times New Roman" w:hAnsi="Times New Roman" w:cs="Times New Roman"/>
          <w:sz w:val="24"/>
          <w:lang w:val="en-US"/>
        </w:rPr>
        <w:t xml:space="preserve">Table </w:t>
      </w:r>
      <w:r w:rsidR="002E51F6">
        <w:rPr>
          <w:rFonts w:ascii="Times New Roman" w:hAnsi="Times New Roman" w:cs="Times New Roman"/>
          <w:sz w:val="24"/>
          <w:lang w:val="en-US"/>
        </w:rPr>
        <w:t>S4</w:t>
      </w:r>
      <w:bookmarkStart w:id="0" w:name="_GoBack"/>
      <w:bookmarkEnd w:id="0"/>
      <w:r w:rsidRPr="00EA67F2">
        <w:rPr>
          <w:rFonts w:ascii="Times New Roman" w:hAnsi="Times New Roman" w:cs="Times New Roman"/>
          <w:sz w:val="24"/>
          <w:lang w:val="en-US"/>
        </w:rPr>
        <w:t xml:space="preserve">: Equipment and antidotes. # </w:t>
      </w:r>
      <w:proofErr w:type="gramStart"/>
      <w:r w:rsidRPr="00EA67F2">
        <w:rPr>
          <w:rFonts w:ascii="Times New Roman" w:hAnsi="Times New Roman" w:cs="Times New Roman"/>
          <w:sz w:val="24"/>
          <w:lang w:val="en-US"/>
        </w:rPr>
        <w:t>significant</w:t>
      </w:r>
      <w:proofErr w:type="gramEnd"/>
      <w:r w:rsidRPr="00EA67F2">
        <w:rPr>
          <w:rFonts w:ascii="Times New Roman" w:hAnsi="Times New Roman" w:cs="Times New Roman"/>
          <w:sz w:val="24"/>
          <w:lang w:val="en-US"/>
        </w:rPr>
        <w:t xml:space="preserve"> difference between early and late respondents, indicating potential bias. </w:t>
      </w:r>
    </w:p>
    <w:p w:rsidR="00D40A0D" w:rsidRPr="009E7A1B" w:rsidRDefault="00D40A0D" w:rsidP="009E7A1B">
      <w:pPr>
        <w:rPr>
          <w:lang w:val="en-US"/>
        </w:rPr>
      </w:pPr>
    </w:p>
    <w:sectPr w:rsidR="00D40A0D" w:rsidRPr="009E7A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08DB"/>
    <w:multiLevelType w:val="hybridMultilevel"/>
    <w:tmpl w:val="9042D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57BE"/>
    <w:multiLevelType w:val="hybridMultilevel"/>
    <w:tmpl w:val="439E8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62"/>
    <w:rsid w:val="002E51F6"/>
    <w:rsid w:val="008F7262"/>
    <w:rsid w:val="009E7A1B"/>
    <w:rsid w:val="00D039BD"/>
    <w:rsid w:val="00D40A0D"/>
    <w:rsid w:val="00EA6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57008"/>
  <w15:chartTrackingRefBased/>
  <w15:docId w15:val="{A67F369C-47DE-4973-BE04-7BC3CEFA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7A1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039BD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D039B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Regensburg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2023-09-05T12:49:00Z</dcterms:created>
  <dcterms:modified xsi:type="dcterms:W3CDTF">2024-03-07T21:04:00Z</dcterms:modified>
</cp:coreProperties>
</file>