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B9DC" w14:textId="5C4C5BE9" w:rsidR="00CB6804" w:rsidRPr="0047737E" w:rsidRDefault="001B6CB0" w:rsidP="00816A88">
      <w:pPr>
        <w:pStyle w:val="Heading1"/>
        <w:spacing w:line="480" w:lineRule="auto"/>
        <w:rPr>
          <w:b w:val="0"/>
        </w:rPr>
      </w:pPr>
      <w:r w:rsidRPr="0047737E">
        <w:t>Supplement</w:t>
      </w:r>
      <w:r w:rsidR="00D30E00" w:rsidRPr="0047737E">
        <w:rPr>
          <w:b w:val="0"/>
        </w:rPr>
        <w:t xml:space="preserve"> 1</w:t>
      </w:r>
    </w:p>
    <w:p w14:paraId="632EB3BD" w14:textId="77777777" w:rsidR="003224B2" w:rsidRPr="0047737E" w:rsidRDefault="003224B2" w:rsidP="00816A88">
      <w:pPr>
        <w:pStyle w:val="Heading2"/>
        <w:spacing w:line="480" w:lineRule="auto"/>
        <w:rPr>
          <w:b w:val="0"/>
        </w:rPr>
      </w:pPr>
      <w:r w:rsidRPr="0047737E">
        <w:t>Participants – phases of enrolment</w:t>
      </w:r>
    </w:p>
    <w:p w14:paraId="11B25765" w14:textId="77777777" w:rsidR="003224B2" w:rsidRPr="0047737E" w:rsidRDefault="003224B2" w:rsidP="00816A88">
      <w:pPr>
        <w:spacing w:line="480" w:lineRule="auto"/>
        <w:rPr>
          <w:rFonts w:ascii="Arial Nova" w:hAnsi="Arial Nova"/>
          <w:noProof/>
        </w:rPr>
      </w:pPr>
      <w:r w:rsidRPr="0047737E">
        <w:rPr>
          <w:rFonts w:ascii="Arial Nova" w:hAnsi="Arial Nova"/>
        </w:rPr>
        <w:t xml:space="preserve">When the oldest children were approximately 7 years of age, an attempt was made to bolster the initial sample with eligible cases who had failed to join the study originally. As a result, when considering variables collected from the age of seven onwards (and potentially abstracted from obstetric notes) there are data available for more than the 14,541 pregnancies mentioned above. The number of new pregnancies not in the initial sample (known as Phase I enrolment) that are currently represented on the built files and reflecting enrolment status at the age of 24 is 913 (456, 262 and 195 recruited during Phases II, III and IV respectively), resulting in an additional 913 children being enrolled </w:t>
      </w:r>
      <w:r w:rsidRPr="0047737E">
        <w:rPr>
          <w:rFonts w:ascii="Arial Nova" w:hAnsi="Arial Nova"/>
          <w:noProof/>
        </w:rPr>
        <w:t>(Northstone</w:t>
      </w:r>
      <w:r w:rsidRPr="0047737E">
        <w:rPr>
          <w:rFonts w:ascii="Arial Nova" w:hAnsi="Arial Nova"/>
          <w:i/>
          <w:noProof/>
        </w:rPr>
        <w:t xml:space="preserve"> et al.</w:t>
      </w:r>
      <w:r w:rsidRPr="0047737E">
        <w:rPr>
          <w:rFonts w:ascii="Arial Nova" w:hAnsi="Arial Nova"/>
          <w:noProof/>
        </w:rPr>
        <w:t>, 2019).</w:t>
      </w:r>
    </w:p>
    <w:p w14:paraId="01CF693B" w14:textId="77777777" w:rsidR="003224B2" w:rsidRPr="0047737E" w:rsidRDefault="003224B2" w:rsidP="00816A88">
      <w:pPr>
        <w:pStyle w:val="Heading2"/>
        <w:spacing w:line="480" w:lineRule="auto"/>
        <w:rPr>
          <w:noProof/>
        </w:rPr>
      </w:pPr>
      <w:r w:rsidRPr="0047737E">
        <w:rPr>
          <w:noProof/>
        </w:rPr>
        <w:t>Measures</w:t>
      </w:r>
    </w:p>
    <w:p w14:paraId="0D049E01" w14:textId="77777777" w:rsidR="003224B2" w:rsidRPr="0047737E" w:rsidRDefault="003224B2" w:rsidP="00816A88">
      <w:pPr>
        <w:pStyle w:val="Heading3"/>
        <w:spacing w:line="480" w:lineRule="auto"/>
        <w:rPr>
          <w:b w:val="0"/>
          <w:bCs/>
        </w:rPr>
      </w:pPr>
      <w:r w:rsidRPr="0047737E">
        <w:rPr>
          <w:noProof/>
        </w:rPr>
        <w:t>Depressive symptoms</w:t>
      </w:r>
    </w:p>
    <w:p w14:paraId="052E4E3B" w14:textId="1DECE7D0" w:rsidR="003224B2" w:rsidRPr="0047737E" w:rsidRDefault="003224B2" w:rsidP="00816A88">
      <w:pPr>
        <w:spacing w:line="480" w:lineRule="auto"/>
        <w:rPr>
          <w:rFonts w:ascii="Arial Nova" w:hAnsi="Arial Nova"/>
        </w:rPr>
      </w:pPr>
      <w:r w:rsidRPr="0047737E">
        <w:rPr>
          <w:rFonts w:ascii="Arial Nova" w:hAnsi="Arial Nova"/>
        </w:rPr>
        <w:t xml:space="preserve">This study uses SMFQ data from 9 timepoints assessed at ages 12.8 to 25.8 years (hereafter referred to as 13 to 26 years). </w:t>
      </w:r>
      <w:r w:rsidRPr="0047737E">
        <w:rPr>
          <w:rFonts w:ascii="Arial Nova" w:hAnsi="Arial Nova"/>
          <w:b/>
          <w:bCs/>
        </w:rPr>
        <w:t>Table S</w:t>
      </w:r>
      <w:r w:rsidR="00AA0993">
        <w:rPr>
          <w:rFonts w:ascii="Arial Nova" w:hAnsi="Arial Nova"/>
          <w:b/>
          <w:bCs/>
        </w:rPr>
        <w:t>1</w:t>
      </w:r>
      <w:r w:rsidRPr="0047737E">
        <w:rPr>
          <w:rFonts w:ascii="Arial Nova" w:hAnsi="Arial Nova"/>
          <w:b/>
          <w:bCs/>
        </w:rPr>
        <w:t xml:space="preserve"> </w:t>
      </w:r>
      <w:r w:rsidRPr="0047737E">
        <w:rPr>
          <w:rFonts w:ascii="Arial Nova" w:hAnsi="Arial Nova"/>
        </w:rPr>
        <w:t>shows considerable variability around the mean age at completion, however it has previously been reported that variability in age at completion of the SMFQ at each time point in the ALSPAC cohort is not related to level of depressive symptoms</w:t>
      </w:r>
      <w:r w:rsidRPr="0047737E">
        <w:rPr>
          <w:rFonts w:ascii="Arial Nova" w:hAnsi="Arial Nova"/>
          <w:noProof/>
        </w:rPr>
        <w:t xml:space="preserve"> (Joinson</w:t>
      </w:r>
      <w:r w:rsidRPr="0047737E">
        <w:rPr>
          <w:rFonts w:ascii="Arial Nova" w:hAnsi="Arial Nova"/>
          <w:i/>
          <w:noProof/>
        </w:rPr>
        <w:t xml:space="preserve"> et al.</w:t>
      </w:r>
      <w:r w:rsidRPr="0047737E">
        <w:rPr>
          <w:rFonts w:ascii="Arial Nova" w:hAnsi="Arial Nova"/>
          <w:noProof/>
        </w:rPr>
        <w:t>, 2013).</w:t>
      </w:r>
      <w:r w:rsidRPr="0047737E">
        <w:rPr>
          <w:rFonts w:ascii="Arial Nova" w:hAnsi="Arial Nova"/>
        </w:rPr>
        <w:t xml:space="preserve"> </w:t>
      </w:r>
    </w:p>
    <w:p w14:paraId="5C7BEAF0" w14:textId="77777777" w:rsidR="003224B2" w:rsidRPr="0047737E" w:rsidRDefault="003224B2" w:rsidP="00816A88">
      <w:pPr>
        <w:pStyle w:val="Heading3"/>
        <w:spacing w:line="480" w:lineRule="auto"/>
      </w:pPr>
      <w:r w:rsidRPr="0047737E">
        <w:t>Confounders</w:t>
      </w:r>
    </w:p>
    <w:p w14:paraId="18F0EF01" w14:textId="77777777" w:rsidR="003224B2" w:rsidRPr="0047737E" w:rsidRDefault="003224B2" w:rsidP="00816A88">
      <w:pPr>
        <w:spacing w:line="480" w:lineRule="auto"/>
        <w:rPr>
          <w:rFonts w:ascii="Arial Nova" w:hAnsi="Arial Nova"/>
        </w:rPr>
      </w:pPr>
      <w:r w:rsidRPr="0047737E">
        <w:rPr>
          <w:rFonts w:ascii="Arial Nova" w:hAnsi="Arial Nova"/>
        </w:rPr>
        <w:t>Social class was defined as the lower of the mother’s or partner’s occupational social class and dichotomised into classes I-IV, professional, managerial, or skilled professions, and V-VI, partly skilled or unskilled professions</w:t>
      </w:r>
    </w:p>
    <w:p w14:paraId="6E0DC8EF" w14:textId="77777777" w:rsidR="003224B2" w:rsidRPr="0047737E" w:rsidRDefault="003224B2" w:rsidP="00816A88">
      <w:pPr>
        <w:spacing w:line="480" w:lineRule="auto"/>
        <w:rPr>
          <w:rFonts w:ascii="Arial Nova" w:hAnsi="Arial Nova"/>
        </w:rPr>
      </w:pPr>
      <w:r w:rsidRPr="0047737E">
        <w:rPr>
          <w:rFonts w:ascii="Arial Nova" w:hAnsi="Arial Nova"/>
        </w:rPr>
        <w:lastRenderedPageBreak/>
        <w:t>Homeownership status was defined as living in owned or privately rented accommodation versus subsidised housing</w:t>
      </w:r>
    </w:p>
    <w:p w14:paraId="21E27548" w14:textId="7E20A1E2" w:rsidR="003224B2" w:rsidRPr="0047737E" w:rsidRDefault="003224B2" w:rsidP="00816A88">
      <w:pPr>
        <w:spacing w:line="480" w:lineRule="auto"/>
        <w:rPr>
          <w:rFonts w:ascii="Arial Nova" w:hAnsi="Arial Nova"/>
        </w:rPr>
      </w:pPr>
      <w:r w:rsidRPr="0047737E">
        <w:rPr>
          <w:rFonts w:ascii="Arial Nova" w:hAnsi="Arial Nova"/>
        </w:rPr>
        <w:t>Maternal education qualifications were defined as none versus high school qualifications or greater), and major financial problems (yes/no)</w:t>
      </w:r>
      <w:r w:rsidR="00330757" w:rsidRPr="0047737E">
        <w:rPr>
          <w:rFonts w:ascii="Arial Nova" w:hAnsi="Arial Nova"/>
        </w:rPr>
        <w:t>.</w:t>
      </w:r>
      <w:r w:rsidRPr="0047737E">
        <w:rPr>
          <w:rFonts w:ascii="Arial Nova" w:hAnsi="Arial Nova"/>
        </w:rPr>
        <w:t xml:space="preserve"> </w:t>
      </w:r>
    </w:p>
    <w:p w14:paraId="07BA19C3" w14:textId="4B186360" w:rsidR="003224B2" w:rsidRPr="0047737E" w:rsidRDefault="003224B2" w:rsidP="00816A88">
      <w:pPr>
        <w:spacing w:line="480" w:lineRule="auto"/>
        <w:rPr>
          <w:rFonts w:ascii="Arial Nova" w:hAnsi="Arial Nova"/>
        </w:rPr>
      </w:pPr>
      <w:r w:rsidRPr="0047737E">
        <w:rPr>
          <w:rFonts w:ascii="Arial Nova" w:hAnsi="Arial Nova"/>
        </w:rPr>
        <w:t>Biological father absence was categorised by father being present, father not living with the child when the child was less than 5 years old, and father not living with the child when the child was more than 5 years old, and less than 10 years old.</w:t>
      </w:r>
      <w:r w:rsidR="00F61400">
        <w:rPr>
          <w:rFonts w:ascii="Arial Nova" w:hAnsi="Arial Nova"/>
        </w:rPr>
        <w:t xml:space="preserve"> </w:t>
      </w:r>
      <w:r w:rsidR="004F02A4">
        <w:rPr>
          <w:rFonts w:ascii="Arial Nova" w:hAnsi="Arial Nova"/>
        </w:rPr>
        <w:t xml:space="preserve">Father absence was categorised in this way as there is evidence that father absence before the age of 5 </w:t>
      </w:r>
      <w:r w:rsidR="008B62C2">
        <w:rPr>
          <w:rFonts w:ascii="Arial Nova" w:hAnsi="Arial Nova"/>
        </w:rPr>
        <w:t>is more strongly associated with depressive symptoms compared to later in childhood</w:t>
      </w:r>
      <w:r w:rsidR="00471221">
        <w:rPr>
          <w:rFonts w:ascii="Arial Nova" w:hAnsi="Arial Nova"/>
        </w:rPr>
        <w:t xml:space="preserve"> </w:t>
      </w:r>
      <w:r w:rsidR="00471221">
        <w:rPr>
          <w:rFonts w:ascii="Arial Nova" w:hAnsi="Arial Nova"/>
          <w:noProof/>
        </w:rPr>
        <w:t>(Culpin</w:t>
      </w:r>
      <w:r w:rsidR="00471221" w:rsidRPr="00471221">
        <w:rPr>
          <w:rFonts w:ascii="Arial Nova" w:hAnsi="Arial Nova"/>
          <w:i/>
          <w:noProof/>
        </w:rPr>
        <w:t xml:space="preserve"> et al.</w:t>
      </w:r>
      <w:r w:rsidR="00471221">
        <w:rPr>
          <w:rFonts w:ascii="Arial Nova" w:hAnsi="Arial Nova"/>
          <w:noProof/>
        </w:rPr>
        <w:t>, 2014; Alvergne</w:t>
      </w:r>
      <w:r w:rsidR="00471221" w:rsidRPr="00471221">
        <w:rPr>
          <w:rFonts w:ascii="Arial Nova" w:hAnsi="Arial Nova"/>
          <w:i/>
          <w:noProof/>
        </w:rPr>
        <w:t xml:space="preserve"> et al.</w:t>
      </w:r>
      <w:r w:rsidR="00471221">
        <w:rPr>
          <w:rFonts w:ascii="Arial Nova" w:hAnsi="Arial Nova"/>
          <w:noProof/>
        </w:rPr>
        <w:t>, 2008)</w:t>
      </w:r>
      <w:r w:rsidR="00471221">
        <w:rPr>
          <w:rFonts w:ascii="Arial Nova" w:hAnsi="Arial Nova"/>
        </w:rPr>
        <w:t>.</w:t>
      </w:r>
    </w:p>
    <w:p w14:paraId="097AEFB6" w14:textId="44EF49EC" w:rsidR="003224B2" w:rsidRPr="0047737E" w:rsidRDefault="003224B2" w:rsidP="00816A88">
      <w:pPr>
        <w:spacing w:line="480" w:lineRule="auto"/>
        <w:rPr>
          <w:rFonts w:ascii="Arial Nova" w:hAnsi="Arial Nova"/>
        </w:rPr>
      </w:pPr>
      <w:r w:rsidRPr="0047737E">
        <w:rPr>
          <w:rFonts w:ascii="Arial Nova" w:hAnsi="Arial Nova"/>
        </w:rPr>
        <w:t>Child’s BMI was obtained from height and weight measurements obtained during a research clinic attended at age 9 years (three-level categorical BMI variable: lowest BMI &lt;15; mid-range BMI 15–20; highest BMI &gt;20)</w:t>
      </w:r>
      <w:r w:rsidR="00330757" w:rsidRPr="0047737E">
        <w:rPr>
          <w:rFonts w:ascii="Arial Nova" w:hAnsi="Arial Nova"/>
        </w:rPr>
        <w:t>.</w:t>
      </w:r>
    </w:p>
    <w:p w14:paraId="483B74F6" w14:textId="01A94314" w:rsidR="00A05E51" w:rsidRDefault="00A05E51" w:rsidP="00B4458E">
      <w:pPr>
        <w:pStyle w:val="Heading2"/>
        <w:spacing w:line="480" w:lineRule="auto"/>
      </w:pPr>
      <w:r w:rsidRPr="00A05E51">
        <w:t xml:space="preserve"> </w:t>
      </w:r>
      <w:r>
        <w:t>Linear regression analyses</w:t>
      </w:r>
    </w:p>
    <w:p w14:paraId="4729C9B9" w14:textId="66D37B34" w:rsidR="00A05E51" w:rsidRPr="00A05E51" w:rsidRDefault="00A05E51" w:rsidP="00B4458E">
      <w:pPr>
        <w:spacing w:line="480" w:lineRule="auto"/>
      </w:pPr>
      <w:r w:rsidRPr="00B4458E">
        <w:rPr>
          <w:rFonts w:ascii="Arial Nova" w:hAnsi="Arial Nova"/>
        </w:rPr>
        <w:t xml:space="preserve">We perform linear regression analysis of age at menarche on depressive symptoms at ages 14, 18 and 24. The analysis included participants who reported their age at menarche and complete SMFQ information. </w:t>
      </w:r>
    </w:p>
    <w:p w14:paraId="76A7FF5F" w14:textId="77777777" w:rsidR="000C19C5" w:rsidRPr="00A05E51" w:rsidRDefault="000C19C5" w:rsidP="00B4458E">
      <w:pPr>
        <w:pStyle w:val="Heading2"/>
        <w:spacing w:line="480" w:lineRule="auto"/>
      </w:pPr>
      <w:r w:rsidRPr="00A05E51">
        <w:t>Imputation for linear regression models</w:t>
      </w:r>
    </w:p>
    <w:p w14:paraId="25FCD1EE" w14:textId="0B2708E4" w:rsidR="000C19C5" w:rsidRPr="0047737E" w:rsidRDefault="000C19C5" w:rsidP="00816A88">
      <w:pPr>
        <w:spacing w:line="480" w:lineRule="auto"/>
        <w:rPr>
          <w:rFonts w:ascii="Arial Nova" w:hAnsi="Arial Nova"/>
        </w:rPr>
      </w:pPr>
      <w:r w:rsidRPr="0047737E">
        <w:rPr>
          <w:rFonts w:ascii="Arial Nova" w:hAnsi="Arial Nova"/>
        </w:rPr>
        <w:t xml:space="preserve">Imputation for the individual linear regression models was performed in Stata using Full Conditional Specification (ice reference) </w:t>
      </w:r>
      <w:r w:rsidR="00282BE3" w:rsidRPr="0047737E">
        <w:rPr>
          <w:rFonts w:ascii="Arial Nova" w:hAnsi="Arial Nova"/>
          <w:noProof/>
        </w:rPr>
        <w:t>(StataCorp LP., 2011)</w:t>
      </w:r>
      <w:r w:rsidR="00282BE3" w:rsidRPr="0047737E">
        <w:rPr>
          <w:rFonts w:ascii="Arial Nova" w:hAnsi="Arial Nova"/>
        </w:rPr>
        <w:t>.</w:t>
      </w:r>
      <w:r w:rsidRPr="0047737E">
        <w:rPr>
          <w:rFonts w:ascii="Arial Nova" w:hAnsi="Arial Nova"/>
        </w:rPr>
        <w:t xml:space="preserve"> This was performed on the 4065 individuals who reported their age at menarche and completed the SMFQ questionnaire for at least one timepoint.</w:t>
      </w:r>
    </w:p>
    <w:p w14:paraId="6F0E5905" w14:textId="77777777" w:rsidR="000C19C5" w:rsidRDefault="000C19C5" w:rsidP="00816A88">
      <w:pPr>
        <w:spacing w:line="480" w:lineRule="auto"/>
        <w:rPr>
          <w:rFonts w:ascii="Arial Nova" w:hAnsi="Arial Nova"/>
        </w:rPr>
      </w:pPr>
      <w:r w:rsidRPr="0047737E">
        <w:rPr>
          <w:rFonts w:ascii="Arial Nova" w:hAnsi="Arial Nova"/>
        </w:rPr>
        <w:lastRenderedPageBreak/>
        <w:t xml:space="preserve">Missing data for the nine SMFQ measures was imputed using prediction mean matching whilst confounders were imputed using either binary logistic, multinomial logistic or ordinal as appropriate.  A series of additional auxiliary variables, comprising parity, family income, maternal substance </w:t>
      </w:r>
      <w:proofErr w:type="gramStart"/>
      <w:r w:rsidRPr="0047737E">
        <w:rPr>
          <w:rFonts w:ascii="Arial Nova" w:hAnsi="Arial Nova"/>
        </w:rPr>
        <w:t>use</w:t>
      </w:r>
      <w:proofErr w:type="gramEnd"/>
      <w:r w:rsidRPr="0047737E">
        <w:rPr>
          <w:rFonts w:ascii="Arial Nova" w:hAnsi="Arial Nova"/>
        </w:rPr>
        <w:t xml:space="preserve"> at age 12, and young person’s substance use at age 13 were included. Twenty cycles of regression switching were used, and 100 imputed datasets were produced.  Monte Carlo errors were examined as a guide for determining an appropriate number of imputed datasets.</w:t>
      </w:r>
    </w:p>
    <w:p w14:paraId="4D7A36E5" w14:textId="316CB5F8" w:rsidR="00C077A7" w:rsidRPr="0047737E" w:rsidRDefault="00C077A7" w:rsidP="00816A88">
      <w:pPr>
        <w:pStyle w:val="Heading2"/>
        <w:spacing w:line="480" w:lineRule="auto"/>
      </w:pPr>
      <w:r w:rsidRPr="0047737E">
        <w:t>References</w:t>
      </w:r>
    </w:p>
    <w:p w14:paraId="62110843" w14:textId="77777777" w:rsidR="00523C23" w:rsidRPr="00B4458E" w:rsidRDefault="00523C23" w:rsidP="00B4458E">
      <w:pPr>
        <w:pStyle w:val="EndNoteBibliography"/>
        <w:spacing w:after="0" w:line="480" w:lineRule="auto"/>
        <w:ind w:left="720" w:hanging="720"/>
        <w:rPr>
          <w:rFonts w:ascii="Arial Nova" w:hAnsi="Arial Nova"/>
        </w:rPr>
      </w:pPr>
      <w:r w:rsidRPr="00B4458E">
        <w:rPr>
          <w:rFonts w:ascii="Arial Nova" w:hAnsi="Arial Nova"/>
          <w:b/>
        </w:rPr>
        <w:t>Alvergne A, Faurie C and Raymond M</w:t>
      </w:r>
      <w:r w:rsidRPr="00B4458E">
        <w:rPr>
          <w:rFonts w:ascii="Arial Nova" w:hAnsi="Arial Nova"/>
        </w:rPr>
        <w:t xml:space="preserve">. (2008) Developmental plasticity of human reproductive development: effects of early family environment in modern-day France. </w:t>
      </w:r>
      <w:r w:rsidRPr="00B4458E">
        <w:rPr>
          <w:rFonts w:ascii="Arial Nova" w:hAnsi="Arial Nova"/>
          <w:i/>
        </w:rPr>
        <w:t>Physiol Behav</w:t>
      </w:r>
      <w:r w:rsidRPr="00B4458E">
        <w:rPr>
          <w:rFonts w:ascii="Arial Nova" w:hAnsi="Arial Nova"/>
        </w:rPr>
        <w:t xml:space="preserve"> </w:t>
      </w:r>
      <w:r w:rsidRPr="00B4458E">
        <w:rPr>
          <w:rFonts w:ascii="Arial Nova" w:hAnsi="Arial Nova"/>
          <w:b/>
        </w:rPr>
        <w:t>95</w:t>
      </w:r>
      <w:r w:rsidRPr="00B4458E">
        <w:rPr>
          <w:rFonts w:ascii="Arial Nova" w:hAnsi="Arial Nova"/>
        </w:rPr>
        <w:t>: 625-632.</w:t>
      </w:r>
    </w:p>
    <w:p w14:paraId="4276E222" w14:textId="77777777" w:rsidR="00523C23" w:rsidRPr="00B4458E" w:rsidRDefault="00523C23" w:rsidP="00B4458E">
      <w:pPr>
        <w:pStyle w:val="EndNoteBibliography"/>
        <w:spacing w:after="0" w:line="480" w:lineRule="auto"/>
        <w:ind w:left="720" w:hanging="720"/>
        <w:rPr>
          <w:rFonts w:ascii="Arial Nova" w:hAnsi="Arial Nova"/>
        </w:rPr>
      </w:pPr>
      <w:r w:rsidRPr="00B4458E">
        <w:rPr>
          <w:rFonts w:ascii="Arial Nova" w:hAnsi="Arial Nova"/>
          <w:b/>
        </w:rPr>
        <w:t>Culpin I, Heron J, Araya R, Melotti R, Lewis G and Joinson C</w:t>
      </w:r>
      <w:r w:rsidRPr="00B4458E">
        <w:rPr>
          <w:rFonts w:ascii="Arial Nova" w:hAnsi="Arial Nova"/>
        </w:rPr>
        <w:t xml:space="preserve">. (2014) Father absence and timing of menarche in adolescent girls from a UK cohort: the mediating role of maternal depression and major financial problems. </w:t>
      </w:r>
      <w:r w:rsidRPr="00B4458E">
        <w:rPr>
          <w:rFonts w:ascii="Arial Nova" w:hAnsi="Arial Nova"/>
          <w:i/>
        </w:rPr>
        <w:t>J Adolesc</w:t>
      </w:r>
      <w:r w:rsidRPr="00B4458E">
        <w:rPr>
          <w:rFonts w:ascii="Arial Nova" w:hAnsi="Arial Nova"/>
        </w:rPr>
        <w:t xml:space="preserve"> </w:t>
      </w:r>
      <w:r w:rsidRPr="00B4458E">
        <w:rPr>
          <w:rFonts w:ascii="Arial Nova" w:hAnsi="Arial Nova"/>
          <w:b/>
        </w:rPr>
        <w:t>37</w:t>
      </w:r>
      <w:r w:rsidRPr="00B4458E">
        <w:rPr>
          <w:rFonts w:ascii="Arial Nova" w:hAnsi="Arial Nova"/>
        </w:rPr>
        <w:t>: 291-301.</w:t>
      </w:r>
    </w:p>
    <w:p w14:paraId="39E2E7B7" w14:textId="4D9A88DF" w:rsidR="004C5AEA" w:rsidRPr="004C5AEA" w:rsidRDefault="000247C3" w:rsidP="00DF2E3C">
      <w:pPr>
        <w:pStyle w:val="EndNoteBibliography"/>
        <w:spacing w:after="0" w:line="480" w:lineRule="auto"/>
        <w:ind w:left="720" w:hanging="720"/>
        <w:rPr>
          <w:rFonts w:ascii="Arial Nova" w:hAnsi="Arial Nova"/>
        </w:rPr>
      </w:pPr>
      <w:r w:rsidRPr="004C5AEA">
        <w:rPr>
          <w:rFonts w:ascii="Arial Nova" w:hAnsi="Arial Nova"/>
          <w:b/>
        </w:rPr>
        <w:t>Joinson C, Heron J, Araya R and Lewis G</w:t>
      </w:r>
      <w:r w:rsidRPr="004C5AEA">
        <w:rPr>
          <w:rFonts w:ascii="Arial Nova" w:hAnsi="Arial Nova"/>
        </w:rPr>
        <w:t xml:space="preserve">. (2013) Early menarche and depressive symptoms from adolescence to young adulthood in a UK cohort. </w:t>
      </w:r>
      <w:r w:rsidRPr="004C5AEA">
        <w:rPr>
          <w:rFonts w:ascii="Arial Nova" w:hAnsi="Arial Nova"/>
          <w:i/>
        </w:rPr>
        <w:t>J Am Acad Child Adolesc Psychiatry</w:t>
      </w:r>
      <w:r w:rsidRPr="004C5AEA">
        <w:rPr>
          <w:rFonts w:ascii="Arial Nova" w:hAnsi="Arial Nova"/>
        </w:rPr>
        <w:t xml:space="preserve"> </w:t>
      </w:r>
      <w:r w:rsidRPr="004C5AEA">
        <w:rPr>
          <w:rFonts w:ascii="Arial Nova" w:hAnsi="Arial Nova"/>
          <w:b/>
        </w:rPr>
        <w:t>52</w:t>
      </w:r>
      <w:r w:rsidRPr="004C5AEA">
        <w:rPr>
          <w:rFonts w:ascii="Arial Nova" w:hAnsi="Arial Nova"/>
        </w:rPr>
        <w:t>: 591-598 e592.</w:t>
      </w:r>
    </w:p>
    <w:p w14:paraId="471677EB" w14:textId="13BEE1D1" w:rsidR="00D06722" w:rsidRDefault="00FD738F" w:rsidP="00B4458E">
      <w:pPr>
        <w:pStyle w:val="EndNoteBibliography"/>
        <w:spacing w:after="0" w:line="480" w:lineRule="auto"/>
        <w:ind w:left="720" w:hanging="720"/>
      </w:pPr>
      <w:r w:rsidRPr="004C5AEA">
        <w:rPr>
          <w:rFonts w:ascii="Arial Nova" w:hAnsi="Arial Nova"/>
          <w:b/>
        </w:rPr>
        <w:t>StataCorp LP.</w:t>
      </w:r>
      <w:r w:rsidRPr="004C5AEA">
        <w:rPr>
          <w:rFonts w:ascii="Arial Nova" w:hAnsi="Arial Nova"/>
        </w:rPr>
        <w:t xml:space="preserve"> (2011) </w:t>
      </w:r>
      <w:r w:rsidRPr="004C5AEA">
        <w:rPr>
          <w:rFonts w:ascii="Arial Nova" w:hAnsi="Arial Nova"/>
          <w:i/>
        </w:rPr>
        <w:t xml:space="preserve">Stata multiple-imputation reference manual : release 12, </w:t>
      </w:r>
      <w:r w:rsidRPr="004C5AEA">
        <w:rPr>
          <w:rFonts w:ascii="Arial Nova" w:hAnsi="Arial Nova"/>
        </w:rPr>
        <w:t>College Station, Tex.: Stata Press.</w:t>
      </w:r>
    </w:p>
    <w:sectPr w:rsidR="00D06722" w:rsidSect="00B4458E">
      <w:footerReference w:type="default" r:id="rId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D27D" w14:textId="77777777" w:rsidR="00B13642" w:rsidRDefault="00B13642" w:rsidP="00783F4D">
      <w:pPr>
        <w:spacing w:after="0" w:line="240" w:lineRule="auto"/>
      </w:pPr>
      <w:r>
        <w:separator/>
      </w:r>
    </w:p>
  </w:endnote>
  <w:endnote w:type="continuationSeparator" w:id="0">
    <w:p w14:paraId="4958532A" w14:textId="77777777" w:rsidR="00B13642" w:rsidRDefault="00B13642" w:rsidP="00783F4D">
      <w:pPr>
        <w:spacing w:after="0" w:line="240" w:lineRule="auto"/>
      </w:pPr>
      <w:r>
        <w:continuationSeparator/>
      </w:r>
    </w:p>
  </w:endnote>
  <w:endnote w:type="continuationNotice" w:id="1">
    <w:p w14:paraId="044528AD" w14:textId="77777777" w:rsidR="00B13642" w:rsidRDefault="00B13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2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24386"/>
      <w:docPartObj>
        <w:docPartGallery w:val="Page Numbers (Bottom of Page)"/>
        <w:docPartUnique/>
      </w:docPartObj>
    </w:sdtPr>
    <w:sdtEndPr>
      <w:rPr>
        <w:noProof/>
      </w:rPr>
    </w:sdtEndPr>
    <w:sdtContent>
      <w:p w14:paraId="56D56786" w14:textId="6FC1756E" w:rsidR="00851188" w:rsidRDefault="0085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0FAEF" w14:textId="77777777" w:rsidR="00851188" w:rsidRDefault="0085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BFA7" w14:textId="77777777" w:rsidR="00B13642" w:rsidRDefault="00B13642" w:rsidP="00783F4D">
      <w:pPr>
        <w:spacing w:after="0" w:line="240" w:lineRule="auto"/>
      </w:pPr>
      <w:r>
        <w:separator/>
      </w:r>
    </w:p>
  </w:footnote>
  <w:footnote w:type="continuationSeparator" w:id="0">
    <w:p w14:paraId="18C8934A" w14:textId="77777777" w:rsidR="00B13642" w:rsidRDefault="00B13642" w:rsidP="00783F4D">
      <w:pPr>
        <w:spacing w:after="0" w:line="240" w:lineRule="auto"/>
      </w:pPr>
      <w:r>
        <w:continuationSeparator/>
      </w:r>
    </w:p>
  </w:footnote>
  <w:footnote w:type="continuationNotice" w:id="1">
    <w:p w14:paraId="362CD503" w14:textId="77777777" w:rsidR="00B13642" w:rsidRDefault="00B1364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Epidemiol Psychiatr Sci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f0fz9x0dzt0jewffoxef2js0pv2a22a5ve&quot;&gt;PhD-Converted&lt;record-ids&gt;&lt;item&gt;3249&lt;/item&gt;&lt;item&gt;3250&lt;/item&gt;&lt;item&gt;3251&lt;/item&gt;&lt;/record-ids&gt;&lt;/item&gt;&lt;/Libraries&gt;"/>
  </w:docVars>
  <w:rsids>
    <w:rsidRoot w:val="00783F4D"/>
    <w:rsid w:val="00002AC8"/>
    <w:rsid w:val="00017FBD"/>
    <w:rsid w:val="000244F3"/>
    <w:rsid w:val="000247C3"/>
    <w:rsid w:val="00027C1C"/>
    <w:rsid w:val="0005740E"/>
    <w:rsid w:val="00057B66"/>
    <w:rsid w:val="00061759"/>
    <w:rsid w:val="0007005B"/>
    <w:rsid w:val="00071D82"/>
    <w:rsid w:val="000A067D"/>
    <w:rsid w:val="000A3C8F"/>
    <w:rsid w:val="000A419A"/>
    <w:rsid w:val="000C19C5"/>
    <w:rsid w:val="000C2F6A"/>
    <w:rsid w:val="000C45AA"/>
    <w:rsid w:val="000D07C0"/>
    <w:rsid w:val="000E116F"/>
    <w:rsid w:val="00124033"/>
    <w:rsid w:val="0013558C"/>
    <w:rsid w:val="001436B8"/>
    <w:rsid w:val="00146D49"/>
    <w:rsid w:val="00163536"/>
    <w:rsid w:val="00167071"/>
    <w:rsid w:val="00171906"/>
    <w:rsid w:val="00171F71"/>
    <w:rsid w:val="001757AF"/>
    <w:rsid w:val="001758B0"/>
    <w:rsid w:val="00182618"/>
    <w:rsid w:val="00186F7C"/>
    <w:rsid w:val="00196681"/>
    <w:rsid w:val="00196F90"/>
    <w:rsid w:val="001A50FD"/>
    <w:rsid w:val="001A54A8"/>
    <w:rsid w:val="001B6B0E"/>
    <w:rsid w:val="001B6CB0"/>
    <w:rsid w:val="001C1CEB"/>
    <w:rsid w:val="001C5811"/>
    <w:rsid w:val="001D00A6"/>
    <w:rsid w:val="001E432F"/>
    <w:rsid w:val="001F4BFD"/>
    <w:rsid w:val="001F5696"/>
    <w:rsid w:val="00203D85"/>
    <w:rsid w:val="00220D91"/>
    <w:rsid w:val="00231A83"/>
    <w:rsid w:val="00234E94"/>
    <w:rsid w:val="0024393B"/>
    <w:rsid w:val="00260238"/>
    <w:rsid w:val="00282BE3"/>
    <w:rsid w:val="002916B6"/>
    <w:rsid w:val="002A25FE"/>
    <w:rsid w:val="002A4BC2"/>
    <w:rsid w:val="002A5725"/>
    <w:rsid w:val="002C1D65"/>
    <w:rsid w:val="002E6771"/>
    <w:rsid w:val="002E6D5A"/>
    <w:rsid w:val="00310228"/>
    <w:rsid w:val="00314C08"/>
    <w:rsid w:val="00316948"/>
    <w:rsid w:val="00320218"/>
    <w:rsid w:val="003224B2"/>
    <w:rsid w:val="00322814"/>
    <w:rsid w:val="00330757"/>
    <w:rsid w:val="00331A49"/>
    <w:rsid w:val="00332801"/>
    <w:rsid w:val="00336CA3"/>
    <w:rsid w:val="0035061E"/>
    <w:rsid w:val="003575FC"/>
    <w:rsid w:val="0036182B"/>
    <w:rsid w:val="00386074"/>
    <w:rsid w:val="00397A71"/>
    <w:rsid w:val="003A0956"/>
    <w:rsid w:val="003B3552"/>
    <w:rsid w:val="003C0447"/>
    <w:rsid w:val="003C3A1C"/>
    <w:rsid w:val="003C799E"/>
    <w:rsid w:val="003C7AAC"/>
    <w:rsid w:val="003C7EA4"/>
    <w:rsid w:val="003E07F6"/>
    <w:rsid w:val="003E23C5"/>
    <w:rsid w:val="003F5FBD"/>
    <w:rsid w:val="00400DD1"/>
    <w:rsid w:val="0040305A"/>
    <w:rsid w:val="00403C28"/>
    <w:rsid w:val="00411FAC"/>
    <w:rsid w:val="00413D7E"/>
    <w:rsid w:val="00430E58"/>
    <w:rsid w:val="00454E3F"/>
    <w:rsid w:val="00455B58"/>
    <w:rsid w:val="00457B01"/>
    <w:rsid w:val="00457F4C"/>
    <w:rsid w:val="00471221"/>
    <w:rsid w:val="00472355"/>
    <w:rsid w:val="00474843"/>
    <w:rsid w:val="0047737E"/>
    <w:rsid w:val="00493B15"/>
    <w:rsid w:val="00494A85"/>
    <w:rsid w:val="00495AF4"/>
    <w:rsid w:val="004C3743"/>
    <w:rsid w:val="004C5AEA"/>
    <w:rsid w:val="004C7DA3"/>
    <w:rsid w:val="004D30EC"/>
    <w:rsid w:val="004E2FE3"/>
    <w:rsid w:val="004E34A2"/>
    <w:rsid w:val="004F02A4"/>
    <w:rsid w:val="0050547F"/>
    <w:rsid w:val="0051147F"/>
    <w:rsid w:val="005126C5"/>
    <w:rsid w:val="00523C23"/>
    <w:rsid w:val="005404C9"/>
    <w:rsid w:val="005462BE"/>
    <w:rsid w:val="00562ED9"/>
    <w:rsid w:val="00567E0F"/>
    <w:rsid w:val="0057195F"/>
    <w:rsid w:val="00582833"/>
    <w:rsid w:val="00584879"/>
    <w:rsid w:val="005903D6"/>
    <w:rsid w:val="005A0411"/>
    <w:rsid w:val="005A3B77"/>
    <w:rsid w:val="005A6C14"/>
    <w:rsid w:val="005C0D23"/>
    <w:rsid w:val="005C2407"/>
    <w:rsid w:val="005C7550"/>
    <w:rsid w:val="005D67B7"/>
    <w:rsid w:val="005E2E1F"/>
    <w:rsid w:val="006008D2"/>
    <w:rsid w:val="006011E8"/>
    <w:rsid w:val="00602584"/>
    <w:rsid w:val="00602CCC"/>
    <w:rsid w:val="00622EA0"/>
    <w:rsid w:val="00646DE8"/>
    <w:rsid w:val="00653BAD"/>
    <w:rsid w:val="00655261"/>
    <w:rsid w:val="00655B1C"/>
    <w:rsid w:val="006670A8"/>
    <w:rsid w:val="00683336"/>
    <w:rsid w:val="006866E9"/>
    <w:rsid w:val="006948C2"/>
    <w:rsid w:val="00697065"/>
    <w:rsid w:val="006A47A6"/>
    <w:rsid w:val="006A5173"/>
    <w:rsid w:val="006B2360"/>
    <w:rsid w:val="006B66E1"/>
    <w:rsid w:val="006C6A7E"/>
    <w:rsid w:val="006D6169"/>
    <w:rsid w:val="006E469A"/>
    <w:rsid w:val="006E5955"/>
    <w:rsid w:val="006F75BC"/>
    <w:rsid w:val="006F7984"/>
    <w:rsid w:val="006F7D96"/>
    <w:rsid w:val="00702F9D"/>
    <w:rsid w:val="00713D5C"/>
    <w:rsid w:val="00716C06"/>
    <w:rsid w:val="0073469B"/>
    <w:rsid w:val="0074249A"/>
    <w:rsid w:val="007447B5"/>
    <w:rsid w:val="00764881"/>
    <w:rsid w:val="00772361"/>
    <w:rsid w:val="00783F4D"/>
    <w:rsid w:val="00785F54"/>
    <w:rsid w:val="007B44E2"/>
    <w:rsid w:val="007D0807"/>
    <w:rsid w:val="007D5E05"/>
    <w:rsid w:val="0080537A"/>
    <w:rsid w:val="00816A88"/>
    <w:rsid w:val="0081734A"/>
    <w:rsid w:val="008208C0"/>
    <w:rsid w:val="00824359"/>
    <w:rsid w:val="00851188"/>
    <w:rsid w:val="00872F49"/>
    <w:rsid w:val="008777CE"/>
    <w:rsid w:val="008916C7"/>
    <w:rsid w:val="00892BFE"/>
    <w:rsid w:val="008A768F"/>
    <w:rsid w:val="008B62C2"/>
    <w:rsid w:val="008B73C7"/>
    <w:rsid w:val="008E2406"/>
    <w:rsid w:val="008F2AFD"/>
    <w:rsid w:val="008F2CD0"/>
    <w:rsid w:val="009015A5"/>
    <w:rsid w:val="0090616F"/>
    <w:rsid w:val="0091485B"/>
    <w:rsid w:val="009210F9"/>
    <w:rsid w:val="00925BC5"/>
    <w:rsid w:val="0092753D"/>
    <w:rsid w:val="00932CE0"/>
    <w:rsid w:val="009362CF"/>
    <w:rsid w:val="00942335"/>
    <w:rsid w:val="009438BA"/>
    <w:rsid w:val="00951083"/>
    <w:rsid w:val="00952C73"/>
    <w:rsid w:val="00954465"/>
    <w:rsid w:val="00957B76"/>
    <w:rsid w:val="00960379"/>
    <w:rsid w:val="00983D23"/>
    <w:rsid w:val="009A0048"/>
    <w:rsid w:val="009B525D"/>
    <w:rsid w:val="009C11AF"/>
    <w:rsid w:val="009C2FA1"/>
    <w:rsid w:val="009C4781"/>
    <w:rsid w:val="009C6891"/>
    <w:rsid w:val="009C6F08"/>
    <w:rsid w:val="009E45D2"/>
    <w:rsid w:val="009E775E"/>
    <w:rsid w:val="00A016F2"/>
    <w:rsid w:val="00A05C80"/>
    <w:rsid w:val="00A05E51"/>
    <w:rsid w:val="00A17D08"/>
    <w:rsid w:val="00A21425"/>
    <w:rsid w:val="00A429E1"/>
    <w:rsid w:val="00A517F1"/>
    <w:rsid w:val="00A66C0C"/>
    <w:rsid w:val="00A77C57"/>
    <w:rsid w:val="00A81878"/>
    <w:rsid w:val="00A8209A"/>
    <w:rsid w:val="00A826B9"/>
    <w:rsid w:val="00A922F7"/>
    <w:rsid w:val="00AA0993"/>
    <w:rsid w:val="00AA7F98"/>
    <w:rsid w:val="00AB1B4B"/>
    <w:rsid w:val="00AB606A"/>
    <w:rsid w:val="00AD6133"/>
    <w:rsid w:val="00AE168C"/>
    <w:rsid w:val="00AE6928"/>
    <w:rsid w:val="00AE78BD"/>
    <w:rsid w:val="00AF4AA1"/>
    <w:rsid w:val="00AF5F06"/>
    <w:rsid w:val="00B0595A"/>
    <w:rsid w:val="00B06ABF"/>
    <w:rsid w:val="00B13642"/>
    <w:rsid w:val="00B20B03"/>
    <w:rsid w:val="00B409B3"/>
    <w:rsid w:val="00B43119"/>
    <w:rsid w:val="00B43BFA"/>
    <w:rsid w:val="00B4458E"/>
    <w:rsid w:val="00B527EA"/>
    <w:rsid w:val="00B52AC9"/>
    <w:rsid w:val="00B52CF0"/>
    <w:rsid w:val="00B6117F"/>
    <w:rsid w:val="00B75F20"/>
    <w:rsid w:val="00B844B2"/>
    <w:rsid w:val="00B9037A"/>
    <w:rsid w:val="00B91E5C"/>
    <w:rsid w:val="00B94EF2"/>
    <w:rsid w:val="00BA1F2B"/>
    <w:rsid w:val="00BB047B"/>
    <w:rsid w:val="00BB087C"/>
    <w:rsid w:val="00BB3FD2"/>
    <w:rsid w:val="00BC330D"/>
    <w:rsid w:val="00BD37F0"/>
    <w:rsid w:val="00BD4089"/>
    <w:rsid w:val="00BD4452"/>
    <w:rsid w:val="00BD5EF6"/>
    <w:rsid w:val="00BF5D61"/>
    <w:rsid w:val="00C077A7"/>
    <w:rsid w:val="00C10888"/>
    <w:rsid w:val="00C11259"/>
    <w:rsid w:val="00C13F79"/>
    <w:rsid w:val="00C159CF"/>
    <w:rsid w:val="00C20E5E"/>
    <w:rsid w:val="00C23F75"/>
    <w:rsid w:val="00C36A77"/>
    <w:rsid w:val="00C4378D"/>
    <w:rsid w:val="00C61D2F"/>
    <w:rsid w:val="00C61F61"/>
    <w:rsid w:val="00C63386"/>
    <w:rsid w:val="00C84354"/>
    <w:rsid w:val="00C9068D"/>
    <w:rsid w:val="00C933BB"/>
    <w:rsid w:val="00C9602D"/>
    <w:rsid w:val="00CA5CF8"/>
    <w:rsid w:val="00CB0EB6"/>
    <w:rsid w:val="00CB5529"/>
    <w:rsid w:val="00CB5F9F"/>
    <w:rsid w:val="00CB6804"/>
    <w:rsid w:val="00CD0045"/>
    <w:rsid w:val="00CE44FD"/>
    <w:rsid w:val="00D02ED9"/>
    <w:rsid w:val="00D06722"/>
    <w:rsid w:val="00D07182"/>
    <w:rsid w:val="00D17B1E"/>
    <w:rsid w:val="00D245F8"/>
    <w:rsid w:val="00D25DD8"/>
    <w:rsid w:val="00D30E00"/>
    <w:rsid w:val="00D51867"/>
    <w:rsid w:val="00D90C1F"/>
    <w:rsid w:val="00DA141B"/>
    <w:rsid w:val="00DA66FF"/>
    <w:rsid w:val="00DB1163"/>
    <w:rsid w:val="00DB2234"/>
    <w:rsid w:val="00DB4F2E"/>
    <w:rsid w:val="00DD2D78"/>
    <w:rsid w:val="00DD745B"/>
    <w:rsid w:val="00DF0E12"/>
    <w:rsid w:val="00DF1802"/>
    <w:rsid w:val="00DF2E3C"/>
    <w:rsid w:val="00E00240"/>
    <w:rsid w:val="00E14C05"/>
    <w:rsid w:val="00E171B5"/>
    <w:rsid w:val="00E200C7"/>
    <w:rsid w:val="00E21655"/>
    <w:rsid w:val="00E258FA"/>
    <w:rsid w:val="00E319C9"/>
    <w:rsid w:val="00E47548"/>
    <w:rsid w:val="00E53050"/>
    <w:rsid w:val="00E541DE"/>
    <w:rsid w:val="00E54FF8"/>
    <w:rsid w:val="00E57F38"/>
    <w:rsid w:val="00E61AA5"/>
    <w:rsid w:val="00E6417E"/>
    <w:rsid w:val="00E85199"/>
    <w:rsid w:val="00E86716"/>
    <w:rsid w:val="00E86DB9"/>
    <w:rsid w:val="00E90D3A"/>
    <w:rsid w:val="00EA42A4"/>
    <w:rsid w:val="00EA4962"/>
    <w:rsid w:val="00EB2F49"/>
    <w:rsid w:val="00EB4AE9"/>
    <w:rsid w:val="00EC62E0"/>
    <w:rsid w:val="00EC715D"/>
    <w:rsid w:val="00EC727F"/>
    <w:rsid w:val="00EE448F"/>
    <w:rsid w:val="00F41C1A"/>
    <w:rsid w:val="00F45A67"/>
    <w:rsid w:val="00F5798D"/>
    <w:rsid w:val="00F60736"/>
    <w:rsid w:val="00F61400"/>
    <w:rsid w:val="00F66F56"/>
    <w:rsid w:val="00F75A2B"/>
    <w:rsid w:val="00F75EFB"/>
    <w:rsid w:val="00F83B66"/>
    <w:rsid w:val="00F86CA8"/>
    <w:rsid w:val="00FA09A1"/>
    <w:rsid w:val="00FA65AF"/>
    <w:rsid w:val="00FA7081"/>
    <w:rsid w:val="00FB45EC"/>
    <w:rsid w:val="00FC14C9"/>
    <w:rsid w:val="00FD080C"/>
    <w:rsid w:val="00FD0982"/>
    <w:rsid w:val="00FD738F"/>
    <w:rsid w:val="00FE2110"/>
    <w:rsid w:val="00FF44AA"/>
    <w:rsid w:val="00FF71CC"/>
    <w:rsid w:val="00FF78E5"/>
    <w:rsid w:val="0615D7D0"/>
    <w:rsid w:val="1ACAE836"/>
    <w:rsid w:val="1BBE9BCF"/>
    <w:rsid w:val="38ACD688"/>
    <w:rsid w:val="3C943F37"/>
    <w:rsid w:val="486D0E82"/>
    <w:rsid w:val="4BA4AF44"/>
    <w:rsid w:val="5542BEC0"/>
    <w:rsid w:val="58F344EC"/>
    <w:rsid w:val="63BA8052"/>
    <w:rsid w:val="662790B7"/>
    <w:rsid w:val="67F83914"/>
    <w:rsid w:val="6E2E3972"/>
    <w:rsid w:val="6EA4424D"/>
    <w:rsid w:val="71EC593B"/>
    <w:rsid w:val="78C8DEA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2DE00"/>
  <w15:docId w15:val="{E61B0093-3786-454B-A6EA-10C163A4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4D"/>
  </w:style>
  <w:style w:type="paragraph" w:styleId="Heading1">
    <w:name w:val="heading 1"/>
    <w:basedOn w:val="Normal"/>
    <w:next w:val="Normal"/>
    <w:link w:val="Heading1Char"/>
    <w:uiPriority w:val="9"/>
    <w:qFormat/>
    <w:rsid w:val="0047737E"/>
    <w:pPr>
      <w:keepNext/>
      <w:keepLines/>
      <w:spacing w:before="360" w:after="120"/>
      <w:outlineLvl w:val="0"/>
    </w:pPr>
    <w:rPr>
      <w:rFonts w:ascii="Arial Nova" w:eastAsiaTheme="majorEastAsia" w:hAnsi="Arial Nova" w:cstheme="majorBidi"/>
      <w:b/>
      <w:sz w:val="32"/>
      <w:szCs w:val="32"/>
    </w:rPr>
  </w:style>
  <w:style w:type="paragraph" w:styleId="Heading2">
    <w:name w:val="heading 2"/>
    <w:basedOn w:val="Normal"/>
    <w:next w:val="Normal"/>
    <w:link w:val="Heading2Char"/>
    <w:uiPriority w:val="9"/>
    <w:unhideWhenUsed/>
    <w:qFormat/>
    <w:rsid w:val="0047737E"/>
    <w:pPr>
      <w:keepNext/>
      <w:keepLines/>
      <w:spacing w:before="160" w:after="120"/>
      <w:outlineLvl w:val="1"/>
    </w:pPr>
    <w:rPr>
      <w:rFonts w:ascii="Arial Nova" w:eastAsiaTheme="majorEastAsia" w:hAnsi="Arial Nova" w:cstheme="majorBidi"/>
      <w:b/>
      <w:sz w:val="28"/>
      <w:szCs w:val="26"/>
    </w:rPr>
  </w:style>
  <w:style w:type="paragraph" w:styleId="Heading3">
    <w:name w:val="heading 3"/>
    <w:basedOn w:val="Normal"/>
    <w:next w:val="Normal"/>
    <w:link w:val="Heading3Char"/>
    <w:uiPriority w:val="9"/>
    <w:unhideWhenUsed/>
    <w:qFormat/>
    <w:rsid w:val="0047737E"/>
    <w:pPr>
      <w:keepNext/>
      <w:keepLines/>
      <w:spacing w:before="160" w:after="120"/>
      <w:outlineLvl w:val="2"/>
    </w:pPr>
    <w:rPr>
      <w:rFonts w:ascii="Arial Nova" w:eastAsiaTheme="majorEastAsia" w:hAnsi="Arial Nov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737E"/>
    <w:rPr>
      <w:rFonts w:ascii="Arial Nova" w:eastAsiaTheme="majorEastAsia" w:hAnsi="Arial Nova" w:cstheme="majorBidi"/>
      <w:b/>
      <w:sz w:val="28"/>
      <w:szCs w:val="26"/>
    </w:rPr>
  </w:style>
  <w:style w:type="paragraph" w:styleId="Caption">
    <w:name w:val="caption"/>
    <w:basedOn w:val="Normal"/>
    <w:next w:val="Normal"/>
    <w:uiPriority w:val="35"/>
    <w:unhideWhenUsed/>
    <w:qFormat/>
    <w:rsid w:val="00783F4D"/>
    <w:pPr>
      <w:spacing w:after="200" w:line="240" w:lineRule="auto"/>
    </w:pPr>
    <w:rPr>
      <w:i/>
      <w:iCs/>
      <w:color w:val="44546A" w:themeColor="text2"/>
      <w:sz w:val="18"/>
      <w:szCs w:val="18"/>
    </w:rPr>
  </w:style>
  <w:style w:type="table" w:styleId="GridTable3-Accent3">
    <w:name w:val="Grid Table 3 Accent 3"/>
    <w:basedOn w:val="TableNormal"/>
    <w:uiPriority w:val="48"/>
    <w:rsid w:val="00783F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D06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22"/>
    <w:rPr>
      <w:rFonts w:ascii="Segoe UI" w:hAnsi="Segoe UI" w:cs="Segoe UI"/>
      <w:sz w:val="18"/>
      <w:szCs w:val="18"/>
    </w:rPr>
  </w:style>
  <w:style w:type="paragraph" w:customStyle="1" w:styleId="EndNoteBibliographyTitle">
    <w:name w:val="EndNote Bibliography Title"/>
    <w:basedOn w:val="Normal"/>
    <w:link w:val="EndNoteBibliographyTitleChar"/>
    <w:rsid w:val="00D25DD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25DD8"/>
    <w:rPr>
      <w:rFonts w:ascii="Calibri" w:hAnsi="Calibri" w:cs="Calibri"/>
      <w:noProof/>
      <w:lang w:val="en-US"/>
    </w:rPr>
  </w:style>
  <w:style w:type="paragraph" w:customStyle="1" w:styleId="EndNoteBibliography">
    <w:name w:val="EndNote Bibliography"/>
    <w:basedOn w:val="Normal"/>
    <w:link w:val="EndNoteBibliographyChar"/>
    <w:rsid w:val="00D25DD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25DD8"/>
    <w:rPr>
      <w:rFonts w:ascii="Calibri" w:hAnsi="Calibri" w:cs="Calibri"/>
      <w:noProof/>
      <w:lang w:val="en-US"/>
    </w:rPr>
  </w:style>
  <w:style w:type="character" w:customStyle="1" w:styleId="Heading1Char">
    <w:name w:val="Heading 1 Char"/>
    <w:basedOn w:val="DefaultParagraphFont"/>
    <w:link w:val="Heading1"/>
    <w:uiPriority w:val="9"/>
    <w:rsid w:val="0047737E"/>
    <w:rPr>
      <w:rFonts w:ascii="Arial Nova" w:eastAsiaTheme="majorEastAsia" w:hAnsi="Arial Nova" w:cstheme="majorBidi"/>
      <w:b/>
      <w:sz w:val="32"/>
      <w:szCs w:val="32"/>
    </w:rPr>
  </w:style>
  <w:style w:type="paragraph" w:styleId="Title">
    <w:name w:val="Title"/>
    <w:basedOn w:val="Normal"/>
    <w:next w:val="Normal"/>
    <w:link w:val="TitleChar"/>
    <w:uiPriority w:val="10"/>
    <w:qFormat/>
    <w:rsid w:val="00CB68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80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74843"/>
    <w:rPr>
      <w:sz w:val="16"/>
      <w:szCs w:val="16"/>
    </w:rPr>
  </w:style>
  <w:style w:type="paragraph" w:styleId="CommentText">
    <w:name w:val="annotation text"/>
    <w:basedOn w:val="Normal"/>
    <w:link w:val="CommentTextChar"/>
    <w:uiPriority w:val="99"/>
    <w:unhideWhenUsed/>
    <w:rsid w:val="00474843"/>
    <w:pPr>
      <w:spacing w:line="240" w:lineRule="auto"/>
    </w:pPr>
    <w:rPr>
      <w:sz w:val="20"/>
      <w:szCs w:val="20"/>
    </w:rPr>
  </w:style>
  <w:style w:type="character" w:customStyle="1" w:styleId="CommentTextChar">
    <w:name w:val="Comment Text Char"/>
    <w:basedOn w:val="DefaultParagraphFont"/>
    <w:link w:val="CommentText"/>
    <w:uiPriority w:val="99"/>
    <w:rsid w:val="00474843"/>
    <w:rPr>
      <w:sz w:val="20"/>
      <w:szCs w:val="20"/>
    </w:rPr>
  </w:style>
  <w:style w:type="paragraph" w:styleId="NoSpacing">
    <w:name w:val="No Spacing"/>
    <w:uiPriority w:val="1"/>
    <w:qFormat/>
    <w:rsid w:val="00CB5F9F"/>
    <w:pPr>
      <w:spacing w:after="0" w:line="240" w:lineRule="auto"/>
    </w:pPr>
  </w:style>
  <w:style w:type="table" w:styleId="TableGrid">
    <w:name w:val="Table Grid"/>
    <w:basedOn w:val="TableNormal"/>
    <w:uiPriority w:val="39"/>
    <w:rsid w:val="00F7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45A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3E23C5"/>
    <w:rPr>
      <w:b/>
      <w:bCs/>
    </w:rPr>
  </w:style>
  <w:style w:type="character" w:customStyle="1" w:styleId="CommentSubjectChar">
    <w:name w:val="Comment Subject Char"/>
    <w:basedOn w:val="CommentTextChar"/>
    <w:link w:val="CommentSubject"/>
    <w:uiPriority w:val="99"/>
    <w:semiHidden/>
    <w:rsid w:val="003E23C5"/>
    <w:rPr>
      <w:b/>
      <w:bCs/>
      <w:sz w:val="20"/>
      <w:szCs w:val="20"/>
    </w:rPr>
  </w:style>
  <w:style w:type="paragraph" w:styleId="Header">
    <w:name w:val="header"/>
    <w:basedOn w:val="Normal"/>
    <w:link w:val="HeaderChar"/>
    <w:uiPriority w:val="99"/>
    <w:unhideWhenUsed/>
    <w:rsid w:val="00772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361"/>
  </w:style>
  <w:style w:type="paragraph" w:styleId="Footer">
    <w:name w:val="footer"/>
    <w:basedOn w:val="Normal"/>
    <w:link w:val="FooterChar"/>
    <w:uiPriority w:val="99"/>
    <w:unhideWhenUsed/>
    <w:rsid w:val="00772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361"/>
  </w:style>
  <w:style w:type="character" w:customStyle="1" w:styleId="Heading3Char">
    <w:name w:val="Heading 3 Char"/>
    <w:basedOn w:val="DefaultParagraphFont"/>
    <w:link w:val="Heading3"/>
    <w:uiPriority w:val="9"/>
    <w:rsid w:val="0047737E"/>
    <w:rPr>
      <w:rFonts w:ascii="Arial Nova" w:eastAsiaTheme="majorEastAsia" w:hAnsi="Arial Nova" w:cstheme="majorBidi"/>
      <w:b/>
      <w:sz w:val="24"/>
      <w:szCs w:val="24"/>
    </w:rPr>
  </w:style>
  <w:style w:type="paragraph" w:styleId="Revision">
    <w:name w:val="Revision"/>
    <w:hidden/>
    <w:uiPriority w:val="99"/>
    <w:semiHidden/>
    <w:rsid w:val="004F02A4"/>
    <w:pPr>
      <w:spacing w:after="0" w:line="240" w:lineRule="auto"/>
    </w:pPr>
  </w:style>
  <w:style w:type="character" w:styleId="LineNumber">
    <w:name w:val="line number"/>
    <w:basedOn w:val="DefaultParagraphFont"/>
    <w:uiPriority w:val="99"/>
    <w:semiHidden/>
    <w:unhideWhenUsed/>
    <w:rsid w:val="0085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3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Prince</dc:creator>
  <cp:keywords/>
  <dc:description/>
  <cp:lastModifiedBy>Claire Prince</cp:lastModifiedBy>
  <cp:revision>17</cp:revision>
  <dcterms:created xsi:type="dcterms:W3CDTF">2023-06-07T17:34:00Z</dcterms:created>
  <dcterms:modified xsi:type="dcterms:W3CDTF">2023-09-18T14:59:00Z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f13dc-fde9-4565-8fe8-16daab2c2cf7_Enabled">
    <vt:lpwstr>True</vt:lpwstr>
  </property>
  <property fmtid="{D5CDD505-2E9C-101B-9397-08002B2CF9AE}" pid="3" name="MSIP_Label_7f8f13dc-fde9-4565-8fe8-16daab2c2cf7_SiteId">
    <vt:lpwstr>b2e47f30-cd7d-4a4e-a5da-b18cf1a4151b</vt:lpwstr>
  </property>
  <property fmtid="{D5CDD505-2E9C-101B-9397-08002B2CF9AE}" pid="4" name="MSIP_Label_7f8f13dc-fde9-4565-8fe8-16daab2c2cf7_Owner">
    <vt:lpwstr>cp17666@bristol.ac.uk</vt:lpwstr>
  </property>
  <property fmtid="{D5CDD505-2E9C-101B-9397-08002B2CF9AE}" pid="5" name="MSIP_Label_7f8f13dc-fde9-4565-8fe8-16daab2c2cf7_SetDate">
    <vt:lpwstr>2021-11-05T16:41:27.4640000Z</vt:lpwstr>
  </property>
  <property fmtid="{D5CDD505-2E9C-101B-9397-08002B2CF9AE}" pid="6" name="MSIP_Label_7f8f13dc-fde9-4565-8fe8-16daab2c2cf7_Name">
    <vt:lpwstr>Not classifiable or in progress</vt:lpwstr>
  </property>
  <property fmtid="{D5CDD505-2E9C-101B-9397-08002B2CF9AE}" pid="7" name="MSIP_Label_7f8f13dc-fde9-4565-8fe8-16daab2c2cf7_Application">
    <vt:lpwstr>Microsoft Azure Information Protection</vt:lpwstr>
  </property>
  <property fmtid="{D5CDD505-2E9C-101B-9397-08002B2CF9AE}" pid="8" name="MSIP_Label_7f8f13dc-fde9-4565-8fe8-16daab2c2cf7_ActionId">
    <vt:lpwstr>45e68f0e-6739-4bfa-8ff5-7b751b8d3931</vt:lpwstr>
  </property>
  <property fmtid="{D5CDD505-2E9C-101B-9397-08002B2CF9AE}" pid="9" name="MSIP_Label_7f8f13dc-fde9-4565-8fe8-16daab2c2cf7_Extended_MSFT_Method">
    <vt:lpwstr>Manual</vt:lpwstr>
  </property>
  <property fmtid="{D5CDD505-2E9C-101B-9397-08002B2CF9AE}" pid="10" name="Sensitivity">
    <vt:lpwstr>Not classifiable or in progress</vt:lpwstr>
  </property>
</Properties>
</file>