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CA6" w:rsidRPr="00D83B98" w:rsidRDefault="00957D22">
      <w:pPr>
        <w:jc w:val="center"/>
        <w:rPr>
          <w:rFonts w:ascii="Arial" w:hAnsi="Arial"/>
          <w:b/>
          <w:bCs/>
        </w:rPr>
      </w:pPr>
      <w:proofErr w:type="spellStart"/>
      <w:r w:rsidRPr="00D83B98">
        <w:rPr>
          <w:rFonts w:ascii="Arial" w:hAnsi="Arial"/>
          <w:b/>
          <w:bCs/>
        </w:rPr>
        <w:t>Supplemental</w:t>
      </w:r>
      <w:proofErr w:type="spellEnd"/>
      <w:r w:rsidRPr="00D83B98">
        <w:rPr>
          <w:rFonts w:ascii="Arial" w:hAnsi="Arial"/>
          <w:b/>
          <w:bCs/>
        </w:rPr>
        <w:t xml:space="preserve"> Materials</w:t>
      </w:r>
    </w:p>
    <w:p w:rsidR="00DB5CA6" w:rsidRPr="00D83B98" w:rsidRDefault="00DB5CA6">
      <w:pPr>
        <w:rPr>
          <w:rFonts w:ascii="Arial" w:hAnsi="Arial"/>
          <w:b/>
          <w:bCs/>
        </w:rPr>
      </w:pPr>
    </w:p>
    <w:p w:rsidR="00DB5CA6" w:rsidRPr="00D83B98" w:rsidRDefault="00DB5CA6">
      <w:pPr>
        <w:rPr>
          <w:rFonts w:ascii="Arial" w:hAnsi="Arial"/>
          <w:b/>
          <w:bCs/>
        </w:rPr>
      </w:pPr>
    </w:p>
    <w:p w:rsidR="00DB5CA6" w:rsidRDefault="00957D22">
      <w:pPr>
        <w:rPr>
          <w:lang w:val="en-US"/>
        </w:rPr>
      </w:pPr>
      <w:r w:rsidRPr="00D83B98">
        <w:rPr>
          <w:rFonts w:ascii="Arial" w:hAnsi="Arial"/>
        </w:rPr>
        <w:t xml:space="preserve">G </w:t>
      </w:r>
      <w:proofErr w:type="spellStart"/>
      <w:r w:rsidRPr="00D83B98">
        <w:rPr>
          <w:rFonts w:ascii="Arial" w:hAnsi="Arial"/>
        </w:rPr>
        <w:t>Barbalat</w:t>
      </w:r>
      <w:proofErr w:type="spellEnd"/>
      <w:r w:rsidRPr="00D83B98">
        <w:rPr>
          <w:rFonts w:ascii="Arial" w:hAnsi="Arial"/>
        </w:rPr>
        <w:t xml:space="preserve">, J </w:t>
      </w:r>
      <w:proofErr w:type="spellStart"/>
      <w:r w:rsidRPr="00D83B98">
        <w:rPr>
          <w:rFonts w:ascii="Arial" w:hAnsi="Arial"/>
        </w:rPr>
        <w:t>Plasse</w:t>
      </w:r>
      <w:proofErr w:type="spellEnd"/>
      <w:r w:rsidRPr="00D83B98">
        <w:rPr>
          <w:rFonts w:ascii="Arial" w:hAnsi="Arial"/>
        </w:rPr>
        <w:t xml:space="preserve">, I Chéreau-Boudet, et al. </w:t>
      </w:r>
      <w:r>
        <w:rPr>
          <w:rFonts w:ascii="Arial" w:hAnsi="Arial"/>
          <w:lang w:val="en-US"/>
        </w:rPr>
        <w:t>Supplementary Materials for Contribution of socio demographic and clinical features to predict initial referrals to psychosocial interventions in patients with serious mental illness.</w:t>
      </w:r>
    </w:p>
    <w:p w:rsidR="00DB5CA6" w:rsidRDefault="00DB5CA6">
      <w:pPr>
        <w:rPr>
          <w:rFonts w:ascii="Arial" w:hAnsi="Arial"/>
          <w:lang w:val="en-US"/>
        </w:rPr>
      </w:pPr>
    </w:p>
    <w:p w:rsidR="00DB5CA6" w:rsidRDefault="00DB5CA6">
      <w:pPr>
        <w:rPr>
          <w:rFonts w:ascii="Arial" w:hAnsi="Arial"/>
          <w:lang w:val="en-US"/>
        </w:rPr>
      </w:pPr>
    </w:p>
    <w:p w:rsidR="00DB5CA6" w:rsidRDefault="00957D22">
      <w:pPr>
        <w:rPr>
          <w:rFonts w:ascii="Arial" w:hAnsi="Arial"/>
          <w:b/>
          <w:bCs/>
          <w:lang w:val="en-US"/>
        </w:rPr>
      </w:pPr>
      <w:r>
        <w:rPr>
          <w:rFonts w:ascii="Arial" w:hAnsi="Arial"/>
          <w:b/>
          <w:bCs/>
          <w:lang w:val="en-US"/>
        </w:rPr>
        <w:t xml:space="preserve">Supplementary Methods. </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Table 1. Main characteristics of the four psychosocial interventions</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Table 2. Hyperparameter grid for each machine learning algorithm</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Table 3. AUROCs of the external Cross-Validation S</w:t>
      </w:r>
      <w:r>
        <w:rPr>
          <w:rFonts w:ascii="Arial" w:hAnsi="Arial"/>
          <w:b/>
          <w:bCs/>
          <w:lang w:val="en-US"/>
        </w:rPr>
        <w:t>et for each machine learning algorithm</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Table 4. AUPRCs of the external Cross-Validation Set for each machine learning algorithm</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Figure 1. AUROCs and AUPRCs of the external Cross-Validation Set for the winning random forest alg</w:t>
      </w:r>
      <w:r>
        <w:rPr>
          <w:rFonts w:ascii="Arial" w:hAnsi="Arial"/>
          <w:b/>
          <w:bCs/>
          <w:lang w:val="en-US"/>
        </w:rPr>
        <w:t>orithm</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 xml:space="preserve">Supplementary Figure 2. Variable Importance Plot for all predictors of referrals to CBT, CR, PE and VT </w:t>
      </w:r>
    </w:p>
    <w:p w:rsidR="00DB5CA6" w:rsidRDefault="00DB5CA6">
      <w:pPr>
        <w:rPr>
          <w:rFonts w:ascii="Arial" w:hAnsi="Arial"/>
          <w:b/>
          <w:bCs/>
          <w:lang w:val="en-US"/>
        </w:rPr>
      </w:pPr>
    </w:p>
    <w:p w:rsidR="00DB5CA6" w:rsidRDefault="00957D22">
      <w:pPr>
        <w:rPr>
          <w:rFonts w:ascii="Arial" w:hAnsi="Arial"/>
          <w:b/>
          <w:bCs/>
          <w:lang w:val="en-US"/>
        </w:rPr>
      </w:pPr>
      <w:r>
        <w:rPr>
          <w:rFonts w:ascii="Arial" w:hAnsi="Arial"/>
          <w:b/>
          <w:bCs/>
          <w:lang w:val="en-US"/>
        </w:rPr>
        <w:t>Supplementary References.</w:t>
      </w:r>
    </w:p>
    <w:p w:rsidR="00DB5CA6" w:rsidRDefault="00DB5CA6">
      <w:pPr>
        <w:rPr>
          <w:rFonts w:ascii="Arial" w:hAnsi="Arial"/>
          <w:lang w:val="en-US"/>
        </w:rPr>
      </w:pPr>
    </w:p>
    <w:p w:rsidR="00DB5CA6" w:rsidRDefault="00DB5CA6">
      <w:pPr>
        <w:rPr>
          <w:rFonts w:ascii="Arial" w:hAnsi="Arial"/>
          <w:lang w:val="en-US"/>
        </w:rPr>
      </w:pPr>
    </w:p>
    <w:p w:rsidR="00DB5CA6" w:rsidRDefault="00DB5CA6">
      <w:pPr>
        <w:rPr>
          <w:rFonts w:ascii="Arial" w:hAnsi="Arial"/>
          <w:lang w:val="en-US"/>
        </w:rPr>
      </w:pPr>
    </w:p>
    <w:p w:rsidR="00DB5CA6" w:rsidRDefault="00DB5CA6">
      <w:pPr>
        <w:rPr>
          <w:rFonts w:ascii="Arial" w:hAnsi="Arial"/>
          <w:lang w:val="en-US"/>
        </w:rPr>
      </w:pPr>
    </w:p>
    <w:p w:rsidR="00DB5CA6" w:rsidRDefault="00DB5CA6">
      <w:pPr>
        <w:pStyle w:val="Titre1"/>
        <w:rPr>
          <w:rFonts w:ascii="Arial" w:hAnsi="Arial"/>
          <w:b/>
          <w:bCs/>
          <w:lang w:val="en-US"/>
        </w:rPr>
      </w:pPr>
    </w:p>
    <w:p w:rsidR="00DB5CA6" w:rsidRDefault="00957D22">
      <w:pPr>
        <w:pStyle w:val="Titre1"/>
        <w:rPr>
          <w:rFonts w:ascii="Arial" w:hAnsi="Arial"/>
          <w:b/>
          <w:bCs/>
          <w:sz w:val="20"/>
          <w:szCs w:val="20"/>
          <w:lang w:val="en-US"/>
        </w:rPr>
      </w:pPr>
      <w:r w:rsidRPr="00D83B98">
        <w:rPr>
          <w:lang w:val="en-US"/>
        </w:rPr>
        <w:br w:type="page"/>
      </w:r>
    </w:p>
    <w:p w:rsidR="00DB5CA6" w:rsidRDefault="00957D22">
      <w:pPr>
        <w:pStyle w:val="Titre1"/>
        <w:rPr>
          <w:rFonts w:ascii="Arial" w:hAnsi="Arial"/>
          <w:b/>
          <w:bCs/>
          <w:sz w:val="24"/>
          <w:szCs w:val="24"/>
          <w:lang w:val="en-US"/>
        </w:rPr>
      </w:pPr>
      <w:r>
        <w:rPr>
          <w:rFonts w:ascii="Arial" w:hAnsi="Arial"/>
          <w:b/>
          <w:bCs/>
          <w:sz w:val="24"/>
          <w:szCs w:val="24"/>
          <w:lang w:val="en-US"/>
        </w:rPr>
        <w:lastRenderedPageBreak/>
        <w:t>Supplementary Methods</w:t>
      </w:r>
      <w:bookmarkStart w:id="0" w:name="_Hlk127033777"/>
    </w:p>
    <w:p w:rsidR="00DB5CA6" w:rsidRDefault="00DB5CA6">
      <w:pPr>
        <w:rPr>
          <w:rFonts w:ascii="Arial" w:hAnsi="Arial"/>
          <w:b/>
          <w:bCs/>
          <w:sz w:val="20"/>
          <w:szCs w:val="20"/>
          <w:lang w:val="en-US"/>
        </w:rPr>
      </w:pPr>
    </w:p>
    <w:p w:rsidR="00DB5CA6" w:rsidRDefault="00957D22">
      <w:pPr>
        <w:rPr>
          <w:rFonts w:ascii="Arial" w:hAnsi="Arial"/>
          <w:sz w:val="20"/>
          <w:szCs w:val="20"/>
          <w:u w:val="single"/>
          <w:lang w:val="en-US"/>
        </w:rPr>
      </w:pPr>
      <w:r>
        <w:rPr>
          <w:rFonts w:ascii="Arial" w:hAnsi="Arial"/>
          <w:sz w:val="20"/>
          <w:szCs w:val="20"/>
          <w:u w:val="single"/>
          <w:lang w:val="en-US"/>
        </w:rPr>
        <w:t>Outcome variable (psychosocial interventions)</w:t>
      </w:r>
    </w:p>
    <w:p w:rsidR="00DB5CA6" w:rsidRDefault="00DB5CA6">
      <w:pPr>
        <w:rPr>
          <w:rFonts w:ascii="Arial" w:hAnsi="Arial"/>
          <w:sz w:val="20"/>
          <w:szCs w:val="20"/>
          <w:lang w:val="en-US"/>
        </w:rPr>
      </w:pPr>
    </w:p>
    <w:p w:rsidR="00DB5CA6" w:rsidRDefault="00957D22">
      <w:pPr>
        <w:rPr>
          <w:rFonts w:ascii="Arial" w:hAnsi="Arial"/>
          <w:sz w:val="20"/>
          <w:szCs w:val="20"/>
          <w:lang w:val="en-US"/>
        </w:rPr>
      </w:pPr>
      <w:r>
        <w:rPr>
          <w:rFonts w:ascii="Arial" w:hAnsi="Arial"/>
          <w:sz w:val="20"/>
          <w:szCs w:val="20"/>
          <w:lang w:val="en-US"/>
        </w:rPr>
        <w:t xml:space="preserve">Interventions were explicitly coded as </w:t>
      </w:r>
      <w:r>
        <w:rPr>
          <w:rFonts w:ascii="Arial" w:hAnsi="Arial"/>
          <w:sz w:val="20"/>
          <w:szCs w:val="20"/>
          <w:lang w:val="en-US"/>
        </w:rPr>
        <w:t>such on our electronic database. Programs are typically run by trained psychologists (neuropsychologists for CR) and/or nurses, with occasional participation of peer support workers (for PE), and occupational therapists or social workers (for VT). All four</w:t>
      </w:r>
      <w:r>
        <w:rPr>
          <w:rFonts w:ascii="Arial" w:hAnsi="Arial"/>
          <w:sz w:val="20"/>
          <w:szCs w:val="20"/>
          <w:lang w:val="en-US"/>
        </w:rPr>
        <w:t xml:space="preserve"> interventions were done in individual or group settings, and lasted about 4 months on average (</w:t>
      </w:r>
      <w:r>
        <w:rPr>
          <w:rFonts w:ascii="Arial" w:hAnsi="Arial"/>
          <w:b/>
          <w:bCs/>
          <w:sz w:val="20"/>
          <w:szCs w:val="20"/>
          <w:lang w:val="en-US"/>
        </w:rPr>
        <w:t>Supplementary Table 1</w:t>
      </w:r>
      <w:r>
        <w:rPr>
          <w:rFonts w:ascii="Arial" w:hAnsi="Arial"/>
          <w:sz w:val="20"/>
          <w:szCs w:val="20"/>
          <w:lang w:val="en-US"/>
        </w:rPr>
        <w:t>). 54.8% of patients had to wait 3 months or less, and 72.1% of patients had to wait 6 months or less, before the start of their treatment program. We excluded other programs, such as social skills training, health education, family therapy, support or edu</w:t>
      </w:r>
      <w:r>
        <w:rPr>
          <w:rFonts w:ascii="Arial" w:hAnsi="Arial"/>
          <w:sz w:val="20"/>
          <w:szCs w:val="20"/>
          <w:lang w:val="en-US"/>
        </w:rPr>
        <w:t xml:space="preserve">cation, and peer support because of lack of observations. </w:t>
      </w:r>
    </w:p>
    <w:p w:rsidR="00DB5CA6" w:rsidRDefault="00DB5CA6">
      <w:pPr>
        <w:rPr>
          <w:rFonts w:ascii="Arial" w:hAnsi="Arial"/>
          <w:sz w:val="20"/>
          <w:szCs w:val="20"/>
          <w:lang w:val="en-US"/>
        </w:rPr>
      </w:pPr>
    </w:p>
    <w:p w:rsidR="00DB5CA6" w:rsidRDefault="00957D22">
      <w:pPr>
        <w:rPr>
          <w:rFonts w:ascii="Arial" w:hAnsi="Arial"/>
          <w:sz w:val="20"/>
          <w:szCs w:val="20"/>
          <w:lang w:val="en-US"/>
        </w:rPr>
      </w:pPr>
      <w:r>
        <w:rPr>
          <w:rFonts w:ascii="Arial" w:hAnsi="Arial"/>
          <w:sz w:val="20"/>
          <w:szCs w:val="20"/>
          <w:lang w:val="en-US"/>
        </w:rPr>
        <w:t>On average, referrals to more than one program occur in 77.5% of patients. Yet, note that for the purpose of this study, we limited our analysis to the first recorded referrals: if patients were r</w:t>
      </w:r>
      <w:r>
        <w:rPr>
          <w:rFonts w:ascii="Arial" w:hAnsi="Arial"/>
          <w:sz w:val="20"/>
          <w:szCs w:val="20"/>
          <w:lang w:val="en-US"/>
        </w:rPr>
        <w:t>eferred to a sequence of consecutive interventions, only the first referral was considered (one observation per participant). This decision was rationalized by the fact that we anticipated that follow-up referrals would be subject to clinician-related fact</w:t>
      </w:r>
      <w:r>
        <w:rPr>
          <w:rFonts w:ascii="Arial" w:hAnsi="Arial"/>
          <w:sz w:val="20"/>
          <w:szCs w:val="20"/>
          <w:lang w:val="en-US"/>
        </w:rPr>
        <w:t xml:space="preserve">ors such as therapeutic drift and infidelity to treatment manuals, rather than socio-demographic and clinical characteristics per se. Our choice was also a pragmatic decision as an analysis </w:t>
      </w:r>
      <w:proofErr w:type="gramStart"/>
      <w:r>
        <w:rPr>
          <w:rFonts w:ascii="Arial" w:hAnsi="Arial"/>
          <w:sz w:val="20"/>
          <w:szCs w:val="20"/>
          <w:lang w:val="en-US"/>
        </w:rPr>
        <w:t>taking into account</w:t>
      </w:r>
      <w:proofErr w:type="gramEnd"/>
      <w:r>
        <w:rPr>
          <w:rFonts w:ascii="Arial" w:hAnsi="Arial"/>
          <w:sz w:val="20"/>
          <w:szCs w:val="20"/>
          <w:lang w:val="en-US"/>
        </w:rPr>
        <w:t xml:space="preserve"> multiple (following) referrals would have been</w:t>
      </w:r>
      <w:r>
        <w:rPr>
          <w:rFonts w:ascii="Arial" w:hAnsi="Arial"/>
          <w:sz w:val="20"/>
          <w:szCs w:val="20"/>
          <w:lang w:val="en-US"/>
        </w:rPr>
        <w:t xml:space="preserve"> subject to several missing observations. Finally, note that patients were not referred to multiple programs at the same time, or very closely in time. </w:t>
      </w:r>
    </w:p>
    <w:p w:rsidR="00DB5CA6" w:rsidRDefault="00957D22">
      <w:pPr>
        <w:rPr>
          <w:rFonts w:ascii="Arial" w:hAnsi="Arial"/>
          <w:sz w:val="20"/>
          <w:szCs w:val="20"/>
          <w:lang w:val="en-US"/>
        </w:rPr>
      </w:pPr>
      <w:r>
        <w:rPr>
          <w:rFonts w:ascii="Arial" w:hAnsi="Arial"/>
          <w:sz w:val="20"/>
          <w:szCs w:val="20"/>
          <w:lang w:val="en-US"/>
        </w:rPr>
        <w:tab/>
      </w:r>
    </w:p>
    <w:p w:rsidR="00DB5CA6" w:rsidRDefault="00DB5CA6">
      <w:pPr>
        <w:rPr>
          <w:rFonts w:ascii="Arial" w:hAnsi="Arial"/>
          <w:sz w:val="20"/>
          <w:szCs w:val="20"/>
          <w:u w:val="single"/>
          <w:lang w:val="en-US"/>
        </w:rPr>
      </w:pPr>
    </w:p>
    <w:p w:rsidR="00DB5CA6" w:rsidRDefault="00957D22">
      <w:pPr>
        <w:rPr>
          <w:rFonts w:ascii="Arial" w:hAnsi="Arial"/>
          <w:sz w:val="20"/>
          <w:szCs w:val="20"/>
          <w:u w:val="single"/>
          <w:lang w:val="en-US"/>
        </w:rPr>
      </w:pPr>
      <w:r>
        <w:rPr>
          <w:rFonts w:ascii="Arial" w:hAnsi="Arial"/>
          <w:sz w:val="20"/>
          <w:szCs w:val="20"/>
          <w:u w:val="single"/>
          <w:lang w:val="en-US"/>
        </w:rPr>
        <w:t>Predictors</w:t>
      </w:r>
    </w:p>
    <w:p w:rsidR="00DB5CA6" w:rsidRDefault="00DB5CA6">
      <w:pPr>
        <w:rPr>
          <w:rFonts w:ascii="Arial" w:hAnsi="Arial"/>
          <w:sz w:val="20"/>
          <w:szCs w:val="20"/>
          <w:lang w:val="en-US"/>
        </w:rPr>
      </w:pPr>
    </w:p>
    <w:p w:rsidR="00DB5CA6" w:rsidRDefault="00957D22">
      <w:pPr>
        <w:rPr>
          <w:rFonts w:ascii="Arial" w:hAnsi="Arial"/>
          <w:sz w:val="20"/>
          <w:szCs w:val="20"/>
          <w:lang w:val="en-US"/>
        </w:rPr>
      </w:pPr>
      <w:r>
        <w:rPr>
          <w:rFonts w:ascii="Arial" w:hAnsi="Arial"/>
          <w:sz w:val="20"/>
          <w:szCs w:val="20"/>
          <w:lang w:val="en-US"/>
        </w:rPr>
        <w:t>- Socio-demographic information: age; sex (male vs. female); being in a relationship (ye</w:t>
      </w:r>
      <w:r>
        <w:rPr>
          <w:rFonts w:ascii="Arial" w:hAnsi="Arial"/>
          <w:sz w:val="20"/>
          <w:szCs w:val="20"/>
          <w:lang w:val="en-US"/>
        </w:rPr>
        <w:t xml:space="preserve">s vs. no); education (less </w:t>
      </w:r>
      <w:r w:rsidR="00D83B98">
        <w:rPr>
          <w:rFonts w:ascii="Arial" w:hAnsi="Arial"/>
          <w:sz w:val="20"/>
          <w:szCs w:val="20"/>
          <w:lang w:val="en-US"/>
        </w:rPr>
        <w:t>than</w:t>
      </w:r>
      <w:r>
        <w:rPr>
          <w:rFonts w:ascii="Arial" w:hAnsi="Arial"/>
          <w:sz w:val="20"/>
          <w:szCs w:val="20"/>
          <w:lang w:val="en-US"/>
        </w:rPr>
        <w:t xml:space="preserve"> 12 years vs. 12 years or more). Other socio-demographic features included functioning: unemployment (yes vs. no); being a disabled worker beneficiary (yes vs. no); social marginalization (based on clinician judgment of a pat</w:t>
      </w:r>
      <w:r>
        <w:rPr>
          <w:rFonts w:ascii="Arial" w:hAnsi="Arial"/>
          <w:sz w:val="20"/>
          <w:szCs w:val="20"/>
          <w:lang w:val="en-US"/>
        </w:rPr>
        <w:t xml:space="preserve">ient’s level of </w:t>
      </w:r>
      <w:r w:rsidR="00D83B98">
        <w:rPr>
          <w:rFonts w:ascii="Arial" w:hAnsi="Arial"/>
          <w:sz w:val="20"/>
          <w:szCs w:val="20"/>
          <w:lang w:val="en-US"/>
        </w:rPr>
        <w:t>desocialization</w:t>
      </w:r>
      <w:r>
        <w:rPr>
          <w:rFonts w:ascii="Arial" w:hAnsi="Arial"/>
          <w:sz w:val="20"/>
          <w:szCs w:val="20"/>
          <w:lang w:val="en-US"/>
        </w:rPr>
        <w:t xml:space="preserve"> at the time of assessment, i.e. withdrawal from social contacts at the time of assessment: yes vs. no); score on the Global Assessment of Functioning (GAF) scale (American Psychiatric Association, 2013).</w:t>
      </w:r>
    </w:p>
    <w:p w:rsidR="00DB5CA6" w:rsidRDefault="00957D22">
      <w:pPr>
        <w:rPr>
          <w:rFonts w:ascii="Arial" w:hAnsi="Arial"/>
          <w:sz w:val="20"/>
          <w:szCs w:val="20"/>
          <w:lang w:val="en-US"/>
        </w:rPr>
      </w:pPr>
      <w:r>
        <w:rPr>
          <w:rFonts w:ascii="Arial" w:hAnsi="Arial"/>
          <w:sz w:val="20"/>
          <w:szCs w:val="20"/>
          <w:lang w:val="en-US"/>
        </w:rPr>
        <w:tab/>
        <w:t xml:space="preserve">Race/ethnicity and </w:t>
      </w:r>
      <w:r>
        <w:rPr>
          <w:rFonts w:ascii="Arial" w:hAnsi="Arial"/>
          <w:sz w:val="20"/>
          <w:szCs w:val="20"/>
          <w:lang w:val="en-US"/>
        </w:rPr>
        <w:t>gender identity (how individuals perceive themselves) and sexual orientation (their emotional, romantic or sexual attraction to other people) were not included in our set of predictors as it is not allowed to systematically collect such sensible data in Fr</w:t>
      </w:r>
      <w:r>
        <w:rPr>
          <w:rFonts w:ascii="Arial" w:hAnsi="Arial"/>
          <w:sz w:val="20"/>
          <w:szCs w:val="20"/>
          <w:lang w:val="en-US"/>
        </w:rPr>
        <w:t>ance.</w:t>
      </w:r>
    </w:p>
    <w:p w:rsidR="00DB5CA6" w:rsidRDefault="00DB5CA6">
      <w:pPr>
        <w:rPr>
          <w:rFonts w:ascii="Arial" w:hAnsi="Arial"/>
          <w:sz w:val="20"/>
          <w:szCs w:val="20"/>
          <w:lang w:val="en-US"/>
        </w:rPr>
      </w:pPr>
    </w:p>
    <w:p w:rsidR="00DB5CA6" w:rsidRDefault="00957D22">
      <w:pPr>
        <w:rPr>
          <w:lang w:val="en-US"/>
        </w:rPr>
      </w:pPr>
      <w:r>
        <w:rPr>
          <w:rFonts w:ascii="Arial" w:hAnsi="Arial"/>
          <w:sz w:val="20"/>
          <w:szCs w:val="20"/>
          <w:lang w:val="en-US"/>
        </w:rPr>
        <w:t>- Clinical information: primary psychiatric diagnosis (anxiety disorder (reference); autism spectrum disorder; bipolar disorder; depressive disorder; personality disorder; schizophrenia spectrum disorder); having a secondary (comorbid) psychiatric d</w:t>
      </w:r>
      <w:r>
        <w:rPr>
          <w:rFonts w:ascii="Arial" w:hAnsi="Arial"/>
          <w:sz w:val="20"/>
          <w:szCs w:val="20"/>
          <w:lang w:val="en-US"/>
        </w:rPr>
        <w:t>iagnosis (yes vs. no); having an addiction diagnosis (DSM-5 substance use disorders and/or behavioral addiction: yes vs. no); having a physical health diagnosis (yes vs. no); number of psychiatric admissions (2 or less vs. 3 or more); duration of illness (</w:t>
      </w:r>
      <w:r>
        <w:rPr>
          <w:rFonts w:ascii="Arial" w:hAnsi="Arial"/>
          <w:sz w:val="20"/>
          <w:szCs w:val="20"/>
          <w:lang w:val="en-US"/>
        </w:rPr>
        <w:t>less than 5 years vs. 5 to 10 years vs. more than 10 years); forensic history (yes vs. no); origin of initial referral (referrer from the private vs. public system); severity of illness score on the Clinical Global Impression (CGI) scale (Guy</w:t>
      </w:r>
      <w:r>
        <w:rPr>
          <w:rFonts w:ascii="Arial" w:hAnsi="Arial"/>
          <w:sz w:val="20"/>
          <w:szCs w:val="20"/>
          <w:lang w:val="en-US"/>
        </w:rPr>
        <w:t xml:space="preserve"> 1976). We al</w:t>
      </w:r>
      <w:r>
        <w:rPr>
          <w:rFonts w:ascii="Arial" w:hAnsi="Arial"/>
          <w:sz w:val="20"/>
          <w:szCs w:val="20"/>
          <w:lang w:val="en-US"/>
        </w:rPr>
        <w:t xml:space="preserve">so included information from self-reported scales and questionnaires on: quality of life (Subjective Quality of Life scale 18 (SQoL18) - total score and 8 </w:t>
      </w:r>
      <w:proofErr w:type="spellStart"/>
      <w:r>
        <w:rPr>
          <w:rFonts w:ascii="Arial" w:hAnsi="Arial"/>
          <w:sz w:val="20"/>
          <w:szCs w:val="20"/>
          <w:lang w:val="en-US"/>
        </w:rPr>
        <w:t>subscores</w:t>
      </w:r>
      <w:proofErr w:type="spellEnd"/>
      <w:r>
        <w:rPr>
          <w:rFonts w:ascii="Arial" w:hAnsi="Arial"/>
          <w:sz w:val="20"/>
          <w:szCs w:val="20"/>
          <w:lang w:val="en-US"/>
        </w:rPr>
        <w:t xml:space="preserve">: self-esteem, autonomy, resilience, relationships with friends, relationships with family, </w:t>
      </w:r>
      <w:r>
        <w:rPr>
          <w:rFonts w:ascii="Arial" w:hAnsi="Arial"/>
          <w:sz w:val="20"/>
          <w:szCs w:val="20"/>
          <w:lang w:val="en-US"/>
        </w:rPr>
        <w:t xml:space="preserve">romantic relationships, physical and mental well-being; (Boyer et al., 2010); well-being total score (Warwick-Edinburgh Mental Well-Being Scale (WEMWBS); (Tennant et al., 2007); insight (Birchwood insight scale: total score and 3 </w:t>
      </w:r>
      <w:proofErr w:type="spellStart"/>
      <w:r>
        <w:rPr>
          <w:rFonts w:ascii="Arial" w:hAnsi="Arial"/>
          <w:sz w:val="20"/>
          <w:szCs w:val="20"/>
          <w:lang w:val="en-US"/>
        </w:rPr>
        <w:t>subscores</w:t>
      </w:r>
      <w:proofErr w:type="spellEnd"/>
      <w:r>
        <w:rPr>
          <w:rFonts w:ascii="Arial" w:hAnsi="Arial"/>
          <w:sz w:val="20"/>
          <w:szCs w:val="20"/>
          <w:lang w:val="en-US"/>
        </w:rPr>
        <w:t xml:space="preserve"> – awareness of i</w:t>
      </w:r>
      <w:r>
        <w:rPr>
          <w:rFonts w:ascii="Arial" w:hAnsi="Arial"/>
          <w:sz w:val="20"/>
          <w:szCs w:val="20"/>
          <w:lang w:val="en-US"/>
        </w:rPr>
        <w:t xml:space="preserve">llness, need for treatment, re-labeling of symptoms; (Birchwood et al., 1994); self-stigma (Internalized Stigma for Mental Illness – total score and 5 </w:t>
      </w:r>
      <w:proofErr w:type="spellStart"/>
      <w:r>
        <w:rPr>
          <w:rFonts w:ascii="Arial" w:hAnsi="Arial"/>
          <w:sz w:val="20"/>
          <w:szCs w:val="20"/>
          <w:lang w:val="en-US"/>
        </w:rPr>
        <w:t>subscores</w:t>
      </w:r>
      <w:proofErr w:type="spellEnd"/>
      <w:r>
        <w:rPr>
          <w:rFonts w:ascii="Arial" w:hAnsi="Arial"/>
          <w:sz w:val="20"/>
          <w:szCs w:val="20"/>
          <w:lang w:val="en-US"/>
        </w:rPr>
        <w:t>: alienation, stereotype endorsement, discrimination experience, social withdrawal, stigma resis</w:t>
      </w:r>
      <w:r>
        <w:rPr>
          <w:rFonts w:ascii="Arial" w:hAnsi="Arial"/>
          <w:sz w:val="20"/>
          <w:szCs w:val="20"/>
          <w:lang w:val="en-US"/>
        </w:rPr>
        <w:t xml:space="preserve">tance; (Boyd </w:t>
      </w:r>
      <w:proofErr w:type="spellStart"/>
      <w:r>
        <w:rPr>
          <w:rFonts w:ascii="Arial" w:hAnsi="Arial"/>
          <w:sz w:val="20"/>
          <w:szCs w:val="20"/>
          <w:lang w:val="en-US"/>
        </w:rPr>
        <w:t>Ritsher</w:t>
      </w:r>
      <w:proofErr w:type="spellEnd"/>
      <w:r>
        <w:rPr>
          <w:rFonts w:ascii="Arial" w:hAnsi="Arial"/>
          <w:sz w:val="20"/>
          <w:szCs w:val="20"/>
          <w:lang w:val="en-US"/>
        </w:rPr>
        <w:t xml:space="preserve"> et al., 2003); and recovery stage (</w:t>
      </w:r>
      <w:proofErr w:type="spellStart"/>
      <w:r>
        <w:rPr>
          <w:rFonts w:ascii="Arial" w:hAnsi="Arial"/>
          <w:sz w:val="20"/>
          <w:szCs w:val="20"/>
          <w:lang w:val="en-US"/>
        </w:rPr>
        <w:t>STages</w:t>
      </w:r>
      <w:proofErr w:type="spellEnd"/>
      <w:r>
        <w:rPr>
          <w:rFonts w:ascii="Arial" w:hAnsi="Arial"/>
          <w:sz w:val="20"/>
          <w:szCs w:val="20"/>
          <w:lang w:val="en-US"/>
        </w:rPr>
        <w:t xml:space="preserve"> of Recovery Instrument (STORI); (Andresen et al., 2006) – scores were transformed into 3 categories: moratorium (reference), rebuilding and growth).</w:t>
      </w:r>
    </w:p>
    <w:p w:rsidR="00DB5CA6" w:rsidRDefault="00DB5CA6">
      <w:pPr>
        <w:rPr>
          <w:rFonts w:ascii="Arial" w:hAnsi="Arial"/>
          <w:sz w:val="20"/>
          <w:szCs w:val="20"/>
          <w:lang w:val="en-US"/>
        </w:rPr>
      </w:pPr>
    </w:p>
    <w:p w:rsidR="00DB5CA6" w:rsidRDefault="00957D22">
      <w:pPr>
        <w:rPr>
          <w:rFonts w:ascii="Arial" w:hAnsi="Arial"/>
          <w:sz w:val="20"/>
          <w:szCs w:val="20"/>
          <w:lang w:val="en-US"/>
        </w:rPr>
      </w:pPr>
      <w:r>
        <w:rPr>
          <w:rFonts w:ascii="Arial" w:hAnsi="Arial"/>
          <w:sz w:val="20"/>
          <w:szCs w:val="20"/>
          <w:lang w:val="en-US"/>
        </w:rPr>
        <w:t xml:space="preserve">Note that center dummies were not included </w:t>
      </w:r>
      <w:r>
        <w:rPr>
          <w:rFonts w:ascii="Arial" w:hAnsi="Arial"/>
          <w:sz w:val="20"/>
          <w:szCs w:val="20"/>
          <w:lang w:val="en-US"/>
        </w:rPr>
        <w:t>in our set of predictors. Indeed, the current study aimed to investigate socio-demographic and clinical contributors to treatment referrals, irrespective of the characteristics of treatment centers.</w:t>
      </w:r>
    </w:p>
    <w:p w:rsidR="00DB5CA6" w:rsidRDefault="00DB5CA6">
      <w:pPr>
        <w:rPr>
          <w:rFonts w:ascii="Arial" w:hAnsi="Arial"/>
          <w:b/>
          <w:bCs/>
          <w:sz w:val="20"/>
          <w:szCs w:val="20"/>
          <w:lang w:val="en-US"/>
        </w:rPr>
      </w:pPr>
    </w:p>
    <w:p w:rsidR="00D83B98" w:rsidRDefault="00D83B98">
      <w:pPr>
        <w:rPr>
          <w:rFonts w:ascii="Arial" w:hAnsi="Arial"/>
          <w:b/>
          <w:bCs/>
          <w:sz w:val="20"/>
          <w:szCs w:val="20"/>
          <w:lang w:val="en-US"/>
        </w:rPr>
      </w:pPr>
    </w:p>
    <w:p w:rsidR="00D83B98" w:rsidRDefault="00D83B98">
      <w:pPr>
        <w:rPr>
          <w:rFonts w:ascii="Arial" w:hAnsi="Arial"/>
          <w:b/>
          <w:bCs/>
          <w:sz w:val="20"/>
          <w:szCs w:val="20"/>
          <w:lang w:val="en-US"/>
        </w:rPr>
      </w:pPr>
    </w:p>
    <w:p w:rsidR="00D83B98" w:rsidRDefault="00D83B98">
      <w:pPr>
        <w:rPr>
          <w:rFonts w:ascii="Arial" w:hAnsi="Arial"/>
          <w:b/>
          <w:bCs/>
          <w:sz w:val="20"/>
          <w:szCs w:val="20"/>
          <w:lang w:val="en-US"/>
        </w:rPr>
      </w:pPr>
    </w:p>
    <w:p w:rsidR="00D83B98" w:rsidRDefault="00D83B98">
      <w:pPr>
        <w:rPr>
          <w:rFonts w:ascii="Arial" w:hAnsi="Arial"/>
          <w:b/>
          <w:bCs/>
          <w:sz w:val="20"/>
          <w:szCs w:val="20"/>
          <w:lang w:val="en-US"/>
        </w:rPr>
      </w:pPr>
    </w:p>
    <w:p w:rsidR="00DB5CA6" w:rsidRDefault="00957D22">
      <w:pPr>
        <w:rPr>
          <w:rFonts w:ascii="Arial" w:hAnsi="Arial"/>
          <w:sz w:val="20"/>
          <w:szCs w:val="20"/>
          <w:u w:val="single"/>
          <w:lang w:val="en-US"/>
        </w:rPr>
      </w:pPr>
      <w:r>
        <w:rPr>
          <w:rFonts w:ascii="Arial" w:hAnsi="Arial"/>
          <w:sz w:val="20"/>
          <w:szCs w:val="20"/>
          <w:u w:val="single"/>
          <w:lang w:val="en-US"/>
        </w:rPr>
        <w:lastRenderedPageBreak/>
        <w:t>Missing data</w:t>
      </w:r>
    </w:p>
    <w:p w:rsidR="00DB5CA6" w:rsidRDefault="00DB5CA6">
      <w:pPr>
        <w:rPr>
          <w:rFonts w:ascii="Arial" w:hAnsi="Arial" w:cs="Arial"/>
          <w:sz w:val="20"/>
          <w:szCs w:val="20"/>
          <w:lang w:val="en-US"/>
        </w:rPr>
      </w:pPr>
    </w:p>
    <w:p w:rsidR="00DB5CA6" w:rsidRDefault="00957D22">
      <w:pPr>
        <w:rPr>
          <w:lang w:val="en-US"/>
        </w:rPr>
      </w:pPr>
      <w:r>
        <w:rPr>
          <w:rFonts w:ascii="Arial" w:hAnsi="Arial" w:cs="Arial"/>
          <w:color w:val="000000"/>
          <w:sz w:val="20"/>
          <w:szCs w:val="20"/>
          <w:lang w:val="en-US"/>
        </w:rPr>
        <w:t>Missing values either resulted from non</w:t>
      </w:r>
      <w:r>
        <w:rPr>
          <w:rFonts w:ascii="Arial" w:hAnsi="Arial" w:cs="Arial"/>
          <w:color w:val="000000"/>
          <w:sz w:val="20"/>
          <w:szCs w:val="20"/>
          <w:lang w:val="en-US"/>
        </w:rPr>
        <w:t>-recording, or if recording occurred after the PSR intervention was commenced. Missing data were less frequent for socio-demographic variables (with a maximum of 1.8% of missing values for education), than clinical and psychological variables (with a maxim</w:t>
      </w:r>
      <w:r>
        <w:rPr>
          <w:rFonts w:ascii="Arial" w:hAnsi="Arial" w:cs="Arial"/>
          <w:color w:val="000000"/>
          <w:sz w:val="20"/>
          <w:szCs w:val="20"/>
          <w:lang w:val="en-US"/>
        </w:rPr>
        <w:t>um of 35.9% of missing values for recovery stage). We hypothesized missingness not at random (MNAR), where missing values may not be predicted based on the other collected variables (e.g. would result from unmeasured confounding) (Rubin</w:t>
      </w:r>
      <w:r>
        <w:rPr>
          <w:rFonts w:ascii="Arial" w:hAnsi="Arial" w:cs="Arial"/>
          <w:color w:val="000000"/>
          <w:sz w:val="20"/>
          <w:szCs w:val="20"/>
          <w:lang w:val="en-US"/>
        </w:rPr>
        <w:t xml:space="preserve"> 1976). We reasoned</w:t>
      </w:r>
      <w:r>
        <w:rPr>
          <w:rFonts w:ascii="Arial" w:hAnsi="Arial" w:cs="Arial"/>
          <w:color w:val="000000"/>
          <w:sz w:val="20"/>
          <w:szCs w:val="20"/>
          <w:lang w:val="en-US"/>
        </w:rPr>
        <w:t xml:space="preserve"> that such missingness would be due to an outside factor not reflected in the dataset, for instance: who is collecting the data, participants not willing to respond, or the nature or value of the missing variable itself (e.g. because collecting these data </w:t>
      </w:r>
      <w:r>
        <w:rPr>
          <w:rFonts w:ascii="Arial" w:hAnsi="Arial" w:cs="Arial"/>
          <w:color w:val="000000"/>
          <w:sz w:val="20"/>
          <w:szCs w:val="20"/>
          <w:lang w:val="en-US"/>
        </w:rPr>
        <w:t xml:space="preserve">is more cumbersome, or would involve sensitive information). Another, </w:t>
      </w:r>
      <w:r w:rsidR="00D83B98">
        <w:rPr>
          <w:rFonts w:ascii="Arial" w:hAnsi="Arial" w:cs="Arial"/>
          <w:color w:val="000000"/>
          <w:sz w:val="20"/>
          <w:szCs w:val="20"/>
          <w:lang w:val="en-US"/>
        </w:rPr>
        <w:t>non-mutually</w:t>
      </w:r>
      <w:r>
        <w:rPr>
          <w:rFonts w:ascii="Arial" w:hAnsi="Arial" w:cs="Arial"/>
          <w:color w:val="000000"/>
          <w:sz w:val="20"/>
          <w:szCs w:val="20"/>
          <w:lang w:val="en-US"/>
        </w:rPr>
        <w:t xml:space="preserve"> exclusive possibility is that missingness is associated with the socio-demographic and clinical variables included in the dataset.</w:t>
      </w:r>
    </w:p>
    <w:p w:rsidR="00DB5CA6" w:rsidRDefault="00DB5CA6">
      <w:pPr>
        <w:rPr>
          <w:rFonts w:ascii="Arial" w:hAnsi="Arial"/>
          <w:sz w:val="20"/>
          <w:szCs w:val="20"/>
          <w:lang w:val="en-US"/>
        </w:rPr>
      </w:pPr>
    </w:p>
    <w:p w:rsidR="00DB5CA6" w:rsidRDefault="00DB5CA6">
      <w:pPr>
        <w:rPr>
          <w:rFonts w:ascii="Arial" w:hAnsi="Arial"/>
          <w:sz w:val="20"/>
          <w:szCs w:val="20"/>
          <w:lang w:val="en-US"/>
        </w:rPr>
      </w:pPr>
    </w:p>
    <w:p w:rsidR="00DB5CA6" w:rsidRDefault="00957D22">
      <w:pPr>
        <w:rPr>
          <w:rFonts w:ascii="Arial" w:hAnsi="Arial"/>
          <w:sz w:val="20"/>
          <w:szCs w:val="20"/>
          <w:u w:val="single"/>
          <w:lang w:val="en-US"/>
        </w:rPr>
      </w:pPr>
      <w:r>
        <w:rPr>
          <w:rFonts w:ascii="Arial" w:hAnsi="Arial"/>
          <w:sz w:val="20"/>
          <w:szCs w:val="20"/>
          <w:u w:val="single"/>
          <w:lang w:val="en-US"/>
        </w:rPr>
        <w:t>Standard machine learning analysis</w:t>
      </w:r>
    </w:p>
    <w:p w:rsidR="00DB5CA6" w:rsidRDefault="00DB5CA6">
      <w:pPr>
        <w:rPr>
          <w:rFonts w:ascii="Arial" w:hAnsi="Arial"/>
          <w:sz w:val="20"/>
          <w:szCs w:val="20"/>
          <w:lang w:val="en-US"/>
        </w:rPr>
      </w:pPr>
    </w:p>
    <w:p w:rsidR="00DB5CA6" w:rsidRDefault="00957D22">
      <w:pPr>
        <w:rPr>
          <w:rFonts w:ascii="Arial" w:hAnsi="Arial"/>
          <w:sz w:val="20"/>
          <w:szCs w:val="20"/>
          <w:lang w:val="en-US"/>
        </w:rPr>
      </w:pPr>
      <w:r>
        <w:rPr>
          <w:rFonts w:ascii="Arial" w:hAnsi="Arial"/>
          <w:sz w:val="20"/>
          <w:szCs w:val="20"/>
          <w:lang w:val="en-US"/>
        </w:rPr>
        <w:t xml:space="preserve">We </w:t>
      </w:r>
      <w:r>
        <w:rPr>
          <w:rFonts w:ascii="Arial" w:hAnsi="Arial"/>
          <w:sz w:val="20"/>
          <w:szCs w:val="20"/>
          <w:lang w:val="en-US"/>
        </w:rPr>
        <w:t>ran a series of machine learning algorithms aiming to optimally predict referrals to one of the four treatment programs, using the predictors described above.</w:t>
      </w:r>
    </w:p>
    <w:p w:rsidR="00DB5CA6" w:rsidRDefault="00957D22">
      <w:pPr>
        <w:rPr>
          <w:rFonts w:ascii="Arial" w:hAnsi="Arial"/>
          <w:sz w:val="20"/>
          <w:szCs w:val="20"/>
          <w:lang w:val="en-US"/>
        </w:rPr>
      </w:pPr>
      <w:r>
        <w:rPr>
          <w:rFonts w:ascii="Arial" w:hAnsi="Arial"/>
          <w:sz w:val="20"/>
          <w:szCs w:val="20"/>
          <w:lang w:val="en-US"/>
        </w:rPr>
        <w:tab/>
        <w:t>Preprocessing involved removing correlated predictors (ρ &gt; 0.9), as well as predictors with near</w:t>
      </w:r>
      <w:r>
        <w:rPr>
          <w:rFonts w:ascii="Arial" w:hAnsi="Arial"/>
          <w:sz w:val="20"/>
          <w:szCs w:val="20"/>
          <w:lang w:val="en-US"/>
        </w:rPr>
        <w:t>-zero values. Over an initial nu</w:t>
      </w:r>
      <w:r>
        <w:rPr>
          <w:rFonts w:ascii="Arial" w:hAnsi="Arial"/>
          <w:sz w:val="20"/>
          <w:szCs w:val="20"/>
          <w:lang w:val="en-US"/>
        </w:rPr>
        <w:t>mber of 80 predictors, 27 predictors were removed, with 53 predictors remaining for model d</w:t>
      </w:r>
      <w:r>
        <w:rPr>
          <w:rFonts w:ascii="Arial" w:hAnsi="Arial"/>
          <w:sz w:val="20"/>
          <w:szCs w:val="20"/>
          <w:lang w:val="en-US"/>
        </w:rPr>
        <w:t>evelopment. Continuous predictors were not dichotomized.</w:t>
      </w:r>
    </w:p>
    <w:p w:rsidR="00DB5CA6" w:rsidRDefault="00957D22">
      <w:pPr>
        <w:rPr>
          <w:rFonts w:ascii="Arial" w:hAnsi="Arial"/>
          <w:lang w:val="en-US"/>
        </w:rPr>
      </w:pPr>
      <w:r>
        <w:rPr>
          <w:rFonts w:ascii="Arial" w:hAnsi="Arial"/>
          <w:sz w:val="20"/>
          <w:szCs w:val="20"/>
          <w:lang w:val="en-US"/>
        </w:rPr>
        <w:tab/>
        <w:t>We used the following algorithms: ridge regression regularization (Friedman</w:t>
      </w:r>
      <w:r>
        <w:rPr>
          <w:rFonts w:ascii="Arial" w:hAnsi="Arial"/>
          <w:sz w:val="20"/>
          <w:szCs w:val="20"/>
          <w:lang w:val="en-US"/>
        </w:rPr>
        <w:t xml:space="preserve"> et al., 2010), multinomial regression, recursive partitioning trees (</w:t>
      </w:r>
      <w:proofErr w:type="spellStart"/>
      <w:r>
        <w:rPr>
          <w:rFonts w:ascii="Arial" w:hAnsi="Arial"/>
          <w:sz w:val="20"/>
          <w:szCs w:val="20"/>
          <w:lang w:val="en-US"/>
        </w:rPr>
        <w:t>Breiman</w:t>
      </w:r>
      <w:proofErr w:type="spellEnd"/>
      <w:r>
        <w:rPr>
          <w:rFonts w:ascii="Arial" w:hAnsi="Arial"/>
          <w:sz w:val="20"/>
          <w:szCs w:val="20"/>
          <w:lang w:val="en-US"/>
        </w:rPr>
        <w:t xml:space="preserve"> et al., 1984), random forest (</w:t>
      </w:r>
      <w:proofErr w:type="spellStart"/>
      <w:r>
        <w:rPr>
          <w:rFonts w:ascii="Arial" w:hAnsi="Arial"/>
          <w:sz w:val="20"/>
          <w:szCs w:val="20"/>
          <w:lang w:val="en-US"/>
        </w:rPr>
        <w:t>Breiman</w:t>
      </w:r>
      <w:proofErr w:type="spellEnd"/>
      <w:r>
        <w:rPr>
          <w:rFonts w:ascii="Arial" w:hAnsi="Arial"/>
          <w:sz w:val="20"/>
          <w:szCs w:val="20"/>
          <w:lang w:val="en-US"/>
        </w:rPr>
        <w:t xml:space="preserve"> 2001), extreme gradient boosting (Chen </w:t>
      </w:r>
      <w:r w:rsidR="00D83B98">
        <w:rPr>
          <w:rFonts w:ascii="Arial" w:hAnsi="Arial"/>
          <w:sz w:val="20"/>
          <w:szCs w:val="20"/>
          <w:lang w:val="en-US"/>
        </w:rPr>
        <w:t>&amp;</w:t>
      </w:r>
      <w:r>
        <w:rPr>
          <w:rFonts w:ascii="Arial" w:hAnsi="Arial"/>
          <w:sz w:val="20"/>
          <w:szCs w:val="20"/>
          <w:lang w:val="en-US"/>
        </w:rPr>
        <w:t xml:space="preserve"> </w:t>
      </w:r>
      <w:proofErr w:type="spellStart"/>
      <w:r>
        <w:rPr>
          <w:rFonts w:ascii="Arial" w:hAnsi="Arial"/>
          <w:sz w:val="20"/>
          <w:szCs w:val="20"/>
          <w:lang w:val="en-US"/>
        </w:rPr>
        <w:t>Guestrin</w:t>
      </w:r>
      <w:proofErr w:type="spellEnd"/>
      <w:r>
        <w:rPr>
          <w:rFonts w:ascii="Arial" w:hAnsi="Arial"/>
          <w:sz w:val="20"/>
          <w:szCs w:val="20"/>
          <w:lang w:val="en-US"/>
        </w:rPr>
        <w:t>, 2016). To minimize computational time for the more complex algorithms that include sev</w:t>
      </w:r>
      <w:r>
        <w:rPr>
          <w:rFonts w:ascii="Arial" w:hAnsi="Arial"/>
          <w:sz w:val="20"/>
          <w:szCs w:val="20"/>
          <w:lang w:val="en-US"/>
        </w:rPr>
        <w:t>eral hyperparameters (random forest, gradient boosting), we used a resampling “adaptive” scheme that was found effective at finding reasonable values of tuning parameters in a more computationally effective way (Kuhn</w:t>
      </w:r>
      <w:r>
        <w:rPr>
          <w:rFonts w:ascii="Arial" w:hAnsi="Arial"/>
          <w:sz w:val="20"/>
          <w:szCs w:val="20"/>
          <w:lang w:val="en-US"/>
        </w:rPr>
        <w:t xml:space="preserve"> 2014). The grid search of hyperparamet</w:t>
      </w:r>
      <w:r>
        <w:rPr>
          <w:rFonts w:ascii="Arial" w:hAnsi="Arial"/>
          <w:sz w:val="20"/>
          <w:szCs w:val="20"/>
          <w:lang w:val="en-US"/>
        </w:rPr>
        <w:t xml:space="preserve">ers for each algorithm is reported in </w:t>
      </w:r>
      <w:r>
        <w:rPr>
          <w:rFonts w:ascii="Arial" w:hAnsi="Arial"/>
          <w:b/>
          <w:bCs/>
          <w:sz w:val="20"/>
          <w:szCs w:val="20"/>
          <w:lang w:val="en-US"/>
        </w:rPr>
        <w:t xml:space="preserve">Supplementary </w:t>
      </w:r>
      <w:r>
        <w:rPr>
          <w:rFonts w:ascii="Arial" w:hAnsi="Arial"/>
          <w:b/>
          <w:bCs/>
          <w:sz w:val="20"/>
          <w:szCs w:val="20"/>
          <w:lang w:val="en-US"/>
        </w:rPr>
        <w:t>Table 2.</w:t>
      </w:r>
    </w:p>
    <w:p w:rsidR="00DB5CA6" w:rsidRDefault="00957D22">
      <w:pPr>
        <w:rPr>
          <w:rFonts w:ascii="Arial" w:hAnsi="Arial"/>
          <w:lang w:val="en-US"/>
        </w:rPr>
      </w:pPr>
      <w:r>
        <w:rPr>
          <w:rFonts w:ascii="Arial" w:hAnsi="Arial"/>
          <w:b/>
          <w:bCs/>
          <w:sz w:val="20"/>
          <w:szCs w:val="20"/>
          <w:lang w:val="en-US"/>
        </w:rPr>
        <w:tab/>
      </w:r>
      <w:r>
        <w:rPr>
          <w:rFonts w:ascii="Arial" w:hAnsi="Arial"/>
          <w:sz w:val="20"/>
          <w:szCs w:val="20"/>
          <w:lang w:val="en-US"/>
        </w:rPr>
        <w:t xml:space="preserve">To minimize over-fitting, we chose to split the dataset into K=20 independent folds (Phillips et al., 2022), using repeatedly (20 times) 19 folds for model training and </w:t>
      </w:r>
      <w:proofErr w:type="gramStart"/>
      <w:r>
        <w:rPr>
          <w:rFonts w:ascii="Arial" w:hAnsi="Arial"/>
          <w:sz w:val="20"/>
          <w:szCs w:val="20"/>
          <w:lang w:val="en-US"/>
        </w:rPr>
        <w:t>one fold</w:t>
      </w:r>
      <w:proofErr w:type="gramEnd"/>
      <w:r>
        <w:rPr>
          <w:rFonts w:ascii="Arial" w:hAnsi="Arial"/>
          <w:sz w:val="20"/>
          <w:szCs w:val="20"/>
          <w:lang w:val="en-US"/>
        </w:rPr>
        <w:t xml:space="preserve"> for model testin</w:t>
      </w:r>
      <w:r>
        <w:rPr>
          <w:rFonts w:ascii="Arial" w:hAnsi="Arial"/>
          <w:sz w:val="20"/>
          <w:szCs w:val="20"/>
          <w:lang w:val="en-US"/>
        </w:rPr>
        <w:t>g, and ensuring that testing occurred on unseen data. For each treatment program, each of the 20 folds comprised 56-58 observations, meaning that, for each of the 20 iterations, 1088-1090 observations were in the training set, and 56-58 observations were u</w:t>
      </w:r>
      <w:r>
        <w:rPr>
          <w:rFonts w:ascii="Arial" w:hAnsi="Arial"/>
          <w:sz w:val="20"/>
          <w:szCs w:val="20"/>
          <w:lang w:val="en-US"/>
        </w:rPr>
        <w:t>sed for testing the model. We ensured that each fold included the same proportion of patients referred to each of the four treatment programs (ranges for the training folds: CBT, 27.7-27.8%; CR, 17.6-17.7%; PE, 20.6-20.7%; VT, 33.8-34.0%; ranges for the te</w:t>
      </w:r>
      <w:r>
        <w:rPr>
          <w:rFonts w:ascii="Arial" w:hAnsi="Arial"/>
          <w:sz w:val="20"/>
          <w:szCs w:val="20"/>
          <w:lang w:val="en-US"/>
        </w:rPr>
        <w:t>sting folds: CBT, 26.3-28.6%; CR, 17.2-19.3%; PE, 19.0-21.1%; VT, 32.8-35.1%). Finally, we ensured that each fold included similar observations from one machine learning algorithm to the other.</w:t>
      </w:r>
    </w:p>
    <w:p w:rsidR="00DB5CA6" w:rsidRPr="00D83B98" w:rsidRDefault="00957D22">
      <w:pPr>
        <w:rPr>
          <w:lang w:val="en-US"/>
        </w:rPr>
      </w:pPr>
      <w:r>
        <w:rPr>
          <w:rFonts w:ascii="Arial" w:hAnsi="Arial"/>
          <w:sz w:val="20"/>
          <w:szCs w:val="20"/>
          <w:lang w:val="en-US"/>
        </w:rPr>
        <w:tab/>
        <w:t>The 19 folds used for model training were also subject to a 2</w:t>
      </w:r>
      <w:r>
        <w:rPr>
          <w:rFonts w:ascii="Arial" w:hAnsi="Arial"/>
          <w:sz w:val="20"/>
          <w:szCs w:val="20"/>
          <w:lang w:val="en-US"/>
        </w:rPr>
        <w:t xml:space="preserve">0 folds cross-validation procedure, with 10 repeats </w:t>
      </w:r>
      <w:r>
        <w:rPr>
          <w:rFonts w:ascii="Arial" w:hAnsi="Arial"/>
          <w:sz w:val="20"/>
          <w:szCs w:val="20"/>
          <w:lang w:val="en-US"/>
        </w:rPr>
        <w:t>to minimize instability</w:t>
      </w:r>
      <w:r>
        <w:rPr>
          <w:rFonts w:ascii="Arial" w:hAnsi="Arial"/>
          <w:sz w:val="20"/>
          <w:szCs w:val="20"/>
          <w:lang w:val="en-US"/>
        </w:rPr>
        <w:t>. Overall, this 2-steps cross-validation procedure, also called nested or double cross-validation (Stone</w:t>
      </w:r>
      <w:r>
        <w:rPr>
          <w:rFonts w:ascii="Arial" w:hAnsi="Arial"/>
          <w:sz w:val="20"/>
          <w:szCs w:val="20"/>
          <w:lang w:val="en-US"/>
        </w:rPr>
        <w:t xml:space="preserve"> 1974), resulted in two sets of performance evaluation: (1) </w:t>
      </w:r>
      <w:r>
        <w:rPr>
          <w:rStyle w:val="Accentuation"/>
          <w:rFonts w:ascii="Arial" w:hAnsi="Arial"/>
          <w:i w:val="0"/>
          <w:iCs w:val="0"/>
          <w:sz w:val="20"/>
          <w:szCs w:val="20"/>
          <w:lang w:val="en-US"/>
        </w:rPr>
        <w:t>an “</w:t>
      </w:r>
      <w:r>
        <w:rPr>
          <w:rFonts w:ascii="Arial" w:hAnsi="Arial"/>
          <w:sz w:val="20"/>
          <w:szCs w:val="20"/>
          <w:lang w:val="en-US"/>
        </w:rPr>
        <w:t>external” or</w:t>
      </w:r>
      <w:r>
        <w:rPr>
          <w:rFonts w:ascii="Arial" w:hAnsi="Arial"/>
          <w:sz w:val="20"/>
          <w:szCs w:val="20"/>
          <w:lang w:val="en-US"/>
        </w:rPr>
        <w:t xml:space="preserve"> outer cross-validation performance over the 20 testing folds (i.e. over the N=1146 observations); and (2) a range of 20 “internal” or inner cross-validation performance over 19 training folds (i.e. 20 times over N=1088-1090 observations). </w:t>
      </w:r>
    </w:p>
    <w:p w:rsidR="00DB5CA6" w:rsidRDefault="00957D22">
      <w:pPr>
        <w:rPr>
          <w:rFonts w:ascii="Arial" w:hAnsi="Arial"/>
          <w:sz w:val="20"/>
          <w:szCs w:val="20"/>
          <w:lang w:val="en-US"/>
        </w:rPr>
      </w:pPr>
      <w:r>
        <w:rPr>
          <w:rFonts w:ascii="Arial" w:hAnsi="Arial"/>
          <w:sz w:val="20"/>
          <w:szCs w:val="20"/>
          <w:lang w:val="en-US"/>
        </w:rPr>
        <w:tab/>
        <w:t>For each algor</w:t>
      </w:r>
      <w:r>
        <w:rPr>
          <w:rFonts w:ascii="Arial" w:hAnsi="Arial"/>
          <w:sz w:val="20"/>
          <w:szCs w:val="20"/>
          <w:lang w:val="en-US"/>
        </w:rPr>
        <w:t xml:space="preserve">ithm, training consisted in selecting the best set of hyperparameters (aka hyperparameter tuning), which was further used for testing the model. Hyperparameter tuning aimed to optimize the area under the receiving operating curve (AUROC). We also reported </w:t>
      </w:r>
      <w:r>
        <w:rPr>
          <w:rFonts w:ascii="Arial" w:hAnsi="Arial"/>
          <w:sz w:val="20"/>
          <w:szCs w:val="20"/>
          <w:lang w:val="en-US"/>
        </w:rPr>
        <w:t>the area under the precision-recall curve (AUPRC), The difference between the AUROC and the AUPRC is that, as the threshold probabilit</w:t>
      </w:r>
      <w:r>
        <w:rPr>
          <w:rFonts w:ascii="Arial" w:hAnsi="Arial"/>
          <w:sz w:val="20"/>
          <w:szCs w:val="20"/>
          <w:lang w:val="en-US"/>
        </w:rPr>
        <w:t>y by which the model’s predictions are actually classified into PSR interventions varies from 0 to 1, the curve is define</w:t>
      </w:r>
      <w:r>
        <w:rPr>
          <w:rFonts w:ascii="Arial" w:hAnsi="Arial"/>
          <w:sz w:val="20"/>
          <w:szCs w:val="20"/>
          <w:lang w:val="en-US"/>
        </w:rPr>
        <w:t xml:space="preserve">d by a trade-off between sensitivity and 1-specificity for the AUROC, vs. between precision (i.e. positive predictive value) and recall (i.e. sensitivity) for the AUPRC. </w:t>
      </w:r>
      <w:r>
        <w:rPr>
          <w:rFonts w:ascii="Arial" w:hAnsi="Arial"/>
          <w:sz w:val="20"/>
          <w:szCs w:val="20"/>
          <w:lang w:val="en-US"/>
        </w:rPr>
        <w:t xml:space="preserve">The AUROC is perhaps more popular but the AUPRC would better </w:t>
      </w:r>
      <w:proofErr w:type="gramStart"/>
      <w:r>
        <w:rPr>
          <w:rFonts w:ascii="Arial" w:hAnsi="Arial"/>
          <w:sz w:val="20"/>
          <w:szCs w:val="20"/>
          <w:lang w:val="en-US"/>
        </w:rPr>
        <w:t>take into account</w:t>
      </w:r>
      <w:proofErr w:type="gramEnd"/>
      <w:r>
        <w:rPr>
          <w:rFonts w:ascii="Arial" w:hAnsi="Arial"/>
          <w:sz w:val="20"/>
          <w:szCs w:val="20"/>
          <w:lang w:val="en-US"/>
        </w:rPr>
        <w:t xml:space="preserve"> imbala</w:t>
      </w:r>
      <w:r>
        <w:rPr>
          <w:rFonts w:ascii="Arial" w:hAnsi="Arial"/>
          <w:sz w:val="20"/>
          <w:szCs w:val="20"/>
          <w:lang w:val="en-US"/>
        </w:rPr>
        <w:t xml:space="preserve">nce datasets since precision depends on the prevalence of the observed outcomes. Likewise, we report both the macro- and micro-average of the AUROC and AUPRC. Briefly, a </w:t>
      </w:r>
      <w:proofErr w:type="gramStart"/>
      <w:r>
        <w:rPr>
          <w:rFonts w:ascii="Arial" w:hAnsi="Arial"/>
          <w:sz w:val="20"/>
          <w:szCs w:val="20"/>
          <w:lang w:val="en-US"/>
        </w:rPr>
        <w:t>macro-average computes</w:t>
      </w:r>
      <w:proofErr w:type="gramEnd"/>
      <w:r>
        <w:rPr>
          <w:rFonts w:ascii="Arial" w:hAnsi="Arial"/>
          <w:sz w:val="20"/>
          <w:szCs w:val="20"/>
          <w:lang w:val="en-US"/>
        </w:rPr>
        <w:t xml:space="preserve"> the metric independently for each class and then calculates the</w:t>
      </w:r>
      <w:r>
        <w:rPr>
          <w:rFonts w:ascii="Arial" w:hAnsi="Arial"/>
          <w:sz w:val="20"/>
          <w:szCs w:val="20"/>
          <w:lang w:val="en-US"/>
        </w:rPr>
        <w:t xml:space="preserve"> raw average, treating all classes equally. A micro-average </w:t>
      </w:r>
      <w:proofErr w:type="gramStart"/>
      <w:r>
        <w:rPr>
          <w:rFonts w:ascii="Arial" w:hAnsi="Arial"/>
          <w:sz w:val="20"/>
          <w:szCs w:val="20"/>
          <w:lang w:val="en-US"/>
        </w:rPr>
        <w:t>takes into account</w:t>
      </w:r>
      <w:proofErr w:type="gramEnd"/>
      <w:r>
        <w:rPr>
          <w:rFonts w:ascii="Arial" w:hAnsi="Arial"/>
          <w:sz w:val="20"/>
          <w:szCs w:val="20"/>
          <w:lang w:val="en-US"/>
        </w:rPr>
        <w:t xml:space="preserve"> the prevalence of all classes to calculate the metric, i.e. a micro-average would better take into account class imbalance than a macro-average.</w:t>
      </w:r>
    </w:p>
    <w:p w:rsidR="00DB5CA6" w:rsidRDefault="00DB5CA6">
      <w:pPr>
        <w:rPr>
          <w:rFonts w:ascii="Arial" w:hAnsi="Arial"/>
          <w:b/>
          <w:bCs/>
          <w:sz w:val="20"/>
          <w:szCs w:val="20"/>
          <w:u w:val="single"/>
          <w:lang w:val="en-US"/>
        </w:rPr>
      </w:pPr>
    </w:p>
    <w:p w:rsidR="00DB5CA6" w:rsidRDefault="00957D22">
      <w:pPr>
        <w:rPr>
          <w:rFonts w:ascii="Arial" w:hAnsi="Arial"/>
          <w:sz w:val="20"/>
          <w:szCs w:val="20"/>
          <w:lang w:val="en-US"/>
        </w:rPr>
      </w:pPr>
      <w:r>
        <w:rPr>
          <w:rFonts w:ascii="Arial" w:hAnsi="Arial"/>
          <w:sz w:val="20"/>
          <w:szCs w:val="20"/>
          <w:u w:val="single"/>
          <w:lang w:val="en-US"/>
        </w:rPr>
        <w:t>Explainable machine learning an</w:t>
      </w:r>
      <w:r>
        <w:rPr>
          <w:rFonts w:ascii="Arial" w:hAnsi="Arial"/>
          <w:sz w:val="20"/>
          <w:szCs w:val="20"/>
          <w:u w:val="single"/>
          <w:lang w:val="en-US"/>
        </w:rPr>
        <w:t>alysis</w:t>
      </w:r>
      <w:r>
        <w:rPr>
          <w:rFonts w:ascii="Arial" w:hAnsi="Arial"/>
          <w:sz w:val="20"/>
          <w:szCs w:val="20"/>
          <w:lang w:val="en-US"/>
        </w:rPr>
        <w:tab/>
      </w:r>
    </w:p>
    <w:p w:rsidR="00DB5CA6" w:rsidRDefault="00DB5CA6">
      <w:pPr>
        <w:rPr>
          <w:rFonts w:ascii="Arial" w:hAnsi="Arial"/>
          <w:sz w:val="20"/>
          <w:szCs w:val="20"/>
          <w:lang w:val="en-US"/>
        </w:rPr>
      </w:pPr>
    </w:p>
    <w:p w:rsidR="00DB5CA6" w:rsidRDefault="00957D22">
      <w:pPr>
        <w:rPr>
          <w:rFonts w:ascii="Arial" w:hAnsi="Arial"/>
          <w:lang w:val="en-US"/>
        </w:rPr>
      </w:pPr>
      <w:r>
        <w:rPr>
          <w:rFonts w:ascii="Arial" w:hAnsi="Arial"/>
          <w:sz w:val="20"/>
          <w:szCs w:val="20"/>
          <w:lang w:val="en-US"/>
        </w:rPr>
        <w:t>Using the best performing algorithm, we aimed to determine the explanatory power of each predictor with respect to referrals to PSR treatment programs. To do so, we used an artificial intelligence SHAP (</w:t>
      </w:r>
      <w:proofErr w:type="spellStart"/>
      <w:r>
        <w:rPr>
          <w:rFonts w:ascii="Arial" w:hAnsi="Arial"/>
          <w:sz w:val="20"/>
          <w:szCs w:val="20"/>
          <w:lang w:val="en-US"/>
        </w:rPr>
        <w:t>SHapley</w:t>
      </w:r>
      <w:proofErr w:type="spellEnd"/>
      <w:r>
        <w:rPr>
          <w:rFonts w:ascii="Arial" w:hAnsi="Arial"/>
          <w:sz w:val="20"/>
          <w:szCs w:val="20"/>
          <w:lang w:val="en-US"/>
        </w:rPr>
        <w:t xml:space="preserve"> </w:t>
      </w:r>
      <w:r>
        <w:rPr>
          <w:rFonts w:ascii="Arial" w:hAnsi="Arial"/>
          <w:sz w:val="20"/>
          <w:szCs w:val="20"/>
          <w:lang w:val="en-US"/>
        </w:rPr>
        <w:lastRenderedPageBreak/>
        <w:t xml:space="preserve">Additive </w:t>
      </w:r>
      <w:proofErr w:type="spellStart"/>
      <w:r>
        <w:rPr>
          <w:rFonts w:ascii="Arial" w:hAnsi="Arial"/>
          <w:sz w:val="20"/>
          <w:szCs w:val="20"/>
          <w:lang w:val="en-US"/>
        </w:rPr>
        <w:t>exPlanations</w:t>
      </w:r>
      <w:proofErr w:type="spellEnd"/>
      <w:r>
        <w:rPr>
          <w:rFonts w:ascii="Arial" w:hAnsi="Arial"/>
          <w:sz w:val="20"/>
          <w:szCs w:val="20"/>
          <w:lang w:val="en-US"/>
        </w:rPr>
        <w:t>) method (Lundb</w:t>
      </w:r>
      <w:r>
        <w:rPr>
          <w:rFonts w:ascii="Arial" w:hAnsi="Arial"/>
          <w:sz w:val="20"/>
          <w:szCs w:val="20"/>
          <w:lang w:val="en-US"/>
        </w:rPr>
        <w:t xml:space="preserve">erg </w:t>
      </w:r>
      <w:r w:rsidR="00D83B98">
        <w:rPr>
          <w:rFonts w:ascii="Arial" w:hAnsi="Arial"/>
          <w:sz w:val="20"/>
          <w:szCs w:val="20"/>
          <w:lang w:val="en-US"/>
        </w:rPr>
        <w:t>&amp;</w:t>
      </w:r>
      <w:r>
        <w:rPr>
          <w:rFonts w:ascii="Arial" w:hAnsi="Arial"/>
          <w:sz w:val="20"/>
          <w:szCs w:val="20"/>
          <w:lang w:val="en-US"/>
        </w:rPr>
        <w:t xml:space="preserve"> Lee, 2017). In short, SHAP values calculate the importance of a feature by comparing what a model predicts with and without the feature. Of existing work on interpreting individual predictions, SHAP is regarded as the only model-agnostic explanatio</w:t>
      </w:r>
      <w:r>
        <w:rPr>
          <w:rFonts w:ascii="Arial" w:hAnsi="Arial"/>
          <w:sz w:val="20"/>
          <w:szCs w:val="20"/>
          <w:lang w:val="en-US"/>
        </w:rPr>
        <w:t xml:space="preserve">n method with a solid theoretical foundation (Lundberg </w:t>
      </w:r>
      <w:r w:rsidR="00D83B98">
        <w:rPr>
          <w:rFonts w:ascii="Arial" w:hAnsi="Arial"/>
          <w:sz w:val="20"/>
          <w:szCs w:val="20"/>
          <w:lang w:val="en-US"/>
        </w:rPr>
        <w:t>&amp;</w:t>
      </w:r>
      <w:r>
        <w:rPr>
          <w:rFonts w:ascii="Arial" w:hAnsi="Arial"/>
          <w:sz w:val="20"/>
          <w:szCs w:val="20"/>
          <w:lang w:val="en-US"/>
        </w:rPr>
        <w:t xml:space="preserve"> Lee, 2017). </w:t>
      </w:r>
    </w:p>
    <w:p w:rsidR="00DB5CA6" w:rsidRDefault="00957D22">
      <w:pPr>
        <w:rPr>
          <w:rFonts w:ascii="Arial" w:hAnsi="Arial"/>
          <w:lang w:val="en-US"/>
        </w:rPr>
      </w:pPr>
      <w:r>
        <w:rPr>
          <w:rFonts w:ascii="Arial" w:hAnsi="Arial"/>
          <w:bCs/>
          <w:sz w:val="20"/>
          <w:szCs w:val="20"/>
          <w:lang w:val="en-US"/>
        </w:rPr>
        <w:tab/>
        <w:t xml:space="preserve">A SHAP value is the average marginal contribution of a feature value across all possible sets of features, which is computationally very costly. The </w:t>
      </w:r>
      <w:proofErr w:type="spellStart"/>
      <w:r>
        <w:rPr>
          <w:rFonts w:ascii="Arial" w:hAnsi="Arial"/>
          <w:bCs/>
          <w:i/>
          <w:iCs/>
          <w:sz w:val="20"/>
          <w:szCs w:val="20"/>
          <w:lang w:val="en-US"/>
        </w:rPr>
        <w:t>fastshap</w:t>
      </w:r>
      <w:proofErr w:type="spellEnd"/>
      <w:r>
        <w:rPr>
          <w:rFonts w:ascii="Arial" w:hAnsi="Arial"/>
          <w:bCs/>
          <w:sz w:val="20"/>
          <w:szCs w:val="20"/>
          <w:lang w:val="en-US"/>
        </w:rPr>
        <w:t xml:space="preserve"> R package provides an efficient way to reduce the computational cost of computing SHAP val</w:t>
      </w:r>
      <w:r>
        <w:rPr>
          <w:rFonts w:ascii="Arial" w:hAnsi="Arial"/>
          <w:sz w:val="20"/>
          <w:szCs w:val="20"/>
          <w:lang w:val="en-US"/>
        </w:rPr>
        <w:t xml:space="preserve">ues, by calculating approximated SHAP values using a </w:t>
      </w:r>
      <w:proofErr w:type="spellStart"/>
      <w:r>
        <w:rPr>
          <w:rFonts w:ascii="Arial" w:hAnsi="Arial"/>
          <w:sz w:val="20"/>
          <w:szCs w:val="20"/>
          <w:lang w:val="en-US"/>
        </w:rPr>
        <w:t>Montecarlo</w:t>
      </w:r>
      <w:proofErr w:type="spellEnd"/>
      <w:r>
        <w:rPr>
          <w:rFonts w:ascii="Arial" w:hAnsi="Arial"/>
          <w:sz w:val="20"/>
          <w:szCs w:val="20"/>
          <w:lang w:val="en-US"/>
        </w:rPr>
        <w:t xml:space="preserve"> simulation approach</w:t>
      </w:r>
      <w:r>
        <w:rPr>
          <w:rFonts w:ascii="Arial" w:hAnsi="Arial"/>
          <w:b/>
          <w:bCs/>
          <w:sz w:val="20"/>
          <w:szCs w:val="20"/>
          <w:lang w:val="en-US"/>
        </w:rPr>
        <w:t xml:space="preserve"> </w:t>
      </w:r>
      <w:r>
        <w:rPr>
          <w:rFonts w:ascii="Arial" w:hAnsi="Arial"/>
          <w:bCs/>
          <w:sz w:val="20"/>
          <w:szCs w:val="20"/>
          <w:lang w:val="en-US"/>
        </w:rPr>
        <w:t>(</w:t>
      </w:r>
      <w:proofErr w:type="spellStart"/>
      <w:r w:rsidR="00D83B98">
        <w:rPr>
          <w:rFonts w:ascii="Arial" w:hAnsi="Arial"/>
          <w:sz w:val="20"/>
          <w:szCs w:val="20"/>
          <w:lang w:val="en-US"/>
        </w:rPr>
        <w:t>Štrumbelj</w:t>
      </w:r>
      <w:proofErr w:type="spellEnd"/>
      <w:r w:rsidR="00D83B98">
        <w:rPr>
          <w:rFonts w:ascii="Arial" w:hAnsi="Arial"/>
          <w:sz w:val="20"/>
          <w:szCs w:val="20"/>
          <w:lang w:val="en-US"/>
        </w:rPr>
        <w:t xml:space="preserve"> &amp; </w:t>
      </w:r>
      <w:proofErr w:type="spellStart"/>
      <w:r w:rsidR="00D83B98">
        <w:rPr>
          <w:rFonts w:ascii="Arial" w:hAnsi="Arial"/>
          <w:sz w:val="20"/>
          <w:szCs w:val="20"/>
          <w:lang w:val="en-US"/>
        </w:rPr>
        <w:t>Kononenko</w:t>
      </w:r>
      <w:proofErr w:type="spellEnd"/>
      <w:r w:rsidR="00D83B98">
        <w:rPr>
          <w:rFonts w:ascii="Arial" w:hAnsi="Arial"/>
          <w:sz w:val="20"/>
          <w:szCs w:val="20"/>
          <w:lang w:val="en-US"/>
        </w:rPr>
        <w:t>, 2014</w:t>
      </w:r>
      <w:r w:rsidR="00D83B98">
        <w:rPr>
          <w:rFonts w:ascii="Arial" w:hAnsi="Arial"/>
          <w:sz w:val="20"/>
          <w:szCs w:val="20"/>
          <w:lang w:val="en-US"/>
        </w:rPr>
        <w:t xml:space="preserve">; </w:t>
      </w:r>
      <w:r>
        <w:rPr>
          <w:rFonts w:ascii="Arial" w:hAnsi="Arial"/>
          <w:bCs/>
          <w:sz w:val="20"/>
          <w:szCs w:val="20"/>
          <w:lang w:val="en-US"/>
        </w:rPr>
        <w:t xml:space="preserve">Lundberg </w:t>
      </w:r>
      <w:r w:rsidR="00D83B98">
        <w:rPr>
          <w:rFonts w:ascii="Arial" w:hAnsi="Arial"/>
          <w:bCs/>
          <w:sz w:val="20"/>
          <w:szCs w:val="20"/>
          <w:lang w:val="en-US"/>
        </w:rPr>
        <w:t>&amp;</w:t>
      </w:r>
      <w:r>
        <w:rPr>
          <w:rFonts w:ascii="Arial" w:hAnsi="Arial"/>
          <w:bCs/>
          <w:sz w:val="20"/>
          <w:szCs w:val="20"/>
          <w:lang w:val="en-US"/>
        </w:rPr>
        <w:t xml:space="preserve"> Lee, 2017;</w:t>
      </w:r>
      <w:r w:rsidR="00D83B98">
        <w:rPr>
          <w:rFonts w:ascii="Arial" w:hAnsi="Arial"/>
          <w:bCs/>
          <w:sz w:val="20"/>
          <w:szCs w:val="20"/>
          <w:lang w:val="en-US"/>
        </w:rPr>
        <w:t xml:space="preserve"> </w:t>
      </w:r>
      <w:r w:rsidR="00D83B98">
        <w:rPr>
          <w:rFonts w:ascii="Arial" w:hAnsi="Arial"/>
          <w:bCs/>
          <w:sz w:val="20"/>
          <w:szCs w:val="20"/>
          <w:lang w:val="en-US"/>
        </w:rPr>
        <w:t>Greenwell, 2021</w:t>
      </w:r>
      <w:r>
        <w:rPr>
          <w:rFonts w:ascii="Arial" w:hAnsi="Arial"/>
          <w:sz w:val="20"/>
          <w:szCs w:val="20"/>
          <w:lang w:val="en-US"/>
        </w:rPr>
        <w:t>)</w:t>
      </w:r>
      <w:r>
        <w:rPr>
          <w:rFonts w:ascii="Arial" w:hAnsi="Arial"/>
          <w:sz w:val="20"/>
          <w:szCs w:val="20"/>
          <w:lang w:val="en-US"/>
        </w:rPr>
        <w:t>.</w:t>
      </w:r>
    </w:p>
    <w:p w:rsidR="00DB5CA6" w:rsidRDefault="00DB5CA6">
      <w:pPr>
        <w:rPr>
          <w:rFonts w:ascii="Arial" w:hAnsi="Arial"/>
          <w:sz w:val="20"/>
          <w:szCs w:val="20"/>
          <w:lang w:val="en-US"/>
        </w:rPr>
      </w:pPr>
    </w:p>
    <w:p w:rsidR="00DB5CA6" w:rsidRDefault="00DB5CA6">
      <w:pPr>
        <w:rPr>
          <w:rFonts w:ascii="Arial" w:hAnsi="Arial"/>
          <w:lang w:val="en-US"/>
        </w:rPr>
      </w:pPr>
    </w:p>
    <w:p w:rsidR="00DB5CA6" w:rsidRDefault="00957D22">
      <w:pPr>
        <w:rPr>
          <w:rFonts w:ascii="Arial" w:hAnsi="Arial"/>
          <w:b/>
          <w:bCs/>
          <w:lang w:val="en-US"/>
        </w:rPr>
      </w:pPr>
      <w:r w:rsidRPr="00D83B98">
        <w:rPr>
          <w:lang w:val="en-US"/>
        </w:rPr>
        <w:br w:type="page"/>
      </w:r>
    </w:p>
    <w:p w:rsidR="00DB5CA6" w:rsidRDefault="00957D22">
      <w:pPr>
        <w:rPr>
          <w:rFonts w:ascii="Arial" w:hAnsi="Arial"/>
          <w:lang w:val="en-US"/>
        </w:rPr>
      </w:pPr>
      <w:r>
        <w:rPr>
          <w:rFonts w:ascii="Arial" w:hAnsi="Arial"/>
          <w:b/>
          <w:bCs/>
          <w:lang w:val="en-US"/>
        </w:rPr>
        <w:lastRenderedPageBreak/>
        <w:t>Sup</w:t>
      </w:r>
      <w:r>
        <w:rPr>
          <w:rFonts w:ascii="Arial" w:hAnsi="Arial"/>
          <w:b/>
          <w:bCs/>
          <w:lang w:val="en-US"/>
        </w:rPr>
        <w:t xml:space="preserve">plementary Table 1. </w:t>
      </w:r>
      <w:r>
        <w:rPr>
          <w:rFonts w:ascii="Arial" w:hAnsi="Arial"/>
          <w:b/>
          <w:bCs/>
          <w:lang w:val="en-US"/>
        </w:rPr>
        <w:t>Main characteristics of the four psychosocial interventions</w:t>
      </w:r>
    </w:p>
    <w:p w:rsidR="00DB5CA6" w:rsidRDefault="00DB5CA6">
      <w:pPr>
        <w:rPr>
          <w:rFonts w:ascii="Arial" w:hAnsi="Arial"/>
          <w:b/>
          <w:bCs/>
          <w:lang w:val="en-US"/>
        </w:rPr>
      </w:pPr>
    </w:p>
    <w:tbl>
      <w:tblPr>
        <w:tblW w:w="8990" w:type="dxa"/>
        <w:tblInd w:w="41" w:type="dxa"/>
        <w:tblLayout w:type="fixed"/>
        <w:tblCellMar>
          <w:left w:w="30" w:type="dxa"/>
          <w:right w:w="30" w:type="dxa"/>
        </w:tblCellMar>
        <w:tblLook w:val="0000" w:firstRow="0" w:lastRow="0" w:firstColumn="0" w:lastColumn="0" w:noHBand="0" w:noVBand="0"/>
      </w:tblPr>
      <w:tblGrid>
        <w:gridCol w:w="3030"/>
        <w:gridCol w:w="1170"/>
        <w:gridCol w:w="1036"/>
        <w:gridCol w:w="1250"/>
        <w:gridCol w:w="1246"/>
        <w:gridCol w:w="1258"/>
      </w:tblGrid>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DB5CA6">
            <w:pPr>
              <w:rPr>
                <w:rFonts w:ascii="Arial" w:hAnsi="Arial"/>
                <w:sz w:val="20"/>
                <w:szCs w:val="20"/>
                <w:lang w:val="en-US"/>
              </w:rPr>
            </w:pP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b/>
                <w:bCs/>
                <w:sz w:val="20"/>
                <w:szCs w:val="20"/>
                <w:lang w:val="en-US"/>
              </w:rPr>
            </w:pPr>
            <w:r>
              <w:rPr>
                <w:rFonts w:ascii="Arial" w:hAnsi="Arial"/>
                <w:b/>
                <w:bCs/>
                <w:sz w:val="20"/>
                <w:szCs w:val="20"/>
                <w:lang w:val="en-US"/>
              </w:rPr>
              <w:t>CBT</w:t>
            </w: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b/>
                <w:bCs/>
                <w:sz w:val="20"/>
                <w:szCs w:val="20"/>
                <w:lang w:val="en-US"/>
              </w:rPr>
            </w:pPr>
            <w:r>
              <w:rPr>
                <w:rFonts w:ascii="Arial" w:hAnsi="Arial"/>
                <w:b/>
                <w:bCs/>
                <w:sz w:val="20"/>
                <w:szCs w:val="20"/>
                <w:lang w:val="en-US"/>
              </w:rPr>
              <w:t>CR</w:t>
            </w: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b/>
                <w:bCs/>
                <w:sz w:val="20"/>
                <w:szCs w:val="20"/>
                <w:lang w:val="en-US"/>
              </w:rPr>
            </w:pPr>
            <w:r>
              <w:rPr>
                <w:rFonts w:ascii="Arial" w:hAnsi="Arial"/>
                <w:b/>
                <w:bCs/>
                <w:sz w:val="20"/>
                <w:szCs w:val="20"/>
                <w:lang w:val="en-US"/>
              </w:rPr>
              <w:t>PE</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b/>
                <w:bCs/>
                <w:sz w:val="20"/>
                <w:szCs w:val="20"/>
                <w:lang w:val="en-US"/>
              </w:rPr>
            </w:pPr>
            <w:r>
              <w:rPr>
                <w:rFonts w:ascii="Arial" w:hAnsi="Arial"/>
                <w:b/>
                <w:bCs/>
                <w:sz w:val="20"/>
                <w:szCs w:val="20"/>
                <w:lang w:val="en-US"/>
              </w:rPr>
              <w:t>VT</w:t>
            </w: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b/>
                <w:bCs/>
                <w:sz w:val="20"/>
                <w:szCs w:val="20"/>
                <w:lang w:val="en-US"/>
              </w:rPr>
            </w:pPr>
            <w:r>
              <w:rPr>
                <w:rFonts w:ascii="Arial" w:hAnsi="Arial"/>
                <w:b/>
                <w:bCs/>
                <w:sz w:val="20"/>
                <w:szCs w:val="20"/>
                <w:lang w:val="en-US"/>
              </w:rPr>
              <w:t>Overall</w:t>
            </w: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DB5CA6">
            <w:pPr>
              <w:rPr>
                <w:rFonts w:ascii="Arial" w:hAnsi="Arial"/>
                <w:sz w:val="20"/>
                <w:szCs w:val="20"/>
                <w:lang w:val="en-US"/>
              </w:rPr>
            </w:pP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(N=318)</w:t>
            </w: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(N=203)</w:t>
            </w: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(N=236)</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(N=389)</w:t>
            </w: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(N=1146)</w:t>
            </w: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DB5CA6">
            <w:pPr>
              <w:rPr>
                <w:rFonts w:ascii="Arial" w:hAnsi="Arial"/>
                <w:sz w:val="20"/>
                <w:szCs w:val="20"/>
                <w:lang w:val="en-US"/>
              </w:rPr>
            </w:pP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Intervention done in group setting (%)</w:t>
            </w: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211 (66.4%)</w:t>
            </w: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89 (43.8%)</w:t>
            </w: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165 (69.9%)</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205 (52.7%)</w:t>
            </w: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670 (58.5%)</w:t>
            </w: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Missing (%)</w:t>
            </w: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11 (3.5%)</w:t>
            </w: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18 (8.9%)</w:t>
            </w: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27 (11.4%)</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31 (8.0%)</w:t>
            </w: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87 (7.6%)</w:t>
            </w: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DB5CA6">
            <w:pPr>
              <w:rPr>
                <w:rFonts w:ascii="Arial" w:hAnsi="Arial"/>
                <w:sz w:val="20"/>
                <w:szCs w:val="20"/>
                <w:lang w:val="en-US"/>
              </w:rPr>
            </w:pP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DB5CA6">
            <w:pPr>
              <w:rPr>
                <w:rFonts w:ascii="Arial" w:hAnsi="Arial"/>
                <w:sz w:val="20"/>
                <w:szCs w:val="20"/>
                <w:lang w:val="en-US"/>
              </w:rPr>
            </w:pPr>
          </w:p>
        </w:tc>
      </w:tr>
      <w:tr w:rsidR="00DB5CA6">
        <w:trPr>
          <w:trHeight w:val="256"/>
        </w:trPr>
        <w:tc>
          <w:tcPr>
            <w:tcW w:w="3030"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Median duration of intervention (</w:t>
            </w:r>
            <w:proofErr w:type="spellStart"/>
            <w:r>
              <w:rPr>
                <w:rFonts w:ascii="Arial" w:hAnsi="Arial"/>
                <w:b/>
                <w:bCs/>
                <w:sz w:val="20"/>
                <w:szCs w:val="20"/>
                <w:lang w:val="en-US"/>
              </w:rPr>
              <w:t>hr</w:t>
            </w:r>
            <w:proofErr w:type="spellEnd"/>
            <w:r>
              <w:rPr>
                <w:rFonts w:ascii="Arial" w:hAnsi="Arial"/>
                <w:b/>
                <w:bCs/>
                <w:sz w:val="20"/>
                <w:szCs w:val="20"/>
                <w:lang w:val="en-US"/>
              </w:rPr>
              <w:t>)</w:t>
            </w:r>
          </w:p>
        </w:tc>
        <w:tc>
          <w:tcPr>
            <w:tcW w:w="117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16</w:t>
            </w:r>
          </w:p>
        </w:tc>
        <w:tc>
          <w:tcPr>
            <w:tcW w:w="103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20</w:t>
            </w:r>
          </w:p>
        </w:tc>
        <w:tc>
          <w:tcPr>
            <w:tcW w:w="1250"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14</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 xml:space="preserve">Estimated range: </w:t>
            </w:r>
          </w:p>
          <w:p w:rsidR="00DB5CA6" w:rsidRDefault="00957D22">
            <w:pPr>
              <w:rPr>
                <w:rFonts w:ascii="Arial" w:hAnsi="Arial"/>
                <w:sz w:val="20"/>
                <w:szCs w:val="20"/>
                <w:lang w:val="en-US"/>
              </w:rPr>
            </w:pPr>
            <w:r>
              <w:rPr>
                <w:rFonts w:ascii="Arial" w:hAnsi="Arial"/>
                <w:sz w:val="20"/>
                <w:szCs w:val="20"/>
                <w:lang w:val="en-US"/>
              </w:rPr>
              <w:t>8-24</w:t>
            </w:r>
          </w:p>
        </w:tc>
        <w:tc>
          <w:tcPr>
            <w:tcW w:w="1258" w:type="dxa"/>
            <w:tcBorders>
              <w:top w:val="single" w:sz="6" w:space="0" w:color="000000"/>
              <w:left w:val="single" w:sz="6" w:space="0" w:color="000000"/>
              <w:bottom w:val="single" w:sz="6" w:space="0" w:color="000000"/>
              <w:right w:val="single" w:sz="6" w:space="0" w:color="000000"/>
            </w:tcBorders>
            <w:tcMar>
              <w:left w:w="28" w:type="dxa"/>
              <w:right w:w="28" w:type="dxa"/>
            </w:tcMar>
            <w:vAlign w:val="bottom"/>
          </w:tcPr>
          <w:p w:rsidR="00DB5CA6" w:rsidRDefault="00957D22">
            <w:pPr>
              <w:rPr>
                <w:rFonts w:ascii="Arial" w:hAnsi="Arial"/>
                <w:sz w:val="20"/>
                <w:szCs w:val="20"/>
                <w:lang w:val="en-US"/>
              </w:rPr>
            </w:pPr>
            <w:r>
              <w:rPr>
                <w:rFonts w:ascii="Arial" w:hAnsi="Arial"/>
                <w:sz w:val="20"/>
                <w:szCs w:val="20"/>
                <w:lang w:val="en-US"/>
              </w:rPr>
              <w:t>15</w:t>
            </w:r>
          </w:p>
        </w:tc>
      </w:tr>
    </w:tbl>
    <w:p w:rsidR="00DB5CA6" w:rsidRDefault="00DB5CA6">
      <w:pPr>
        <w:rPr>
          <w:rFonts w:ascii="Arial" w:hAnsi="Arial"/>
          <w:sz w:val="16"/>
          <w:szCs w:val="16"/>
          <w:lang w:val="en-US"/>
        </w:rPr>
      </w:pPr>
    </w:p>
    <w:p w:rsidR="00DB5CA6" w:rsidRDefault="00957D22">
      <w:pPr>
        <w:rPr>
          <w:rFonts w:ascii="Arial" w:hAnsi="Arial"/>
          <w:sz w:val="16"/>
          <w:szCs w:val="16"/>
          <w:lang w:val="en-US"/>
        </w:rPr>
      </w:pPr>
      <w:r>
        <w:rPr>
          <w:rFonts w:ascii="Arial" w:hAnsi="Arial"/>
          <w:sz w:val="16"/>
          <w:szCs w:val="16"/>
          <w:lang w:val="en-US"/>
        </w:rPr>
        <w:t xml:space="preserve">Abbreviations: CBT, cognitive and </w:t>
      </w:r>
      <w:proofErr w:type="spellStart"/>
      <w:r>
        <w:rPr>
          <w:rFonts w:ascii="Arial" w:hAnsi="Arial"/>
          <w:sz w:val="16"/>
          <w:szCs w:val="16"/>
          <w:lang w:val="en-US"/>
        </w:rPr>
        <w:t>behavioural</w:t>
      </w:r>
      <w:proofErr w:type="spellEnd"/>
      <w:r>
        <w:rPr>
          <w:rFonts w:ascii="Arial" w:hAnsi="Arial"/>
          <w:sz w:val="16"/>
          <w:szCs w:val="16"/>
          <w:lang w:val="en-US"/>
        </w:rPr>
        <w:t xml:space="preserve"> therapy; CR, cognitive remediation; PE, psychoeducation; VT, v</w:t>
      </w:r>
      <w:r>
        <w:rPr>
          <w:rFonts w:ascii="Arial" w:hAnsi="Arial"/>
          <w:sz w:val="16"/>
          <w:szCs w:val="16"/>
          <w:lang w:val="en-US"/>
        </w:rPr>
        <w:t>ocational training.</w:t>
      </w:r>
    </w:p>
    <w:p w:rsidR="00DB5CA6" w:rsidRDefault="00DB5CA6">
      <w:pPr>
        <w:rPr>
          <w:rFonts w:ascii="Arial" w:hAnsi="Arial"/>
          <w:lang w:val="en-US"/>
        </w:rPr>
      </w:pPr>
    </w:p>
    <w:p w:rsidR="00DB5CA6" w:rsidRDefault="00DB5CA6">
      <w:pPr>
        <w:rPr>
          <w:rFonts w:ascii="Arial" w:hAnsi="Arial"/>
          <w:lang w:val="en-US"/>
        </w:rPr>
      </w:pPr>
    </w:p>
    <w:p w:rsidR="00DB5CA6" w:rsidRDefault="00957D22">
      <w:pPr>
        <w:rPr>
          <w:rFonts w:ascii="Arial" w:hAnsi="Arial"/>
          <w:b/>
          <w:bCs/>
          <w:u w:val="single"/>
          <w:lang w:val="en-US"/>
        </w:rPr>
      </w:pPr>
      <w:r w:rsidRPr="00D83B98">
        <w:rPr>
          <w:lang w:val="en-US"/>
        </w:rPr>
        <w:br w:type="page"/>
      </w:r>
    </w:p>
    <w:p w:rsidR="00DB5CA6" w:rsidRDefault="00957D22">
      <w:pPr>
        <w:rPr>
          <w:rFonts w:ascii="Arial" w:hAnsi="Arial"/>
          <w:b/>
          <w:bCs/>
          <w:lang w:val="en-US"/>
        </w:rPr>
      </w:pPr>
      <w:r>
        <w:rPr>
          <w:rFonts w:ascii="Arial" w:hAnsi="Arial"/>
          <w:b/>
          <w:bCs/>
          <w:lang w:val="en-US"/>
        </w:rPr>
        <w:lastRenderedPageBreak/>
        <w:t>Supplementary Table 2. Hyperparameter grid for each machine learning algorithm</w:t>
      </w:r>
    </w:p>
    <w:p w:rsidR="00DB5CA6" w:rsidRDefault="00DB5CA6">
      <w:pPr>
        <w:rPr>
          <w:rFonts w:ascii="Arial" w:hAnsi="Arial"/>
          <w:b/>
          <w:bCs/>
          <w:u w:val="single"/>
          <w:lang w:val="en-U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208"/>
        <w:gridCol w:w="1752"/>
        <w:gridCol w:w="4668"/>
      </w:tblGrid>
      <w:tr w:rsidR="00DB5CA6">
        <w:tc>
          <w:tcPr>
            <w:tcW w:w="3211" w:type="dxa"/>
            <w:tcBorders>
              <w:top w:val="single" w:sz="4" w:space="0" w:color="000000"/>
              <w:left w:val="single" w:sz="4" w:space="0" w:color="000000"/>
              <w:bottom w:val="single" w:sz="4" w:space="0" w:color="000000"/>
            </w:tcBorders>
          </w:tcPr>
          <w:p w:rsidR="00DB5CA6" w:rsidRDefault="00957D22">
            <w:pPr>
              <w:pStyle w:val="Contenudetableau"/>
              <w:rPr>
                <w:rFonts w:ascii="Arial" w:hAnsi="Arial"/>
                <w:b/>
                <w:bCs/>
                <w:sz w:val="20"/>
                <w:szCs w:val="20"/>
                <w:lang w:val="en-US"/>
              </w:rPr>
            </w:pPr>
            <w:r>
              <w:rPr>
                <w:rFonts w:ascii="Arial" w:hAnsi="Arial"/>
                <w:b/>
                <w:bCs/>
                <w:sz w:val="20"/>
                <w:szCs w:val="20"/>
                <w:lang w:val="en-US"/>
              </w:rPr>
              <w:t>Machine Learning algorithm</w:t>
            </w:r>
          </w:p>
        </w:tc>
        <w:tc>
          <w:tcPr>
            <w:tcW w:w="1754" w:type="dxa"/>
            <w:tcBorders>
              <w:top w:val="single" w:sz="4" w:space="0" w:color="000000"/>
              <w:left w:val="single" w:sz="4" w:space="0" w:color="000000"/>
              <w:bottom w:val="single" w:sz="4" w:space="0" w:color="000000"/>
            </w:tcBorders>
          </w:tcPr>
          <w:p w:rsidR="00DB5CA6" w:rsidRDefault="00957D22">
            <w:pPr>
              <w:pStyle w:val="Contenudetableau"/>
              <w:rPr>
                <w:rFonts w:ascii="Arial" w:hAnsi="Arial"/>
                <w:b/>
                <w:bCs/>
                <w:sz w:val="20"/>
                <w:szCs w:val="20"/>
                <w:lang w:val="en-US"/>
              </w:rPr>
            </w:pPr>
            <w:r>
              <w:rPr>
                <w:rFonts w:ascii="Arial" w:hAnsi="Arial"/>
                <w:b/>
                <w:bCs/>
                <w:sz w:val="20"/>
                <w:szCs w:val="20"/>
                <w:lang w:val="en-US"/>
              </w:rPr>
              <w:t xml:space="preserve">method argument in </w:t>
            </w:r>
            <w:r>
              <w:rPr>
                <w:rFonts w:ascii="Arial" w:hAnsi="Arial"/>
                <w:b/>
                <w:bCs/>
                <w:i/>
                <w:iCs/>
                <w:sz w:val="20"/>
                <w:szCs w:val="20"/>
                <w:lang w:val="en-US"/>
              </w:rPr>
              <w:t>caret</w:t>
            </w:r>
            <w:r>
              <w:rPr>
                <w:rFonts w:ascii="Arial" w:hAnsi="Arial"/>
                <w:b/>
                <w:bCs/>
                <w:sz w:val="20"/>
                <w:szCs w:val="20"/>
                <w:lang w:val="en-US"/>
              </w:rPr>
              <w:t xml:space="preserve"> R package</w:t>
            </w:r>
          </w:p>
        </w:tc>
        <w:tc>
          <w:tcPr>
            <w:tcW w:w="4673" w:type="dxa"/>
            <w:tcBorders>
              <w:top w:val="single" w:sz="4" w:space="0" w:color="000000"/>
              <w:left w:val="single" w:sz="4" w:space="0" w:color="000000"/>
              <w:bottom w:val="single" w:sz="4" w:space="0" w:color="000000"/>
              <w:right w:val="single" w:sz="4" w:space="0" w:color="000000"/>
            </w:tcBorders>
          </w:tcPr>
          <w:p w:rsidR="00DB5CA6" w:rsidRDefault="00957D22">
            <w:pPr>
              <w:pStyle w:val="Contenudetableau"/>
              <w:rPr>
                <w:rFonts w:ascii="Arial" w:hAnsi="Arial"/>
                <w:b/>
                <w:bCs/>
                <w:sz w:val="20"/>
                <w:szCs w:val="20"/>
                <w:lang w:val="en-US"/>
              </w:rPr>
            </w:pPr>
            <w:r>
              <w:rPr>
                <w:rFonts w:ascii="Arial" w:hAnsi="Arial"/>
                <w:b/>
                <w:bCs/>
                <w:sz w:val="20"/>
                <w:szCs w:val="20"/>
                <w:lang w:val="en-US"/>
              </w:rPr>
              <w:t>Hyperparameters range</w:t>
            </w:r>
          </w:p>
        </w:tc>
      </w:tr>
      <w:tr w:rsidR="00DB5CA6">
        <w:tc>
          <w:tcPr>
            <w:tcW w:w="3211"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Regression regularization</w:t>
            </w:r>
          </w:p>
        </w:tc>
        <w:tc>
          <w:tcPr>
            <w:tcW w:w="1754"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proofErr w:type="spellStart"/>
            <w:r>
              <w:rPr>
                <w:rFonts w:ascii="Arial" w:hAnsi="Arial"/>
                <w:sz w:val="20"/>
                <w:szCs w:val="20"/>
                <w:lang w:val="en-US"/>
              </w:rPr>
              <w:t>glmnet</w:t>
            </w:r>
            <w:proofErr w:type="spellEnd"/>
          </w:p>
        </w:tc>
        <w:tc>
          <w:tcPr>
            <w:tcW w:w="4673" w:type="dxa"/>
            <w:tcBorders>
              <w:left w:val="single" w:sz="4" w:space="0" w:color="000000"/>
              <w:bottom w:val="single" w:sz="4" w:space="0" w:color="000000"/>
              <w:right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alpha=0</w:t>
            </w:r>
          </w:p>
          <w:p w:rsidR="00DB5CA6" w:rsidRDefault="00957D22">
            <w:pPr>
              <w:pStyle w:val="Contenudetableau"/>
              <w:rPr>
                <w:rFonts w:ascii="Arial" w:hAnsi="Arial"/>
                <w:sz w:val="20"/>
                <w:szCs w:val="20"/>
                <w:lang w:val="en-US"/>
              </w:rPr>
            </w:pPr>
            <w:r>
              <w:rPr>
                <w:rFonts w:ascii="Arial" w:hAnsi="Arial"/>
                <w:sz w:val="20"/>
                <w:szCs w:val="20"/>
                <w:lang w:val="en-US"/>
              </w:rPr>
              <w:t>lambda range=</w:t>
            </w:r>
            <w:r>
              <w:rPr>
                <w:rFonts w:ascii="Arial" w:hAnsi="Arial"/>
                <w:sz w:val="20"/>
                <w:szCs w:val="20"/>
                <w:lang w:val="en-US"/>
              </w:rPr>
              <w:t xml:space="preserve"> [0.0077-77.96] (100 values)</w:t>
            </w:r>
          </w:p>
        </w:tc>
      </w:tr>
      <w:tr w:rsidR="00DB5CA6" w:rsidRPr="00D83B98">
        <w:tc>
          <w:tcPr>
            <w:tcW w:w="3211"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Multinomial regression</w:t>
            </w:r>
          </w:p>
        </w:tc>
        <w:tc>
          <w:tcPr>
            <w:tcW w:w="1754"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proofErr w:type="spellStart"/>
            <w:r>
              <w:rPr>
                <w:rFonts w:ascii="Arial" w:hAnsi="Arial"/>
                <w:sz w:val="20"/>
                <w:szCs w:val="20"/>
                <w:lang w:val="en-US"/>
              </w:rPr>
              <w:t>multinom</w:t>
            </w:r>
            <w:proofErr w:type="spellEnd"/>
          </w:p>
        </w:tc>
        <w:tc>
          <w:tcPr>
            <w:tcW w:w="4673" w:type="dxa"/>
            <w:tcBorders>
              <w:left w:val="single" w:sz="4" w:space="0" w:color="000000"/>
              <w:bottom w:val="single" w:sz="4" w:space="0" w:color="000000"/>
              <w:right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decay=</w:t>
            </w:r>
            <w:proofErr w:type="gramStart"/>
            <w:r>
              <w:rPr>
                <w:rFonts w:ascii="Arial" w:hAnsi="Arial"/>
                <w:sz w:val="20"/>
                <w:szCs w:val="20"/>
                <w:lang w:val="en-US"/>
              </w:rPr>
              <w:t>seq(</w:t>
            </w:r>
            <w:proofErr w:type="gramEnd"/>
            <w:r>
              <w:rPr>
                <w:rFonts w:ascii="Arial" w:hAnsi="Arial"/>
                <w:sz w:val="20"/>
                <w:szCs w:val="20"/>
                <w:lang w:val="en-US"/>
              </w:rPr>
              <w:t>from=0, to=1, by=0.1)</w:t>
            </w:r>
          </w:p>
        </w:tc>
      </w:tr>
      <w:tr w:rsidR="00DB5CA6" w:rsidRPr="00D83B98">
        <w:tc>
          <w:tcPr>
            <w:tcW w:w="3211"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Recursive partitioning trees</w:t>
            </w:r>
          </w:p>
        </w:tc>
        <w:tc>
          <w:tcPr>
            <w:tcW w:w="1754"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proofErr w:type="spellStart"/>
            <w:r>
              <w:rPr>
                <w:rFonts w:ascii="Arial" w:hAnsi="Arial"/>
                <w:sz w:val="20"/>
                <w:szCs w:val="20"/>
                <w:lang w:val="en-US"/>
              </w:rPr>
              <w:t>rpart</w:t>
            </w:r>
            <w:proofErr w:type="spellEnd"/>
          </w:p>
        </w:tc>
        <w:tc>
          <w:tcPr>
            <w:tcW w:w="4673" w:type="dxa"/>
            <w:tcBorders>
              <w:left w:val="single" w:sz="4" w:space="0" w:color="000000"/>
              <w:bottom w:val="single" w:sz="4" w:space="0" w:color="000000"/>
              <w:right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cp=</w:t>
            </w:r>
            <w:proofErr w:type="gramStart"/>
            <w:r>
              <w:rPr>
                <w:rFonts w:ascii="Arial" w:hAnsi="Arial"/>
                <w:sz w:val="20"/>
                <w:szCs w:val="20"/>
                <w:lang w:val="en-US"/>
              </w:rPr>
              <w:t>seq(</w:t>
            </w:r>
            <w:proofErr w:type="gramEnd"/>
            <w:r>
              <w:rPr>
                <w:rFonts w:ascii="Arial" w:hAnsi="Arial"/>
                <w:sz w:val="20"/>
                <w:szCs w:val="20"/>
                <w:lang w:val="en-US"/>
              </w:rPr>
              <w:t>from=0, to=.02, by=.0001)</w:t>
            </w:r>
          </w:p>
        </w:tc>
      </w:tr>
      <w:tr w:rsidR="00DB5CA6" w:rsidRPr="00D83B98">
        <w:tc>
          <w:tcPr>
            <w:tcW w:w="3211"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Random forest</w:t>
            </w:r>
          </w:p>
        </w:tc>
        <w:tc>
          <w:tcPr>
            <w:tcW w:w="1754"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ranger</w:t>
            </w:r>
          </w:p>
        </w:tc>
        <w:tc>
          <w:tcPr>
            <w:tcW w:w="4673" w:type="dxa"/>
            <w:tcBorders>
              <w:left w:val="single" w:sz="4" w:space="0" w:color="000000"/>
              <w:bottom w:val="single" w:sz="4" w:space="0" w:color="000000"/>
              <w:right w:val="single" w:sz="4" w:space="0" w:color="000000"/>
            </w:tcBorders>
          </w:tcPr>
          <w:p w:rsidR="00DB5CA6" w:rsidRDefault="00957D22">
            <w:pPr>
              <w:pStyle w:val="Contenudetableau"/>
              <w:rPr>
                <w:rFonts w:ascii="Arial" w:hAnsi="Arial"/>
                <w:sz w:val="20"/>
                <w:szCs w:val="20"/>
                <w:lang w:val="en-US"/>
              </w:rPr>
            </w:pPr>
            <w:proofErr w:type="spellStart"/>
            <w:r>
              <w:rPr>
                <w:rFonts w:ascii="Arial" w:hAnsi="Arial"/>
                <w:sz w:val="20"/>
                <w:szCs w:val="20"/>
                <w:lang w:val="en-US"/>
              </w:rPr>
              <w:t>mtry</w:t>
            </w:r>
            <w:proofErr w:type="spellEnd"/>
            <w:r>
              <w:rPr>
                <w:rFonts w:ascii="Arial" w:hAnsi="Arial"/>
                <w:sz w:val="20"/>
                <w:szCs w:val="20"/>
                <w:lang w:val="en-US"/>
              </w:rPr>
              <w:t xml:space="preserve"> range</w:t>
            </w:r>
            <w:proofErr w:type="gramStart"/>
            <w:r>
              <w:rPr>
                <w:rFonts w:ascii="Arial" w:hAnsi="Arial"/>
                <w:sz w:val="20"/>
                <w:szCs w:val="20"/>
                <w:lang w:val="en-US"/>
              </w:rPr>
              <w:t>=[</w:t>
            </w:r>
            <w:proofErr w:type="gramEnd"/>
            <w:r>
              <w:rPr>
                <w:rFonts w:ascii="Arial" w:hAnsi="Arial"/>
                <w:sz w:val="20"/>
                <w:szCs w:val="20"/>
                <w:lang w:val="en-US"/>
              </w:rPr>
              <w:t>1-53]</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splitrule</w:t>
            </w:r>
            <w:proofErr w:type="spellEnd"/>
            <w:r>
              <w:rPr>
                <w:rFonts w:ascii="Arial" w:hAnsi="Arial"/>
                <w:sz w:val="20"/>
                <w:szCs w:val="20"/>
                <w:lang w:val="en-US"/>
              </w:rPr>
              <w:t>: {“</w:t>
            </w:r>
            <w:proofErr w:type="spellStart"/>
            <w:r>
              <w:rPr>
                <w:rFonts w:ascii="Arial" w:hAnsi="Arial"/>
                <w:sz w:val="20"/>
                <w:szCs w:val="20"/>
                <w:lang w:val="en-US"/>
              </w:rPr>
              <w:t>extratrees</w:t>
            </w:r>
            <w:proofErr w:type="spellEnd"/>
            <w:r>
              <w:rPr>
                <w:rFonts w:ascii="Arial" w:hAnsi="Arial"/>
                <w:sz w:val="20"/>
                <w:szCs w:val="20"/>
                <w:lang w:val="en-US"/>
              </w:rPr>
              <w:t>”; “</w:t>
            </w:r>
            <w:proofErr w:type="spellStart"/>
            <w:r>
              <w:rPr>
                <w:rFonts w:ascii="Arial" w:hAnsi="Arial"/>
                <w:sz w:val="20"/>
                <w:szCs w:val="20"/>
                <w:lang w:val="en-US"/>
              </w:rPr>
              <w:t>gini</w:t>
            </w:r>
            <w:proofErr w:type="spellEnd"/>
            <w:r>
              <w:rPr>
                <w:rFonts w:ascii="Arial" w:hAnsi="Arial"/>
                <w:sz w:val="20"/>
                <w:szCs w:val="20"/>
                <w:lang w:val="en-US"/>
              </w:rPr>
              <w:t>”}</w:t>
            </w:r>
          </w:p>
          <w:p w:rsidR="00DB5CA6" w:rsidRDefault="00957D22">
            <w:pPr>
              <w:pStyle w:val="Contenudetableau"/>
              <w:rPr>
                <w:rFonts w:ascii="Arial" w:hAnsi="Arial"/>
                <w:sz w:val="20"/>
                <w:szCs w:val="20"/>
                <w:lang w:val="en-US"/>
              </w:rPr>
            </w:pPr>
            <w:proofErr w:type="spellStart"/>
            <w:proofErr w:type="gramStart"/>
            <w:r>
              <w:rPr>
                <w:rFonts w:ascii="Arial" w:hAnsi="Arial"/>
                <w:sz w:val="20"/>
                <w:szCs w:val="20"/>
                <w:lang w:val="en-US"/>
              </w:rPr>
              <w:t>min.node</w:t>
            </w:r>
            <w:proofErr w:type="gramEnd"/>
            <w:r>
              <w:rPr>
                <w:rFonts w:ascii="Arial" w:hAnsi="Arial"/>
                <w:sz w:val="20"/>
                <w:szCs w:val="20"/>
                <w:lang w:val="en-US"/>
              </w:rPr>
              <w:t>.size</w:t>
            </w:r>
            <w:proofErr w:type="spellEnd"/>
            <w:r>
              <w:rPr>
                <w:rFonts w:ascii="Arial" w:hAnsi="Arial"/>
                <w:sz w:val="20"/>
                <w:szCs w:val="20"/>
                <w:lang w:val="en-US"/>
              </w:rPr>
              <w:t xml:space="preserve"> </w:t>
            </w:r>
            <w:r>
              <w:rPr>
                <w:rFonts w:ascii="Arial" w:hAnsi="Arial"/>
                <w:sz w:val="20"/>
                <w:szCs w:val="20"/>
                <w:lang w:val="en-US"/>
              </w:rPr>
              <w:t>range=[1-20]</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tuneLength</w:t>
            </w:r>
            <w:proofErr w:type="spellEnd"/>
            <w:r>
              <w:rPr>
                <w:rFonts w:ascii="Arial" w:hAnsi="Arial"/>
                <w:sz w:val="20"/>
                <w:szCs w:val="20"/>
                <w:lang w:val="en-US"/>
              </w:rPr>
              <w:t>=100</w:t>
            </w:r>
          </w:p>
        </w:tc>
      </w:tr>
      <w:tr w:rsidR="00DB5CA6">
        <w:tc>
          <w:tcPr>
            <w:tcW w:w="3211"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Extended gradient boosting</w:t>
            </w:r>
          </w:p>
        </w:tc>
        <w:tc>
          <w:tcPr>
            <w:tcW w:w="1754" w:type="dxa"/>
            <w:tcBorders>
              <w:left w:val="single" w:sz="4" w:space="0" w:color="000000"/>
              <w:bottom w:val="single" w:sz="4" w:space="0" w:color="000000"/>
            </w:tcBorders>
          </w:tcPr>
          <w:p w:rsidR="00DB5CA6" w:rsidRDefault="00957D22">
            <w:pPr>
              <w:pStyle w:val="Contenudetableau"/>
              <w:rPr>
                <w:rFonts w:ascii="Arial" w:hAnsi="Arial"/>
                <w:sz w:val="20"/>
                <w:szCs w:val="20"/>
                <w:lang w:val="en-US"/>
              </w:rPr>
            </w:pPr>
            <w:proofErr w:type="spellStart"/>
            <w:r>
              <w:rPr>
                <w:rFonts w:ascii="Arial" w:hAnsi="Arial"/>
                <w:sz w:val="20"/>
                <w:szCs w:val="20"/>
                <w:lang w:val="en-US"/>
              </w:rPr>
              <w:t>xgboost</w:t>
            </w:r>
            <w:proofErr w:type="spellEnd"/>
          </w:p>
        </w:tc>
        <w:tc>
          <w:tcPr>
            <w:tcW w:w="4673" w:type="dxa"/>
            <w:tcBorders>
              <w:left w:val="single" w:sz="4" w:space="0" w:color="000000"/>
              <w:bottom w:val="single" w:sz="4" w:space="0" w:color="000000"/>
              <w:right w:val="single" w:sz="4" w:space="0" w:color="000000"/>
            </w:tcBorders>
          </w:tcPr>
          <w:p w:rsidR="00DB5CA6" w:rsidRDefault="00957D22">
            <w:pPr>
              <w:pStyle w:val="Contenudetableau"/>
              <w:rPr>
                <w:rFonts w:ascii="Arial" w:hAnsi="Arial"/>
                <w:sz w:val="20"/>
                <w:szCs w:val="20"/>
                <w:lang w:val="en-US"/>
              </w:rPr>
            </w:pPr>
            <w:r>
              <w:rPr>
                <w:rFonts w:ascii="Arial" w:hAnsi="Arial"/>
                <w:sz w:val="20"/>
                <w:szCs w:val="20"/>
                <w:lang w:val="en-US"/>
              </w:rPr>
              <w:t>eta range</w:t>
            </w:r>
            <w:proofErr w:type="gramStart"/>
            <w:r>
              <w:rPr>
                <w:rFonts w:ascii="Arial" w:hAnsi="Arial"/>
                <w:sz w:val="20"/>
                <w:szCs w:val="20"/>
                <w:lang w:val="en-US"/>
              </w:rPr>
              <w:t>=[</w:t>
            </w:r>
            <w:proofErr w:type="gramEnd"/>
            <w:r>
              <w:rPr>
                <w:rFonts w:ascii="Arial" w:hAnsi="Arial"/>
                <w:sz w:val="20"/>
                <w:szCs w:val="20"/>
                <w:lang w:val="en-US"/>
              </w:rPr>
              <w:t>0.0071-0.5882]</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max_depth</w:t>
            </w:r>
            <w:proofErr w:type="spellEnd"/>
            <w:r>
              <w:rPr>
                <w:rFonts w:ascii="Arial" w:hAnsi="Arial"/>
                <w:sz w:val="20"/>
                <w:szCs w:val="20"/>
                <w:lang w:val="en-US"/>
              </w:rPr>
              <w:t xml:space="preserve"> range</w:t>
            </w:r>
            <w:proofErr w:type="gramStart"/>
            <w:r>
              <w:rPr>
                <w:rFonts w:ascii="Arial" w:hAnsi="Arial"/>
                <w:sz w:val="20"/>
                <w:szCs w:val="20"/>
                <w:lang w:val="en-US"/>
              </w:rPr>
              <w:t>=[</w:t>
            </w:r>
            <w:proofErr w:type="gramEnd"/>
            <w:r>
              <w:rPr>
                <w:rFonts w:ascii="Arial" w:hAnsi="Arial"/>
                <w:sz w:val="20"/>
                <w:szCs w:val="20"/>
                <w:lang w:val="en-US"/>
              </w:rPr>
              <w:t>1-10]</w:t>
            </w:r>
          </w:p>
          <w:p w:rsidR="00DB5CA6" w:rsidRDefault="00957D22">
            <w:pPr>
              <w:pStyle w:val="Contenudetableau"/>
              <w:rPr>
                <w:rFonts w:ascii="Arial" w:hAnsi="Arial"/>
                <w:sz w:val="20"/>
                <w:szCs w:val="20"/>
                <w:lang w:val="en-US"/>
              </w:rPr>
            </w:pPr>
            <w:r>
              <w:rPr>
                <w:rFonts w:ascii="Arial" w:hAnsi="Arial"/>
                <w:sz w:val="20"/>
                <w:szCs w:val="20"/>
                <w:lang w:val="en-US"/>
              </w:rPr>
              <w:t>gamma range</w:t>
            </w:r>
            <w:proofErr w:type="gramStart"/>
            <w:r>
              <w:rPr>
                <w:rFonts w:ascii="Arial" w:hAnsi="Arial"/>
                <w:sz w:val="20"/>
                <w:szCs w:val="20"/>
                <w:lang w:val="en-US"/>
              </w:rPr>
              <w:t>=[</w:t>
            </w:r>
            <w:proofErr w:type="gramEnd"/>
            <w:r>
              <w:rPr>
                <w:rFonts w:ascii="Arial" w:hAnsi="Arial"/>
                <w:sz w:val="20"/>
                <w:szCs w:val="20"/>
                <w:lang w:val="en-US"/>
              </w:rPr>
              <w:t>0.0571-9.931]</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colsample_bytree</w:t>
            </w:r>
            <w:proofErr w:type="spellEnd"/>
            <w:r>
              <w:rPr>
                <w:rFonts w:ascii="Arial" w:hAnsi="Arial"/>
                <w:sz w:val="20"/>
                <w:szCs w:val="20"/>
                <w:lang w:val="en-US"/>
              </w:rPr>
              <w:t xml:space="preserve"> range</w:t>
            </w:r>
            <w:proofErr w:type="gramStart"/>
            <w:r>
              <w:rPr>
                <w:rFonts w:ascii="Arial" w:hAnsi="Arial"/>
                <w:sz w:val="20"/>
                <w:szCs w:val="20"/>
                <w:lang w:val="en-US"/>
              </w:rPr>
              <w:t>=[</w:t>
            </w:r>
            <w:proofErr w:type="gramEnd"/>
            <w:r>
              <w:rPr>
                <w:rFonts w:ascii="Arial" w:hAnsi="Arial"/>
                <w:sz w:val="20"/>
                <w:szCs w:val="20"/>
                <w:lang w:val="en-US"/>
              </w:rPr>
              <w:t>0.3031-0.6983]</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min_child_weight</w:t>
            </w:r>
            <w:proofErr w:type="spellEnd"/>
            <w:r>
              <w:rPr>
                <w:rFonts w:ascii="Arial" w:hAnsi="Arial"/>
                <w:sz w:val="20"/>
                <w:szCs w:val="20"/>
                <w:lang w:val="en-US"/>
              </w:rPr>
              <w:t xml:space="preserve"> range</w:t>
            </w:r>
            <w:proofErr w:type="gramStart"/>
            <w:r>
              <w:rPr>
                <w:rFonts w:ascii="Arial" w:hAnsi="Arial"/>
                <w:sz w:val="20"/>
                <w:szCs w:val="20"/>
                <w:lang w:val="en-US"/>
              </w:rPr>
              <w:t>=[</w:t>
            </w:r>
            <w:proofErr w:type="gramEnd"/>
            <w:r>
              <w:rPr>
                <w:rFonts w:ascii="Arial" w:hAnsi="Arial"/>
                <w:sz w:val="20"/>
                <w:szCs w:val="20"/>
                <w:lang w:val="en-US"/>
              </w:rPr>
              <w:t>0-20]</w:t>
            </w:r>
          </w:p>
          <w:p w:rsidR="00DB5CA6" w:rsidRDefault="00957D22">
            <w:pPr>
              <w:pStyle w:val="Contenudetableau"/>
              <w:rPr>
                <w:rFonts w:ascii="Arial" w:hAnsi="Arial"/>
                <w:sz w:val="20"/>
                <w:szCs w:val="20"/>
                <w:lang w:val="en-US"/>
              </w:rPr>
            </w:pPr>
            <w:r>
              <w:rPr>
                <w:rFonts w:ascii="Arial" w:hAnsi="Arial"/>
                <w:sz w:val="20"/>
                <w:szCs w:val="20"/>
                <w:lang w:val="en-US"/>
              </w:rPr>
              <w:t>subsample range</w:t>
            </w:r>
            <w:proofErr w:type="gramStart"/>
            <w:r>
              <w:rPr>
                <w:rFonts w:ascii="Arial" w:hAnsi="Arial"/>
                <w:sz w:val="20"/>
                <w:szCs w:val="20"/>
                <w:lang w:val="en-US"/>
              </w:rPr>
              <w:t>=[</w:t>
            </w:r>
            <w:proofErr w:type="gramEnd"/>
            <w:r>
              <w:rPr>
                <w:rFonts w:ascii="Arial" w:hAnsi="Arial"/>
                <w:sz w:val="20"/>
                <w:szCs w:val="20"/>
                <w:lang w:val="en-US"/>
              </w:rPr>
              <w:t>0.2516-0.9994]</w:t>
            </w:r>
          </w:p>
          <w:p w:rsidR="00DB5CA6" w:rsidRDefault="00957D22">
            <w:pPr>
              <w:pStyle w:val="Contenudetableau"/>
              <w:rPr>
                <w:rFonts w:ascii="Arial" w:hAnsi="Arial"/>
                <w:sz w:val="20"/>
                <w:szCs w:val="20"/>
                <w:lang w:val="en-US"/>
              </w:rPr>
            </w:pPr>
            <w:proofErr w:type="spellStart"/>
            <w:r>
              <w:rPr>
                <w:rFonts w:ascii="Arial" w:hAnsi="Arial"/>
                <w:sz w:val="20"/>
                <w:szCs w:val="20"/>
                <w:lang w:val="en-US"/>
              </w:rPr>
              <w:t>tuneLength</w:t>
            </w:r>
            <w:proofErr w:type="spellEnd"/>
            <w:r>
              <w:rPr>
                <w:rFonts w:ascii="Arial" w:hAnsi="Arial"/>
                <w:sz w:val="20"/>
                <w:szCs w:val="20"/>
                <w:lang w:val="en-US"/>
              </w:rPr>
              <w:t>=100</w:t>
            </w:r>
          </w:p>
        </w:tc>
      </w:tr>
    </w:tbl>
    <w:p w:rsidR="00DB5CA6" w:rsidRDefault="00DB5CA6">
      <w:pPr>
        <w:rPr>
          <w:rFonts w:ascii="Arial" w:hAnsi="Arial"/>
          <w:sz w:val="16"/>
          <w:szCs w:val="16"/>
          <w:lang w:val="en-US"/>
        </w:rPr>
      </w:pPr>
    </w:p>
    <w:p w:rsidR="00DB5CA6" w:rsidRDefault="00957D22">
      <w:pPr>
        <w:rPr>
          <w:rFonts w:ascii="Arial" w:hAnsi="Arial"/>
          <w:sz w:val="16"/>
          <w:szCs w:val="16"/>
          <w:lang w:val="en-US"/>
        </w:rPr>
      </w:pPr>
      <w:r>
        <w:rPr>
          <w:rFonts w:ascii="Arial" w:hAnsi="Arial"/>
          <w:sz w:val="16"/>
          <w:szCs w:val="16"/>
          <w:lang w:val="en-US"/>
        </w:rPr>
        <w:t xml:space="preserve">Pre-defined using </w:t>
      </w:r>
      <w:proofErr w:type="spellStart"/>
      <w:r>
        <w:rPr>
          <w:rFonts w:ascii="Arial" w:hAnsi="Arial"/>
          <w:i/>
          <w:iCs/>
          <w:sz w:val="16"/>
          <w:szCs w:val="16"/>
          <w:lang w:val="en-US"/>
        </w:rPr>
        <w:t>glmnet</w:t>
      </w:r>
      <w:proofErr w:type="spellEnd"/>
      <w:r>
        <w:rPr>
          <w:rFonts w:ascii="Arial" w:hAnsi="Arial"/>
          <w:sz w:val="16"/>
          <w:szCs w:val="16"/>
          <w:lang w:val="en-US"/>
        </w:rPr>
        <w:t xml:space="preserve"> R package</w:t>
      </w:r>
    </w:p>
    <w:p w:rsidR="00DB5CA6" w:rsidRDefault="00957D22">
      <w:pPr>
        <w:rPr>
          <w:rFonts w:ascii="Arial" w:hAnsi="Arial"/>
          <w:sz w:val="16"/>
          <w:szCs w:val="16"/>
          <w:lang w:val="en-US"/>
        </w:rPr>
      </w:pPr>
      <w:r>
        <w:rPr>
          <w:rFonts w:ascii="Arial" w:hAnsi="Arial"/>
          <w:sz w:val="16"/>
          <w:szCs w:val="16"/>
          <w:lang w:val="en-US"/>
        </w:rPr>
        <w:t>Pre-defined based on discussions with machine learning experts</w:t>
      </w:r>
    </w:p>
    <w:p w:rsidR="00DB5CA6" w:rsidRDefault="00957D22">
      <w:pPr>
        <w:rPr>
          <w:rFonts w:ascii="Arial" w:hAnsi="Arial"/>
          <w:sz w:val="16"/>
          <w:szCs w:val="16"/>
          <w:lang w:val="en-US"/>
        </w:rPr>
      </w:pPr>
      <w:r>
        <w:rPr>
          <w:rFonts w:ascii="Arial" w:hAnsi="Arial"/>
          <w:sz w:val="16"/>
          <w:szCs w:val="16"/>
          <w:lang w:val="en-US"/>
        </w:rPr>
        <w:t>Obtained from resampling “adaptive” scheme</w:t>
      </w:r>
    </w:p>
    <w:p w:rsidR="00DB5CA6" w:rsidRDefault="00DB5CA6">
      <w:pPr>
        <w:rPr>
          <w:rFonts w:ascii="Arial" w:hAnsi="Arial"/>
          <w:lang w:val="en-US"/>
        </w:rPr>
      </w:pPr>
    </w:p>
    <w:p w:rsidR="00DB5CA6" w:rsidRDefault="00957D22">
      <w:pPr>
        <w:rPr>
          <w:rFonts w:ascii="Arial" w:hAnsi="Arial"/>
          <w:lang w:val="en-US"/>
        </w:rPr>
      </w:pPr>
      <w:r>
        <w:rPr>
          <w:rFonts w:ascii="Arial" w:hAnsi="Arial"/>
          <w:lang w:val="en-US"/>
        </w:rPr>
        <w:tab/>
      </w:r>
    </w:p>
    <w:p w:rsidR="00DB5CA6" w:rsidRDefault="00957D22">
      <w:pPr>
        <w:rPr>
          <w:rFonts w:ascii="Arial" w:hAnsi="Arial"/>
          <w:lang w:val="en-US"/>
        </w:rPr>
      </w:pPr>
      <w:r>
        <w:rPr>
          <w:rFonts w:ascii="Arial" w:hAnsi="Arial"/>
          <w:lang w:val="en-US"/>
        </w:rPr>
        <w:tab/>
      </w:r>
    </w:p>
    <w:p w:rsidR="00DB5CA6" w:rsidRDefault="00DB5CA6">
      <w:pPr>
        <w:rPr>
          <w:rFonts w:ascii="Arial" w:hAnsi="Arial"/>
          <w:lang w:val="en-US"/>
        </w:rPr>
      </w:pPr>
    </w:p>
    <w:p w:rsidR="00DB5CA6" w:rsidRDefault="00DB5CA6">
      <w:pPr>
        <w:rPr>
          <w:rFonts w:ascii="Arial" w:hAnsi="Arial"/>
          <w:lang w:val="en-US"/>
        </w:rPr>
      </w:pPr>
    </w:p>
    <w:p w:rsidR="00DB5CA6" w:rsidRDefault="00957D22">
      <w:pPr>
        <w:rPr>
          <w:rFonts w:ascii="Arial" w:hAnsi="Arial"/>
          <w:lang w:val="en-US"/>
        </w:rPr>
      </w:pPr>
      <w:r>
        <w:rPr>
          <w:rFonts w:ascii="Arial" w:hAnsi="Arial"/>
          <w:lang w:val="en-US"/>
        </w:rPr>
        <w:tab/>
      </w:r>
      <w:r>
        <w:br w:type="page"/>
      </w:r>
    </w:p>
    <w:p w:rsidR="00DB5CA6" w:rsidRDefault="00957D22">
      <w:pPr>
        <w:rPr>
          <w:rFonts w:ascii="Arial" w:hAnsi="Arial"/>
          <w:lang w:val="en-US"/>
        </w:rPr>
      </w:pPr>
      <w:r>
        <w:rPr>
          <w:rFonts w:ascii="Arial" w:hAnsi="Arial"/>
          <w:b/>
          <w:bCs/>
          <w:lang w:val="en-US"/>
        </w:rPr>
        <w:lastRenderedPageBreak/>
        <w:t>Supplementary Table 3. AUROCs of the external Cross-Validation Set for each machine learning algorithm</w:t>
      </w:r>
    </w:p>
    <w:p w:rsidR="00DB5CA6" w:rsidRDefault="00DB5CA6">
      <w:pPr>
        <w:rPr>
          <w:rFonts w:ascii="Arial" w:hAnsi="Arial"/>
          <w:b/>
          <w:bCs/>
          <w:u w:val="single"/>
          <w:lang w:val="en-US"/>
        </w:rPr>
      </w:pPr>
    </w:p>
    <w:tbl>
      <w:tblPr>
        <w:tblW w:w="6811" w:type="dxa"/>
        <w:tblInd w:w="-7" w:type="dxa"/>
        <w:tblLayout w:type="fixed"/>
        <w:tblCellMar>
          <w:top w:w="28" w:type="dxa"/>
          <w:left w:w="28" w:type="dxa"/>
          <w:bottom w:w="28" w:type="dxa"/>
          <w:right w:w="28" w:type="dxa"/>
        </w:tblCellMar>
        <w:tblLook w:val="0000" w:firstRow="0" w:lastRow="0" w:firstColumn="0" w:lastColumn="0" w:noHBand="0" w:noVBand="0"/>
      </w:tblPr>
      <w:tblGrid>
        <w:gridCol w:w="2511"/>
        <w:gridCol w:w="577"/>
        <w:gridCol w:w="577"/>
        <w:gridCol w:w="577"/>
        <w:gridCol w:w="577"/>
        <w:gridCol w:w="996"/>
        <w:gridCol w:w="996"/>
      </w:tblGrid>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Algorithm</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CBT</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CR</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PE</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VT</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Macro-av.</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b/>
                <w:bCs/>
                <w:sz w:val="20"/>
                <w:szCs w:val="20"/>
                <w:lang w:val="en-US"/>
              </w:rPr>
            </w:pPr>
            <w:r>
              <w:rPr>
                <w:rFonts w:ascii="Arial" w:hAnsi="Arial"/>
                <w:b/>
                <w:bCs/>
                <w:sz w:val="20"/>
                <w:szCs w:val="20"/>
                <w:lang w:val="en-US"/>
              </w:rPr>
              <w:t xml:space="preserve">Micro-av. </w:t>
            </w:r>
          </w:p>
        </w:tc>
      </w:tr>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Regression regularization</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0.626</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0.637</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0.665</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0.649</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0.644</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0.668</w:t>
            </w:r>
          </w:p>
        </w:tc>
      </w:tr>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Multinomial regression</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0.609</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0.638</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0.662</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0.648</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0.639</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0.662</w:t>
            </w:r>
          </w:p>
        </w:tc>
      </w:tr>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Recursive partitioning trees</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0.605</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0.585</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0.584</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0.587</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0.59</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0.638</w:t>
            </w:r>
          </w:p>
        </w:tc>
      </w:tr>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Random forest</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0.651</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0.639</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0.661</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0.641</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0.648</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0.672</w:t>
            </w:r>
          </w:p>
        </w:tc>
      </w:tr>
      <w:tr w:rsidR="00DB5CA6">
        <w:trPr>
          <w:trHeight w:val="311"/>
        </w:trPr>
        <w:tc>
          <w:tcPr>
            <w:tcW w:w="2511"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Extended gradient boosting</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0.616</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0.616</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0.66</w:t>
            </w:r>
          </w:p>
        </w:tc>
        <w:tc>
          <w:tcPr>
            <w:tcW w:w="577"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0.631</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0.631</w:t>
            </w:r>
          </w:p>
        </w:tc>
        <w:tc>
          <w:tcPr>
            <w:tcW w:w="996" w:type="dxa"/>
            <w:tcBorders>
              <w:top w:val="single" w:sz="6" w:space="0" w:color="000000"/>
              <w:left w:val="single" w:sz="6" w:space="0" w:color="000000"/>
              <w:bottom w:val="single" w:sz="6" w:space="0" w:color="000000"/>
              <w:right w:val="single" w:sz="6" w:space="0" w:color="000000"/>
            </w:tcBorders>
            <w:vAlign w:val="center"/>
          </w:tcPr>
          <w:p w:rsidR="00DB5CA6" w:rsidRDefault="00957D22">
            <w:pPr>
              <w:pStyle w:val="Contenudetableau"/>
              <w:rPr>
                <w:rFonts w:ascii="Arial" w:hAnsi="Arial"/>
                <w:sz w:val="20"/>
                <w:szCs w:val="20"/>
                <w:lang w:val="en-US"/>
              </w:rPr>
            </w:pPr>
            <w:r>
              <w:rPr>
                <w:rFonts w:ascii="Arial" w:hAnsi="Arial"/>
                <w:sz w:val="20"/>
                <w:szCs w:val="20"/>
                <w:lang w:val="en-US"/>
              </w:rPr>
              <w:t>0.653</w:t>
            </w:r>
          </w:p>
        </w:tc>
      </w:tr>
    </w:tbl>
    <w:p w:rsidR="00DB5CA6" w:rsidRDefault="00DB5CA6">
      <w:pPr>
        <w:rPr>
          <w:rFonts w:ascii="Arial" w:hAnsi="Arial"/>
          <w:sz w:val="16"/>
          <w:szCs w:val="16"/>
          <w:lang w:val="en-US"/>
        </w:rPr>
      </w:pPr>
    </w:p>
    <w:p w:rsidR="00DB5CA6" w:rsidRDefault="00957D22">
      <w:pPr>
        <w:rPr>
          <w:rFonts w:ascii="Arial" w:hAnsi="Arial"/>
          <w:sz w:val="16"/>
          <w:szCs w:val="16"/>
          <w:lang w:val="en-US"/>
        </w:rPr>
      </w:pPr>
      <w:r>
        <w:rPr>
          <w:rFonts w:ascii="Arial" w:hAnsi="Arial"/>
          <w:sz w:val="16"/>
          <w:szCs w:val="16"/>
          <w:lang w:val="en-US"/>
        </w:rPr>
        <w:t xml:space="preserve">Abbreviations: AUROC, area under the receiver operating characteristics; CBT, cognitive and behavioral therapy; CR, cognitive remediation; PE, psychoeducation; </w:t>
      </w:r>
      <w:r>
        <w:rPr>
          <w:rFonts w:ascii="Arial" w:hAnsi="Arial"/>
          <w:sz w:val="16"/>
          <w:szCs w:val="16"/>
          <w:lang w:val="en-US"/>
        </w:rPr>
        <w:t>VT, vocational training; Macro-av., macro-average; Micro-av, micro-average.</w:t>
      </w:r>
    </w:p>
    <w:p w:rsidR="00DB5CA6" w:rsidRDefault="00957D22">
      <w:pPr>
        <w:rPr>
          <w:rFonts w:ascii="Arial" w:hAnsi="Arial"/>
          <w:sz w:val="16"/>
          <w:szCs w:val="16"/>
          <w:lang w:val="en-US"/>
        </w:rPr>
      </w:pPr>
      <w:r>
        <w:rPr>
          <w:rFonts w:ascii="Arial" w:hAnsi="Arial"/>
          <w:sz w:val="16"/>
          <w:szCs w:val="16"/>
          <w:lang w:val="en-US"/>
        </w:rPr>
        <w:t xml:space="preserve">Range (median) of (best) hyperparameters for the winning random forest model across the 20 folds: </w:t>
      </w:r>
      <w:proofErr w:type="spellStart"/>
      <w:r>
        <w:rPr>
          <w:rFonts w:ascii="Arial" w:hAnsi="Arial"/>
          <w:sz w:val="16"/>
          <w:szCs w:val="16"/>
          <w:lang w:val="en-US"/>
        </w:rPr>
        <w:t>mtry</w:t>
      </w:r>
      <w:proofErr w:type="spellEnd"/>
      <w:r>
        <w:rPr>
          <w:rFonts w:ascii="Arial" w:hAnsi="Arial"/>
          <w:sz w:val="16"/>
          <w:szCs w:val="16"/>
          <w:lang w:val="en-US"/>
        </w:rPr>
        <w:t xml:space="preserve">: 4-27 (14); </w:t>
      </w:r>
      <w:proofErr w:type="spellStart"/>
      <w:r>
        <w:rPr>
          <w:rFonts w:ascii="Arial" w:hAnsi="Arial"/>
          <w:sz w:val="16"/>
          <w:szCs w:val="16"/>
          <w:lang w:val="en-US"/>
        </w:rPr>
        <w:t>splitrule</w:t>
      </w:r>
      <w:proofErr w:type="spellEnd"/>
      <w:r>
        <w:rPr>
          <w:rFonts w:ascii="Arial" w:hAnsi="Arial"/>
          <w:sz w:val="16"/>
          <w:szCs w:val="16"/>
          <w:lang w:val="en-US"/>
        </w:rPr>
        <w:t xml:space="preserve">: </w:t>
      </w:r>
      <w:proofErr w:type="spellStart"/>
      <w:r>
        <w:rPr>
          <w:rFonts w:ascii="Arial" w:hAnsi="Arial"/>
          <w:sz w:val="16"/>
          <w:szCs w:val="16"/>
          <w:lang w:val="en-US"/>
        </w:rPr>
        <w:t>extratrees</w:t>
      </w:r>
      <w:proofErr w:type="spellEnd"/>
      <w:r>
        <w:rPr>
          <w:rFonts w:ascii="Arial" w:hAnsi="Arial"/>
          <w:sz w:val="16"/>
          <w:szCs w:val="16"/>
          <w:lang w:val="en-US"/>
        </w:rPr>
        <w:t xml:space="preserve">; </w:t>
      </w:r>
      <w:proofErr w:type="spellStart"/>
      <w:proofErr w:type="gramStart"/>
      <w:r>
        <w:rPr>
          <w:rFonts w:ascii="Arial" w:hAnsi="Arial"/>
          <w:sz w:val="16"/>
          <w:szCs w:val="16"/>
          <w:lang w:val="en-US"/>
        </w:rPr>
        <w:t>min.node</w:t>
      </w:r>
      <w:proofErr w:type="gramEnd"/>
      <w:r>
        <w:rPr>
          <w:rFonts w:ascii="Arial" w:hAnsi="Arial"/>
          <w:sz w:val="16"/>
          <w:szCs w:val="16"/>
          <w:lang w:val="en-US"/>
        </w:rPr>
        <w:t>.size</w:t>
      </w:r>
      <w:proofErr w:type="spellEnd"/>
      <w:r>
        <w:rPr>
          <w:rFonts w:ascii="Arial" w:hAnsi="Arial"/>
          <w:sz w:val="16"/>
          <w:szCs w:val="16"/>
          <w:lang w:val="en-US"/>
        </w:rPr>
        <w:t>: 16-20 (18).</w:t>
      </w:r>
    </w:p>
    <w:p w:rsidR="00DB5CA6" w:rsidRDefault="00DB5CA6">
      <w:pPr>
        <w:rPr>
          <w:rFonts w:ascii="Arial" w:hAnsi="Arial"/>
          <w:lang w:val="en-US"/>
        </w:rPr>
      </w:pPr>
    </w:p>
    <w:p w:rsidR="00DB5CA6" w:rsidRDefault="00957D22">
      <w:pPr>
        <w:rPr>
          <w:rFonts w:ascii="Arial" w:hAnsi="Arial"/>
          <w:u w:val="single"/>
          <w:lang w:val="en-US"/>
        </w:rPr>
      </w:pPr>
      <w:r w:rsidRPr="00D83B98">
        <w:rPr>
          <w:lang w:val="en-US"/>
        </w:rPr>
        <w:br w:type="page"/>
      </w:r>
    </w:p>
    <w:p w:rsidR="00DB5CA6" w:rsidRDefault="00957D22">
      <w:pPr>
        <w:rPr>
          <w:rFonts w:ascii="Arial" w:hAnsi="Arial"/>
          <w:lang w:val="en-US"/>
        </w:rPr>
      </w:pPr>
      <w:r>
        <w:rPr>
          <w:rFonts w:ascii="Arial" w:hAnsi="Arial"/>
          <w:b/>
          <w:bCs/>
          <w:lang w:val="en-US"/>
        </w:rPr>
        <w:lastRenderedPageBreak/>
        <w:t>Supplementar</w:t>
      </w:r>
      <w:r>
        <w:rPr>
          <w:rFonts w:ascii="Arial" w:hAnsi="Arial"/>
          <w:b/>
          <w:bCs/>
          <w:lang w:val="en-US"/>
        </w:rPr>
        <w:t>y Table 4. AUPRCs of the external Cross-Validation Set for each machine learning algorithm</w:t>
      </w:r>
    </w:p>
    <w:p w:rsidR="00DB5CA6" w:rsidRDefault="00DB5CA6">
      <w:pPr>
        <w:rPr>
          <w:rFonts w:ascii="Arial" w:hAnsi="Arial"/>
          <w:b/>
          <w:bCs/>
          <w:u w:val="single"/>
          <w:lang w:val="en-US"/>
        </w:rPr>
      </w:pPr>
    </w:p>
    <w:tbl>
      <w:tblPr>
        <w:tblW w:w="7136" w:type="dxa"/>
        <w:tblInd w:w="-7" w:type="dxa"/>
        <w:tblLayout w:type="fixed"/>
        <w:tblCellMar>
          <w:left w:w="30" w:type="dxa"/>
          <w:right w:w="30" w:type="dxa"/>
        </w:tblCellMar>
        <w:tblLook w:val="0000" w:firstRow="0" w:lastRow="0" w:firstColumn="0" w:lastColumn="0" w:noHBand="0" w:noVBand="0"/>
      </w:tblPr>
      <w:tblGrid>
        <w:gridCol w:w="2647"/>
        <w:gridCol w:w="611"/>
        <w:gridCol w:w="611"/>
        <w:gridCol w:w="611"/>
        <w:gridCol w:w="611"/>
        <w:gridCol w:w="1052"/>
        <w:gridCol w:w="993"/>
      </w:tblGrid>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b/>
                <w:bCs/>
                <w:sz w:val="20"/>
                <w:szCs w:val="20"/>
                <w:lang w:val="en-US"/>
              </w:rPr>
            </w:pPr>
            <w:r>
              <w:rPr>
                <w:rFonts w:ascii="Arial" w:hAnsi="Arial"/>
                <w:b/>
                <w:bCs/>
                <w:sz w:val="20"/>
                <w:szCs w:val="20"/>
                <w:lang w:val="en-US"/>
              </w:rPr>
              <w:t>Algorithm</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CBT</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CR</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PE</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VT</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Macro-av.</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b/>
                <w:bCs/>
                <w:sz w:val="20"/>
                <w:szCs w:val="20"/>
                <w:lang w:val="en-US"/>
              </w:rPr>
            </w:pPr>
            <w:r>
              <w:rPr>
                <w:rFonts w:ascii="Arial" w:hAnsi="Arial"/>
                <w:b/>
                <w:bCs/>
                <w:sz w:val="20"/>
                <w:szCs w:val="20"/>
                <w:lang w:val="en-US"/>
              </w:rPr>
              <w:t>Micro-av.</w:t>
            </w:r>
          </w:p>
        </w:tc>
      </w:tr>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sz w:val="20"/>
                <w:szCs w:val="20"/>
                <w:lang w:val="en-US"/>
              </w:rPr>
            </w:pPr>
            <w:r>
              <w:rPr>
                <w:rFonts w:ascii="Arial" w:hAnsi="Arial"/>
                <w:sz w:val="20"/>
                <w:szCs w:val="20"/>
                <w:lang w:val="en-US"/>
              </w:rPr>
              <w:t>Regression regularization</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0.378</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0.46</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0.288</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0.312</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0.359</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0.388</w:t>
            </w:r>
          </w:p>
        </w:tc>
      </w:tr>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sz w:val="20"/>
                <w:szCs w:val="20"/>
                <w:lang w:val="en-US"/>
              </w:rPr>
            </w:pPr>
            <w:r>
              <w:rPr>
                <w:rFonts w:ascii="Arial" w:hAnsi="Arial"/>
                <w:sz w:val="20"/>
                <w:szCs w:val="20"/>
                <w:lang w:val="en-US"/>
              </w:rPr>
              <w:t>Multinomial regression</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0.372</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0.456</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0.274</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0.306</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0.352</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0.378</w:t>
            </w:r>
          </w:p>
        </w:tc>
      </w:tr>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sz w:val="20"/>
                <w:szCs w:val="20"/>
                <w:lang w:val="en-US"/>
              </w:rPr>
            </w:pPr>
            <w:r>
              <w:rPr>
                <w:rFonts w:ascii="Arial" w:hAnsi="Arial"/>
                <w:sz w:val="20"/>
                <w:szCs w:val="20"/>
                <w:lang w:val="en-US"/>
              </w:rPr>
              <w:t>Recursive partitioning trees</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0.605</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0.585</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0.584</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0.587</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0.59</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0.638</w:t>
            </w:r>
          </w:p>
        </w:tc>
      </w:tr>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sz w:val="20"/>
                <w:szCs w:val="20"/>
                <w:lang w:val="en-US"/>
              </w:rPr>
            </w:pPr>
            <w:r>
              <w:rPr>
                <w:rFonts w:ascii="Arial" w:hAnsi="Arial"/>
                <w:sz w:val="20"/>
                <w:szCs w:val="20"/>
                <w:lang w:val="en-US"/>
              </w:rPr>
              <w:t>Random forest</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0.412</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0.483</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0.288</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0.316</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0.375</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0.407</w:t>
            </w:r>
          </w:p>
        </w:tc>
      </w:tr>
      <w:tr w:rsidR="00DB5CA6">
        <w:trPr>
          <w:trHeight w:val="256"/>
        </w:trPr>
        <w:tc>
          <w:tcPr>
            <w:tcW w:w="2647" w:type="dxa"/>
            <w:tcBorders>
              <w:top w:val="single" w:sz="6" w:space="0" w:color="000000"/>
              <w:left w:val="single" w:sz="6" w:space="0" w:color="000000"/>
              <w:bottom w:val="single" w:sz="6" w:space="0" w:color="000000"/>
              <w:right w:val="single" w:sz="6" w:space="0" w:color="000000"/>
            </w:tcBorders>
            <w:vAlign w:val="bottom"/>
          </w:tcPr>
          <w:p w:rsidR="00DB5CA6" w:rsidRDefault="00957D22">
            <w:pPr>
              <w:pStyle w:val="Contenudetableau"/>
              <w:rPr>
                <w:rFonts w:ascii="Arial" w:hAnsi="Arial"/>
                <w:sz w:val="20"/>
                <w:szCs w:val="20"/>
                <w:lang w:val="en-US"/>
              </w:rPr>
            </w:pPr>
            <w:r>
              <w:rPr>
                <w:rFonts w:ascii="Arial" w:hAnsi="Arial"/>
                <w:sz w:val="20"/>
                <w:szCs w:val="20"/>
                <w:lang w:val="en-US"/>
              </w:rPr>
              <w:t>Extended gradient boosting</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0.365</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0.456</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0.268</w:t>
            </w:r>
          </w:p>
        </w:tc>
        <w:tc>
          <w:tcPr>
            <w:tcW w:w="611"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0.291</w:t>
            </w:r>
          </w:p>
        </w:tc>
        <w:tc>
          <w:tcPr>
            <w:tcW w:w="1052"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0.345</w:t>
            </w:r>
          </w:p>
        </w:tc>
        <w:tc>
          <w:tcPr>
            <w:tcW w:w="993" w:type="dxa"/>
            <w:tcBorders>
              <w:top w:val="single" w:sz="6" w:space="0" w:color="000000"/>
              <w:left w:val="single" w:sz="6" w:space="0" w:color="000000"/>
              <w:bottom w:val="single" w:sz="6" w:space="0" w:color="000000"/>
              <w:right w:val="single" w:sz="6" w:space="0" w:color="000000"/>
            </w:tcBorders>
            <w:vAlign w:val="bottom"/>
          </w:tcPr>
          <w:p w:rsidR="00DB5CA6" w:rsidRDefault="00957D22">
            <w:pPr>
              <w:rPr>
                <w:rFonts w:ascii="Arial" w:hAnsi="Arial"/>
                <w:sz w:val="20"/>
                <w:szCs w:val="20"/>
                <w:lang w:val="en-US"/>
              </w:rPr>
            </w:pPr>
            <w:r>
              <w:rPr>
                <w:rFonts w:ascii="Arial" w:hAnsi="Arial"/>
                <w:sz w:val="20"/>
                <w:szCs w:val="20"/>
                <w:lang w:val="en-US"/>
              </w:rPr>
              <w:t>0.376</w:t>
            </w:r>
          </w:p>
        </w:tc>
      </w:tr>
    </w:tbl>
    <w:p w:rsidR="00DB5CA6" w:rsidRDefault="00DB5CA6">
      <w:pPr>
        <w:rPr>
          <w:rFonts w:ascii="Arial" w:hAnsi="Arial"/>
          <w:sz w:val="16"/>
          <w:szCs w:val="16"/>
          <w:lang w:val="en-US"/>
        </w:rPr>
      </w:pPr>
    </w:p>
    <w:p w:rsidR="00DB5CA6" w:rsidRDefault="00957D22">
      <w:pPr>
        <w:rPr>
          <w:rFonts w:ascii="Arial" w:hAnsi="Arial"/>
          <w:sz w:val="16"/>
          <w:szCs w:val="16"/>
          <w:lang w:val="en-US"/>
        </w:rPr>
      </w:pPr>
      <w:r>
        <w:rPr>
          <w:rFonts w:ascii="Arial" w:hAnsi="Arial"/>
          <w:sz w:val="16"/>
          <w:szCs w:val="16"/>
          <w:lang w:val="en-US"/>
        </w:rPr>
        <w:t xml:space="preserve">Abbreviations: AUPRC, area under the precision recall curve; CBT, </w:t>
      </w:r>
      <w:r>
        <w:rPr>
          <w:rFonts w:ascii="Arial" w:hAnsi="Arial"/>
          <w:sz w:val="16"/>
          <w:szCs w:val="16"/>
          <w:lang w:val="en-US"/>
        </w:rPr>
        <w:t>cognitive and behavioral therapy; CR, cognitive remediation; PE, psychoeducation; VT, vocational training; Macro-av., macro-average; Micro-av, micro-average.</w:t>
      </w:r>
    </w:p>
    <w:p w:rsidR="00DB5CA6" w:rsidRDefault="00957D22">
      <w:pPr>
        <w:rPr>
          <w:rFonts w:ascii="Arial" w:hAnsi="Arial"/>
          <w:sz w:val="16"/>
          <w:szCs w:val="16"/>
          <w:lang w:val="en-US"/>
        </w:rPr>
      </w:pPr>
      <w:r>
        <w:rPr>
          <w:rFonts w:ascii="Arial" w:hAnsi="Arial"/>
          <w:sz w:val="16"/>
          <w:szCs w:val="16"/>
          <w:lang w:val="en-US"/>
        </w:rPr>
        <w:t xml:space="preserve">Range (median) of (best) hyperparameters for the winning random forest model across the 20 folds: </w:t>
      </w:r>
      <w:proofErr w:type="spellStart"/>
      <w:r>
        <w:rPr>
          <w:rFonts w:ascii="Arial" w:hAnsi="Arial"/>
          <w:sz w:val="16"/>
          <w:szCs w:val="16"/>
          <w:lang w:val="en-US"/>
        </w:rPr>
        <w:t>mtry</w:t>
      </w:r>
      <w:proofErr w:type="spellEnd"/>
      <w:r>
        <w:rPr>
          <w:rFonts w:ascii="Arial" w:hAnsi="Arial"/>
          <w:sz w:val="16"/>
          <w:szCs w:val="16"/>
          <w:lang w:val="en-US"/>
        </w:rPr>
        <w:t xml:space="preserve">: 4-27 (14); </w:t>
      </w:r>
      <w:proofErr w:type="spellStart"/>
      <w:r>
        <w:rPr>
          <w:rFonts w:ascii="Arial" w:hAnsi="Arial"/>
          <w:sz w:val="16"/>
          <w:szCs w:val="16"/>
          <w:lang w:val="en-US"/>
        </w:rPr>
        <w:t>splitrule</w:t>
      </w:r>
      <w:proofErr w:type="spellEnd"/>
      <w:r>
        <w:rPr>
          <w:rFonts w:ascii="Arial" w:hAnsi="Arial"/>
          <w:sz w:val="16"/>
          <w:szCs w:val="16"/>
          <w:lang w:val="en-US"/>
        </w:rPr>
        <w:t xml:space="preserve">: </w:t>
      </w:r>
      <w:proofErr w:type="spellStart"/>
      <w:r>
        <w:rPr>
          <w:rFonts w:ascii="Arial" w:hAnsi="Arial"/>
          <w:sz w:val="16"/>
          <w:szCs w:val="16"/>
          <w:lang w:val="en-US"/>
        </w:rPr>
        <w:t>extratrees</w:t>
      </w:r>
      <w:proofErr w:type="spellEnd"/>
      <w:r>
        <w:rPr>
          <w:rFonts w:ascii="Arial" w:hAnsi="Arial"/>
          <w:sz w:val="16"/>
          <w:szCs w:val="16"/>
          <w:lang w:val="en-US"/>
        </w:rPr>
        <w:t xml:space="preserve">; </w:t>
      </w:r>
      <w:proofErr w:type="spellStart"/>
      <w:proofErr w:type="gramStart"/>
      <w:r>
        <w:rPr>
          <w:rFonts w:ascii="Arial" w:hAnsi="Arial"/>
          <w:sz w:val="16"/>
          <w:szCs w:val="16"/>
          <w:lang w:val="en-US"/>
        </w:rPr>
        <w:t>min.node</w:t>
      </w:r>
      <w:proofErr w:type="gramEnd"/>
      <w:r>
        <w:rPr>
          <w:rFonts w:ascii="Arial" w:hAnsi="Arial"/>
          <w:sz w:val="16"/>
          <w:szCs w:val="16"/>
          <w:lang w:val="en-US"/>
        </w:rPr>
        <w:t>.size</w:t>
      </w:r>
      <w:proofErr w:type="spellEnd"/>
      <w:r>
        <w:rPr>
          <w:rFonts w:ascii="Arial" w:hAnsi="Arial"/>
          <w:sz w:val="16"/>
          <w:szCs w:val="16"/>
          <w:lang w:val="en-US"/>
        </w:rPr>
        <w:t>: 16-20 (18).</w:t>
      </w:r>
    </w:p>
    <w:p w:rsidR="00DB5CA6" w:rsidRDefault="00DB5CA6">
      <w:pPr>
        <w:rPr>
          <w:rFonts w:ascii="Arial" w:hAnsi="Arial"/>
          <w:lang w:val="en-US"/>
        </w:rPr>
      </w:pPr>
    </w:p>
    <w:p w:rsidR="00DB5CA6" w:rsidRDefault="00DB5CA6">
      <w:pPr>
        <w:rPr>
          <w:rFonts w:ascii="Arial" w:hAnsi="Arial"/>
          <w:lang w:val="en-US"/>
        </w:rPr>
      </w:pPr>
    </w:p>
    <w:p w:rsidR="00DB5CA6" w:rsidRDefault="00DB5CA6">
      <w:pPr>
        <w:rPr>
          <w:rFonts w:ascii="Arial" w:hAnsi="Arial"/>
          <w:u w:val="single"/>
          <w:lang w:val="en-US"/>
        </w:rPr>
      </w:pPr>
    </w:p>
    <w:p w:rsidR="00DB5CA6" w:rsidRDefault="00957D22">
      <w:pPr>
        <w:rPr>
          <w:rFonts w:ascii="Arial" w:hAnsi="Arial"/>
          <w:b/>
          <w:bCs/>
          <w:lang w:val="en-US"/>
        </w:rPr>
      </w:pPr>
      <w:r w:rsidRPr="00D83B98">
        <w:rPr>
          <w:lang w:val="en-US"/>
        </w:rPr>
        <w:br w:type="page"/>
      </w:r>
    </w:p>
    <w:p w:rsidR="00DB5CA6" w:rsidRDefault="00957D22">
      <w:pPr>
        <w:rPr>
          <w:rFonts w:ascii="Arial" w:hAnsi="Arial"/>
          <w:b/>
          <w:lang w:val="en-US"/>
        </w:rPr>
      </w:pPr>
      <w:r>
        <w:rPr>
          <w:rFonts w:ascii="Arial" w:hAnsi="Arial"/>
          <w:b/>
          <w:bCs/>
          <w:lang w:val="en-US"/>
        </w:rPr>
        <w:lastRenderedPageBreak/>
        <w:t>Supplementary Figure 1. AUROCs and AUPRCs of the external Cross-Validation Set for the winning random forest algorithm.</w:t>
      </w:r>
    </w:p>
    <w:p w:rsidR="00DB5CA6" w:rsidRDefault="00DB5CA6">
      <w:pPr>
        <w:rPr>
          <w:rFonts w:ascii="Arial" w:hAnsi="Arial"/>
          <w:sz w:val="16"/>
          <w:szCs w:val="16"/>
          <w:lang w:val="en-US"/>
        </w:rPr>
      </w:pPr>
    </w:p>
    <w:p w:rsidR="00DB5CA6" w:rsidRDefault="00957D22">
      <w:pPr>
        <w:rPr>
          <w:rFonts w:ascii="Arial" w:hAnsi="Arial"/>
          <w:b/>
          <w:bCs/>
          <w:lang w:val="en-US"/>
        </w:rPr>
      </w:pPr>
      <w:r>
        <w:rPr>
          <w:noProof/>
        </w:rPr>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5731510" cy="43008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731510" cy="4300855"/>
                    </a:xfrm>
                    <a:prstGeom prst="rect">
                      <a:avLst/>
                    </a:prstGeom>
                  </pic:spPr>
                </pic:pic>
              </a:graphicData>
            </a:graphic>
          </wp:anchor>
        </w:drawing>
      </w:r>
      <w:r>
        <w:rPr>
          <w:rFonts w:ascii="Arial" w:hAnsi="Arial"/>
          <w:bCs/>
          <w:sz w:val="16"/>
          <w:szCs w:val="16"/>
          <w:lang w:val="en-US"/>
        </w:rPr>
        <w:t>Abbreviations: AUROC, area under the receiver operating charac</w:t>
      </w:r>
      <w:r>
        <w:rPr>
          <w:rFonts w:ascii="Arial" w:hAnsi="Arial"/>
          <w:bCs/>
          <w:sz w:val="16"/>
          <w:szCs w:val="16"/>
          <w:lang w:val="en-US"/>
        </w:rPr>
        <w:t>teristics; AUPRC, area under the precision recall curve.</w:t>
      </w:r>
    </w:p>
    <w:p w:rsidR="00DB5CA6" w:rsidRDefault="00957D22">
      <w:pPr>
        <w:rPr>
          <w:rFonts w:ascii="Arial" w:hAnsi="Arial"/>
          <w:bCs/>
          <w:sz w:val="16"/>
          <w:szCs w:val="16"/>
          <w:lang w:val="en-US"/>
        </w:rPr>
      </w:pPr>
      <w:r w:rsidRPr="00D83B98">
        <w:rPr>
          <w:lang w:val="en-US"/>
        </w:rPr>
        <w:br w:type="page"/>
      </w:r>
    </w:p>
    <w:p w:rsidR="00DB5CA6" w:rsidRDefault="00957D22">
      <w:pPr>
        <w:rPr>
          <w:rFonts w:ascii="Arial" w:hAnsi="Arial"/>
          <w:b/>
          <w:bCs/>
          <w:lang w:val="en-US"/>
        </w:rPr>
      </w:pPr>
      <w:r>
        <w:rPr>
          <w:rFonts w:ascii="Arial" w:hAnsi="Arial"/>
          <w:b/>
          <w:bCs/>
          <w:lang w:val="en-US"/>
        </w:rPr>
        <w:lastRenderedPageBreak/>
        <w:t>Supplementary Figure 2. Variable Importance Plot for all predictors of referrals to CBT, CR, PE and VT</w:t>
      </w:r>
    </w:p>
    <w:p w:rsidR="00DB5CA6" w:rsidRDefault="00DB5CA6">
      <w:pPr>
        <w:rPr>
          <w:rFonts w:ascii="Arial" w:hAnsi="Arial"/>
          <w:b/>
          <w:bCs/>
          <w:lang w:val="en-US"/>
        </w:rPr>
      </w:pPr>
    </w:p>
    <w:p w:rsidR="00DB5CA6" w:rsidRDefault="00957D22">
      <w:pPr>
        <w:rPr>
          <w:rFonts w:ascii="Arial" w:hAnsi="Arial"/>
          <w:sz w:val="16"/>
          <w:szCs w:val="16"/>
          <w:lang w:val="en-US"/>
        </w:rPr>
      </w:pPr>
      <w:r>
        <w:rPr>
          <w:rFonts w:ascii="Arial" w:hAnsi="Arial"/>
          <w:noProof/>
          <w:sz w:val="16"/>
          <w:szCs w:val="16"/>
          <w:lang w:val="en-US"/>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731510" cy="366776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5731510" cy="3667760"/>
                    </a:xfrm>
                    <a:prstGeom prst="rect">
                      <a:avLst/>
                    </a:prstGeom>
                  </pic:spPr>
                </pic:pic>
              </a:graphicData>
            </a:graphic>
          </wp:anchor>
        </w:drawing>
      </w:r>
    </w:p>
    <w:p w:rsidR="00DB5CA6" w:rsidRDefault="00DB5CA6">
      <w:pPr>
        <w:rPr>
          <w:rFonts w:ascii="Arial" w:hAnsi="Arial"/>
          <w:sz w:val="16"/>
          <w:szCs w:val="16"/>
          <w:lang w:val="en-US"/>
        </w:rPr>
      </w:pPr>
    </w:p>
    <w:p w:rsidR="00DB5CA6" w:rsidRDefault="00DB5CA6">
      <w:pPr>
        <w:rPr>
          <w:rFonts w:ascii="Arial" w:hAnsi="Arial"/>
          <w:sz w:val="16"/>
          <w:szCs w:val="16"/>
          <w:lang w:val="en-US"/>
        </w:rPr>
      </w:pPr>
    </w:p>
    <w:p w:rsidR="00DB5CA6" w:rsidRDefault="00DB5CA6">
      <w:pPr>
        <w:rPr>
          <w:rFonts w:ascii="Arial" w:hAnsi="Arial"/>
          <w:sz w:val="16"/>
          <w:szCs w:val="16"/>
          <w:lang w:val="en-US"/>
        </w:rPr>
      </w:pPr>
    </w:p>
    <w:p w:rsidR="00DB5CA6" w:rsidRDefault="00DB5CA6">
      <w:pPr>
        <w:rPr>
          <w:rFonts w:ascii="Arial" w:hAnsi="Arial"/>
          <w:sz w:val="16"/>
          <w:szCs w:val="16"/>
          <w:lang w:val="en-US"/>
        </w:rPr>
      </w:pPr>
    </w:p>
    <w:p w:rsidR="00DB5CA6" w:rsidRDefault="00957D22">
      <w:pPr>
        <w:rPr>
          <w:rFonts w:ascii="Arial" w:hAnsi="Arial"/>
          <w:sz w:val="16"/>
          <w:szCs w:val="16"/>
          <w:lang w:val="en-US"/>
        </w:rPr>
      </w:pPr>
      <w:r>
        <w:rPr>
          <w:rFonts w:ascii="Arial" w:hAnsi="Arial"/>
          <w:sz w:val="16"/>
          <w:szCs w:val="16"/>
          <w:lang w:val="en-US"/>
        </w:rPr>
        <w:t xml:space="preserve">Abbreviations: CBT, cognitive and behavioral therapy; CR, cognitive remediation; PE, </w:t>
      </w:r>
      <w:r>
        <w:rPr>
          <w:rFonts w:ascii="Arial" w:hAnsi="Arial"/>
          <w:sz w:val="16"/>
          <w:szCs w:val="16"/>
          <w:lang w:val="en-US"/>
        </w:rPr>
        <w:t>psychoeducation; VT, vocational training; GAF, global assessment of functioning; ASD, autism spectrum disorders; BAD, bipolar affective disorders; DEP, depressive disorders; PD, personality disorders; SCZ, schizophrenia spectrum disorders; CGI, clinical gl</w:t>
      </w:r>
      <w:r>
        <w:rPr>
          <w:rFonts w:ascii="Arial" w:hAnsi="Arial"/>
          <w:sz w:val="16"/>
          <w:szCs w:val="16"/>
          <w:lang w:val="en-US"/>
        </w:rPr>
        <w:t xml:space="preserve">obal impression; </w:t>
      </w:r>
      <w:proofErr w:type="spellStart"/>
      <w:r>
        <w:rPr>
          <w:rFonts w:ascii="Arial" w:hAnsi="Arial"/>
          <w:sz w:val="16"/>
          <w:szCs w:val="16"/>
          <w:lang w:val="en-US"/>
        </w:rPr>
        <w:t>SQoL</w:t>
      </w:r>
      <w:proofErr w:type="spellEnd"/>
      <w:r>
        <w:rPr>
          <w:rFonts w:ascii="Arial" w:hAnsi="Arial"/>
          <w:sz w:val="16"/>
          <w:szCs w:val="16"/>
          <w:lang w:val="en-US"/>
        </w:rPr>
        <w:t xml:space="preserve">, subjective quality of life; WEMWBS, Warwick-Edinburgh mental well-being scale; ISMI, internalized stigma of mental illness; Dx, diagnosis; Psych., psychiatric; </w:t>
      </w:r>
      <w:proofErr w:type="spellStart"/>
      <w:r>
        <w:rPr>
          <w:rFonts w:ascii="Arial" w:hAnsi="Arial"/>
          <w:sz w:val="16"/>
          <w:szCs w:val="16"/>
          <w:lang w:val="en-US"/>
        </w:rPr>
        <w:t>Nb</w:t>
      </w:r>
      <w:proofErr w:type="spellEnd"/>
      <w:r>
        <w:rPr>
          <w:rFonts w:ascii="Arial" w:hAnsi="Arial"/>
          <w:sz w:val="16"/>
          <w:szCs w:val="16"/>
          <w:lang w:val="en-US"/>
        </w:rPr>
        <w:t>, number; Rehab, rehabilitation; hx, history; AUT, autonomy; RES, resil</w:t>
      </w:r>
      <w:r>
        <w:rPr>
          <w:rFonts w:ascii="Arial" w:hAnsi="Arial"/>
          <w:sz w:val="16"/>
          <w:szCs w:val="16"/>
          <w:lang w:val="en-US"/>
        </w:rPr>
        <w:t>ience; FRI, relationships with friends; FAM, relationships with family; ROM, romantic relationships; SEL, self-esteem; PHY, physical well-being; PSY, psychological well-being.</w:t>
      </w:r>
    </w:p>
    <w:p w:rsidR="00DB5CA6" w:rsidRDefault="00957D22">
      <w:pPr>
        <w:rPr>
          <w:rFonts w:ascii="Arial" w:hAnsi="Arial"/>
          <w:lang w:val="en-US"/>
        </w:rPr>
      </w:pPr>
      <w:r>
        <w:rPr>
          <w:rFonts w:ascii="Arial" w:hAnsi="Arial"/>
          <w:sz w:val="16"/>
          <w:szCs w:val="16"/>
          <w:lang w:val="en-US"/>
        </w:rPr>
        <w:t>Averaged absolute SHAP values are represented on the x-axis. Predictors are repr</w:t>
      </w:r>
      <w:r>
        <w:rPr>
          <w:rFonts w:ascii="Arial" w:hAnsi="Arial"/>
          <w:sz w:val="16"/>
          <w:szCs w:val="16"/>
          <w:lang w:val="en-US"/>
        </w:rPr>
        <w:t xml:space="preserve">esented on the x-axis. </w:t>
      </w:r>
      <w:bookmarkEnd w:id="0"/>
    </w:p>
    <w:p w:rsidR="00DB5CA6" w:rsidRDefault="00DB5CA6">
      <w:pPr>
        <w:rPr>
          <w:rFonts w:ascii="Arial" w:hAnsi="Arial"/>
          <w:sz w:val="16"/>
          <w:szCs w:val="16"/>
          <w:lang w:val="en-US"/>
        </w:rPr>
      </w:pPr>
    </w:p>
    <w:p w:rsidR="00DB5CA6" w:rsidRDefault="00DB5CA6">
      <w:pPr>
        <w:rPr>
          <w:rFonts w:ascii="Arial" w:hAnsi="Arial"/>
          <w:sz w:val="16"/>
          <w:szCs w:val="16"/>
          <w:lang w:val="en-US"/>
        </w:rPr>
      </w:pPr>
    </w:p>
    <w:p w:rsidR="00D83B98" w:rsidRDefault="00957D22" w:rsidP="00D83B98">
      <w:pPr>
        <w:pStyle w:val="Bibliographie1"/>
        <w:rPr>
          <w:rFonts w:ascii="Arial" w:hAnsi="Arial"/>
          <w:b/>
          <w:bCs/>
          <w:lang w:val="en-US"/>
        </w:rPr>
      </w:pPr>
      <w:r>
        <w:br w:type="page"/>
      </w:r>
      <w:r>
        <w:rPr>
          <w:rFonts w:ascii="Arial" w:hAnsi="Arial"/>
          <w:b/>
          <w:bCs/>
          <w:lang w:val="en-US"/>
        </w:rPr>
        <w:lastRenderedPageBreak/>
        <w:t>Supplementary References</w:t>
      </w:r>
    </w:p>
    <w:p w:rsidR="00D83B98" w:rsidRDefault="00D83B98" w:rsidP="00D83B98">
      <w:pPr>
        <w:pStyle w:val="Bibliographie1"/>
        <w:rPr>
          <w:b/>
          <w:bCs/>
          <w:lang w:val="en-US"/>
        </w:rPr>
      </w:pPr>
    </w:p>
    <w:p w:rsidR="00D83B98" w:rsidRPr="00D83B98" w:rsidRDefault="00D83B98" w:rsidP="00D83B98">
      <w:pPr>
        <w:pStyle w:val="Bibliographie1"/>
        <w:rPr>
          <w:rFonts w:ascii="Arial" w:hAnsi="Arial" w:cs="Arial"/>
          <w:sz w:val="20"/>
          <w:szCs w:val="20"/>
          <w:lang w:val="en-US"/>
        </w:rPr>
      </w:pPr>
      <w:r w:rsidRPr="00D83B98">
        <w:rPr>
          <w:rFonts w:ascii="Arial" w:hAnsi="Arial" w:cs="Arial"/>
          <w:b/>
          <w:bCs/>
          <w:sz w:val="20"/>
          <w:szCs w:val="20"/>
          <w:lang w:val="en-US"/>
        </w:rPr>
        <w:t xml:space="preserve">Andresen R, </w:t>
      </w:r>
      <w:proofErr w:type="spellStart"/>
      <w:r w:rsidRPr="00D83B98">
        <w:rPr>
          <w:rFonts w:ascii="Arial" w:hAnsi="Arial" w:cs="Arial"/>
          <w:b/>
          <w:bCs/>
          <w:sz w:val="20"/>
          <w:szCs w:val="20"/>
          <w:lang w:val="en-US"/>
        </w:rPr>
        <w:t>Caputi</w:t>
      </w:r>
      <w:proofErr w:type="spellEnd"/>
      <w:r w:rsidRPr="00D83B98">
        <w:rPr>
          <w:rFonts w:ascii="Arial" w:hAnsi="Arial" w:cs="Arial"/>
          <w:b/>
          <w:bCs/>
          <w:sz w:val="20"/>
          <w:szCs w:val="20"/>
          <w:lang w:val="en-US"/>
        </w:rPr>
        <w:t xml:space="preserve"> P and </w:t>
      </w:r>
      <w:proofErr w:type="spellStart"/>
      <w:r w:rsidRPr="00D83B98">
        <w:rPr>
          <w:rFonts w:ascii="Arial" w:hAnsi="Arial" w:cs="Arial"/>
          <w:b/>
          <w:bCs/>
          <w:sz w:val="20"/>
          <w:szCs w:val="20"/>
          <w:lang w:val="en-US"/>
        </w:rPr>
        <w:t>Oades</w:t>
      </w:r>
      <w:proofErr w:type="spellEnd"/>
      <w:r w:rsidRPr="00D83B98">
        <w:rPr>
          <w:rFonts w:ascii="Arial" w:hAnsi="Arial" w:cs="Arial"/>
          <w:b/>
          <w:bCs/>
          <w:sz w:val="20"/>
          <w:szCs w:val="20"/>
          <w:lang w:val="en-US"/>
        </w:rPr>
        <w:t xml:space="preserve"> L</w:t>
      </w:r>
      <w:r w:rsidRPr="00D83B98">
        <w:rPr>
          <w:rFonts w:ascii="Arial" w:hAnsi="Arial" w:cs="Arial"/>
          <w:sz w:val="20"/>
          <w:szCs w:val="20"/>
          <w:lang w:val="en-US"/>
        </w:rPr>
        <w:t xml:space="preserve"> (2006) Stages of recovery instrument: development of a measure of recovery from serious mental illness. </w:t>
      </w:r>
      <w:r w:rsidRPr="00D83B98">
        <w:rPr>
          <w:rFonts w:ascii="Arial" w:hAnsi="Arial" w:cs="Arial"/>
          <w:i/>
          <w:iCs/>
          <w:sz w:val="20"/>
          <w:szCs w:val="20"/>
          <w:lang w:val="en-US"/>
        </w:rPr>
        <w:t>Australian &amp; New Zealand Journal of Psychiatry</w:t>
      </w:r>
      <w:r w:rsidRPr="00D83B98">
        <w:rPr>
          <w:rFonts w:ascii="Arial" w:hAnsi="Arial" w:cs="Arial"/>
          <w:sz w:val="20"/>
          <w:szCs w:val="20"/>
          <w:lang w:val="en-US"/>
        </w:rPr>
        <w:t xml:space="preserve"> </w:t>
      </w:r>
      <w:r w:rsidRPr="00D83B98">
        <w:rPr>
          <w:rFonts w:ascii="Arial" w:hAnsi="Arial" w:cs="Arial"/>
          <w:b/>
          <w:bCs/>
          <w:sz w:val="20"/>
          <w:szCs w:val="20"/>
          <w:lang w:val="en-US"/>
        </w:rPr>
        <w:t>40</w:t>
      </w:r>
      <w:r w:rsidRPr="00D83B98">
        <w:rPr>
          <w:rFonts w:ascii="Arial" w:hAnsi="Arial" w:cs="Arial"/>
          <w:sz w:val="20"/>
          <w:szCs w:val="20"/>
          <w:lang w:val="en-US"/>
        </w:rPr>
        <w:t>, 972–980</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Birchwood M, Smith J, Drury V, Healy J, Macmillan F and Slade M</w:t>
      </w:r>
      <w:r w:rsidRPr="00D83B98">
        <w:rPr>
          <w:rFonts w:ascii="Arial" w:hAnsi="Arial" w:cs="Arial"/>
          <w:sz w:val="20"/>
          <w:szCs w:val="20"/>
          <w:lang w:val="en-US"/>
        </w:rPr>
        <w:t xml:space="preserve"> (1994) A self-report Insight Scale for psychosis: reliability, validity and sensitivity to change. </w:t>
      </w:r>
      <w:r w:rsidRPr="00D83B98">
        <w:rPr>
          <w:rFonts w:ascii="Arial" w:hAnsi="Arial" w:cs="Arial"/>
          <w:i/>
          <w:iCs/>
          <w:sz w:val="20"/>
          <w:szCs w:val="20"/>
          <w:lang w:val="en-US"/>
        </w:rPr>
        <w:t xml:space="preserve">Acta </w:t>
      </w:r>
      <w:proofErr w:type="spellStart"/>
      <w:r w:rsidRPr="00D83B98">
        <w:rPr>
          <w:rFonts w:ascii="Arial" w:hAnsi="Arial" w:cs="Arial"/>
          <w:i/>
          <w:iCs/>
          <w:sz w:val="20"/>
          <w:szCs w:val="20"/>
          <w:lang w:val="en-US"/>
        </w:rPr>
        <w:t>Psychiatrica</w:t>
      </w:r>
      <w:proofErr w:type="spellEnd"/>
      <w:r w:rsidRPr="00D83B98">
        <w:rPr>
          <w:rFonts w:ascii="Arial" w:hAnsi="Arial" w:cs="Arial"/>
          <w:i/>
          <w:iCs/>
          <w:sz w:val="20"/>
          <w:szCs w:val="20"/>
          <w:lang w:val="en-US"/>
        </w:rPr>
        <w:t xml:space="preserve"> </w:t>
      </w:r>
      <w:proofErr w:type="spellStart"/>
      <w:r w:rsidRPr="00D83B98">
        <w:rPr>
          <w:rFonts w:ascii="Arial" w:hAnsi="Arial" w:cs="Arial"/>
          <w:i/>
          <w:iCs/>
          <w:sz w:val="20"/>
          <w:szCs w:val="20"/>
          <w:lang w:val="en-US"/>
        </w:rPr>
        <w:t>Scandinavica</w:t>
      </w:r>
      <w:proofErr w:type="spellEnd"/>
      <w:r w:rsidRPr="00D83B98">
        <w:rPr>
          <w:rFonts w:ascii="Arial" w:hAnsi="Arial" w:cs="Arial"/>
          <w:sz w:val="20"/>
          <w:szCs w:val="20"/>
          <w:lang w:val="en-US"/>
        </w:rPr>
        <w:t xml:space="preserve"> </w:t>
      </w:r>
      <w:r w:rsidRPr="00D83B98">
        <w:rPr>
          <w:rFonts w:ascii="Arial" w:hAnsi="Arial" w:cs="Arial"/>
          <w:b/>
          <w:bCs/>
          <w:sz w:val="20"/>
          <w:szCs w:val="20"/>
          <w:lang w:val="en-US"/>
        </w:rPr>
        <w:t>89</w:t>
      </w:r>
      <w:r w:rsidRPr="00D83B98">
        <w:rPr>
          <w:rFonts w:ascii="Arial" w:hAnsi="Arial" w:cs="Arial"/>
          <w:sz w:val="20"/>
          <w:szCs w:val="20"/>
          <w:lang w:val="en-US"/>
        </w:rPr>
        <w:t>, 62–67</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 xml:space="preserve">Boyd </w:t>
      </w:r>
      <w:proofErr w:type="spellStart"/>
      <w:r w:rsidRPr="00D83B98">
        <w:rPr>
          <w:rFonts w:ascii="Arial" w:hAnsi="Arial" w:cs="Arial"/>
          <w:b/>
          <w:bCs/>
          <w:sz w:val="20"/>
          <w:szCs w:val="20"/>
          <w:lang w:val="en-US"/>
        </w:rPr>
        <w:t>Ritsher</w:t>
      </w:r>
      <w:proofErr w:type="spellEnd"/>
      <w:r w:rsidRPr="00D83B98">
        <w:rPr>
          <w:rFonts w:ascii="Arial" w:hAnsi="Arial" w:cs="Arial"/>
          <w:b/>
          <w:bCs/>
          <w:sz w:val="20"/>
          <w:szCs w:val="20"/>
          <w:lang w:val="en-US"/>
        </w:rPr>
        <w:t xml:space="preserve"> J, </w:t>
      </w:r>
      <w:proofErr w:type="spellStart"/>
      <w:r w:rsidRPr="00D83B98">
        <w:rPr>
          <w:rFonts w:ascii="Arial" w:hAnsi="Arial" w:cs="Arial"/>
          <w:b/>
          <w:bCs/>
          <w:sz w:val="20"/>
          <w:szCs w:val="20"/>
          <w:lang w:val="en-US"/>
        </w:rPr>
        <w:t>Otilingam</w:t>
      </w:r>
      <w:proofErr w:type="spellEnd"/>
      <w:r w:rsidRPr="00D83B98">
        <w:rPr>
          <w:rFonts w:ascii="Arial" w:hAnsi="Arial" w:cs="Arial"/>
          <w:b/>
          <w:bCs/>
          <w:sz w:val="20"/>
          <w:szCs w:val="20"/>
          <w:lang w:val="en-US"/>
        </w:rPr>
        <w:t xml:space="preserve"> PG and </w:t>
      </w:r>
      <w:proofErr w:type="spellStart"/>
      <w:r w:rsidRPr="00D83B98">
        <w:rPr>
          <w:rFonts w:ascii="Arial" w:hAnsi="Arial" w:cs="Arial"/>
          <w:b/>
          <w:bCs/>
          <w:sz w:val="20"/>
          <w:szCs w:val="20"/>
          <w:lang w:val="en-US"/>
        </w:rPr>
        <w:t>Grajales</w:t>
      </w:r>
      <w:proofErr w:type="spellEnd"/>
      <w:r w:rsidRPr="00D83B98">
        <w:rPr>
          <w:rFonts w:ascii="Arial" w:hAnsi="Arial" w:cs="Arial"/>
          <w:b/>
          <w:bCs/>
          <w:sz w:val="20"/>
          <w:szCs w:val="20"/>
          <w:lang w:val="en-US"/>
        </w:rPr>
        <w:t xml:space="preserve"> M</w:t>
      </w:r>
      <w:r w:rsidRPr="00D83B98">
        <w:rPr>
          <w:rFonts w:ascii="Arial" w:hAnsi="Arial" w:cs="Arial"/>
          <w:sz w:val="20"/>
          <w:szCs w:val="20"/>
          <w:lang w:val="en-US"/>
        </w:rPr>
        <w:t xml:space="preserve"> (2003) Internalized stigma of mental illness: psychometric properties of a new measure. </w:t>
      </w:r>
      <w:r w:rsidRPr="00D83B98">
        <w:rPr>
          <w:rFonts w:ascii="Arial" w:hAnsi="Arial" w:cs="Arial"/>
          <w:i/>
          <w:iCs/>
          <w:sz w:val="20"/>
          <w:szCs w:val="20"/>
          <w:lang w:val="en-US"/>
        </w:rPr>
        <w:t>Psychiatry Research</w:t>
      </w:r>
      <w:r w:rsidRPr="00D83B98">
        <w:rPr>
          <w:rFonts w:ascii="Arial" w:hAnsi="Arial" w:cs="Arial"/>
          <w:sz w:val="20"/>
          <w:szCs w:val="20"/>
          <w:lang w:val="en-US"/>
        </w:rPr>
        <w:t xml:space="preserve"> </w:t>
      </w:r>
      <w:r w:rsidRPr="00D83B98">
        <w:rPr>
          <w:rFonts w:ascii="Arial" w:hAnsi="Arial" w:cs="Arial"/>
          <w:b/>
          <w:bCs/>
          <w:sz w:val="20"/>
          <w:szCs w:val="20"/>
          <w:lang w:val="en-US"/>
        </w:rPr>
        <w:t>121</w:t>
      </w:r>
      <w:r w:rsidRPr="00D83B98">
        <w:rPr>
          <w:rFonts w:ascii="Arial" w:hAnsi="Arial" w:cs="Arial"/>
          <w:sz w:val="20"/>
          <w:szCs w:val="20"/>
          <w:lang w:val="en-US"/>
        </w:rPr>
        <w:t>, 31–49</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 xml:space="preserve">Boyer L, </w:t>
      </w:r>
      <w:proofErr w:type="spellStart"/>
      <w:r w:rsidRPr="00D83B98">
        <w:rPr>
          <w:rFonts w:ascii="Arial" w:hAnsi="Arial" w:cs="Arial"/>
          <w:b/>
          <w:bCs/>
          <w:sz w:val="20"/>
          <w:szCs w:val="20"/>
          <w:lang w:val="en-US"/>
        </w:rPr>
        <w:t>Simeoni</w:t>
      </w:r>
      <w:proofErr w:type="spellEnd"/>
      <w:r w:rsidRPr="00D83B98">
        <w:rPr>
          <w:rFonts w:ascii="Arial" w:hAnsi="Arial" w:cs="Arial"/>
          <w:b/>
          <w:bCs/>
          <w:sz w:val="20"/>
          <w:szCs w:val="20"/>
          <w:lang w:val="en-US"/>
        </w:rPr>
        <w:t xml:space="preserve"> M-C, </w:t>
      </w:r>
      <w:proofErr w:type="spellStart"/>
      <w:r w:rsidRPr="00D83B98">
        <w:rPr>
          <w:rFonts w:ascii="Arial" w:hAnsi="Arial" w:cs="Arial"/>
          <w:b/>
          <w:bCs/>
          <w:sz w:val="20"/>
          <w:szCs w:val="20"/>
          <w:lang w:val="en-US"/>
        </w:rPr>
        <w:t>Loundou</w:t>
      </w:r>
      <w:proofErr w:type="spellEnd"/>
      <w:r w:rsidRPr="00D83B98">
        <w:rPr>
          <w:rFonts w:ascii="Arial" w:hAnsi="Arial" w:cs="Arial"/>
          <w:b/>
          <w:bCs/>
          <w:sz w:val="20"/>
          <w:szCs w:val="20"/>
          <w:lang w:val="en-US"/>
        </w:rPr>
        <w:t xml:space="preserve"> A, D’Amato T, Reine G, </w:t>
      </w:r>
      <w:proofErr w:type="spellStart"/>
      <w:r w:rsidRPr="00D83B98">
        <w:rPr>
          <w:rFonts w:ascii="Arial" w:hAnsi="Arial" w:cs="Arial"/>
          <w:b/>
          <w:bCs/>
          <w:sz w:val="20"/>
          <w:szCs w:val="20"/>
          <w:lang w:val="en-US"/>
        </w:rPr>
        <w:t>Lancon</w:t>
      </w:r>
      <w:proofErr w:type="spellEnd"/>
      <w:r w:rsidRPr="00D83B98">
        <w:rPr>
          <w:rFonts w:ascii="Arial" w:hAnsi="Arial" w:cs="Arial"/>
          <w:b/>
          <w:bCs/>
          <w:sz w:val="20"/>
          <w:szCs w:val="20"/>
          <w:lang w:val="en-US"/>
        </w:rPr>
        <w:t xml:space="preserve"> C and </w:t>
      </w:r>
      <w:proofErr w:type="spellStart"/>
      <w:r w:rsidRPr="00D83B98">
        <w:rPr>
          <w:rFonts w:ascii="Arial" w:hAnsi="Arial" w:cs="Arial"/>
          <w:b/>
          <w:bCs/>
          <w:sz w:val="20"/>
          <w:szCs w:val="20"/>
          <w:lang w:val="en-US"/>
        </w:rPr>
        <w:t>Auquier</w:t>
      </w:r>
      <w:proofErr w:type="spellEnd"/>
      <w:r w:rsidRPr="00D83B98">
        <w:rPr>
          <w:rFonts w:ascii="Arial" w:hAnsi="Arial" w:cs="Arial"/>
          <w:b/>
          <w:bCs/>
          <w:sz w:val="20"/>
          <w:szCs w:val="20"/>
          <w:lang w:val="en-US"/>
        </w:rPr>
        <w:t xml:space="preserve"> P</w:t>
      </w:r>
      <w:r w:rsidRPr="00D83B98">
        <w:rPr>
          <w:rFonts w:ascii="Arial" w:hAnsi="Arial" w:cs="Arial"/>
          <w:sz w:val="20"/>
          <w:szCs w:val="20"/>
          <w:lang w:val="en-US"/>
        </w:rPr>
        <w:t xml:space="preserve"> (2010) The development of the S-QoL 18: a shortened quality of life questionnaire for patients with schizophrenia. </w:t>
      </w:r>
      <w:r w:rsidRPr="00D83B98">
        <w:rPr>
          <w:rFonts w:ascii="Arial" w:hAnsi="Arial" w:cs="Arial"/>
          <w:i/>
          <w:iCs/>
          <w:sz w:val="20"/>
          <w:szCs w:val="20"/>
          <w:lang w:val="en-US"/>
        </w:rPr>
        <w:t>Schizophrenia Research</w:t>
      </w:r>
      <w:r w:rsidRPr="00D83B98">
        <w:rPr>
          <w:rFonts w:ascii="Arial" w:hAnsi="Arial" w:cs="Arial"/>
          <w:sz w:val="20"/>
          <w:szCs w:val="20"/>
          <w:lang w:val="en-US"/>
        </w:rPr>
        <w:t xml:space="preserve"> </w:t>
      </w:r>
      <w:r w:rsidRPr="00D83B98">
        <w:rPr>
          <w:rFonts w:ascii="Arial" w:hAnsi="Arial" w:cs="Arial"/>
          <w:b/>
          <w:bCs/>
          <w:sz w:val="20"/>
          <w:szCs w:val="20"/>
          <w:lang w:val="en-US"/>
        </w:rPr>
        <w:t>121</w:t>
      </w:r>
      <w:r w:rsidRPr="00D83B98">
        <w:rPr>
          <w:rFonts w:ascii="Arial" w:hAnsi="Arial" w:cs="Arial"/>
          <w:sz w:val="20"/>
          <w:szCs w:val="20"/>
          <w:lang w:val="en-US"/>
        </w:rPr>
        <w:t>, 241–250</w:t>
      </w:r>
    </w:p>
    <w:p w:rsidR="00D83B98" w:rsidRPr="00D83B98" w:rsidRDefault="00D83B98" w:rsidP="00D83B98">
      <w:pPr>
        <w:pStyle w:val="NormalWeb"/>
        <w:spacing w:after="0" w:line="238" w:lineRule="atLeast"/>
        <w:ind w:left="720" w:hanging="720"/>
        <w:rPr>
          <w:rFonts w:ascii="Arial" w:hAnsi="Arial" w:cs="Arial"/>
          <w:sz w:val="20"/>
          <w:szCs w:val="20"/>
          <w:lang w:val="en-US"/>
        </w:rPr>
      </w:pPr>
      <w:proofErr w:type="spellStart"/>
      <w:r w:rsidRPr="00D83B98">
        <w:rPr>
          <w:rFonts w:ascii="Arial" w:hAnsi="Arial" w:cs="Arial"/>
          <w:b/>
          <w:bCs/>
          <w:sz w:val="20"/>
          <w:szCs w:val="20"/>
          <w:lang w:val="en-US"/>
        </w:rPr>
        <w:t>Breiman</w:t>
      </w:r>
      <w:proofErr w:type="spellEnd"/>
      <w:r w:rsidRPr="00D83B98">
        <w:rPr>
          <w:rFonts w:ascii="Arial" w:hAnsi="Arial" w:cs="Arial"/>
          <w:b/>
          <w:bCs/>
          <w:sz w:val="20"/>
          <w:szCs w:val="20"/>
          <w:lang w:val="en-US"/>
        </w:rPr>
        <w:t xml:space="preserve"> L</w:t>
      </w:r>
      <w:r w:rsidRPr="00D83B98">
        <w:rPr>
          <w:rFonts w:ascii="Arial" w:hAnsi="Arial" w:cs="Arial"/>
          <w:sz w:val="20"/>
          <w:szCs w:val="20"/>
          <w:lang w:val="en-US"/>
        </w:rPr>
        <w:t xml:space="preserve"> (2001) Random Forests. </w:t>
      </w:r>
      <w:r w:rsidRPr="00D83B98">
        <w:rPr>
          <w:rFonts w:ascii="Arial" w:hAnsi="Arial" w:cs="Arial"/>
          <w:i/>
          <w:iCs/>
          <w:sz w:val="20"/>
          <w:szCs w:val="20"/>
          <w:lang w:val="en-US"/>
        </w:rPr>
        <w:t>Machine Learning</w:t>
      </w:r>
      <w:r w:rsidRPr="00D83B98">
        <w:rPr>
          <w:rFonts w:ascii="Arial" w:hAnsi="Arial" w:cs="Arial"/>
          <w:sz w:val="20"/>
          <w:szCs w:val="20"/>
          <w:lang w:val="en-US"/>
        </w:rPr>
        <w:t xml:space="preserve"> </w:t>
      </w:r>
      <w:r w:rsidRPr="00D83B98">
        <w:rPr>
          <w:rFonts w:ascii="Arial" w:hAnsi="Arial" w:cs="Arial"/>
          <w:b/>
          <w:bCs/>
          <w:sz w:val="20"/>
          <w:szCs w:val="20"/>
          <w:lang w:val="en-US"/>
        </w:rPr>
        <w:t>45</w:t>
      </w:r>
      <w:r w:rsidRPr="00D83B98">
        <w:rPr>
          <w:rFonts w:ascii="Arial" w:hAnsi="Arial" w:cs="Arial"/>
          <w:sz w:val="20"/>
          <w:szCs w:val="20"/>
          <w:lang w:val="en-US"/>
        </w:rPr>
        <w:t>, 5–32</w:t>
      </w:r>
    </w:p>
    <w:p w:rsidR="00D83B98" w:rsidRPr="00D83B98" w:rsidRDefault="00D83B98" w:rsidP="00D83B98">
      <w:pPr>
        <w:pStyle w:val="NormalWeb"/>
        <w:spacing w:after="0" w:line="238" w:lineRule="atLeast"/>
        <w:ind w:left="720" w:hanging="720"/>
        <w:rPr>
          <w:rFonts w:ascii="Arial" w:hAnsi="Arial" w:cs="Arial"/>
          <w:sz w:val="20"/>
          <w:szCs w:val="20"/>
          <w:lang w:val="en-US"/>
        </w:rPr>
      </w:pPr>
      <w:proofErr w:type="spellStart"/>
      <w:r w:rsidRPr="00D83B98">
        <w:rPr>
          <w:rFonts w:ascii="Arial" w:hAnsi="Arial" w:cs="Arial"/>
          <w:b/>
          <w:bCs/>
          <w:sz w:val="20"/>
          <w:szCs w:val="20"/>
          <w:lang w:val="en-US"/>
        </w:rPr>
        <w:t>Breiman</w:t>
      </w:r>
      <w:proofErr w:type="spellEnd"/>
      <w:r w:rsidRPr="00D83B98">
        <w:rPr>
          <w:rFonts w:ascii="Arial" w:hAnsi="Arial" w:cs="Arial"/>
          <w:b/>
          <w:bCs/>
          <w:sz w:val="20"/>
          <w:szCs w:val="20"/>
          <w:lang w:val="en-US"/>
        </w:rPr>
        <w:t xml:space="preserve"> L, Friedman JH, </w:t>
      </w:r>
      <w:proofErr w:type="spellStart"/>
      <w:r w:rsidRPr="00D83B98">
        <w:rPr>
          <w:rFonts w:ascii="Arial" w:hAnsi="Arial" w:cs="Arial"/>
          <w:b/>
          <w:bCs/>
          <w:sz w:val="20"/>
          <w:szCs w:val="20"/>
          <w:lang w:val="en-US"/>
        </w:rPr>
        <w:t>Olshen</w:t>
      </w:r>
      <w:proofErr w:type="spellEnd"/>
      <w:r w:rsidRPr="00D83B98">
        <w:rPr>
          <w:rFonts w:ascii="Arial" w:hAnsi="Arial" w:cs="Arial"/>
          <w:b/>
          <w:bCs/>
          <w:sz w:val="20"/>
          <w:szCs w:val="20"/>
          <w:lang w:val="en-US"/>
        </w:rPr>
        <w:t xml:space="preserve"> RA and Stone CJ</w:t>
      </w:r>
      <w:r w:rsidRPr="00D83B98">
        <w:rPr>
          <w:rFonts w:ascii="Arial" w:hAnsi="Arial" w:cs="Arial"/>
          <w:sz w:val="20"/>
          <w:szCs w:val="20"/>
          <w:lang w:val="en-US"/>
        </w:rPr>
        <w:t xml:space="preserve"> (1984) Classification and regression trees. Belmont, CA: Wadsworth. </w:t>
      </w:r>
      <w:r w:rsidRPr="00D83B98">
        <w:rPr>
          <w:rFonts w:ascii="Arial" w:hAnsi="Arial" w:cs="Arial"/>
          <w:i/>
          <w:iCs/>
          <w:sz w:val="20"/>
          <w:szCs w:val="20"/>
          <w:lang w:val="en-US"/>
        </w:rPr>
        <w:t>International Group</w:t>
      </w:r>
      <w:r w:rsidRPr="00D83B98">
        <w:rPr>
          <w:rFonts w:ascii="Arial" w:hAnsi="Arial" w:cs="Arial"/>
          <w:sz w:val="20"/>
          <w:szCs w:val="20"/>
          <w:lang w:val="en-US"/>
        </w:rPr>
        <w:t xml:space="preserve"> </w:t>
      </w:r>
      <w:r w:rsidRPr="00D83B98">
        <w:rPr>
          <w:rFonts w:ascii="Arial" w:hAnsi="Arial" w:cs="Arial"/>
          <w:b/>
          <w:bCs/>
          <w:sz w:val="20"/>
          <w:szCs w:val="20"/>
          <w:lang w:val="en-US"/>
        </w:rPr>
        <w:t>432</w:t>
      </w:r>
      <w:r w:rsidRPr="00D83B98">
        <w:rPr>
          <w:rFonts w:ascii="Arial" w:hAnsi="Arial" w:cs="Arial"/>
          <w:sz w:val="20"/>
          <w:szCs w:val="20"/>
          <w:lang w:val="en-US"/>
        </w:rPr>
        <w:t>, 9</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 xml:space="preserve">Chen T and </w:t>
      </w:r>
      <w:proofErr w:type="spellStart"/>
      <w:r w:rsidRPr="00D83B98">
        <w:rPr>
          <w:rFonts w:ascii="Arial" w:hAnsi="Arial" w:cs="Arial"/>
          <w:b/>
          <w:bCs/>
          <w:sz w:val="20"/>
          <w:szCs w:val="20"/>
          <w:lang w:val="en-US"/>
        </w:rPr>
        <w:t>Guestrin</w:t>
      </w:r>
      <w:proofErr w:type="spellEnd"/>
      <w:r w:rsidRPr="00D83B98">
        <w:rPr>
          <w:rFonts w:ascii="Arial" w:hAnsi="Arial" w:cs="Arial"/>
          <w:b/>
          <w:bCs/>
          <w:sz w:val="20"/>
          <w:szCs w:val="20"/>
          <w:lang w:val="en-US"/>
        </w:rPr>
        <w:t xml:space="preserve"> C</w:t>
      </w:r>
      <w:r w:rsidRPr="00D83B98">
        <w:rPr>
          <w:rFonts w:ascii="Arial" w:hAnsi="Arial" w:cs="Arial"/>
          <w:sz w:val="20"/>
          <w:szCs w:val="20"/>
          <w:lang w:val="en-US"/>
        </w:rPr>
        <w:t xml:space="preserve"> (2016) </w:t>
      </w:r>
      <w:proofErr w:type="spellStart"/>
      <w:r w:rsidRPr="00D83B98">
        <w:rPr>
          <w:rFonts w:ascii="Arial" w:hAnsi="Arial" w:cs="Arial"/>
          <w:sz w:val="20"/>
          <w:szCs w:val="20"/>
          <w:lang w:val="en-US"/>
        </w:rPr>
        <w:t>Xgboost</w:t>
      </w:r>
      <w:proofErr w:type="spellEnd"/>
      <w:r w:rsidRPr="00D83B98">
        <w:rPr>
          <w:rFonts w:ascii="Arial" w:hAnsi="Arial" w:cs="Arial"/>
          <w:sz w:val="20"/>
          <w:szCs w:val="20"/>
          <w:lang w:val="en-US"/>
        </w:rPr>
        <w:t xml:space="preserve">: A scalable tree boosting system. In </w:t>
      </w:r>
      <w:r w:rsidRPr="00D83B98">
        <w:rPr>
          <w:rFonts w:ascii="Arial" w:hAnsi="Arial" w:cs="Arial"/>
          <w:i/>
          <w:iCs/>
          <w:sz w:val="20"/>
          <w:szCs w:val="20"/>
          <w:lang w:val="en-US"/>
        </w:rPr>
        <w:t xml:space="preserve">Proceedings of the 22nd </w:t>
      </w:r>
      <w:proofErr w:type="spellStart"/>
      <w:r w:rsidRPr="00D83B98">
        <w:rPr>
          <w:rFonts w:ascii="Arial" w:hAnsi="Arial" w:cs="Arial"/>
          <w:i/>
          <w:iCs/>
          <w:sz w:val="20"/>
          <w:szCs w:val="20"/>
          <w:lang w:val="en-US"/>
        </w:rPr>
        <w:t>acm</w:t>
      </w:r>
      <w:proofErr w:type="spellEnd"/>
      <w:r w:rsidRPr="00D83B98">
        <w:rPr>
          <w:rFonts w:ascii="Arial" w:hAnsi="Arial" w:cs="Arial"/>
          <w:i/>
          <w:iCs/>
          <w:sz w:val="20"/>
          <w:szCs w:val="20"/>
          <w:lang w:val="en-US"/>
        </w:rPr>
        <w:t xml:space="preserve"> </w:t>
      </w:r>
      <w:proofErr w:type="spellStart"/>
      <w:r w:rsidRPr="00D83B98">
        <w:rPr>
          <w:rFonts w:ascii="Arial" w:hAnsi="Arial" w:cs="Arial"/>
          <w:i/>
          <w:iCs/>
          <w:sz w:val="20"/>
          <w:szCs w:val="20"/>
          <w:lang w:val="en-US"/>
        </w:rPr>
        <w:t>sigkdd</w:t>
      </w:r>
      <w:proofErr w:type="spellEnd"/>
      <w:r w:rsidRPr="00D83B98">
        <w:rPr>
          <w:rFonts w:ascii="Arial" w:hAnsi="Arial" w:cs="Arial"/>
          <w:i/>
          <w:iCs/>
          <w:sz w:val="20"/>
          <w:szCs w:val="20"/>
          <w:lang w:val="en-US"/>
        </w:rPr>
        <w:t xml:space="preserve"> international conference on knowledge discovery and data mining</w:t>
      </w:r>
      <w:r w:rsidRPr="00D83B98">
        <w:rPr>
          <w:rFonts w:ascii="Arial" w:hAnsi="Arial" w:cs="Arial"/>
          <w:sz w:val="20"/>
          <w:szCs w:val="20"/>
          <w:lang w:val="en-US"/>
        </w:rPr>
        <w:t>, pp. 785–794</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 xml:space="preserve">Friedman J, Hastie T and </w:t>
      </w:r>
      <w:proofErr w:type="spellStart"/>
      <w:r w:rsidRPr="00D83B98">
        <w:rPr>
          <w:rFonts w:ascii="Arial" w:hAnsi="Arial" w:cs="Arial"/>
          <w:b/>
          <w:bCs/>
          <w:sz w:val="20"/>
          <w:szCs w:val="20"/>
          <w:lang w:val="en-US"/>
        </w:rPr>
        <w:t>Tibshirani</w:t>
      </w:r>
      <w:proofErr w:type="spellEnd"/>
      <w:r w:rsidRPr="00D83B98">
        <w:rPr>
          <w:rFonts w:ascii="Arial" w:hAnsi="Arial" w:cs="Arial"/>
          <w:b/>
          <w:bCs/>
          <w:sz w:val="20"/>
          <w:szCs w:val="20"/>
          <w:lang w:val="en-US"/>
        </w:rPr>
        <w:t xml:space="preserve"> R</w:t>
      </w:r>
      <w:r w:rsidRPr="00D83B98">
        <w:rPr>
          <w:rFonts w:ascii="Arial" w:hAnsi="Arial" w:cs="Arial"/>
          <w:sz w:val="20"/>
          <w:szCs w:val="20"/>
          <w:lang w:val="en-US"/>
        </w:rPr>
        <w:t xml:space="preserve"> (2010) Regularization paths for generalized linear models via coordinate descent. </w:t>
      </w:r>
      <w:r w:rsidRPr="00D83B98">
        <w:rPr>
          <w:rFonts w:ascii="Arial" w:hAnsi="Arial" w:cs="Arial"/>
          <w:i/>
          <w:iCs/>
          <w:sz w:val="20"/>
          <w:szCs w:val="20"/>
          <w:lang w:val="en-US"/>
        </w:rPr>
        <w:t>Journal of statistical software</w:t>
      </w:r>
      <w:r w:rsidRPr="00D83B98">
        <w:rPr>
          <w:rFonts w:ascii="Arial" w:hAnsi="Arial" w:cs="Arial"/>
          <w:sz w:val="20"/>
          <w:szCs w:val="20"/>
          <w:lang w:val="en-US"/>
        </w:rPr>
        <w:t xml:space="preserve"> </w:t>
      </w:r>
      <w:r w:rsidRPr="00D83B98">
        <w:rPr>
          <w:rFonts w:ascii="Arial" w:hAnsi="Arial" w:cs="Arial"/>
          <w:b/>
          <w:bCs/>
          <w:sz w:val="20"/>
          <w:szCs w:val="20"/>
          <w:lang w:val="en-US"/>
        </w:rPr>
        <w:t>33</w:t>
      </w:r>
      <w:r w:rsidRPr="00D83B98">
        <w:rPr>
          <w:rFonts w:ascii="Arial" w:hAnsi="Arial" w:cs="Arial"/>
          <w:sz w:val="20"/>
          <w:szCs w:val="20"/>
          <w:lang w:val="en-US"/>
        </w:rPr>
        <w:t>, 1</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Greenwell B</w:t>
      </w:r>
      <w:r w:rsidRPr="00D83B98">
        <w:rPr>
          <w:rFonts w:ascii="Arial" w:hAnsi="Arial" w:cs="Arial"/>
          <w:sz w:val="20"/>
          <w:szCs w:val="20"/>
          <w:lang w:val="en-US"/>
        </w:rPr>
        <w:t xml:space="preserve"> (2021, December 6) </w:t>
      </w:r>
      <w:proofErr w:type="spellStart"/>
      <w:r w:rsidRPr="00D83B98">
        <w:rPr>
          <w:rFonts w:ascii="Arial" w:hAnsi="Arial" w:cs="Arial"/>
          <w:sz w:val="20"/>
          <w:szCs w:val="20"/>
          <w:lang w:val="en-US"/>
        </w:rPr>
        <w:t>fastshap</w:t>
      </w:r>
      <w:proofErr w:type="spellEnd"/>
      <w:r w:rsidRPr="00D83B98">
        <w:rPr>
          <w:rFonts w:ascii="Arial" w:hAnsi="Arial" w:cs="Arial"/>
          <w:sz w:val="20"/>
          <w:szCs w:val="20"/>
          <w:lang w:val="en-US"/>
        </w:rPr>
        <w:t>: Fast Approximate Shapley Values</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Guy W</w:t>
      </w:r>
      <w:r w:rsidRPr="00D83B98">
        <w:rPr>
          <w:rFonts w:ascii="Arial" w:hAnsi="Arial" w:cs="Arial"/>
          <w:sz w:val="20"/>
          <w:szCs w:val="20"/>
          <w:lang w:val="en-US"/>
        </w:rPr>
        <w:t xml:space="preserve"> (1976) ECDEU assessment manual for psychopharmacology. US Department of Health, Education, and Welfare, Public Health Servic</w:t>
      </w:r>
      <w:r w:rsidR="00C8367B">
        <w:rPr>
          <w:rFonts w:ascii="Arial" w:hAnsi="Arial" w:cs="Arial"/>
          <w:sz w:val="20"/>
          <w:szCs w:val="20"/>
          <w:lang w:val="en-US"/>
        </w:rPr>
        <w:t>e,</w:t>
      </w:r>
      <w:r w:rsidR="00C8367B" w:rsidRPr="00C8367B">
        <w:rPr>
          <w:lang w:val="en-US"/>
        </w:rPr>
        <w:t xml:space="preserve"> </w:t>
      </w:r>
      <w:r w:rsidR="00C8367B" w:rsidRPr="00C8367B">
        <w:rPr>
          <w:rFonts w:ascii="Arial" w:hAnsi="Arial" w:cs="Arial"/>
          <w:sz w:val="20"/>
          <w:szCs w:val="20"/>
          <w:lang w:val="en-US"/>
        </w:rPr>
        <w:t>Alcohol, Drug Abuse, and Mental Health Administration, National Institute of Mental Health, Psychopharmacology Research Branch, Division of Extramural Research Programs</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Kuhn M</w:t>
      </w:r>
      <w:r w:rsidRPr="00D83B98">
        <w:rPr>
          <w:rFonts w:ascii="Arial" w:hAnsi="Arial" w:cs="Arial"/>
          <w:sz w:val="20"/>
          <w:szCs w:val="20"/>
          <w:lang w:val="en-US"/>
        </w:rPr>
        <w:t xml:space="preserve"> (2014) Futility analysis in the cross-validation of machine learning models. </w:t>
      </w:r>
      <w:proofErr w:type="spellStart"/>
      <w:r w:rsidRPr="00D83B98">
        <w:rPr>
          <w:rFonts w:ascii="Arial" w:hAnsi="Arial" w:cs="Arial"/>
          <w:i/>
          <w:iCs/>
          <w:sz w:val="20"/>
          <w:szCs w:val="20"/>
          <w:lang w:val="en-US"/>
        </w:rPr>
        <w:t>arXiv</w:t>
      </w:r>
      <w:proofErr w:type="spellEnd"/>
      <w:r w:rsidRPr="00D83B98">
        <w:rPr>
          <w:rFonts w:ascii="Arial" w:hAnsi="Arial" w:cs="Arial"/>
          <w:i/>
          <w:iCs/>
          <w:sz w:val="20"/>
          <w:szCs w:val="20"/>
          <w:lang w:val="en-US"/>
        </w:rPr>
        <w:t xml:space="preserve"> preprint arXiv:1405.6974</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Lundberg SM and Lee S-I</w:t>
      </w:r>
      <w:r w:rsidRPr="00D83B98">
        <w:rPr>
          <w:rFonts w:ascii="Arial" w:hAnsi="Arial" w:cs="Arial"/>
          <w:sz w:val="20"/>
          <w:szCs w:val="20"/>
          <w:lang w:val="en-US"/>
        </w:rPr>
        <w:t xml:space="preserve"> (2017) A unified approach to interpreting model predictions. </w:t>
      </w:r>
      <w:r w:rsidRPr="00D83B98">
        <w:rPr>
          <w:rFonts w:ascii="Arial" w:hAnsi="Arial" w:cs="Arial"/>
          <w:i/>
          <w:iCs/>
          <w:sz w:val="20"/>
          <w:szCs w:val="20"/>
          <w:lang w:val="en-US"/>
        </w:rPr>
        <w:t>Advances in neural information processing systems</w:t>
      </w:r>
      <w:r w:rsidRPr="00D83B98">
        <w:rPr>
          <w:rFonts w:ascii="Arial" w:hAnsi="Arial" w:cs="Arial"/>
          <w:sz w:val="20"/>
          <w:szCs w:val="20"/>
          <w:lang w:val="en-US"/>
        </w:rPr>
        <w:t xml:space="preserve"> </w:t>
      </w:r>
      <w:r w:rsidRPr="00D83B98">
        <w:rPr>
          <w:rFonts w:ascii="Arial" w:hAnsi="Arial" w:cs="Arial"/>
          <w:b/>
          <w:bCs/>
          <w:sz w:val="20"/>
          <w:szCs w:val="20"/>
          <w:lang w:val="en-US"/>
        </w:rPr>
        <w:t>30</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 xml:space="preserve">Phillips RV, van der </w:t>
      </w:r>
      <w:proofErr w:type="spellStart"/>
      <w:r w:rsidRPr="00D83B98">
        <w:rPr>
          <w:rFonts w:ascii="Arial" w:hAnsi="Arial" w:cs="Arial"/>
          <w:b/>
          <w:bCs/>
          <w:sz w:val="20"/>
          <w:szCs w:val="20"/>
          <w:lang w:val="en-US"/>
        </w:rPr>
        <w:t>Laan</w:t>
      </w:r>
      <w:proofErr w:type="spellEnd"/>
      <w:r w:rsidRPr="00D83B98">
        <w:rPr>
          <w:rFonts w:ascii="Arial" w:hAnsi="Arial" w:cs="Arial"/>
          <w:b/>
          <w:bCs/>
          <w:sz w:val="20"/>
          <w:szCs w:val="20"/>
          <w:lang w:val="en-US"/>
        </w:rPr>
        <w:t xml:space="preserve"> MJ, Lee H and Grub</w:t>
      </w:r>
      <w:bookmarkStart w:id="1" w:name="_GoBack"/>
      <w:bookmarkEnd w:id="1"/>
      <w:r w:rsidRPr="00D83B98">
        <w:rPr>
          <w:rFonts w:ascii="Arial" w:hAnsi="Arial" w:cs="Arial"/>
          <w:b/>
          <w:bCs/>
          <w:sz w:val="20"/>
          <w:szCs w:val="20"/>
          <w:lang w:val="en-US"/>
        </w:rPr>
        <w:t>er S</w:t>
      </w:r>
      <w:r w:rsidRPr="00D83B98">
        <w:rPr>
          <w:rFonts w:ascii="Arial" w:hAnsi="Arial" w:cs="Arial"/>
          <w:sz w:val="20"/>
          <w:szCs w:val="20"/>
          <w:lang w:val="en-US"/>
        </w:rPr>
        <w:t xml:space="preserve"> (2022) Practical considerations for specifying a super learner. </w:t>
      </w:r>
      <w:proofErr w:type="spellStart"/>
      <w:r w:rsidRPr="00D83B98">
        <w:rPr>
          <w:rFonts w:ascii="Arial" w:hAnsi="Arial" w:cs="Arial"/>
          <w:i/>
          <w:iCs/>
          <w:sz w:val="20"/>
          <w:szCs w:val="20"/>
          <w:lang w:val="en-US"/>
        </w:rPr>
        <w:t>arXiv</w:t>
      </w:r>
      <w:proofErr w:type="spellEnd"/>
      <w:r w:rsidRPr="00D83B98">
        <w:rPr>
          <w:rFonts w:ascii="Arial" w:hAnsi="Arial" w:cs="Arial"/>
          <w:i/>
          <w:iCs/>
          <w:sz w:val="20"/>
          <w:szCs w:val="20"/>
          <w:lang w:val="en-US"/>
        </w:rPr>
        <w:t xml:space="preserve"> preprint arXiv:2204.06139</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Rubin DB</w:t>
      </w:r>
      <w:r w:rsidRPr="00D83B98">
        <w:rPr>
          <w:rFonts w:ascii="Arial" w:hAnsi="Arial" w:cs="Arial"/>
          <w:sz w:val="20"/>
          <w:szCs w:val="20"/>
          <w:lang w:val="en-US"/>
        </w:rPr>
        <w:t xml:space="preserve"> (1976) Inference and missing data. </w:t>
      </w:r>
      <w:proofErr w:type="spellStart"/>
      <w:r w:rsidRPr="00D83B98">
        <w:rPr>
          <w:rFonts w:ascii="Arial" w:hAnsi="Arial" w:cs="Arial"/>
          <w:i/>
          <w:iCs/>
          <w:sz w:val="20"/>
          <w:szCs w:val="20"/>
          <w:lang w:val="en-US"/>
        </w:rPr>
        <w:t>Biometrika</w:t>
      </w:r>
      <w:proofErr w:type="spellEnd"/>
      <w:r w:rsidRPr="00D83B98">
        <w:rPr>
          <w:rFonts w:ascii="Arial" w:hAnsi="Arial" w:cs="Arial"/>
          <w:sz w:val="20"/>
          <w:szCs w:val="20"/>
          <w:lang w:val="en-US"/>
        </w:rPr>
        <w:t xml:space="preserve"> </w:t>
      </w:r>
      <w:r w:rsidRPr="00D83B98">
        <w:rPr>
          <w:rFonts w:ascii="Arial" w:hAnsi="Arial" w:cs="Arial"/>
          <w:b/>
          <w:bCs/>
          <w:sz w:val="20"/>
          <w:szCs w:val="20"/>
          <w:lang w:val="en-US"/>
        </w:rPr>
        <w:t>63</w:t>
      </w:r>
      <w:r w:rsidRPr="00D83B98">
        <w:rPr>
          <w:rFonts w:ascii="Arial" w:hAnsi="Arial" w:cs="Arial"/>
          <w:sz w:val="20"/>
          <w:szCs w:val="20"/>
          <w:lang w:val="en-US"/>
        </w:rPr>
        <w:t>, 581–592</w:t>
      </w:r>
    </w:p>
    <w:p w:rsidR="00D83B98" w:rsidRPr="00D83B98" w:rsidRDefault="00D83B98" w:rsidP="00D83B98">
      <w:pPr>
        <w:pStyle w:val="NormalWeb"/>
        <w:spacing w:after="0" w:line="238" w:lineRule="atLeast"/>
        <w:ind w:left="720" w:hanging="720"/>
        <w:rPr>
          <w:rFonts w:ascii="Arial" w:hAnsi="Arial" w:cs="Arial"/>
          <w:sz w:val="20"/>
          <w:szCs w:val="20"/>
          <w:lang w:val="en-US"/>
        </w:rPr>
      </w:pPr>
      <w:r w:rsidRPr="00D83B98">
        <w:rPr>
          <w:rFonts w:ascii="Arial" w:hAnsi="Arial" w:cs="Arial"/>
          <w:b/>
          <w:bCs/>
          <w:sz w:val="20"/>
          <w:szCs w:val="20"/>
          <w:lang w:val="en-US"/>
        </w:rPr>
        <w:t>Stone M</w:t>
      </w:r>
      <w:r w:rsidRPr="00D83B98">
        <w:rPr>
          <w:rFonts w:ascii="Arial" w:hAnsi="Arial" w:cs="Arial"/>
          <w:sz w:val="20"/>
          <w:szCs w:val="20"/>
          <w:lang w:val="en-US"/>
        </w:rPr>
        <w:t xml:space="preserve"> (1974) Cross-</w:t>
      </w:r>
      <w:proofErr w:type="spellStart"/>
      <w:r w:rsidRPr="00D83B98">
        <w:rPr>
          <w:rFonts w:ascii="Arial" w:hAnsi="Arial" w:cs="Arial"/>
          <w:sz w:val="20"/>
          <w:szCs w:val="20"/>
          <w:lang w:val="en-US"/>
        </w:rPr>
        <w:t>Validatory</w:t>
      </w:r>
      <w:proofErr w:type="spellEnd"/>
      <w:r w:rsidRPr="00D83B98">
        <w:rPr>
          <w:rFonts w:ascii="Arial" w:hAnsi="Arial" w:cs="Arial"/>
          <w:sz w:val="20"/>
          <w:szCs w:val="20"/>
          <w:lang w:val="en-US"/>
        </w:rPr>
        <w:t xml:space="preserve"> Choice and Assessment of Statistical Predictions. </w:t>
      </w:r>
      <w:r w:rsidRPr="00D83B98">
        <w:rPr>
          <w:rFonts w:ascii="Arial" w:hAnsi="Arial" w:cs="Arial"/>
          <w:i/>
          <w:iCs/>
          <w:sz w:val="20"/>
          <w:szCs w:val="20"/>
          <w:lang w:val="en-US"/>
        </w:rPr>
        <w:t>Journal of the Royal Statistical Society: Series B (Methodological)</w:t>
      </w:r>
      <w:r w:rsidRPr="00D83B98">
        <w:rPr>
          <w:rFonts w:ascii="Arial" w:hAnsi="Arial" w:cs="Arial"/>
          <w:sz w:val="20"/>
          <w:szCs w:val="20"/>
          <w:lang w:val="en-US"/>
        </w:rPr>
        <w:t xml:space="preserve"> </w:t>
      </w:r>
      <w:r w:rsidRPr="00D83B98">
        <w:rPr>
          <w:rFonts w:ascii="Arial" w:hAnsi="Arial" w:cs="Arial"/>
          <w:b/>
          <w:bCs/>
          <w:sz w:val="20"/>
          <w:szCs w:val="20"/>
          <w:lang w:val="en-US"/>
        </w:rPr>
        <w:t>36</w:t>
      </w:r>
      <w:r w:rsidRPr="00D83B98">
        <w:rPr>
          <w:rFonts w:ascii="Arial" w:hAnsi="Arial" w:cs="Arial"/>
          <w:sz w:val="20"/>
          <w:szCs w:val="20"/>
          <w:lang w:val="en-US"/>
        </w:rPr>
        <w:t>, 111–133</w:t>
      </w:r>
    </w:p>
    <w:p w:rsidR="00D83B98" w:rsidRPr="00D83B98" w:rsidRDefault="00D83B98" w:rsidP="00D83B98">
      <w:pPr>
        <w:pStyle w:val="NormalWeb"/>
        <w:spacing w:after="0" w:line="238" w:lineRule="atLeast"/>
        <w:ind w:left="720" w:hanging="720"/>
        <w:rPr>
          <w:rFonts w:ascii="Arial" w:hAnsi="Arial" w:cs="Arial"/>
          <w:sz w:val="20"/>
          <w:szCs w:val="20"/>
          <w:lang w:val="en-US"/>
        </w:rPr>
      </w:pPr>
      <w:proofErr w:type="spellStart"/>
      <w:r w:rsidRPr="00D83B98">
        <w:rPr>
          <w:rFonts w:ascii="Arial" w:hAnsi="Arial" w:cs="Arial"/>
          <w:b/>
          <w:bCs/>
          <w:sz w:val="20"/>
          <w:szCs w:val="20"/>
          <w:lang w:val="en-US"/>
        </w:rPr>
        <w:t>Štrumbelj</w:t>
      </w:r>
      <w:proofErr w:type="spellEnd"/>
      <w:r w:rsidRPr="00D83B98">
        <w:rPr>
          <w:rFonts w:ascii="Arial" w:hAnsi="Arial" w:cs="Arial"/>
          <w:b/>
          <w:bCs/>
          <w:sz w:val="20"/>
          <w:szCs w:val="20"/>
          <w:lang w:val="en-US"/>
        </w:rPr>
        <w:t xml:space="preserve"> E and </w:t>
      </w:r>
      <w:proofErr w:type="spellStart"/>
      <w:r w:rsidRPr="00D83B98">
        <w:rPr>
          <w:rFonts w:ascii="Arial" w:hAnsi="Arial" w:cs="Arial"/>
          <w:b/>
          <w:bCs/>
          <w:sz w:val="20"/>
          <w:szCs w:val="20"/>
          <w:lang w:val="en-US"/>
        </w:rPr>
        <w:t>Kononenko</w:t>
      </w:r>
      <w:proofErr w:type="spellEnd"/>
      <w:r w:rsidRPr="00D83B98">
        <w:rPr>
          <w:rFonts w:ascii="Arial" w:hAnsi="Arial" w:cs="Arial"/>
          <w:b/>
          <w:bCs/>
          <w:sz w:val="20"/>
          <w:szCs w:val="20"/>
          <w:lang w:val="en-US"/>
        </w:rPr>
        <w:t xml:space="preserve"> I</w:t>
      </w:r>
      <w:r w:rsidRPr="00D83B98">
        <w:rPr>
          <w:rFonts w:ascii="Arial" w:hAnsi="Arial" w:cs="Arial"/>
          <w:sz w:val="20"/>
          <w:szCs w:val="20"/>
          <w:lang w:val="en-US"/>
        </w:rPr>
        <w:t xml:space="preserve"> (2014) Explaining prediction models and individual predictions with feature contributions. </w:t>
      </w:r>
      <w:r w:rsidRPr="00D83B98">
        <w:rPr>
          <w:rFonts w:ascii="Arial" w:hAnsi="Arial" w:cs="Arial"/>
          <w:i/>
          <w:iCs/>
          <w:sz w:val="20"/>
          <w:szCs w:val="20"/>
          <w:lang w:val="en-US"/>
        </w:rPr>
        <w:t>Knowledge and information systems</w:t>
      </w:r>
      <w:r w:rsidRPr="00D83B98">
        <w:rPr>
          <w:rFonts w:ascii="Arial" w:hAnsi="Arial" w:cs="Arial"/>
          <w:sz w:val="20"/>
          <w:szCs w:val="20"/>
          <w:lang w:val="en-US"/>
        </w:rPr>
        <w:t xml:space="preserve"> </w:t>
      </w:r>
      <w:r w:rsidRPr="00D83B98">
        <w:rPr>
          <w:rFonts w:ascii="Arial" w:hAnsi="Arial" w:cs="Arial"/>
          <w:b/>
          <w:bCs/>
          <w:sz w:val="20"/>
          <w:szCs w:val="20"/>
          <w:lang w:val="en-US"/>
        </w:rPr>
        <w:t>41</w:t>
      </w:r>
      <w:r w:rsidRPr="00D83B98">
        <w:rPr>
          <w:rFonts w:ascii="Arial" w:hAnsi="Arial" w:cs="Arial"/>
          <w:sz w:val="20"/>
          <w:szCs w:val="20"/>
          <w:lang w:val="en-US"/>
        </w:rPr>
        <w:t>, 647–665</w:t>
      </w:r>
    </w:p>
    <w:p w:rsidR="00D83B98" w:rsidRPr="00D83B98" w:rsidRDefault="00D83B98" w:rsidP="00D83B98">
      <w:pPr>
        <w:pStyle w:val="NormalWeb"/>
        <w:spacing w:after="0" w:line="238" w:lineRule="atLeast"/>
        <w:ind w:left="720" w:hanging="720"/>
        <w:rPr>
          <w:rFonts w:ascii="Arial" w:hAnsi="Arial" w:cs="Arial"/>
          <w:sz w:val="20"/>
          <w:szCs w:val="20"/>
        </w:rPr>
      </w:pPr>
      <w:r w:rsidRPr="00D83B98">
        <w:rPr>
          <w:rFonts w:ascii="Arial" w:hAnsi="Arial" w:cs="Arial"/>
          <w:b/>
          <w:bCs/>
          <w:sz w:val="20"/>
          <w:szCs w:val="20"/>
          <w:lang w:val="en-US"/>
        </w:rPr>
        <w:t xml:space="preserve">Tennant R, Hiller L, Fishwick R, Platt S, Joseph S, </w:t>
      </w:r>
      <w:proofErr w:type="spellStart"/>
      <w:r w:rsidRPr="00D83B98">
        <w:rPr>
          <w:rFonts w:ascii="Arial" w:hAnsi="Arial" w:cs="Arial"/>
          <w:b/>
          <w:bCs/>
          <w:sz w:val="20"/>
          <w:szCs w:val="20"/>
          <w:lang w:val="en-US"/>
        </w:rPr>
        <w:t>Weich</w:t>
      </w:r>
      <w:proofErr w:type="spellEnd"/>
      <w:r w:rsidRPr="00D83B98">
        <w:rPr>
          <w:rFonts w:ascii="Arial" w:hAnsi="Arial" w:cs="Arial"/>
          <w:b/>
          <w:bCs/>
          <w:sz w:val="20"/>
          <w:szCs w:val="20"/>
          <w:lang w:val="en-US"/>
        </w:rPr>
        <w:t xml:space="preserve"> S, Parkinson J, Secker J and Stewart-Brown S</w:t>
      </w:r>
      <w:r w:rsidRPr="00D83B98">
        <w:rPr>
          <w:rFonts w:ascii="Arial" w:hAnsi="Arial" w:cs="Arial"/>
          <w:sz w:val="20"/>
          <w:szCs w:val="20"/>
          <w:lang w:val="en-US"/>
        </w:rPr>
        <w:t xml:space="preserve"> (2007) The Warwick-Edinburgh Mental Well-being Scale (WEMWBS): development and UK validation. </w:t>
      </w:r>
      <w:proofErr w:type="spellStart"/>
      <w:r w:rsidRPr="00D83B98">
        <w:rPr>
          <w:rFonts w:ascii="Arial" w:hAnsi="Arial" w:cs="Arial"/>
          <w:i/>
          <w:iCs/>
          <w:sz w:val="20"/>
          <w:szCs w:val="20"/>
        </w:rPr>
        <w:t>Health</w:t>
      </w:r>
      <w:proofErr w:type="spellEnd"/>
      <w:r w:rsidRPr="00D83B98">
        <w:rPr>
          <w:rFonts w:ascii="Arial" w:hAnsi="Arial" w:cs="Arial"/>
          <w:i/>
          <w:iCs/>
          <w:sz w:val="20"/>
          <w:szCs w:val="20"/>
        </w:rPr>
        <w:t xml:space="preserve"> and </w:t>
      </w:r>
      <w:proofErr w:type="spellStart"/>
      <w:r w:rsidRPr="00D83B98">
        <w:rPr>
          <w:rFonts w:ascii="Arial" w:hAnsi="Arial" w:cs="Arial"/>
          <w:i/>
          <w:iCs/>
          <w:sz w:val="20"/>
          <w:szCs w:val="20"/>
        </w:rPr>
        <w:t>Quality</w:t>
      </w:r>
      <w:proofErr w:type="spellEnd"/>
      <w:r w:rsidRPr="00D83B98">
        <w:rPr>
          <w:rFonts w:ascii="Arial" w:hAnsi="Arial" w:cs="Arial"/>
          <w:i/>
          <w:iCs/>
          <w:sz w:val="20"/>
          <w:szCs w:val="20"/>
        </w:rPr>
        <w:t xml:space="preserve"> of Life </w:t>
      </w:r>
      <w:proofErr w:type="spellStart"/>
      <w:r w:rsidRPr="00D83B98">
        <w:rPr>
          <w:rFonts w:ascii="Arial" w:hAnsi="Arial" w:cs="Arial"/>
          <w:i/>
          <w:iCs/>
          <w:sz w:val="20"/>
          <w:szCs w:val="20"/>
        </w:rPr>
        <w:t>Outcomes</w:t>
      </w:r>
      <w:proofErr w:type="spellEnd"/>
      <w:r w:rsidRPr="00D83B98">
        <w:rPr>
          <w:rFonts w:ascii="Arial" w:hAnsi="Arial" w:cs="Arial"/>
          <w:sz w:val="20"/>
          <w:szCs w:val="20"/>
        </w:rPr>
        <w:t xml:space="preserve"> </w:t>
      </w:r>
      <w:r w:rsidRPr="00D83B98">
        <w:rPr>
          <w:rFonts w:ascii="Arial" w:hAnsi="Arial" w:cs="Arial"/>
          <w:b/>
          <w:bCs/>
          <w:sz w:val="20"/>
          <w:szCs w:val="20"/>
        </w:rPr>
        <w:t>5</w:t>
      </w:r>
      <w:r w:rsidRPr="00D83B98">
        <w:rPr>
          <w:rFonts w:ascii="Arial" w:hAnsi="Arial" w:cs="Arial"/>
          <w:sz w:val="20"/>
          <w:szCs w:val="20"/>
        </w:rPr>
        <w:t>, 63</w:t>
      </w:r>
    </w:p>
    <w:p w:rsidR="00DB5CA6" w:rsidRPr="00D83B98" w:rsidRDefault="00DB5CA6" w:rsidP="00D83B98">
      <w:pPr>
        <w:pStyle w:val="Bibliographie1"/>
        <w:rPr>
          <w:rFonts w:ascii="Arial" w:hAnsi="Arial" w:cs="Arial"/>
          <w:sz w:val="20"/>
          <w:szCs w:val="20"/>
          <w:lang w:val="en-US"/>
        </w:rPr>
      </w:pPr>
    </w:p>
    <w:sectPr w:rsidR="00DB5CA6" w:rsidRPr="00D83B98" w:rsidSect="00D83B98">
      <w:headerReference w:type="default" r:id="rId8"/>
      <w:pgSz w:w="11906" w:h="16838"/>
      <w:pgMar w:top="1647" w:right="1134" w:bottom="1134" w:left="1134" w:header="1134" w:footer="0" w:gutter="0"/>
      <w:pgNumType w:start="1"/>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22" w:rsidRDefault="00957D22">
      <w:r>
        <w:separator/>
      </w:r>
    </w:p>
  </w:endnote>
  <w:endnote w:type="continuationSeparator" w:id="0">
    <w:p w:rsidR="00957D22" w:rsidRDefault="0095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22" w:rsidRDefault="00957D22">
      <w:r>
        <w:separator/>
      </w:r>
    </w:p>
  </w:footnote>
  <w:footnote w:type="continuationSeparator" w:id="0">
    <w:p w:rsidR="00957D22" w:rsidRDefault="0095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A6" w:rsidRDefault="00957D22">
    <w:pPr>
      <w:pStyle w:val="En-tte"/>
      <w:rPr>
        <w:rFonts w:ascii="Arial" w:hAnsi="Arial"/>
        <w:sz w:val="20"/>
        <w:szCs w:val="20"/>
      </w:rP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Pr>
        <w:rFonts w:ascii="Arial" w:hAnsi="Arial"/>
        <w:sz w:val="20"/>
        <w:szCs w:val="20"/>
      </w:rPr>
      <w:t>1</w:t>
    </w:r>
    <w:r>
      <w:rPr>
        <w:rFonts w:ascii="Arial" w:hAnsi="Arial"/>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A6"/>
    <w:rsid w:val="00957D22"/>
    <w:rsid w:val="00C8367B"/>
    <w:rsid w:val="00D83B98"/>
    <w:rsid w:val="00DB5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AFDE"/>
  <w15:docId w15:val="{2B980806-A1CB-48D1-83A6-25B1BA51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LO-normal"/>
    <w:next w:val="Normal"/>
    <w:uiPriority w:val="9"/>
    <w:qFormat/>
    <w:pPr>
      <w:keepNext/>
      <w:keepLines/>
      <w:spacing w:before="400" w:after="120"/>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LO-normal">
    <w:name w:val="LO-normal"/>
    <w:qFormat/>
  </w:style>
  <w:style w:type="paragraph" w:customStyle="1" w:styleId="Contenudetableau">
    <w:name w:val="Contenu de tableau"/>
    <w:basedOn w:val="Normal"/>
    <w:qFormat/>
    <w:pPr>
      <w:widowControl w:val="0"/>
      <w:suppressLineNumbers/>
    </w:pPr>
  </w:style>
  <w:style w:type="paragraph" w:customStyle="1" w:styleId="TableauNormal1">
    <w:name w:val="Tableau Normal1"/>
    <w:qFormat/>
    <w:rPr>
      <w:rFonts w:ascii="Times New Roman" w:eastAsia="Liberation Serif" w:hAnsi="Times New Roman" w:cs="Times New Roman"/>
      <w:sz w:val="20"/>
      <w:szCs w:val="20"/>
      <w:lang w:eastAsia="fr-FR" w:bidi="ar-SA"/>
    </w:rPr>
  </w:style>
  <w:style w:type="paragraph" w:customStyle="1" w:styleId="Bibliographie1">
    <w:name w:val="Bibliographie 1"/>
    <w:basedOn w:val="Index"/>
    <w:qFormat/>
    <w:pPr>
      <w:spacing w:line="240" w:lineRule="atLeast"/>
      <w:ind w:left="720" w:hanging="720"/>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En-tteetpieddepage"/>
  </w:style>
  <w:style w:type="paragraph" w:styleId="NormalWeb">
    <w:name w:val="Normal (Web)"/>
    <w:basedOn w:val="Normal"/>
    <w:uiPriority w:val="99"/>
    <w:semiHidden/>
    <w:unhideWhenUsed/>
    <w:rsid w:val="00D83B98"/>
    <w:pPr>
      <w:suppressAutoHyphens w:val="0"/>
      <w:spacing w:before="100" w:beforeAutospacing="1" w:after="142" w:line="276" w:lineRule="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7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2974</TotalTime>
  <Pages>11</Pages>
  <Words>2838</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Guillaume</cp:lastModifiedBy>
  <cp:revision>109</cp:revision>
  <dcterms:created xsi:type="dcterms:W3CDTF">2023-02-06T16:53:00Z</dcterms:created>
  <dcterms:modified xsi:type="dcterms:W3CDTF">2023-07-11T16:16:00Z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id="5e5KRs5v"/&gt;&lt;style id="http://www.zotero.org/styles/psychiatry-research" hasBibliography="1" bibliographyStyleHasBeenSet="1"/&gt;&lt;prefs&gt;&lt;pref name="fieldType" value="ReferenceMark"/&gt;&lt;pref name="autom</vt:lpwstr>
  </property>
  <property fmtid="{D5CDD505-2E9C-101B-9397-08002B2CF9AE}" pid="3" name="ZOTERO_PREF_2">
    <vt:lpwstr>aticJournalAbbreviations" value="true"/&gt;&lt;/prefs&gt;&lt;/data&gt;</vt:lpwstr>
  </property>
</Properties>
</file>