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2373" w14:textId="77777777" w:rsidR="0042504C" w:rsidRPr="00C55043" w:rsidRDefault="0042504C" w:rsidP="0042504C">
      <w:pPr>
        <w:pStyle w:val="Heading1"/>
        <w:numPr>
          <w:ilvl w:val="0"/>
          <w:numId w:val="0"/>
        </w:numPr>
        <w:ind w:left="432" w:hanging="432"/>
        <w:rPr>
          <w:lang w:val="en-AU"/>
        </w:rPr>
      </w:pPr>
      <w:r w:rsidRPr="00C55043">
        <w:rPr>
          <w:lang w:val="en-AU"/>
        </w:rPr>
        <w:t>Supplementary Material</w:t>
      </w:r>
      <w:r>
        <w:rPr>
          <w:lang w:val="en-AU"/>
        </w:rPr>
        <w:t xml:space="preserve"> I:</w:t>
      </w:r>
      <w:r w:rsidRPr="00146BA6">
        <w:rPr>
          <w:lang w:val="en-AU"/>
        </w:rPr>
        <w:t xml:space="preserve"> </w:t>
      </w:r>
      <w:r w:rsidRPr="00C55043">
        <w:rPr>
          <w:lang w:val="en-AU"/>
        </w:rPr>
        <w:t>Supplementary</w:t>
      </w:r>
      <w:r>
        <w:rPr>
          <w:lang w:val="en-AU"/>
        </w:rPr>
        <w:t xml:space="preserve"> tables and figures </w:t>
      </w:r>
    </w:p>
    <w:p w14:paraId="5D32ED82" w14:textId="77777777" w:rsidR="0042504C" w:rsidRPr="00FA2146" w:rsidRDefault="0042504C" w:rsidP="0042504C">
      <w:r w:rsidRPr="00FA2146">
        <w:t>Table S1. Clinical staging model summary</w:t>
      </w:r>
    </w:p>
    <w:tbl>
      <w:tblPr>
        <w:tblW w:w="5000" w:type="pct"/>
        <w:tblCellMar>
          <w:top w:w="15" w:type="dxa"/>
          <w:left w:w="15" w:type="dxa"/>
          <w:bottom w:w="15" w:type="dxa"/>
          <w:right w:w="15" w:type="dxa"/>
        </w:tblCellMar>
        <w:tblLook w:val="04A0" w:firstRow="1" w:lastRow="0" w:firstColumn="1" w:lastColumn="0" w:noHBand="0" w:noVBand="1"/>
      </w:tblPr>
      <w:tblGrid>
        <w:gridCol w:w="2292"/>
        <w:gridCol w:w="7444"/>
      </w:tblGrid>
      <w:tr w:rsidR="0042504C" w:rsidRPr="00FA2146" w14:paraId="0E1E33B4" w14:textId="77777777" w:rsidTr="00B43E1B">
        <w:trPr>
          <w:trHeight w:val="454"/>
        </w:trPr>
        <w:tc>
          <w:tcPr>
            <w:tcW w:w="1177" w:type="pct"/>
            <w:tcBorders>
              <w:top w:val="single" w:sz="4" w:space="0" w:color="auto"/>
              <w:left w:val="single" w:sz="4" w:space="0" w:color="auto"/>
              <w:bottom w:val="single" w:sz="4" w:space="0" w:color="auto"/>
              <w:right w:val="single" w:sz="4" w:space="0" w:color="auto"/>
            </w:tcBorders>
            <w:vAlign w:val="center"/>
          </w:tcPr>
          <w:p w14:paraId="05CE824D" w14:textId="77777777" w:rsidR="0042504C" w:rsidRPr="00FA2146" w:rsidRDefault="0042504C" w:rsidP="00B43E1B">
            <w:pPr>
              <w:pStyle w:val="NoSpacing"/>
              <w:rPr>
                <w:rFonts w:ascii="Times New Roman" w:hAnsi="Times New Roman" w:cs="Times New Roman"/>
                <w:b/>
                <w:bCs/>
                <w:sz w:val="20"/>
                <w:szCs w:val="20"/>
                <w:lang w:eastAsia="zh-CN"/>
              </w:rPr>
            </w:pPr>
            <w:r w:rsidRPr="00FA2146">
              <w:rPr>
                <w:rFonts w:ascii="Times New Roman" w:hAnsi="Times New Roman" w:cs="Times New Roman"/>
                <w:b/>
                <w:bCs/>
                <w:sz w:val="20"/>
                <w:szCs w:val="20"/>
                <w:lang w:eastAsia="zh-CN"/>
              </w:rPr>
              <w:t>Clinical stage</w:t>
            </w:r>
          </w:p>
        </w:tc>
        <w:tc>
          <w:tcPr>
            <w:tcW w:w="3823" w:type="pct"/>
            <w:tcBorders>
              <w:top w:val="single" w:sz="4" w:space="0" w:color="auto"/>
              <w:left w:val="single" w:sz="4" w:space="0" w:color="auto"/>
              <w:bottom w:val="single" w:sz="4" w:space="0" w:color="auto"/>
              <w:right w:val="single" w:sz="4" w:space="0" w:color="auto"/>
            </w:tcBorders>
            <w:vAlign w:val="center"/>
          </w:tcPr>
          <w:p w14:paraId="5E6970EE" w14:textId="77777777" w:rsidR="0042504C" w:rsidRPr="00FA2146" w:rsidRDefault="0042504C" w:rsidP="00B43E1B">
            <w:pPr>
              <w:pStyle w:val="NoSpacing"/>
              <w:rPr>
                <w:rFonts w:ascii="Times New Roman" w:hAnsi="Times New Roman" w:cs="Times New Roman"/>
                <w:b/>
                <w:bCs/>
                <w:sz w:val="20"/>
                <w:szCs w:val="20"/>
                <w:lang w:eastAsia="zh-CN"/>
              </w:rPr>
            </w:pPr>
            <w:r w:rsidRPr="00FA2146">
              <w:rPr>
                <w:rFonts w:ascii="Times New Roman" w:hAnsi="Times New Roman" w:cs="Times New Roman"/>
                <w:b/>
                <w:bCs/>
                <w:sz w:val="20"/>
                <w:szCs w:val="20"/>
                <w:lang w:eastAsia="zh-CN"/>
              </w:rPr>
              <w:t xml:space="preserve">Definition </w:t>
            </w:r>
          </w:p>
        </w:tc>
      </w:tr>
      <w:tr w:rsidR="0042504C" w:rsidRPr="00FA2146" w14:paraId="52B4E77B" w14:textId="77777777" w:rsidTr="00B43E1B">
        <w:trPr>
          <w:trHeight w:val="454"/>
        </w:trPr>
        <w:tc>
          <w:tcPr>
            <w:tcW w:w="1177" w:type="pct"/>
            <w:tcBorders>
              <w:top w:val="single" w:sz="4" w:space="0" w:color="auto"/>
              <w:left w:val="single" w:sz="4" w:space="0" w:color="auto"/>
              <w:bottom w:val="single" w:sz="4" w:space="0" w:color="auto"/>
              <w:right w:val="single" w:sz="4" w:space="0" w:color="auto"/>
            </w:tcBorders>
            <w:vAlign w:val="center"/>
          </w:tcPr>
          <w:p w14:paraId="37B240AE" w14:textId="77777777" w:rsidR="0042504C" w:rsidRPr="00FA2146" w:rsidRDefault="0042504C" w:rsidP="00B43E1B">
            <w:pPr>
              <w:pStyle w:val="NoSpacing"/>
              <w:rPr>
                <w:rFonts w:ascii="Times New Roman" w:hAnsi="Times New Roman" w:cs="Times New Roman"/>
                <w:b/>
                <w:bCs/>
                <w:sz w:val="20"/>
                <w:szCs w:val="20"/>
                <w:lang w:eastAsia="zh-CN"/>
              </w:rPr>
            </w:pPr>
            <w:r w:rsidRPr="00FA2146">
              <w:rPr>
                <w:rFonts w:ascii="Times New Roman" w:hAnsi="Times New Roman" w:cs="Times New Roman"/>
                <w:b/>
                <w:bCs/>
                <w:sz w:val="20"/>
                <w:szCs w:val="20"/>
                <w:lang w:eastAsia="zh-CN"/>
              </w:rPr>
              <w:t>Stage 0</w:t>
            </w:r>
            <w:r w:rsidRPr="00FA2146">
              <w:rPr>
                <w:rFonts w:ascii="Times New Roman" w:hAnsi="Times New Roman" w:cs="Times New Roman"/>
                <w:sz w:val="20"/>
                <w:szCs w:val="20"/>
                <w:lang w:eastAsia="zh-CN"/>
              </w:rPr>
              <w:t> </w:t>
            </w:r>
          </w:p>
        </w:tc>
        <w:tc>
          <w:tcPr>
            <w:tcW w:w="3823" w:type="pct"/>
            <w:tcBorders>
              <w:top w:val="single" w:sz="4" w:space="0" w:color="auto"/>
              <w:left w:val="single" w:sz="4" w:space="0" w:color="auto"/>
              <w:bottom w:val="single" w:sz="4" w:space="0" w:color="auto"/>
              <w:right w:val="single" w:sz="4" w:space="0" w:color="auto"/>
            </w:tcBorders>
            <w:vAlign w:val="center"/>
          </w:tcPr>
          <w:p w14:paraId="4C682735" w14:textId="77777777" w:rsidR="0042504C" w:rsidRPr="00FA2146" w:rsidRDefault="0042504C" w:rsidP="00B43E1B">
            <w:pPr>
              <w:pStyle w:val="NoSpacing"/>
              <w:rPr>
                <w:rFonts w:ascii="Times New Roman" w:hAnsi="Times New Roman" w:cs="Times New Roman"/>
                <w:sz w:val="20"/>
                <w:szCs w:val="20"/>
                <w:lang w:eastAsia="zh-CN"/>
              </w:rPr>
            </w:pPr>
            <w:r w:rsidRPr="00FA2146">
              <w:rPr>
                <w:rFonts w:ascii="Times New Roman" w:hAnsi="Times New Roman" w:cs="Times New Roman"/>
                <w:sz w:val="20"/>
                <w:szCs w:val="20"/>
                <w:lang w:eastAsia="zh-CN"/>
              </w:rPr>
              <w:t>No symptoms of mental health problems or disorder.</w:t>
            </w:r>
          </w:p>
        </w:tc>
      </w:tr>
      <w:tr w:rsidR="0042504C" w:rsidRPr="00FA2146" w14:paraId="469FB288" w14:textId="77777777" w:rsidTr="00B43E1B">
        <w:trPr>
          <w:trHeight w:val="454"/>
        </w:trPr>
        <w:tc>
          <w:tcPr>
            <w:tcW w:w="1177" w:type="pct"/>
            <w:tcBorders>
              <w:top w:val="nil"/>
              <w:left w:val="single" w:sz="4" w:space="0" w:color="auto"/>
              <w:bottom w:val="single" w:sz="4" w:space="0" w:color="auto"/>
              <w:right w:val="single" w:sz="4" w:space="0" w:color="auto"/>
            </w:tcBorders>
            <w:vAlign w:val="center"/>
          </w:tcPr>
          <w:p w14:paraId="0121419D" w14:textId="77777777" w:rsidR="0042504C" w:rsidRPr="00FA2146" w:rsidRDefault="0042504C" w:rsidP="00B43E1B">
            <w:pPr>
              <w:pStyle w:val="NoSpacing"/>
              <w:rPr>
                <w:rFonts w:ascii="Times New Roman" w:hAnsi="Times New Roman" w:cs="Times New Roman"/>
                <w:b/>
                <w:bCs/>
                <w:sz w:val="20"/>
                <w:szCs w:val="20"/>
                <w:lang w:eastAsia="zh-CN"/>
              </w:rPr>
            </w:pPr>
            <w:r w:rsidRPr="00FA2146">
              <w:rPr>
                <w:rFonts w:ascii="Times New Roman" w:hAnsi="Times New Roman" w:cs="Times New Roman"/>
                <w:b/>
                <w:bCs/>
                <w:sz w:val="20"/>
                <w:szCs w:val="20"/>
                <w:lang w:eastAsia="zh-CN"/>
              </w:rPr>
              <w:t>Stage 1a</w:t>
            </w:r>
            <w:r w:rsidRPr="00FA2146">
              <w:rPr>
                <w:rFonts w:ascii="Times New Roman" w:hAnsi="Times New Roman" w:cs="Times New Roman"/>
                <w:sz w:val="20"/>
                <w:szCs w:val="20"/>
                <w:lang w:eastAsia="zh-CN"/>
              </w:rPr>
              <w:t> </w:t>
            </w:r>
          </w:p>
        </w:tc>
        <w:tc>
          <w:tcPr>
            <w:tcW w:w="3823" w:type="pct"/>
            <w:tcBorders>
              <w:top w:val="nil"/>
              <w:left w:val="single" w:sz="4" w:space="0" w:color="auto"/>
              <w:bottom w:val="single" w:sz="4" w:space="0" w:color="auto"/>
              <w:right w:val="single" w:sz="4" w:space="0" w:color="auto"/>
            </w:tcBorders>
            <w:vAlign w:val="center"/>
            <w:hideMark/>
          </w:tcPr>
          <w:p w14:paraId="73DED509" w14:textId="77777777" w:rsidR="0042504C" w:rsidRPr="00FA2146" w:rsidRDefault="0042504C" w:rsidP="00B43E1B">
            <w:pPr>
              <w:pStyle w:val="NoSpacing"/>
              <w:rPr>
                <w:rFonts w:ascii="Times New Roman" w:hAnsi="Times New Roman" w:cs="Times New Roman"/>
                <w:b/>
                <w:bCs/>
                <w:sz w:val="20"/>
                <w:szCs w:val="20"/>
                <w:lang w:eastAsia="zh-CN"/>
              </w:rPr>
            </w:pPr>
            <w:r w:rsidRPr="00FA2146">
              <w:rPr>
                <w:rFonts w:ascii="Times New Roman" w:hAnsi="Times New Roman" w:cs="Times New Roman"/>
                <w:sz w:val="20"/>
                <w:szCs w:val="20"/>
                <w:lang w:eastAsia="zh-CN"/>
              </w:rPr>
              <w:t>Mild to moderate general symptoms of mental health problems and/or high-risk psycho-social stressors (i.e., bullying, relationship problems).</w:t>
            </w:r>
          </w:p>
        </w:tc>
      </w:tr>
      <w:tr w:rsidR="0042504C" w:rsidRPr="00FA2146" w14:paraId="69317BBD" w14:textId="77777777" w:rsidTr="00B43E1B">
        <w:trPr>
          <w:trHeight w:val="454"/>
        </w:trPr>
        <w:tc>
          <w:tcPr>
            <w:tcW w:w="1177" w:type="pct"/>
            <w:tcBorders>
              <w:top w:val="nil"/>
              <w:left w:val="single" w:sz="4" w:space="0" w:color="auto"/>
              <w:bottom w:val="single" w:sz="4" w:space="0" w:color="auto"/>
              <w:right w:val="single" w:sz="4" w:space="0" w:color="auto"/>
            </w:tcBorders>
            <w:vAlign w:val="center"/>
          </w:tcPr>
          <w:p w14:paraId="7790DECC" w14:textId="77777777" w:rsidR="0042504C" w:rsidRPr="00FA2146" w:rsidRDefault="0042504C" w:rsidP="00B43E1B">
            <w:pPr>
              <w:pStyle w:val="NoSpacing"/>
              <w:rPr>
                <w:rFonts w:ascii="Times New Roman" w:hAnsi="Times New Roman" w:cs="Times New Roman"/>
                <w:b/>
                <w:bCs/>
                <w:sz w:val="20"/>
                <w:szCs w:val="20"/>
                <w:lang w:eastAsia="zh-CN"/>
              </w:rPr>
            </w:pPr>
            <w:r w:rsidRPr="00FA2146">
              <w:rPr>
                <w:rFonts w:ascii="Times New Roman" w:hAnsi="Times New Roman" w:cs="Times New Roman"/>
                <w:b/>
                <w:bCs/>
                <w:sz w:val="20"/>
                <w:szCs w:val="20"/>
                <w:lang w:eastAsia="zh-CN"/>
              </w:rPr>
              <w:t>Stage 1b</w:t>
            </w:r>
            <w:r w:rsidRPr="00FA2146">
              <w:rPr>
                <w:rFonts w:ascii="Times New Roman" w:hAnsi="Times New Roman" w:cs="Times New Roman"/>
                <w:sz w:val="20"/>
                <w:szCs w:val="20"/>
                <w:lang w:eastAsia="zh-CN"/>
              </w:rPr>
              <w:t> </w:t>
            </w:r>
          </w:p>
        </w:tc>
        <w:tc>
          <w:tcPr>
            <w:tcW w:w="3823" w:type="pct"/>
            <w:tcBorders>
              <w:top w:val="nil"/>
              <w:left w:val="single" w:sz="4" w:space="0" w:color="auto"/>
              <w:bottom w:val="single" w:sz="4" w:space="0" w:color="auto"/>
              <w:right w:val="single" w:sz="4" w:space="0" w:color="auto"/>
            </w:tcBorders>
            <w:vAlign w:val="center"/>
            <w:hideMark/>
          </w:tcPr>
          <w:p w14:paraId="0BC03EAF" w14:textId="77777777" w:rsidR="0042504C" w:rsidRPr="00FA2146" w:rsidRDefault="0042504C" w:rsidP="00B43E1B">
            <w:pPr>
              <w:pStyle w:val="NoSpacing"/>
              <w:rPr>
                <w:rFonts w:ascii="Times New Roman" w:hAnsi="Times New Roman" w:cs="Times New Roman"/>
                <w:b/>
                <w:bCs/>
                <w:sz w:val="20"/>
                <w:szCs w:val="20"/>
                <w:lang w:eastAsia="zh-CN"/>
              </w:rPr>
            </w:pPr>
            <w:r w:rsidRPr="00FA2146">
              <w:rPr>
                <w:rFonts w:ascii="Times New Roman" w:hAnsi="Times New Roman" w:cs="Times New Roman"/>
                <w:sz w:val="20"/>
                <w:szCs w:val="20"/>
                <w:lang w:eastAsia="zh-CN"/>
              </w:rPr>
              <w:t>Symptoms that may indicate a diagnosable DSM mental disorder, but do not meet full threshold for diagnosis.</w:t>
            </w:r>
          </w:p>
        </w:tc>
      </w:tr>
      <w:tr w:rsidR="0042504C" w:rsidRPr="00FA2146" w14:paraId="7451FA5F" w14:textId="77777777" w:rsidTr="00B43E1B">
        <w:trPr>
          <w:trHeight w:val="454"/>
        </w:trPr>
        <w:tc>
          <w:tcPr>
            <w:tcW w:w="1177" w:type="pct"/>
            <w:tcBorders>
              <w:top w:val="nil"/>
              <w:left w:val="single" w:sz="4" w:space="0" w:color="auto"/>
              <w:bottom w:val="single" w:sz="4" w:space="0" w:color="auto"/>
              <w:right w:val="single" w:sz="4" w:space="0" w:color="auto"/>
            </w:tcBorders>
            <w:vAlign w:val="center"/>
          </w:tcPr>
          <w:p w14:paraId="2A64FC65" w14:textId="77777777" w:rsidR="0042504C" w:rsidRPr="00FA2146" w:rsidRDefault="0042504C" w:rsidP="00B43E1B">
            <w:pPr>
              <w:pStyle w:val="NoSpacing"/>
              <w:rPr>
                <w:rFonts w:ascii="Times New Roman" w:hAnsi="Times New Roman" w:cs="Times New Roman"/>
                <w:b/>
                <w:bCs/>
                <w:sz w:val="20"/>
                <w:szCs w:val="20"/>
                <w:lang w:eastAsia="zh-CN"/>
              </w:rPr>
            </w:pPr>
            <w:r w:rsidRPr="00FA2146">
              <w:rPr>
                <w:rFonts w:ascii="Times New Roman" w:hAnsi="Times New Roman" w:cs="Times New Roman"/>
                <w:b/>
                <w:bCs/>
                <w:sz w:val="20"/>
                <w:szCs w:val="20"/>
                <w:lang w:eastAsia="zh-CN"/>
              </w:rPr>
              <w:t>Stage 2</w:t>
            </w:r>
            <w:r w:rsidRPr="00FA2146">
              <w:rPr>
                <w:rFonts w:ascii="Times New Roman" w:hAnsi="Times New Roman" w:cs="Times New Roman"/>
                <w:sz w:val="20"/>
                <w:szCs w:val="20"/>
                <w:lang w:eastAsia="zh-CN"/>
              </w:rPr>
              <w:t> </w:t>
            </w:r>
          </w:p>
        </w:tc>
        <w:tc>
          <w:tcPr>
            <w:tcW w:w="3823" w:type="pct"/>
            <w:tcBorders>
              <w:top w:val="nil"/>
              <w:left w:val="single" w:sz="4" w:space="0" w:color="auto"/>
              <w:bottom w:val="single" w:sz="4" w:space="0" w:color="auto"/>
              <w:right w:val="single" w:sz="4" w:space="0" w:color="auto"/>
            </w:tcBorders>
            <w:vAlign w:val="center"/>
            <w:hideMark/>
          </w:tcPr>
          <w:p w14:paraId="7F337665" w14:textId="77777777" w:rsidR="0042504C" w:rsidRPr="00FA2146" w:rsidRDefault="0042504C" w:rsidP="00B43E1B">
            <w:pPr>
              <w:pStyle w:val="NoSpacing"/>
              <w:rPr>
                <w:rFonts w:ascii="Times New Roman" w:hAnsi="Times New Roman" w:cs="Times New Roman"/>
                <w:b/>
                <w:bCs/>
                <w:sz w:val="20"/>
                <w:szCs w:val="20"/>
                <w:lang w:eastAsia="zh-CN"/>
              </w:rPr>
            </w:pPr>
            <w:r w:rsidRPr="00FA2146">
              <w:rPr>
                <w:rFonts w:ascii="Times New Roman" w:hAnsi="Times New Roman" w:cs="Times New Roman"/>
                <w:sz w:val="20"/>
                <w:szCs w:val="20"/>
                <w:lang w:eastAsia="zh-CN"/>
              </w:rPr>
              <w:t>Full threshold DSM diagnosis.</w:t>
            </w:r>
          </w:p>
        </w:tc>
      </w:tr>
      <w:tr w:rsidR="0042504C" w:rsidRPr="00FA2146" w14:paraId="064CC64E" w14:textId="77777777" w:rsidTr="00B43E1B">
        <w:trPr>
          <w:trHeight w:val="454"/>
        </w:trPr>
        <w:tc>
          <w:tcPr>
            <w:tcW w:w="1177" w:type="pct"/>
            <w:tcBorders>
              <w:top w:val="nil"/>
              <w:left w:val="single" w:sz="4" w:space="0" w:color="auto"/>
              <w:bottom w:val="single" w:sz="4" w:space="0" w:color="auto"/>
              <w:right w:val="single" w:sz="4" w:space="0" w:color="auto"/>
            </w:tcBorders>
            <w:vAlign w:val="center"/>
          </w:tcPr>
          <w:p w14:paraId="07FF0E1E" w14:textId="77777777" w:rsidR="0042504C" w:rsidRPr="00FA2146" w:rsidRDefault="0042504C" w:rsidP="00B43E1B">
            <w:pPr>
              <w:pStyle w:val="NoSpacing"/>
              <w:rPr>
                <w:rFonts w:ascii="Times New Roman" w:hAnsi="Times New Roman" w:cs="Times New Roman"/>
                <w:b/>
                <w:bCs/>
                <w:sz w:val="20"/>
                <w:szCs w:val="20"/>
                <w:lang w:eastAsia="zh-CN"/>
              </w:rPr>
            </w:pPr>
            <w:r w:rsidRPr="00FA2146">
              <w:rPr>
                <w:rFonts w:ascii="Times New Roman" w:hAnsi="Times New Roman" w:cs="Times New Roman"/>
                <w:b/>
                <w:bCs/>
                <w:sz w:val="20"/>
                <w:szCs w:val="20"/>
                <w:lang w:eastAsia="zh-CN"/>
              </w:rPr>
              <w:t>Stage 3</w:t>
            </w:r>
            <w:r w:rsidRPr="00FA2146">
              <w:rPr>
                <w:rFonts w:ascii="Times New Roman" w:hAnsi="Times New Roman" w:cs="Times New Roman"/>
                <w:sz w:val="20"/>
                <w:szCs w:val="20"/>
                <w:lang w:eastAsia="zh-CN"/>
              </w:rPr>
              <w:t> </w:t>
            </w:r>
          </w:p>
        </w:tc>
        <w:tc>
          <w:tcPr>
            <w:tcW w:w="3823" w:type="pct"/>
            <w:tcBorders>
              <w:top w:val="nil"/>
              <w:left w:val="single" w:sz="4" w:space="0" w:color="auto"/>
              <w:bottom w:val="single" w:sz="4" w:space="0" w:color="auto"/>
              <w:right w:val="single" w:sz="4" w:space="0" w:color="auto"/>
            </w:tcBorders>
            <w:vAlign w:val="center"/>
            <w:hideMark/>
          </w:tcPr>
          <w:p w14:paraId="5ECD5543" w14:textId="77777777" w:rsidR="0042504C" w:rsidRPr="00FA2146" w:rsidRDefault="0042504C" w:rsidP="00B43E1B">
            <w:pPr>
              <w:pStyle w:val="NoSpacing"/>
              <w:rPr>
                <w:rFonts w:ascii="Times New Roman" w:hAnsi="Times New Roman" w:cs="Times New Roman"/>
                <w:b/>
                <w:bCs/>
                <w:sz w:val="20"/>
                <w:szCs w:val="20"/>
                <w:lang w:eastAsia="zh-CN"/>
              </w:rPr>
            </w:pPr>
            <w:r w:rsidRPr="00FA2146">
              <w:rPr>
                <w:rFonts w:ascii="Times New Roman" w:hAnsi="Times New Roman" w:cs="Times New Roman"/>
                <w:sz w:val="20"/>
                <w:szCs w:val="20"/>
                <w:lang w:eastAsia="zh-CN"/>
              </w:rPr>
              <w:t>Period of remission from full threshold diagnosis.</w:t>
            </w:r>
          </w:p>
        </w:tc>
      </w:tr>
      <w:tr w:rsidR="0042504C" w:rsidRPr="00FA2146" w14:paraId="4E1BB88A" w14:textId="77777777" w:rsidTr="00B43E1B">
        <w:trPr>
          <w:trHeight w:val="454"/>
        </w:trPr>
        <w:tc>
          <w:tcPr>
            <w:tcW w:w="1177" w:type="pct"/>
            <w:tcBorders>
              <w:top w:val="nil"/>
              <w:left w:val="single" w:sz="4" w:space="0" w:color="auto"/>
              <w:bottom w:val="single" w:sz="4" w:space="0" w:color="auto"/>
              <w:right w:val="single" w:sz="4" w:space="0" w:color="auto"/>
            </w:tcBorders>
            <w:vAlign w:val="center"/>
          </w:tcPr>
          <w:p w14:paraId="4A606571" w14:textId="77777777" w:rsidR="0042504C" w:rsidRPr="00FA2146" w:rsidRDefault="0042504C" w:rsidP="00B43E1B">
            <w:pPr>
              <w:pStyle w:val="NoSpacing"/>
              <w:rPr>
                <w:rFonts w:ascii="Times New Roman" w:hAnsi="Times New Roman" w:cs="Times New Roman"/>
                <w:b/>
                <w:bCs/>
                <w:sz w:val="20"/>
                <w:szCs w:val="20"/>
                <w:lang w:eastAsia="zh-CN"/>
              </w:rPr>
            </w:pPr>
            <w:r w:rsidRPr="00FA2146">
              <w:rPr>
                <w:rFonts w:ascii="Times New Roman" w:hAnsi="Times New Roman" w:cs="Times New Roman"/>
                <w:b/>
                <w:bCs/>
                <w:sz w:val="20"/>
                <w:szCs w:val="20"/>
                <w:lang w:eastAsia="zh-CN"/>
              </w:rPr>
              <w:t>Stage 4</w:t>
            </w:r>
            <w:r w:rsidRPr="00FA2146">
              <w:rPr>
                <w:rFonts w:ascii="Times New Roman" w:hAnsi="Times New Roman" w:cs="Times New Roman"/>
                <w:sz w:val="20"/>
                <w:szCs w:val="20"/>
                <w:lang w:eastAsia="zh-CN"/>
              </w:rPr>
              <w:t> </w:t>
            </w:r>
          </w:p>
        </w:tc>
        <w:tc>
          <w:tcPr>
            <w:tcW w:w="3823" w:type="pct"/>
            <w:tcBorders>
              <w:top w:val="nil"/>
              <w:left w:val="single" w:sz="4" w:space="0" w:color="auto"/>
              <w:bottom w:val="single" w:sz="4" w:space="0" w:color="auto"/>
              <w:right w:val="single" w:sz="4" w:space="0" w:color="auto"/>
            </w:tcBorders>
            <w:vAlign w:val="center"/>
            <w:hideMark/>
          </w:tcPr>
          <w:p w14:paraId="6F208859" w14:textId="77777777" w:rsidR="0042504C" w:rsidRPr="00FA2146" w:rsidRDefault="0042504C" w:rsidP="00B43E1B">
            <w:pPr>
              <w:pStyle w:val="NoSpacing"/>
              <w:rPr>
                <w:rFonts w:ascii="Times New Roman" w:hAnsi="Times New Roman" w:cs="Times New Roman"/>
                <w:b/>
                <w:bCs/>
                <w:sz w:val="20"/>
                <w:szCs w:val="20"/>
                <w:lang w:eastAsia="zh-CN"/>
              </w:rPr>
            </w:pPr>
            <w:r w:rsidRPr="00FA2146">
              <w:rPr>
                <w:rFonts w:ascii="Times New Roman" w:hAnsi="Times New Roman" w:cs="Times New Roman"/>
                <w:sz w:val="20"/>
                <w:szCs w:val="20"/>
                <w:lang w:eastAsia="zh-CN"/>
              </w:rPr>
              <w:t>Ongoing severe symptoms of diagnosed disorder with no asymptomatic periods. </w:t>
            </w:r>
          </w:p>
        </w:tc>
      </w:tr>
      <w:tr w:rsidR="0042504C" w:rsidRPr="00FA2146" w14:paraId="66EB55F1" w14:textId="77777777" w:rsidTr="00B43E1B">
        <w:trPr>
          <w:trHeight w:val="454"/>
        </w:trPr>
        <w:tc>
          <w:tcPr>
            <w:tcW w:w="1177" w:type="pct"/>
            <w:tcBorders>
              <w:top w:val="nil"/>
              <w:left w:val="single" w:sz="4" w:space="0" w:color="auto"/>
              <w:bottom w:val="single" w:sz="4" w:space="0" w:color="auto"/>
              <w:right w:val="single" w:sz="4" w:space="0" w:color="auto"/>
            </w:tcBorders>
            <w:vAlign w:val="center"/>
          </w:tcPr>
          <w:p w14:paraId="188369DD" w14:textId="77777777" w:rsidR="0042504C" w:rsidRPr="00FA2146" w:rsidRDefault="0042504C" w:rsidP="00B43E1B">
            <w:pPr>
              <w:pStyle w:val="NoSpacing"/>
              <w:rPr>
                <w:rFonts w:ascii="Times New Roman" w:hAnsi="Times New Roman" w:cs="Times New Roman"/>
                <w:b/>
                <w:bCs/>
                <w:sz w:val="20"/>
                <w:szCs w:val="20"/>
                <w:lang w:eastAsia="zh-CN"/>
              </w:rPr>
            </w:pPr>
            <w:r w:rsidRPr="00FA2146">
              <w:rPr>
                <w:rFonts w:ascii="Times New Roman" w:hAnsi="Times New Roman" w:cs="Times New Roman"/>
                <w:b/>
                <w:bCs/>
                <w:sz w:val="20"/>
                <w:szCs w:val="20"/>
                <w:lang w:eastAsia="zh-CN"/>
              </w:rPr>
              <w:t>Not Applicable</w:t>
            </w:r>
            <w:r w:rsidRPr="00FA2146">
              <w:rPr>
                <w:rFonts w:ascii="Times New Roman" w:hAnsi="Times New Roman" w:cs="Times New Roman"/>
                <w:sz w:val="20"/>
                <w:szCs w:val="20"/>
                <w:lang w:eastAsia="zh-CN"/>
              </w:rPr>
              <w:t> </w:t>
            </w:r>
          </w:p>
        </w:tc>
        <w:tc>
          <w:tcPr>
            <w:tcW w:w="3823" w:type="pct"/>
            <w:tcBorders>
              <w:top w:val="nil"/>
              <w:left w:val="single" w:sz="4" w:space="0" w:color="auto"/>
              <w:bottom w:val="single" w:sz="4" w:space="0" w:color="auto"/>
              <w:right w:val="single" w:sz="4" w:space="0" w:color="auto"/>
            </w:tcBorders>
            <w:vAlign w:val="center"/>
            <w:hideMark/>
          </w:tcPr>
          <w:p w14:paraId="04811410" w14:textId="77777777" w:rsidR="0042504C" w:rsidRPr="00FA2146" w:rsidRDefault="0042504C" w:rsidP="00B43E1B">
            <w:pPr>
              <w:pStyle w:val="NoSpacing"/>
              <w:rPr>
                <w:rFonts w:ascii="Times New Roman" w:hAnsi="Times New Roman" w:cs="Times New Roman"/>
                <w:b/>
                <w:bCs/>
                <w:sz w:val="20"/>
                <w:szCs w:val="20"/>
                <w:lang w:eastAsia="zh-CN"/>
              </w:rPr>
            </w:pPr>
            <w:r w:rsidRPr="00FA2146">
              <w:rPr>
                <w:rFonts w:ascii="Times New Roman" w:hAnsi="Times New Roman" w:cs="Times New Roman"/>
                <w:sz w:val="20"/>
                <w:szCs w:val="20"/>
                <w:lang w:eastAsia="zh-CN"/>
              </w:rPr>
              <w:t>If the young person is accessing headspace solely for a </w:t>
            </w:r>
            <w:r w:rsidRPr="00FA2146">
              <w:rPr>
                <w:rFonts w:ascii="Times New Roman" w:hAnsi="Times New Roman" w:cs="Times New Roman"/>
                <w:b/>
                <w:bCs/>
                <w:sz w:val="20"/>
                <w:szCs w:val="20"/>
                <w:lang w:eastAsia="zh-CN"/>
              </w:rPr>
              <w:t>non-mental health related issue</w:t>
            </w:r>
            <w:r w:rsidRPr="00FA2146">
              <w:rPr>
                <w:rFonts w:ascii="Times New Roman" w:hAnsi="Times New Roman" w:cs="Times New Roman"/>
                <w:sz w:val="20"/>
                <w:szCs w:val="20"/>
                <w:lang w:eastAsia="zh-CN"/>
              </w:rPr>
              <w:t> (i.e., physical health issue, vocational support, with no indication of mental health problems) or you are completely unable to adequately assess their stage of illness.</w:t>
            </w:r>
          </w:p>
        </w:tc>
      </w:tr>
    </w:tbl>
    <w:p w14:paraId="6D4CFE3A" w14:textId="77777777" w:rsidR="0042504C" w:rsidRPr="00FA2146" w:rsidRDefault="0042504C" w:rsidP="0042504C"/>
    <w:p w14:paraId="3DC1E4B1" w14:textId="77777777" w:rsidR="0042504C" w:rsidRPr="00FA2146" w:rsidRDefault="0042504C" w:rsidP="0042504C">
      <w:r w:rsidRPr="00FA2146">
        <w:br w:type="page"/>
      </w:r>
    </w:p>
    <w:p w14:paraId="526F2A40" w14:textId="77777777" w:rsidR="0042504C" w:rsidRPr="00FA2146" w:rsidRDefault="0042504C" w:rsidP="0042504C">
      <w:pPr>
        <w:rPr>
          <w:lang w:eastAsia="en-AU"/>
        </w:rPr>
      </w:pPr>
      <w:r w:rsidRPr="00FA2146">
        <w:rPr>
          <w:lang w:eastAsia="en-AU"/>
        </w:rPr>
        <w:lastRenderedPageBreak/>
        <w:t xml:space="preserve">Table S2. Identified clinical and other non-clinical risk factors associated with complexity </w:t>
      </w:r>
    </w:p>
    <w:tbl>
      <w:tblPr>
        <w:tblW w:w="5000" w:type="pct"/>
        <w:jc w:val="right"/>
        <w:tblBorders>
          <w:top w:val="single" w:sz="8" w:space="0" w:color="auto"/>
          <w:bottom w:val="single" w:sz="8" w:space="0" w:color="auto"/>
          <w:insideH w:val="single" w:sz="4" w:space="0" w:color="auto"/>
        </w:tblBorders>
        <w:tblLayout w:type="fixed"/>
        <w:tblLook w:val="04A0" w:firstRow="1" w:lastRow="0" w:firstColumn="1" w:lastColumn="0" w:noHBand="0" w:noVBand="1"/>
      </w:tblPr>
      <w:tblGrid>
        <w:gridCol w:w="2817"/>
        <w:gridCol w:w="6929"/>
      </w:tblGrid>
      <w:tr w:rsidR="0042504C" w:rsidRPr="00FA2146" w14:paraId="4968058A" w14:textId="77777777" w:rsidTr="00B43E1B">
        <w:trPr>
          <w:trHeight w:val="320"/>
          <w:jc w:val="right"/>
        </w:trPr>
        <w:tc>
          <w:tcPr>
            <w:tcW w:w="1445" w:type="pct"/>
            <w:noWrap/>
            <w:hideMark/>
          </w:tcPr>
          <w:p w14:paraId="0DB4ABD3" w14:textId="77777777" w:rsidR="0042504C" w:rsidRPr="00FA2146" w:rsidRDefault="0042504C" w:rsidP="00B43E1B">
            <w:pPr>
              <w:pStyle w:val="NoSpacing"/>
              <w:rPr>
                <w:rFonts w:cstheme="minorHAnsi"/>
                <w:b/>
                <w:bCs/>
                <w:sz w:val="22"/>
                <w:szCs w:val="22"/>
                <w:lang w:eastAsia="en-AU"/>
              </w:rPr>
            </w:pPr>
            <w:r w:rsidRPr="00FA2146">
              <w:rPr>
                <w:rFonts w:cstheme="minorHAnsi"/>
                <w:b/>
                <w:bCs/>
                <w:sz w:val="22"/>
                <w:szCs w:val="22"/>
                <w:lang w:eastAsia="en-AU"/>
              </w:rPr>
              <w:t>Label</w:t>
            </w:r>
          </w:p>
        </w:tc>
        <w:tc>
          <w:tcPr>
            <w:tcW w:w="3555" w:type="pct"/>
            <w:noWrap/>
            <w:hideMark/>
          </w:tcPr>
          <w:p w14:paraId="67307792" w14:textId="77777777" w:rsidR="0042504C" w:rsidRPr="00FA2146" w:rsidRDefault="0042504C" w:rsidP="00B43E1B">
            <w:pPr>
              <w:pStyle w:val="NoSpacing"/>
              <w:rPr>
                <w:rFonts w:cstheme="minorHAnsi"/>
                <w:b/>
                <w:bCs/>
                <w:sz w:val="22"/>
                <w:szCs w:val="22"/>
                <w:lang w:eastAsia="en-AU"/>
              </w:rPr>
            </w:pPr>
            <w:r w:rsidRPr="00FA2146">
              <w:rPr>
                <w:rFonts w:cstheme="minorHAnsi"/>
                <w:b/>
                <w:bCs/>
                <w:sz w:val="22"/>
                <w:szCs w:val="22"/>
                <w:lang w:eastAsia="en-AU"/>
              </w:rPr>
              <w:t>Source</w:t>
            </w:r>
          </w:p>
        </w:tc>
      </w:tr>
      <w:tr w:rsidR="0042504C" w:rsidRPr="00FA2146" w14:paraId="18572AAF" w14:textId="77777777" w:rsidTr="00B43E1B">
        <w:trPr>
          <w:trHeight w:val="320"/>
          <w:jc w:val="right"/>
        </w:trPr>
        <w:tc>
          <w:tcPr>
            <w:tcW w:w="5000" w:type="pct"/>
            <w:gridSpan w:val="2"/>
            <w:noWrap/>
          </w:tcPr>
          <w:p w14:paraId="36A94F62" w14:textId="77777777" w:rsidR="0042504C" w:rsidRPr="00FA2146" w:rsidRDefault="0042504C" w:rsidP="00B43E1B">
            <w:pPr>
              <w:pStyle w:val="NoSpacing"/>
              <w:rPr>
                <w:rFonts w:cstheme="minorHAnsi"/>
                <w:sz w:val="22"/>
                <w:szCs w:val="22"/>
                <w:lang w:eastAsia="en-AU"/>
              </w:rPr>
            </w:pPr>
            <w:r w:rsidRPr="00FA2146">
              <w:rPr>
                <w:rFonts w:cstheme="minorHAnsi"/>
                <w:b/>
                <w:bCs/>
                <w:sz w:val="22"/>
                <w:szCs w:val="22"/>
                <w:lang w:eastAsia="en-AU"/>
              </w:rPr>
              <w:t xml:space="preserve">Clinical factors </w:t>
            </w:r>
          </w:p>
        </w:tc>
      </w:tr>
      <w:tr w:rsidR="0042504C" w:rsidRPr="00FA2146" w14:paraId="069671C1" w14:textId="77777777" w:rsidTr="00B43E1B">
        <w:trPr>
          <w:trHeight w:val="477"/>
          <w:jc w:val="right"/>
        </w:trPr>
        <w:tc>
          <w:tcPr>
            <w:tcW w:w="1445" w:type="pct"/>
            <w:noWrap/>
          </w:tcPr>
          <w:p w14:paraId="630D4B5F" w14:textId="77777777" w:rsidR="0042504C" w:rsidRPr="00FA2146" w:rsidRDefault="0042504C" w:rsidP="00B43E1B">
            <w:pPr>
              <w:pStyle w:val="NoSpacing"/>
              <w:rPr>
                <w:rFonts w:cstheme="minorHAnsi"/>
                <w:sz w:val="22"/>
                <w:szCs w:val="22"/>
                <w:lang w:eastAsia="en-AU"/>
              </w:rPr>
            </w:pPr>
            <w:r w:rsidRPr="00FA2146">
              <w:rPr>
                <w:rFonts w:cstheme="minorHAnsi"/>
                <w:sz w:val="22"/>
                <w:szCs w:val="22"/>
                <w:lang w:eastAsia="en-AU"/>
              </w:rPr>
              <w:t>The later stage of illness</w:t>
            </w:r>
          </w:p>
        </w:tc>
        <w:tc>
          <w:tcPr>
            <w:tcW w:w="3555" w:type="pct"/>
            <w:noWrap/>
          </w:tcPr>
          <w:p w14:paraId="10116683" w14:textId="77777777" w:rsidR="0042504C" w:rsidRPr="00FA2146" w:rsidRDefault="0042504C" w:rsidP="00B43E1B">
            <w:pPr>
              <w:pStyle w:val="NoSpacing"/>
              <w:rPr>
                <w:rFonts w:cstheme="minorHAnsi"/>
                <w:sz w:val="22"/>
                <w:szCs w:val="22"/>
                <w:lang w:eastAsia="en-AU"/>
              </w:rPr>
            </w:pPr>
            <w:r w:rsidRPr="00FA2146">
              <w:rPr>
                <w:rFonts w:cstheme="minorHAnsi"/>
                <w:sz w:val="22"/>
                <w:szCs w:val="22"/>
                <w:lang w:eastAsia="en-AU"/>
              </w:rPr>
              <w:t xml:space="preserve">Clinical staging 2+ </w:t>
            </w:r>
          </w:p>
        </w:tc>
      </w:tr>
      <w:tr w:rsidR="0042504C" w:rsidRPr="00FA2146" w14:paraId="6DF2DAAC" w14:textId="77777777" w:rsidTr="00B43E1B">
        <w:trPr>
          <w:trHeight w:val="477"/>
          <w:jc w:val="right"/>
        </w:trPr>
        <w:tc>
          <w:tcPr>
            <w:tcW w:w="1445" w:type="pct"/>
            <w:noWrap/>
          </w:tcPr>
          <w:p w14:paraId="5496BB80" w14:textId="77777777" w:rsidR="0042504C" w:rsidRPr="00FA2146" w:rsidRDefault="0042504C" w:rsidP="00B43E1B">
            <w:pPr>
              <w:pStyle w:val="NoSpacing"/>
              <w:rPr>
                <w:rFonts w:cstheme="minorHAnsi"/>
                <w:sz w:val="22"/>
                <w:szCs w:val="22"/>
                <w:lang w:eastAsia="en-AU"/>
              </w:rPr>
            </w:pPr>
            <w:r w:rsidRPr="00FA2146">
              <w:rPr>
                <w:rFonts w:cstheme="minorHAnsi"/>
                <w:sz w:val="22"/>
                <w:szCs w:val="22"/>
                <w:lang w:eastAsia="en-AU"/>
              </w:rPr>
              <w:t>Severe mental disorders</w:t>
            </w:r>
          </w:p>
        </w:tc>
        <w:tc>
          <w:tcPr>
            <w:tcW w:w="3555" w:type="pct"/>
            <w:noWrap/>
          </w:tcPr>
          <w:p w14:paraId="35A3F4CB" w14:textId="77777777" w:rsidR="0042504C" w:rsidRPr="00FA2146" w:rsidRDefault="0042504C" w:rsidP="00B43E1B">
            <w:pPr>
              <w:pStyle w:val="NoSpacing"/>
              <w:rPr>
                <w:sz w:val="22"/>
                <w:szCs w:val="22"/>
                <w:lang w:eastAsia="en-AU"/>
              </w:rPr>
            </w:pPr>
            <w:r w:rsidRPr="5812AD02">
              <w:rPr>
                <w:sz w:val="22"/>
                <w:szCs w:val="22"/>
                <w:lang w:eastAsia="en-AU"/>
              </w:rPr>
              <w:t xml:space="preserve">Primary or secondary diagnosis of </w:t>
            </w:r>
            <w:r>
              <w:rPr>
                <w:sz w:val="22"/>
                <w:szCs w:val="22"/>
                <w:lang w:eastAsia="en-AU"/>
              </w:rPr>
              <w:t>more severe</w:t>
            </w:r>
            <w:r w:rsidRPr="5812AD02">
              <w:rPr>
                <w:sz w:val="22"/>
                <w:szCs w:val="22"/>
                <w:lang w:eastAsia="en-AU"/>
              </w:rPr>
              <w:t xml:space="preserve"> mental health disorders including psychotic, bipolar, personality, obsessive, dissociative, substance use, paraphilic, neurocognitive, neurodevelopmental disorders, sexual disfunctions and other disorders related to adverse effects of medication use. General anxiety and depression were excluded.</w:t>
            </w:r>
          </w:p>
        </w:tc>
      </w:tr>
      <w:tr w:rsidR="0042504C" w:rsidRPr="00FA2146" w14:paraId="40BB830D" w14:textId="77777777" w:rsidTr="00B43E1B">
        <w:trPr>
          <w:trHeight w:val="320"/>
          <w:jc w:val="right"/>
        </w:trPr>
        <w:tc>
          <w:tcPr>
            <w:tcW w:w="1445" w:type="pct"/>
            <w:noWrap/>
          </w:tcPr>
          <w:p w14:paraId="18BBEAE7" w14:textId="77777777" w:rsidR="0042504C" w:rsidRPr="00FA2146" w:rsidRDefault="0042504C" w:rsidP="00B43E1B">
            <w:pPr>
              <w:pStyle w:val="NoSpacing"/>
              <w:rPr>
                <w:rFonts w:cstheme="minorHAnsi"/>
                <w:sz w:val="22"/>
                <w:szCs w:val="22"/>
                <w:lang w:eastAsia="en-AU"/>
              </w:rPr>
            </w:pPr>
            <w:r w:rsidRPr="00FA2146">
              <w:rPr>
                <w:rFonts w:cstheme="minorHAnsi"/>
                <w:sz w:val="22"/>
                <w:szCs w:val="22"/>
                <w:lang w:eastAsia="en-AU"/>
              </w:rPr>
              <w:t>High distress</w:t>
            </w:r>
          </w:p>
        </w:tc>
        <w:tc>
          <w:tcPr>
            <w:tcW w:w="3555" w:type="pct"/>
            <w:noWrap/>
          </w:tcPr>
          <w:p w14:paraId="7C2F617A" w14:textId="77777777" w:rsidR="0042504C" w:rsidRPr="00FA2146" w:rsidRDefault="0042504C" w:rsidP="00B43E1B">
            <w:pPr>
              <w:pStyle w:val="NoSpacing"/>
              <w:rPr>
                <w:rFonts w:cstheme="minorHAnsi"/>
                <w:sz w:val="22"/>
                <w:szCs w:val="22"/>
                <w:lang w:eastAsia="en-AU"/>
              </w:rPr>
            </w:pPr>
            <w:r w:rsidRPr="00FA2146">
              <w:rPr>
                <w:rFonts w:cstheme="minorHAnsi"/>
                <w:sz w:val="22"/>
                <w:szCs w:val="22"/>
                <w:lang w:eastAsia="en-AU"/>
              </w:rPr>
              <w:t xml:space="preserve">K10&gt;30 </w:t>
            </w:r>
          </w:p>
        </w:tc>
      </w:tr>
      <w:tr w:rsidR="0042504C" w:rsidRPr="00FA2146" w14:paraId="02C33088" w14:textId="77777777" w:rsidTr="00B43E1B">
        <w:trPr>
          <w:trHeight w:val="320"/>
          <w:jc w:val="right"/>
        </w:trPr>
        <w:tc>
          <w:tcPr>
            <w:tcW w:w="1445" w:type="pct"/>
            <w:noWrap/>
          </w:tcPr>
          <w:p w14:paraId="749F5B9E" w14:textId="77777777" w:rsidR="0042504C" w:rsidRPr="00FA2146" w:rsidRDefault="0042504C" w:rsidP="00B43E1B">
            <w:pPr>
              <w:pStyle w:val="NoSpacing"/>
              <w:rPr>
                <w:rFonts w:cstheme="minorHAnsi"/>
                <w:sz w:val="22"/>
                <w:szCs w:val="22"/>
                <w:lang w:eastAsia="en-AU"/>
              </w:rPr>
            </w:pPr>
            <w:r w:rsidRPr="00FA2146">
              <w:rPr>
                <w:rFonts w:cstheme="minorHAnsi"/>
                <w:sz w:val="22"/>
                <w:szCs w:val="22"/>
                <w:lang w:eastAsia="en-AU"/>
              </w:rPr>
              <w:t>Primary presenting issue of self-harm or suicidality</w:t>
            </w:r>
          </w:p>
        </w:tc>
        <w:tc>
          <w:tcPr>
            <w:tcW w:w="3555" w:type="pct"/>
            <w:noWrap/>
          </w:tcPr>
          <w:p w14:paraId="208AAAB2" w14:textId="77777777" w:rsidR="0042504C" w:rsidRPr="00FA2146" w:rsidRDefault="0042504C" w:rsidP="00B43E1B">
            <w:pPr>
              <w:pStyle w:val="NoSpacing"/>
              <w:rPr>
                <w:rFonts w:cstheme="minorHAnsi"/>
                <w:sz w:val="22"/>
                <w:szCs w:val="22"/>
                <w:lang w:eastAsia="en-AU"/>
              </w:rPr>
            </w:pPr>
            <w:r w:rsidRPr="00FA2146">
              <w:rPr>
                <w:rFonts w:cstheme="minorHAnsi"/>
                <w:sz w:val="22"/>
                <w:szCs w:val="22"/>
                <w:lang w:eastAsia="en-AU"/>
              </w:rPr>
              <w:t xml:space="preserve">Clinician reported a primary presenting issue of deliberate self-harm, suicidal thoughts, or behaviour </w:t>
            </w:r>
          </w:p>
        </w:tc>
      </w:tr>
      <w:tr w:rsidR="0042504C" w:rsidRPr="00FA2146" w14:paraId="2391443D" w14:textId="77777777" w:rsidTr="00B43E1B">
        <w:trPr>
          <w:trHeight w:val="320"/>
          <w:jc w:val="right"/>
        </w:trPr>
        <w:tc>
          <w:tcPr>
            <w:tcW w:w="1445" w:type="pct"/>
            <w:noWrap/>
          </w:tcPr>
          <w:p w14:paraId="152977EC" w14:textId="77777777" w:rsidR="0042504C" w:rsidRPr="00FA2146" w:rsidRDefault="0042504C" w:rsidP="00B43E1B">
            <w:pPr>
              <w:pStyle w:val="NoSpacing"/>
              <w:rPr>
                <w:rFonts w:cstheme="minorHAnsi"/>
                <w:sz w:val="22"/>
                <w:szCs w:val="22"/>
                <w:lang w:eastAsia="en-AU"/>
              </w:rPr>
            </w:pPr>
            <w:r w:rsidRPr="00FA2146">
              <w:rPr>
                <w:rFonts w:cstheme="minorHAnsi"/>
                <w:sz w:val="22"/>
                <w:szCs w:val="22"/>
                <w:lang w:eastAsia="en-AU"/>
              </w:rPr>
              <w:t xml:space="preserve">History of trauma </w:t>
            </w:r>
          </w:p>
        </w:tc>
        <w:tc>
          <w:tcPr>
            <w:tcW w:w="3555" w:type="pct"/>
            <w:noWrap/>
          </w:tcPr>
          <w:p w14:paraId="72EA5A25" w14:textId="77777777" w:rsidR="0042504C" w:rsidRPr="00FA2146" w:rsidRDefault="0042504C" w:rsidP="00B43E1B">
            <w:pPr>
              <w:pStyle w:val="NoSpacing"/>
              <w:rPr>
                <w:rFonts w:cstheme="minorHAnsi"/>
                <w:sz w:val="22"/>
                <w:szCs w:val="22"/>
                <w:lang w:eastAsia="en-AU"/>
              </w:rPr>
            </w:pPr>
            <w:r w:rsidRPr="00FA2146">
              <w:rPr>
                <w:rFonts w:cstheme="minorHAnsi"/>
                <w:sz w:val="22"/>
                <w:szCs w:val="22"/>
                <w:lang w:eastAsia="en-AU"/>
              </w:rPr>
              <w:t>Clinician reported a primary presenting issue of trauma or diagnosed with (primary or second) PTSD</w:t>
            </w:r>
          </w:p>
        </w:tc>
      </w:tr>
      <w:tr w:rsidR="0042504C" w:rsidRPr="00FA2146" w14:paraId="1BAD538F" w14:textId="77777777" w:rsidTr="00B43E1B">
        <w:trPr>
          <w:trHeight w:val="320"/>
          <w:jc w:val="right"/>
        </w:trPr>
        <w:tc>
          <w:tcPr>
            <w:tcW w:w="1445" w:type="pct"/>
            <w:noWrap/>
          </w:tcPr>
          <w:p w14:paraId="16F3A94F" w14:textId="77777777" w:rsidR="0042504C" w:rsidRPr="00FA2146" w:rsidRDefault="0042504C" w:rsidP="00B43E1B">
            <w:pPr>
              <w:pStyle w:val="NoSpacing"/>
              <w:rPr>
                <w:sz w:val="22"/>
                <w:szCs w:val="22"/>
                <w:lang w:eastAsia="en-AU"/>
              </w:rPr>
            </w:pPr>
            <w:r w:rsidRPr="5812AD02">
              <w:rPr>
                <w:sz w:val="22"/>
                <w:szCs w:val="22"/>
                <w:lang w:eastAsia="en-AU"/>
              </w:rPr>
              <w:t>Five or more visits</w:t>
            </w:r>
          </w:p>
        </w:tc>
        <w:tc>
          <w:tcPr>
            <w:tcW w:w="3555" w:type="pct"/>
            <w:noWrap/>
          </w:tcPr>
          <w:p w14:paraId="1CB30AAD" w14:textId="77777777" w:rsidR="0042504C" w:rsidRPr="00FA2146" w:rsidRDefault="0042504C" w:rsidP="00B43E1B">
            <w:pPr>
              <w:pStyle w:val="NoSpacing"/>
              <w:rPr>
                <w:sz w:val="22"/>
                <w:szCs w:val="22"/>
                <w:lang w:eastAsia="en-AU"/>
              </w:rPr>
            </w:pPr>
            <w:r w:rsidRPr="5812AD02">
              <w:rPr>
                <w:sz w:val="22"/>
                <w:szCs w:val="22"/>
                <w:lang w:eastAsia="en-AU"/>
              </w:rPr>
              <w:t>Over 5 treatment sessions for the current EOC</w:t>
            </w:r>
          </w:p>
        </w:tc>
      </w:tr>
      <w:tr w:rsidR="0042504C" w:rsidRPr="00FA2146" w14:paraId="290509E5" w14:textId="77777777" w:rsidTr="00B43E1B">
        <w:trPr>
          <w:trHeight w:val="320"/>
          <w:jc w:val="right"/>
        </w:trPr>
        <w:tc>
          <w:tcPr>
            <w:tcW w:w="5000" w:type="pct"/>
            <w:gridSpan w:val="2"/>
            <w:noWrap/>
          </w:tcPr>
          <w:p w14:paraId="636B5E14" w14:textId="77777777" w:rsidR="0042504C" w:rsidRPr="00FA2146" w:rsidRDefault="0042504C" w:rsidP="00B43E1B">
            <w:pPr>
              <w:pStyle w:val="NoSpacing"/>
              <w:rPr>
                <w:rFonts w:cstheme="minorHAnsi"/>
                <w:b/>
                <w:bCs/>
                <w:sz w:val="22"/>
                <w:szCs w:val="22"/>
                <w:lang w:eastAsia="en-AU"/>
              </w:rPr>
            </w:pPr>
            <w:r w:rsidRPr="00FA2146">
              <w:rPr>
                <w:rFonts w:cstheme="minorHAnsi"/>
                <w:b/>
                <w:bCs/>
                <w:sz w:val="22"/>
                <w:szCs w:val="22"/>
                <w:lang w:eastAsia="en-AU"/>
              </w:rPr>
              <w:t xml:space="preserve">Non-clinical factors </w:t>
            </w:r>
          </w:p>
        </w:tc>
      </w:tr>
      <w:tr w:rsidR="0042504C" w:rsidRPr="00FA2146" w14:paraId="6CC16C53" w14:textId="77777777" w:rsidTr="00B43E1B">
        <w:trPr>
          <w:trHeight w:val="320"/>
          <w:jc w:val="right"/>
        </w:trPr>
        <w:tc>
          <w:tcPr>
            <w:tcW w:w="1445" w:type="pct"/>
            <w:noWrap/>
          </w:tcPr>
          <w:p w14:paraId="41596DDC" w14:textId="77777777" w:rsidR="0042504C" w:rsidRPr="00FA2146" w:rsidRDefault="0042504C" w:rsidP="00B43E1B">
            <w:pPr>
              <w:pStyle w:val="NoSpacing"/>
              <w:rPr>
                <w:rFonts w:cstheme="minorHAnsi"/>
                <w:sz w:val="22"/>
                <w:szCs w:val="22"/>
                <w:lang w:eastAsia="en-AU"/>
              </w:rPr>
            </w:pPr>
            <w:r w:rsidRPr="00FA2146">
              <w:rPr>
                <w:rFonts w:cstheme="minorHAnsi"/>
                <w:sz w:val="22"/>
                <w:szCs w:val="22"/>
                <w:lang w:eastAsia="en-AU"/>
              </w:rPr>
              <w:t xml:space="preserve">Housing issue </w:t>
            </w:r>
          </w:p>
        </w:tc>
        <w:tc>
          <w:tcPr>
            <w:tcW w:w="3555" w:type="pct"/>
            <w:noWrap/>
          </w:tcPr>
          <w:p w14:paraId="1ED85855" w14:textId="77777777" w:rsidR="0042504C" w:rsidRPr="00FA2146" w:rsidRDefault="0042504C" w:rsidP="00B43E1B">
            <w:pPr>
              <w:pStyle w:val="NoSpacing"/>
              <w:rPr>
                <w:rFonts w:cstheme="minorHAnsi"/>
                <w:sz w:val="22"/>
                <w:szCs w:val="22"/>
                <w:lang w:eastAsia="en-AU"/>
              </w:rPr>
            </w:pPr>
            <w:r w:rsidRPr="00FA2146">
              <w:rPr>
                <w:rFonts w:cstheme="minorHAnsi"/>
                <w:sz w:val="22"/>
                <w:szCs w:val="22"/>
                <w:lang w:eastAsia="en-AU"/>
              </w:rPr>
              <w:t>Self-reported homelessness or unstable living situation</w:t>
            </w:r>
          </w:p>
        </w:tc>
      </w:tr>
      <w:tr w:rsidR="0042504C" w:rsidRPr="00FA2146" w14:paraId="054BD800" w14:textId="77777777" w:rsidTr="00B43E1B">
        <w:trPr>
          <w:trHeight w:val="320"/>
          <w:jc w:val="right"/>
        </w:trPr>
        <w:tc>
          <w:tcPr>
            <w:tcW w:w="1445" w:type="pct"/>
            <w:noWrap/>
          </w:tcPr>
          <w:p w14:paraId="536595E0" w14:textId="77777777" w:rsidR="0042504C" w:rsidRPr="00FA2146" w:rsidRDefault="0042504C" w:rsidP="00B43E1B">
            <w:pPr>
              <w:pStyle w:val="NoSpacing"/>
              <w:rPr>
                <w:rFonts w:cstheme="minorHAnsi"/>
                <w:sz w:val="22"/>
                <w:szCs w:val="22"/>
                <w:lang w:eastAsia="en-AU"/>
              </w:rPr>
            </w:pPr>
            <w:r w:rsidRPr="00FA2146">
              <w:rPr>
                <w:rFonts w:cstheme="minorHAnsi"/>
                <w:sz w:val="22"/>
                <w:szCs w:val="22"/>
                <w:lang w:eastAsia="en-AU"/>
              </w:rPr>
              <w:t>NEET</w:t>
            </w:r>
          </w:p>
        </w:tc>
        <w:tc>
          <w:tcPr>
            <w:tcW w:w="3555" w:type="pct"/>
            <w:noWrap/>
          </w:tcPr>
          <w:p w14:paraId="7B33979A" w14:textId="77777777" w:rsidR="0042504C" w:rsidRPr="00FA2146" w:rsidRDefault="0042504C" w:rsidP="00B43E1B">
            <w:pPr>
              <w:pStyle w:val="NoSpacing"/>
              <w:rPr>
                <w:rFonts w:cstheme="minorHAnsi"/>
                <w:sz w:val="22"/>
                <w:szCs w:val="22"/>
                <w:lang w:eastAsia="en-AU"/>
              </w:rPr>
            </w:pPr>
            <w:r w:rsidRPr="00FA2146">
              <w:rPr>
                <w:rFonts w:cstheme="minorHAnsi"/>
                <w:sz w:val="22"/>
                <w:szCs w:val="22"/>
                <w:lang w:eastAsia="en-AU"/>
              </w:rPr>
              <w:t>Not in employment, education or training</w:t>
            </w:r>
          </w:p>
        </w:tc>
      </w:tr>
      <w:tr w:rsidR="0042504C" w:rsidRPr="00FA2146" w14:paraId="2CB3C8B0" w14:textId="77777777" w:rsidTr="00B43E1B">
        <w:trPr>
          <w:trHeight w:val="320"/>
          <w:jc w:val="right"/>
        </w:trPr>
        <w:tc>
          <w:tcPr>
            <w:tcW w:w="1445" w:type="pct"/>
            <w:noWrap/>
          </w:tcPr>
          <w:p w14:paraId="49AA1E70" w14:textId="77777777" w:rsidR="0042504C" w:rsidRPr="00FA2146" w:rsidRDefault="0042504C" w:rsidP="00B43E1B">
            <w:pPr>
              <w:pStyle w:val="NoSpacing"/>
              <w:rPr>
                <w:rFonts w:cstheme="minorHAnsi"/>
                <w:sz w:val="22"/>
                <w:szCs w:val="22"/>
                <w:lang w:eastAsia="en-AU"/>
              </w:rPr>
            </w:pPr>
            <w:r w:rsidRPr="00FA2146">
              <w:rPr>
                <w:rFonts w:cstheme="minorHAnsi"/>
                <w:sz w:val="22"/>
                <w:szCs w:val="22"/>
                <w:lang w:eastAsia="en-AU"/>
              </w:rPr>
              <w:t>Low function</w:t>
            </w:r>
          </w:p>
        </w:tc>
        <w:tc>
          <w:tcPr>
            <w:tcW w:w="3555" w:type="pct"/>
            <w:noWrap/>
          </w:tcPr>
          <w:p w14:paraId="1E5E8F7F" w14:textId="48C54703" w:rsidR="0042504C" w:rsidRPr="00FA2146" w:rsidRDefault="0042504C" w:rsidP="00B43E1B">
            <w:pPr>
              <w:pStyle w:val="NoSpacing"/>
              <w:rPr>
                <w:rFonts w:cstheme="minorHAnsi"/>
                <w:sz w:val="22"/>
                <w:szCs w:val="22"/>
                <w:lang w:eastAsia="en-AU"/>
              </w:rPr>
            </w:pPr>
            <w:r w:rsidRPr="00FA2146">
              <w:rPr>
                <w:rFonts w:cstheme="minorHAnsi"/>
                <w:sz w:val="22"/>
                <w:szCs w:val="22"/>
                <w:lang w:eastAsia="en-AU"/>
              </w:rPr>
              <w:t>SOFAS&lt;61</w:t>
            </w:r>
            <w:r w:rsidR="00900D6F">
              <w:rPr>
                <w:rFonts w:cstheme="minorHAnsi"/>
                <w:sz w:val="22"/>
                <w:szCs w:val="22"/>
                <w:lang w:eastAsia="en-AU"/>
              </w:rPr>
              <w:t xml:space="preserve"> </w:t>
            </w:r>
          </w:p>
        </w:tc>
      </w:tr>
      <w:tr w:rsidR="0042504C" w:rsidRPr="00FA2146" w14:paraId="593E533A" w14:textId="77777777" w:rsidTr="00B43E1B">
        <w:trPr>
          <w:trHeight w:val="320"/>
          <w:jc w:val="right"/>
        </w:trPr>
        <w:tc>
          <w:tcPr>
            <w:tcW w:w="1445" w:type="pct"/>
            <w:noWrap/>
          </w:tcPr>
          <w:p w14:paraId="0826E1B5" w14:textId="77777777" w:rsidR="0042504C" w:rsidRPr="00FA2146" w:rsidRDefault="0042504C" w:rsidP="00B43E1B">
            <w:pPr>
              <w:pStyle w:val="NoSpacing"/>
              <w:rPr>
                <w:rFonts w:cstheme="minorHAnsi"/>
                <w:sz w:val="22"/>
                <w:szCs w:val="22"/>
                <w:lang w:eastAsia="en-AU"/>
              </w:rPr>
            </w:pPr>
            <w:r w:rsidRPr="00FA2146">
              <w:rPr>
                <w:rFonts w:cstheme="minorHAnsi"/>
                <w:sz w:val="22"/>
                <w:szCs w:val="22"/>
                <w:lang w:eastAsia="en-AU"/>
              </w:rPr>
              <w:t>Low quality of life</w:t>
            </w:r>
          </w:p>
        </w:tc>
        <w:tc>
          <w:tcPr>
            <w:tcW w:w="3555" w:type="pct"/>
            <w:noWrap/>
          </w:tcPr>
          <w:p w14:paraId="56AD8118" w14:textId="77777777" w:rsidR="0042504C" w:rsidRPr="00FA2146" w:rsidRDefault="0042504C" w:rsidP="00B43E1B">
            <w:pPr>
              <w:pStyle w:val="NoSpacing"/>
              <w:rPr>
                <w:sz w:val="22"/>
                <w:szCs w:val="22"/>
                <w:lang w:eastAsia="en-AU"/>
              </w:rPr>
            </w:pPr>
            <w:r w:rsidRPr="5812AD02">
              <w:rPr>
                <w:sz w:val="22"/>
                <w:szCs w:val="22"/>
                <w:lang w:eastAsia="en-AU"/>
              </w:rPr>
              <w:t>MLT&lt;37.5</w:t>
            </w:r>
          </w:p>
        </w:tc>
      </w:tr>
      <w:tr w:rsidR="0042504C" w:rsidRPr="00FA2146" w14:paraId="2B04DB55" w14:textId="77777777" w:rsidTr="00B43E1B">
        <w:trPr>
          <w:trHeight w:val="320"/>
          <w:jc w:val="right"/>
        </w:trPr>
        <w:tc>
          <w:tcPr>
            <w:tcW w:w="1445" w:type="pct"/>
            <w:noWrap/>
          </w:tcPr>
          <w:p w14:paraId="470BCC49" w14:textId="77777777" w:rsidR="0042504C" w:rsidRPr="00FA2146" w:rsidRDefault="0042504C" w:rsidP="00B43E1B">
            <w:pPr>
              <w:pStyle w:val="NoSpacing"/>
              <w:rPr>
                <w:rFonts w:cstheme="minorHAnsi"/>
                <w:sz w:val="22"/>
                <w:szCs w:val="22"/>
                <w:lang w:eastAsia="en-AU"/>
              </w:rPr>
            </w:pPr>
            <w:r w:rsidRPr="00FA2146">
              <w:rPr>
                <w:rFonts w:cstheme="minorHAnsi"/>
                <w:sz w:val="22"/>
                <w:szCs w:val="22"/>
                <w:lang w:eastAsia="en-AU"/>
              </w:rPr>
              <w:t>Co-occurring difficulties</w:t>
            </w:r>
          </w:p>
        </w:tc>
        <w:tc>
          <w:tcPr>
            <w:tcW w:w="3555" w:type="pct"/>
            <w:noWrap/>
          </w:tcPr>
          <w:p w14:paraId="2AA8DBCC" w14:textId="77777777" w:rsidR="0042504C" w:rsidRPr="00FA2146" w:rsidRDefault="0042504C" w:rsidP="00B43E1B">
            <w:pPr>
              <w:pStyle w:val="NoSpacing"/>
              <w:rPr>
                <w:rFonts w:cstheme="minorHAnsi"/>
                <w:sz w:val="22"/>
                <w:szCs w:val="22"/>
                <w:lang w:eastAsia="en-AU"/>
              </w:rPr>
            </w:pPr>
            <w:r w:rsidRPr="00FA2146">
              <w:rPr>
                <w:rFonts w:cstheme="minorHAnsi"/>
                <w:sz w:val="22"/>
                <w:szCs w:val="22"/>
                <w:lang w:eastAsia="en-AU"/>
              </w:rPr>
              <w:t xml:space="preserve">Reported primary issues </w:t>
            </w:r>
            <w:r>
              <w:rPr>
                <w:rFonts w:cstheme="minorHAnsi"/>
                <w:sz w:val="22"/>
                <w:szCs w:val="22"/>
                <w:lang w:eastAsia="en-AU"/>
              </w:rPr>
              <w:t xml:space="preserve">of </w:t>
            </w:r>
            <w:r w:rsidRPr="00FA2146">
              <w:rPr>
                <w:rFonts w:cstheme="minorHAnsi"/>
                <w:sz w:val="22"/>
                <w:szCs w:val="22"/>
                <w:lang w:eastAsia="en-AU"/>
              </w:rPr>
              <w:t>being mental health or situational</w:t>
            </w:r>
            <w:r>
              <w:rPr>
                <w:rFonts w:cstheme="minorHAnsi"/>
                <w:sz w:val="22"/>
                <w:szCs w:val="22"/>
                <w:lang w:eastAsia="en-AU"/>
              </w:rPr>
              <w:t xml:space="preserve"> in combination of at least one additional other </w:t>
            </w:r>
            <w:r w:rsidRPr="00FA2146">
              <w:rPr>
                <w:rFonts w:cstheme="minorHAnsi"/>
                <w:sz w:val="22"/>
                <w:szCs w:val="22"/>
                <w:lang w:eastAsia="en-AU"/>
              </w:rPr>
              <w:t xml:space="preserve">domain </w:t>
            </w:r>
            <w:r>
              <w:rPr>
                <w:rFonts w:cstheme="minorHAnsi"/>
                <w:sz w:val="22"/>
                <w:szCs w:val="22"/>
                <w:lang w:eastAsia="en-AU"/>
              </w:rPr>
              <w:t xml:space="preserve">(physical health, sexual health, vocational issues, alcohol and substance use) across multiple occasion of services. </w:t>
            </w:r>
          </w:p>
        </w:tc>
      </w:tr>
      <w:tr w:rsidR="0042504C" w:rsidRPr="00FA2146" w14:paraId="5BD0C4DA" w14:textId="77777777" w:rsidTr="00B43E1B">
        <w:trPr>
          <w:trHeight w:val="320"/>
          <w:jc w:val="right"/>
        </w:trPr>
        <w:tc>
          <w:tcPr>
            <w:tcW w:w="1445" w:type="pct"/>
            <w:noWrap/>
            <w:hideMark/>
          </w:tcPr>
          <w:p w14:paraId="745F0486" w14:textId="77777777" w:rsidR="0042504C" w:rsidRPr="00FA2146" w:rsidRDefault="0042504C" w:rsidP="00B43E1B">
            <w:pPr>
              <w:pStyle w:val="NoSpacing"/>
              <w:rPr>
                <w:rFonts w:cstheme="minorHAnsi"/>
                <w:sz w:val="22"/>
                <w:szCs w:val="22"/>
                <w:lang w:eastAsia="en-AU"/>
              </w:rPr>
            </w:pPr>
            <w:r w:rsidRPr="00FA2146">
              <w:rPr>
                <w:rFonts w:cstheme="minorHAnsi"/>
                <w:sz w:val="22"/>
                <w:szCs w:val="22"/>
                <w:lang w:eastAsia="en-AU"/>
              </w:rPr>
              <w:t>Receiving government benefits</w:t>
            </w:r>
          </w:p>
        </w:tc>
        <w:tc>
          <w:tcPr>
            <w:tcW w:w="3555" w:type="pct"/>
            <w:noWrap/>
            <w:hideMark/>
          </w:tcPr>
          <w:p w14:paraId="7C3D6ECE" w14:textId="77777777" w:rsidR="0042504C" w:rsidRPr="00FA2146" w:rsidRDefault="0042504C" w:rsidP="00B43E1B">
            <w:pPr>
              <w:pStyle w:val="NoSpacing"/>
              <w:rPr>
                <w:rFonts w:cstheme="minorHAnsi"/>
                <w:sz w:val="22"/>
                <w:szCs w:val="22"/>
                <w:lang w:eastAsia="en-AU"/>
              </w:rPr>
            </w:pPr>
            <w:r w:rsidRPr="00FA2146">
              <w:rPr>
                <w:rFonts w:cstheme="minorHAnsi"/>
                <w:sz w:val="22"/>
                <w:szCs w:val="22"/>
                <w:lang w:eastAsia="en-AU"/>
              </w:rPr>
              <w:t>Self-reported currently receiving government benefits</w:t>
            </w:r>
          </w:p>
        </w:tc>
      </w:tr>
      <w:tr w:rsidR="0042504C" w:rsidRPr="00FA2146" w14:paraId="7CD1F2E3" w14:textId="77777777" w:rsidTr="00B43E1B">
        <w:trPr>
          <w:trHeight w:val="320"/>
          <w:jc w:val="right"/>
        </w:trPr>
        <w:tc>
          <w:tcPr>
            <w:tcW w:w="1445" w:type="pct"/>
            <w:noWrap/>
          </w:tcPr>
          <w:p w14:paraId="731CCE50" w14:textId="77777777" w:rsidR="0042504C" w:rsidRPr="00FA2146" w:rsidRDefault="0042504C" w:rsidP="00B43E1B">
            <w:pPr>
              <w:pStyle w:val="NoSpacing"/>
              <w:spacing w:line="259" w:lineRule="auto"/>
              <w:rPr>
                <w:rFonts w:cstheme="minorHAnsi"/>
                <w:sz w:val="22"/>
                <w:szCs w:val="22"/>
                <w:lang w:eastAsia="en-AU"/>
              </w:rPr>
            </w:pPr>
            <w:r w:rsidRPr="00FA2146">
              <w:rPr>
                <w:rFonts w:cstheme="minorHAnsi"/>
                <w:sz w:val="22"/>
                <w:szCs w:val="22"/>
                <w:lang w:eastAsia="en-AU"/>
              </w:rPr>
              <w:t xml:space="preserve">Alcohol and other substance use treatment </w:t>
            </w:r>
          </w:p>
        </w:tc>
        <w:tc>
          <w:tcPr>
            <w:tcW w:w="3555" w:type="pct"/>
            <w:noWrap/>
          </w:tcPr>
          <w:p w14:paraId="3323BB37" w14:textId="77777777" w:rsidR="0042504C" w:rsidRPr="00FA2146" w:rsidRDefault="0042504C" w:rsidP="00B43E1B">
            <w:pPr>
              <w:pStyle w:val="NoSpacing"/>
              <w:rPr>
                <w:rFonts w:cstheme="minorHAnsi"/>
                <w:sz w:val="22"/>
                <w:szCs w:val="22"/>
                <w:lang w:eastAsia="en-AU"/>
              </w:rPr>
            </w:pPr>
            <w:r w:rsidRPr="00FA2146">
              <w:rPr>
                <w:rFonts w:cstheme="minorHAnsi"/>
                <w:sz w:val="22"/>
                <w:szCs w:val="22"/>
                <w:lang w:eastAsia="en-AU"/>
              </w:rPr>
              <w:t>Clinician reported primary issue of alcohol and other substance or treated for substance abuse</w:t>
            </w:r>
          </w:p>
        </w:tc>
      </w:tr>
    </w:tbl>
    <w:p w14:paraId="76F4575B" w14:textId="43D9583C" w:rsidR="00AD5053" w:rsidRDefault="00AD5053" w:rsidP="0042504C"/>
    <w:p w14:paraId="125A684B" w14:textId="3D2753F6" w:rsidR="00004D5C" w:rsidRDefault="00004D5C">
      <w:pPr>
        <w:spacing w:before="0" w:after="0" w:line="240" w:lineRule="auto"/>
        <w:jc w:val="left"/>
      </w:pPr>
      <w:r>
        <w:br w:type="page"/>
      </w:r>
    </w:p>
    <w:p w14:paraId="3D413982" w14:textId="2781E2E5" w:rsidR="00006AD9" w:rsidRDefault="00006AD9" w:rsidP="00006AD9">
      <w:r w:rsidRPr="00FA2146">
        <w:rPr>
          <w:lang w:eastAsia="en-AU"/>
        </w:rPr>
        <w:lastRenderedPageBreak/>
        <w:t>Table S</w:t>
      </w:r>
      <w:r>
        <w:rPr>
          <w:lang w:eastAsia="en-AU"/>
        </w:rPr>
        <w:t>3</w:t>
      </w:r>
      <w:r w:rsidRPr="00FA2146">
        <w:rPr>
          <w:lang w:eastAsia="en-AU"/>
        </w:rPr>
        <w:t xml:space="preserve">. </w:t>
      </w:r>
      <w:r w:rsidRPr="00FA2146">
        <w:t xml:space="preserve">Characteristics of young people </w:t>
      </w:r>
      <w:r>
        <w:t>across</w:t>
      </w:r>
      <w:r w:rsidRPr="00FA2146">
        <w:t xml:space="preserve"> EOCs </w:t>
      </w:r>
      <w:r>
        <w:t>included and excluded in the analysis</w:t>
      </w:r>
    </w:p>
    <w:tbl>
      <w:tblPr>
        <w:tblW w:w="9746" w:type="dxa"/>
        <w:tblBorders>
          <w:top w:val="single" w:sz="4" w:space="0" w:color="auto"/>
          <w:bottom w:val="single" w:sz="4" w:space="0" w:color="auto"/>
        </w:tblBorders>
        <w:tblLook w:val="04A0" w:firstRow="1" w:lastRow="0" w:firstColumn="1" w:lastColumn="0" w:noHBand="0" w:noVBand="1"/>
      </w:tblPr>
      <w:tblGrid>
        <w:gridCol w:w="3297"/>
        <w:gridCol w:w="3131"/>
        <w:gridCol w:w="2238"/>
        <w:gridCol w:w="1080"/>
      </w:tblGrid>
      <w:tr w:rsidR="00004D5C" w:rsidRPr="00004D5C" w14:paraId="39502267" w14:textId="77777777" w:rsidTr="00004D5C">
        <w:trPr>
          <w:trHeight w:val="360"/>
        </w:trPr>
        <w:tc>
          <w:tcPr>
            <w:tcW w:w="3297" w:type="dxa"/>
            <w:tcBorders>
              <w:top w:val="single" w:sz="4" w:space="0" w:color="auto"/>
              <w:bottom w:val="single" w:sz="4" w:space="0" w:color="auto"/>
            </w:tcBorders>
            <w:shd w:val="clear" w:color="auto" w:fill="auto"/>
            <w:noWrap/>
            <w:vAlign w:val="bottom"/>
            <w:hideMark/>
          </w:tcPr>
          <w:p w14:paraId="583633CA" w14:textId="77777777" w:rsidR="00004D5C" w:rsidRPr="00004D5C" w:rsidRDefault="00004D5C" w:rsidP="00004D5C">
            <w:pPr>
              <w:spacing w:before="0" w:after="0" w:line="240" w:lineRule="auto"/>
              <w:jc w:val="left"/>
              <w:rPr>
                <w:rFonts w:cs="Calibri"/>
                <w:sz w:val="22"/>
                <w:szCs w:val="22"/>
                <w:lang w:val="en-CH"/>
              </w:rPr>
            </w:pPr>
          </w:p>
        </w:tc>
        <w:tc>
          <w:tcPr>
            <w:tcW w:w="3131" w:type="dxa"/>
            <w:tcBorders>
              <w:top w:val="single" w:sz="4" w:space="0" w:color="auto"/>
              <w:bottom w:val="single" w:sz="4" w:space="0" w:color="auto"/>
            </w:tcBorders>
            <w:shd w:val="clear" w:color="auto" w:fill="auto"/>
            <w:noWrap/>
            <w:vAlign w:val="bottom"/>
            <w:hideMark/>
          </w:tcPr>
          <w:p w14:paraId="326DC3AB" w14:textId="140B2169" w:rsidR="00004D5C" w:rsidRPr="00004D5C" w:rsidRDefault="00004D5C" w:rsidP="00004D5C">
            <w:pPr>
              <w:spacing w:before="0" w:after="0" w:line="240" w:lineRule="auto"/>
              <w:jc w:val="center"/>
              <w:rPr>
                <w:rFonts w:cs="Calibri"/>
                <w:b/>
                <w:bCs/>
                <w:color w:val="333333"/>
                <w:sz w:val="22"/>
                <w:szCs w:val="22"/>
                <w:lang w:val="en-CH"/>
              </w:rPr>
            </w:pPr>
            <w:r w:rsidRPr="00004D5C">
              <w:rPr>
                <w:rFonts w:cs="Calibri"/>
                <w:b/>
                <w:bCs/>
                <w:color w:val="333333"/>
                <w:sz w:val="22"/>
                <w:szCs w:val="22"/>
                <w:lang w:val="en-CH"/>
              </w:rPr>
              <w:t>Excluded (</w:t>
            </w:r>
            <w:r>
              <w:rPr>
                <w:rFonts w:cs="Calibri"/>
                <w:b/>
                <w:bCs/>
                <w:color w:val="333333"/>
                <w:sz w:val="22"/>
                <w:szCs w:val="22"/>
                <w:lang w:val="en-CH"/>
              </w:rPr>
              <w:t>n</w:t>
            </w:r>
            <w:r w:rsidRPr="00004D5C">
              <w:rPr>
                <w:rFonts w:cs="Calibri"/>
                <w:b/>
                <w:bCs/>
                <w:color w:val="333333"/>
                <w:sz w:val="22"/>
                <w:szCs w:val="22"/>
                <w:lang w:val="en-CH"/>
              </w:rPr>
              <w:t>=13408)</w:t>
            </w:r>
          </w:p>
        </w:tc>
        <w:tc>
          <w:tcPr>
            <w:tcW w:w="2238" w:type="dxa"/>
            <w:tcBorders>
              <w:top w:val="single" w:sz="4" w:space="0" w:color="auto"/>
              <w:bottom w:val="single" w:sz="4" w:space="0" w:color="auto"/>
            </w:tcBorders>
            <w:shd w:val="clear" w:color="auto" w:fill="auto"/>
            <w:noWrap/>
            <w:vAlign w:val="bottom"/>
            <w:hideMark/>
          </w:tcPr>
          <w:p w14:paraId="37F8578E" w14:textId="42404816" w:rsidR="00004D5C" w:rsidRPr="00004D5C" w:rsidRDefault="00004D5C" w:rsidP="00004D5C">
            <w:pPr>
              <w:spacing w:before="0" w:after="0" w:line="240" w:lineRule="auto"/>
              <w:jc w:val="center"/>
              <w:rPr>
                <w:rFonts w:cs="Calibri"/>
                <w:b/>
                <w:bCs/>
                <w:color w:val="333333"/>
                <w:sz w:val="22"/>
                <w:szCs w:val="22"/>
                <w:lang w:val="en-CH"/>
              </w:rPr>
            </w:pPr>
            <w:r w:rsidRPr="00004D5C">
              <w:rPr>
                <w:rFonts w:cs="Calibri"/>
                <w:b/>
                <w:bCs/>
                <w:color w:val="333333"/>
                <w:sz w:val="22"/>
                <w:szCs w:val="22"/>
                <w:lang w:val="en-CH"/>
              </w:rPr>
              <w:t>Included (</w:t>
            </w:r>
            <w:r>
              <w:rPr>
                <w:rFonts w:cs="Calibri"/>
                <w:b/>
                <w:bCs/>
                <w:color w:val="333333"/>
                <w:sz w:val="22"/>
                <w:szCs w:val="22"/>
                <w:lang w:val="en-CH"/>
              </w:rPr>
              <w:t>n</w:t>
            </w:r>
            <w:r w:rsidRPr="00004D5C">
              <w:rPr>
                <w:rFonts w:cs="Calibri"/>
                <w:b/>
                <w:bCs/>
                <w:color w:val="333333"/>
                <w:sz w:val="22"/>
                <w:szCs w:val="22"/>
                <w:lang w:val="en-CH"/>
              </w:rPr>
              <w:t>=81622)</w:t>
            </w:r>
          </w:p>
        </w:tc>
        <w:tc>
          <w:tcPr>
            <w:tcW w:w="1080" w:type="dxa"/>
            <w:tcBorders>
              <w:top w:val="single" w:sz="4" w:space="0" w:color="auto"/>
              <w:bottom w:val="single" w:sz="4" w:space="0" w:color="auto"/>
            </w:tcBorders>
            <w:shd w:val="clear" w:color="auto" w:fill="auto"/>
            <w:noWrap/>
            <w:vAlign w:val="bottom"/>
            <w:hideMark/>
          </w:tcPr>
          <w:p w14:paraId="4D43B3A8" w14:textId="77777777" w:rsidR="00004D5C" w:rsidRPr="00004D5C" w:rsidRDefault="00004D5C" w:rsidP="00004D5C">
            <w:pPr>
              <w:spacing w:before="0" w:after="0" w:line="240" w:lineRule="auto"/>
              <w:jc w:val="center"/>
              <w:rPr>
                <w:rFonts w:cs="Calibri"/>
                <w:b/>
                <w:bCs/>
                <w:color w:val="333333"/>
                <w:sz w:val="22"/>
                <w:szCs w:val="22"/>
                <w:lang w:val="en-CH"/>
              </w:rPr>
            </w:pPr>
            <w:r w:rsidRPr="00004D5C">
              <w:rPr>
                <w:rFonts w:cs="Calibri"/>
                <w:b/>
                <w:bCs/>
                <w:color w:val="333333"/>
                <w:sz w:val="22"/>
                <w:szCs w:val="22"/>
                <w:lang w:val="en-CH"/>
              </w:rPr>
              <w:t>p value</w:t>
            </w:r>
          </w:p>
        </w:tc>
      </w:tr>
      <w:tr w:rsidR="00004D5C" w:rsidRPr="00004D5C" w14:paraId="4BCADDDC" w14:textId="77777777" w:rsidTr="00004D5C">
        <w:trPr>
          <w:trHeight w:val="360"/>
        </w:trPr>
        <w:tc>
          <w:tcPr>
            <w:tcW w:w="6428" w:type="dxa"/>
            <w:gridSpan w:val="2"/>
            <w:tcBorders>
              <w:top w:val="single" w:sz="4" w:space="0" w:color="auto"/>
            </w:tcBorders>
            <w:shd w:val="clear" w:color="auto" w:fill="auto"/>
            <w:noWrap/>
            <w:vAlign w:val="bottom"/>
            <w:hideMark/>
          </w:tcPr>
          <w:p w14:paraId="5244923F" w14:textId="77777777" w:rsidR="00004D5C" w:rsidRPr="00004D5C" w:rsidRDefault="00004D5C" w:rsidP="00004D5C">
            <w:pPr>
              <w:spacing w:before="0" w:after="0" w:line="240" w:lineRule="auto"/>
              <w:jc w:val="left"/>
              <w:rPr>
                <w:rFonts w:cs="Calibri"/>
                <w:b/>
                <w:bCs/>
                <w:color w:val="333333"/>
                <w:sz w:val="22"/>
                <w:szCs w:val="22"/>
                <w:lang w:val="en-CH"/>
              </w:rPr>
            </w:pPr>
            <w:r w:rsidRPr="00004D5C">
              <w:rPr>
                <w:rFonts w:cs="Calibri"/>
                <w:b/>
                <w:bCs/>
                <w:color w:val="333333"/>
                <w:sz w:val="22"/>
                <w:szCs w:val="22"/>
                <w:lang w:val="en-CH"/>
              </w:rPr>
              <w:t>Age at the start of EOC</w:t>
            </w:r>
          </w:p>
        </w:tc>
        <w:tc>
          <w:tcPr>
            <w:tcW w:w="2238" w:type="dxa"/>
            <w:tcBorders>
              <w:top w:val="single" w:sz="4" w:space="0" w:color="auto"/>
            </w:tcBorders>
            <w:shd w:val="clear" w:color="auto" w:fill="auto"/>
            <w:noWrap/>
            <w:vAlign w:val="bottom"/>
            <w:hideMark/>
          </w:tcPr>
          <w:p w14:paraId="2BAB6A02" w14:textId="77777777" w:rsidR="00004D5C" w:rsidRPr="00004D5C" w:rsidRDefault="00004D5C" w:rsidP="00004D5C">
            <w:pPr>
              <w:spacing w:before="0" w:after="0" w:line="240" w:lineRule="auto"/>
              <w:jc w:val="center"/>
              <w:rPr>
                <w:rFonts w:cs="Calibri"/>
                <w:b/>
                <w:bCs/>
                <w:color w:val="333333"/>
                <w:sz w:val="22"/>
                <w:szCs w:val="22"/>
                <w:lang w:val="en-CH"/>
              </w:rPr>
            </w:pPr>
          </w:p>
        </w:tc>
        <w:tc>
          <w:tcPr>
            <w:tcW w:w="1080" w:type="dxa"/>
            <w:tcBorders>
              <w:top w:val="single" w:sz="4" w:space="0" w:color="auto"/>
            </w:tcBorders>
            <w:shd w:val="clear" w:color="auto" w:fill="auto"/>
            <w:noWrap/>
            <w:vAlign w:val="bottom"/>
            <w:hideMark/>
          </w:tcPr>
          <w:p w14:paraId="6A0E9083" w14:textId="77777777" w:rsidR="00004D5C" w:rsidRPr="00004D5C" w:rsidRDefault="00004D5C" w:rsidP="00004D5C">
            <w:pPr>
              <w:spacing w:before="0" w:after="0" w:line="240" w:lineRule="auto"/>
              <w:jc w:val="center"/>
              <w:rPr>
                <w:rFonts w:cs="Calibri"/>
                <w:color w:val="333333"/>
                <w:sz w:val="22"/>
                <w:szCs w:val="22"/>
                <w:lang w:val="en-CH"/>
              </w:rPr>
            </w:pPr>
            <w:r w:rsidRPr="00004D5C">
              <w:rPr>
                <w:rFonts w:cs="Calibri"/>
                <w:color w:val="333333"/>
                <w:sz w:val="22"/>
                <w:szCs w:val="22"/>
                <w:lang w:val="en-CH"/>
              </w:rPr>
              <w:t>&lt; 0.001</w:t>
            </w:r>
          </w:p>
        </w:tc>
      </w:tr>
      <w:tr w:rsidR="00004D5C" w:rsidRPr="00004D5C" w14:paraId="3A875CD3" w14:textId="77777777" w:rsidTr="00004D5C">
        <w:trPr>
          <w:trHeight w:val="360"/>
        </w:trPr>
        <w:tc>
          <w:tcPr>
            <w:tcW w:w="3297" w:type="dxa"/>
            <w:shd w:val="clear" w:color="auto" w:fill="auto"/>
            <w:noWrap/>
            <w:vAlign w:val="bottom"/>
            <w:hideMark/>
          </w:tcPr>
          <w:p w14:paraId="40AE2CD2" w14:textId="77777777" w:rsidR="00004D5C" w:rsidRPr="00004D5C" w:rsidRDefault="00004D5C" w:rsidP="00004D5C">
            <w:pPr>
              <w:spacing w:before="0" w:after="0" w:line="240" w:lineRule="auto"/>
              <w:jc w:val="left"/>
              <w:rPr>
                <w:rFonts w:cs="Calibri"/>
                <w:color w:val="333333"/>
                <w:sz w:val="22"/>
                <w:szCs w:val="22"/>
                <w:lang w:val="en-CH"/>
              </w:rPr>
            </w:pPr>
            <w:r w:rsidRPr="00004D5C">
              <w:rPr>
                <w:rFonts w:cs="Calibri"/>
                <w:color w:val="333333"/>
                <w:sz w:val="22"/>
                <w:szCs w:val="22"/>
                <w:lang w:val="en-CH"/>
              </w:rPr>
              <w:t>   Mean (SD)</w:t>
            </w:r>
          </w:p>
        </w:tc>
        <w:tc>
          <w:tcPr>
            <w:tcW w:w="3131" w:type="dxa"/>
            <w:shd w:val="clear" w:color="auto" w:fill="auto"/>
            <w:noWrap/>
            <w:vAlign w:val="bottom"/>
            <w:hideMark/>
          </w:tcPr>
          <w:p w14:paraId="74FA3D57" w14:textId="77777777" w:rsidR="00004D5C" w:rsidRPr="00004D5C" w:rsidRDefault="00004D5C" w:rsidP="00004D5C">
            <w:pPr>
              <w:spacing w:before="0" w:after="0" w:line="240" w:lineRule="auto"/>
              <w:jc w:val="center"/>
              <w:rPr>
                <w:rFonts w:cs="Calibri"/>
                <w:color w:val="333333"/>
                <w:sz w:val="22"/>
                <w:szCs w:val="22"/>
                <w:lang w:val="en-CH"/>
              </w:rPr>
            </w:pPr>
            <w:r w:rsidRPr="00004D5C">
              <w:rPr>
                <w:rFonts w:cs="Calibri"/>
                <w:color w:val="333333"/>
                <w:sz w:val="22"/>
                <w:szCs w:val="22"/>
                <w:lang w:val="en-CH"/>
              </w:rPr>
              <w:t>17.8 (3.5)</w:t>
            </w:r>
          </w:p>
        </w:tc>
        <w:tc>
          <w:tcPr>
            <w:tcW w:w="2238" w:type="dxa"/>
            <w:shd w:val="clear" w:color="auto" w:fill="auto"/>
            <w:noWrap/>
            <w:vAlign w:val="bottom"/>
            <w:hideMark/>
          </w:tcPr>
          <w:p w14:paraId="3F1036A1" w14:textId="77777777" w:rsidR="00004D5C" w:rsidRPr="00004D5C" w:rsidRDefault="00004D5C" w:rsidP="00004D5C">
            <w:pPr>
              <w:spacing w:before="0" w:after="0" w:line="240" w:lineRule="auto"/>
              <w:jc w:val="center"/>
              <w:rPr>
                <w:rFonts w:cs="Calibri"/>
                <w:color w:val="333333"/>
                <w:sz w:val="22"/>
                <w:szCs w:val="22"/>
                <w:lang w:val="en-CH"/>
              </w:rPr>
            </w:pPr>
            <w:r w:rsidRPr="00004D5C">
              <w:rPr>
                <w:rFonts w:cs="Calibri"/>
                <w:color w:val="333333"/>
                <w:sz w:val="22"/>
                <w:szCs w:val="22"/>
                <w:lang w:val="en-CH"/>
              </w:rPr>
              <w:t>17.5 (3.5)</w:t>
            </w:r>
          </w:p>
        </w:tc>
        <w:tc>
          <w:tcPr>
            <w:tcW w:w="1080" w:type="dxa"/>
            <w:shd w:val="clear" w:color="auto" w:fill="auto"/>
            <w:noWrap/>
            <w:vAlign w:val="bottom"/>
            <w:hideMark/>
          </w:tcPr>
          <w:p w14:paraId="6C0C9A46" w14:textId="77777777" w:rsidR="00004D5C" w:rsidRPr="00004D5C" w:rsidRDefault="00004D5C" w:rsidP="00004D5C">
            <w:pPr>
              <w:spacing w:before="0" w:after="0" w:line="240" w:lineRule="auto"/>
              <w:jc w:val="center"/>
              <w:rPr>
                <w:rFonts w:cs="Calibri"/>
                <w:color w:val="333333"/>
                <w:sz w:val="22"/>
                <w:szCs w:val="22"/>
                <w:lang w:val="en-CH"/>
              </w:rPr>
            </w:pPr>
          </w:p>
        </w:tc>
      </w:tr>
      <w:tr w:rsidR="00004D5C" w:rsidRPr="00004D5C" w14:paraId="0891AC78" w14:textId="77777777" w:rsidTr="00004D5C">
        <w:trPr>
          <w:trHeight w:val="360"/>
        </w:trPr>
        <w:tc>
          <w:tcPr>
            <w:tcW w:w="3297" w:type="dxa"/>
            <w:shd w:val="clear" w:color="auto" w:fill="auto"/>
            <w:noWrap/>
            <w:vAlign w:val="bottom"/>
            <w:hideMark/>
          </w:tcPr>
          <w:p w14:paraId="7600EBFB" w14:textId="77777777" w:rsidR="00004D5C" w:rsidRPr="00004D5C" w:rsidRDefault="00004D5C" w:rsidP="00004D5C">
            <w:pPr>
              <w:spacing w:before="0" w:after="0" w:line="240" w:lineRule="auto"/>
              <w:jc w:val="left"/>
              <w:rPr>
                <w:rFonts w:cs="Calibri"/>
                <w:color w:val="333333"/>
                <w:sz w:val="22"/>
                <w:szCs w:val="22"/>
                <w:lang w:val="en-CH"/>
              </w:rPr>
            </w:pPr>
            <w:r w:rsidRPr="00004D5C">
              <w:rPr>
                <w:rFonts w:cs="Calibri"/>
                <w:color w:val="333333"/>
                <w:sz w:val="22"/>
                <w:szCs w:val="22"/>
                <w:lang w:val="en-CH"/>
              </w:rPr>
              <w:t>   Median (Q1, Q3)</w:t>
            </w:r>
          </w:p>
        </w:tc>
        <w:tc>
          <w:tcPr>
            <w:tcW w:w="3131" w:type="dxa"/>
            <w:shd w:val="clear" w:color="auto" w:fill="auto"/>
            <w:noWrap/>
            <w:vAlign w:val="bottom"/>
            <w:hideMark/>
          </w:tcPr>
          <w:p w14:paraId="1C69FA84" w14:textId="77777777" w:rsidR="00004D5C" w:rsidRPr="00004D5C" w:rsidRDefault="00004D5C" w:rsidP="00004D5C">
            <w:pPr>
              <w:spacing w:before="0" w:after="0" w:line="240" w:lineRule="auto"/>
              <w:jc w:val="center"/>
              <w:rPr>
                <w:rFonts w:cs="Calibri"/>
                <w:color w:val="333333"/>
                <w:sz w:val="22"/>
                <w:szCs w:val="22"/>
                <w:lang w:val="en-CH"/>
              </w:rPr>
            </w:pPr>
            <w:r w:rsidRPr="00004D5C">
              <w:rPr>
                <w:rFonts w:cs="Calibri"/>
                <w:color w:val="333333"/>
                <w:sz w:val="22"/>
                <w:szCs w:val="22"/>
                <w:lang w:val="en-CH"/>
              </w:rPr>
              <w:t>18.0 (15.0, 20.0)</w:t>
            </w:r>
          </w:p>
        </w:tc>
        <w:tc>
          <w:tcPr>
            <w:tcW w:w="2238" w:type="dxa"/>
            <w:shd w:val="clear" w:color="auto" w:fill="auto"/>
            <w:noWrap/>
            <w:vAlign w:val="bottom"/>
            <w:hideMark/>
          </w:tcPr>
          <w:p w14:paraId="28BC56DF" w14:textId="77777777" w:rsidR="00004D5C" w:rsidRPr="00004D5C" w:rsidRDefault="00004D5C" w:rsidP="00004D5C">
            <w:pPr>
              <w:spacing w:before="0" w:after="0" w:line="240" w:lineRule="auto"/>
              <w:jc w:val="center"/>
              <w:rPr>
                <w:rFonts w:cs="Calibri"/>
                <w:color w:val="333333"/>
                <w:sz w:val="22"/>
                <w:szCs w:val="22"/>
                <w:lang w:val="en-CH"/>
              </w:rPr>
            </w:pPr>
            <w:r w:rsidRPr="00004D5C">
              <w:rPr>
                <w:rFonts w:cs="Calibri"/>
                <w:color w:val="333333"/>
                <w:sz w:val="22"/>
                <w:szCs w:val="22"/>
                <w:lang w:val="en-CH"/>
              </w:rPr>
              <w:t>17.0 (15.0, 20.0)</w:t>
            </w:r>
          </w:p>
        </w:tc>
        <w:tc>
          <w:tcPr>
            <w:tcW w:w="1080" w:type="dxa"/>
            <w:shd w:val="clear" w:color="auto" w:fill="auto"/>
            <w:noWrap/>
            <w:vAlign w:val="bottom"/>
            <w:hideMark/>
          </w:tcPr>
          <w:p w14:paraId="5C5D7656" w14:textId="77777777" w:rsidR="00004D5C" w:rsidRPr="00004D5C" w:rsidRDefault="00004D5C" w:rsidP="00004D5C">
            <w:pPr>
              <w:spacing w:before="0" w:after="0" w:line="240" w:lineRule="auto"/>
              <w:jc w:val="center"/>
              <w:rPr>
                <w:rFonts w:cs="Calibri"/>
                <w:color w:val="333333"/>
                <w:sz w:val="22"/>
                <w:szCs w:val="22"/>
                <w:lang w:val="en-CH"/>
              </w:rPr>
            </w:pPr>
          </w:p>
        </w:tc>
      </w:tr>
      <w:tr w:rsidR="00004D5C" w:rsidRPr="00004D5C" w14:paraId="34917EE0" w14:textId="77777777" w:rsidTr="00004D5C">
        <w:trPr>
          <w:trHeight w:val="360"/>
        </w:trPr>
        <w:tc>
          <w:tcPr>
            <w:tcW w:w="3297" w:type="dxa"/>
            <w:shd w:val="clear" w:color="auto" w:fill="auto"/>
            <w:noWrap/>
            <w:vAlign w:val="bottom"/>
            <w:hideMark/>
          </w:tcPr>
          <w:p w14:paraId="28C36122" w14:textId="77777777" w:rsidR="00004D5C" w:rsidRPr="00004D5C" w:rsidRDefault="00004D5C" w:rsidP="00004D5C">
            <w:pPr>
              <w:spacing w:before="0" w:after="0" w:line="240" w:lineRule="auto"/>
              <w:jc w:val="left"/>
              <w:rPr>
                <w:rFonts w:cs="Calibri"/>
                <w:color w:val="333333"/>
                <w:sz w:val="22"/>
                <w:szCs w:val="22"/>
                <w:lang w:val="en-CH"/>
              </w:rPr>
            </w:pPr>
            <w:r w:rsidRPr="00004D5C">
              <w:rPr>
                <w:rFonts w:cs="Calibri"/>
                <w:color w:val="333333"/>
                <w:sz w:val="22"/>
                <w:szCs w:val="22"/>
                <w:lang w:val="en-CH"/>
              </w:rPr>
              <w:t>   Missing</w:t>
            </w:r>
          </w:p>
        </w:tc>
        <w:tc>
          <w:tcPr>
            <w:tcW w:w="3131" w:type="dxa"/>
            <w:shd w:val="clear" w:color="auto" w:fill="auto"/>
            <w:noWrap/>
            <w:vAlign w:val="bottom"/>
            <w:hideMark/>
          </w:tcPr>
          <w:p w14:paraId="6A721749" w14:textId="77777777" w:rsidR="00004D5C" w:rsidRPr="00004D5C" w:rsidRDefault="00004D5C" w:rsidP="00004D5C">
            <w:pPr>
              <w:spacing w:before="0" w:after="0" w:line="240" w:lineRule="auto"/>
              <w:jc w:val="center"/>
              <w:rPr>
                <w:rFonts w:cs="Calibri"/>
                <w:color w:val="333333"/>
                <w:sz w:val="22"/>
                <w:szCs w:val="22"/>
                <w:lang w:val="en-CH"/>
              </w:rPr>
            </w:pPr>
            <w:r w:rsidRPr="00004D5C">
              <w:rPr>
                <w:rFonts w:cs="Calibri"/>
                <w:color w:val="333333"/>
                <w:sz w:val="22"/>
                <w:szCs w:val="22"/>
                <w:lang w:val="en-CH"/>
              </w:rPr>
              <w:t>214</w:t>
            </w:r>
          </w:p>
        </w:tc>
        <w:tc>
          <w:tcPr>
            <w:tcW w:w="2238" w:type="dxa"/>
            <w:shd w:val="clear" w:color="auto" w:fill="auto"/>
            <w:noWrap/>
            <w:vAlign w:val="bottom"/>
            <w:hideMark/>
          </w:tcPr>
          <w:p w14:paraId="35F445BA" w14:textId="77777777" w:rsidR="00004D5C" w:rsidRPr="00004D5C" w:rsidRDefault="00004D5C" w:rsidP="00004D5C">
            <w:pPr>
              <w:spacing w:before="0" w:after="0" w:line="240" w:lineRule="auto"/>
              <w:jc w:val="center"/>
              <w:rPr>
                <w:rFonts w:cs="Calibri"/>
                <w:color w:val="333333"/>
                <w:sz w:val="22"/>
                <w:szCs w:val="22"/>
                <w:lang w:val="en-CH"/>
              </w:rPr>
            </w:pPr>
            <w:r w:rsidRPr="00004D5C">
              <w:rPr>
                <w:rFonts w:cs="Calibri"/>
                <w:color w:val="333333"/>
                <w:sz w:val="22"/>
                <w:szCs w:val="22"/>
                <w:lang w:val="en-CH"/>
              </w:rPr>
              <w:t>167</w:t>
            </w:r>
          </w:p>
        </w:tc>
        <w:tc>
          <w:tcPr>
            <w:tcW w:w="1080" w:type="dxa"/>
            <w:shd w:val="clear" w:color="auto" w:fill="auto"/>
            <w:noWrap/>
            <w:vAlign w:val="bottom"/>
            <w:hideMark/>
          </w:tcPr>
          <w:p w14:paraId="7723D439" w14:textId="77777777" w:rsidR="00004D5C" w:rsidRPr="00004D5C" w:rsidRDefault="00004D5C" w:rsidP="00004D5C">
            <w:pPr>
              <w:spacing w:before="0" w:after="0" w:line="240" w:lineRule="auto"/>
              <w:jc w:val="center"/>
              <w:rPr>
                <w:rFonts w:cs="Calibri"/>
                <w:color w:val="333333"/>
                <w:sz w:val="22"/>
                <w:szCs w:val="22"/>
                <w:lang w:val="en-CH"/>
              </w:rPr>
            </w:pPr>
          </w:p>
        </w:tc>
      </w:tr>
      <w:tr w:rsidR="00004D5C" w:rsidRPr="00004D5C" w14:paraId="3E220129" w14:textId="77777777" w:rsidTr="00004D5C">
        <w:trPr>
          <w:trHeight w:val="360"/>
        </w:trPr>
        <w:tc>
          <w:tcPr>
            <w:tcW w:w="6428" w:type="dxa"/>
            <w:gridSpan w:val="2"/>
            <w:shd w:val="clear" w:color="auto" w:fill="auto"/>
            <w:noWrap/>
            <w:vAlign w:val="bottom"/>
            <w:hideMark/>
          </w:tcPr>
          <w:p w14:paraId="4CBD2E11" w14:textId="78FAB932" w:rsidR="00004D5C" w:rsidRPr="00004D5C" w:rsidRDefault="00004D5C" w:rsidP="00004D5C">
            <w:pPr>
              <w:spacing w:before="0" w:after="0" w:line="240" w:lineRule="auto"/>
              <w:jc w:val="left"/>
              <w:rPr>
                <w:rFonts w:cs="Calibri"/>
                <w:b/>
                <w:bCs/>
                <w:color w:val="333333"/>
                <w:sz w:val="22"/>
                <w:szCs w:val="22"/>
                <w:lang w:val="en-CH"/>
              </w:rPr>
            </w:pPr>
            <w:r w:rsidRPr="00004D5C">
              <w:rPr>
                <w:rFonts w:cs="Calibri"/>
                <w:b/>
                <w:bCs/>
                <w:color w:val="333333"/>
                <w:sz w:val="22"/>
                <w:szCs w:val="22"/>
                <w:lang w:val="en-CH"/>
              </w:rPr>
              <w:t>Gender</w:t>
            </w:r>
            <w:r w:rsidR="003F48E8">
              <w:rPr>
                <w:rFonts w:cs="Calibri"/>
                <w:b/>
                <w:bCs/>
                <w:color w:val="333333"/>
                <w:sz w:val="22"/>
                <w:szCs w:val="22"/>
                <w:lang w:val="en-CH"/>
              </w:rPr>
              <w:t xml:space="preserve"> </w:t>
            </w:r>
          </w:p>
        </w:tc>
        <w:tc>
          <w:tcPr>
            <w:tcW w:w="2238" w:type="dxa"/>
            <w:shd w:val="clear" w:color="auto" w:fill="auto"/>
            <w:noWrap/>
            <w:vAlign w:val="bottom"/>
            <w:hideMark/>
          </w:tcPr>
          <w:p w14:paraId="109D2216" w14:textId="77777777" w:rsidR="00004D5C" w:rsidRPr="00004D5C" w:rsidRDefault="00004D5C" w:rsidP="00004D5C">
            <w:pPr>
              <w:spacing w:before="0" w:after="0" w:line="240" w:lineRule="auto"/>
              <w:jc w:val="center"/>
              <w:rPr>
                <w:rFonts w:cs="Calibri"/>
                <w:b/>
                <w:bCs/>
                <w:color w:val="333333"/>
                <w:sz w:val="22"/>
                <w:szCs w:val="22"/>
                <w:lang w:val="en-CH"/>
              </w:rPr>
            </w:pPr>
          </w:p>
        </w:tc>
        <w:tc>
          <w:tcPr>
            <w:tcW w:w="1080" w:type="dxa"/>
            <w:shd w:val="clear" w:color="auto" w:fill="auto"/>
            <w:noWrap/>
            <w:vAlign w:val="bottom"/>
            <w:hideMark/>
          </w:tcPr>
          <w:p w14:paraId="77316CA6" w14:textId="77777777" w:rsidR="00004D5C" w:rsidRPr="00004D5C" w:rsidRDefault="00004D5C" w:rsidP="00004D5C">
            <w:pPr>
              <w:spacing w:before="0" w:after="0" w:line="240" w:lineRule="auto"/>
              <w:jc w:val="center"/>
              <w:rPr>
                <w:rFonts w:cs="Calibri"/>
                <w:color w:val="333333"/>
                <w:sz w:val="22"/>
                <w:szCs w:val="22"/>
                <w:lang w:val="en-CH"/>
              </w:rPr>
            </w:pPr>
            <w:r w:rsidRPr="00004D5C">
              <w:rPr>
                <w:rFonts w:cs="Calibri"/>
                <w:color w:val="333333"/>
                <w:sz w:val="22"/>
                <w:szCs w:val="22"/>
                <w:lang w:val="en-CH"/>
              </w:rPr>
              <w:t>&lt; 0.001</w:t>
            </w:r>
          </w:p>
        </w:tc>
      </w:tr>
      <w:tr w:rsidR="00004D5C" w:rsidRPr="00004D5C" w14:paraId="186E6C82" w14:textId="77777777" w:rsidTr="00004D5C">
        <w:trPr>
          <w:trHeight w:val="360"/>
        </w:trPr>
        <w:tc>
          <w:tcPr>
            <w:tcW w:w="3297" w:type="dxa"/>
            <w:shd w:val="clear" w:color="auto" w:fill="auto"/>
            <w:noWrap/>
            <w:vAlign w:val="bottom"/>
            <w:hideMark/>
          </w:tcPr>
          <w:p w14:paraId="3993481A" w14:textId="77777777" w:rsidR="00004D5C" w:rsidRPr="00004D5C" w:rsidRDefault="00004D5C" w:rsidP="00004D5C">
            <w:pPr>
              <w:spacing w:before="0" w:after="0" w:line="240" w:lineRule="auto"/>
              <w:jc w:val="left"/>
              <w:rPr>
                <w:rFonts w:cs="Calibri"/>
                <w:color w:val="333333"/>
                <w:sz w:val="22"/>
                <w:szCs w:val="22"/>
                <w:lang w:val="en-CH"/>
              </w:rPr>
            </w:pPr>
            <w:r w:rsidRPr="00004D5C">
              <w:rPr>
                <w:rFonts w:cs="Calibri"/>
                <w:color w:val="333333"/>
                <w:sz w:val="22"/>
                <w:szCs w:val="22"/>
                <w:lang w:val="en-CH"/>
              </w:rPr>
              <w:t>   Female</w:t>
            </w:r>
          </w:p>
        </w:tc>
        <w:tc>
          <w:tcPr>
            <w:tcW w:w="3131" w:type="dxa"/>
            <w:shd w:val="clear" w:color="auto" w:fill="auto"/>
            <w:noWrap/>
            <w:vAlign w:val="bottom"/>
            <w:hideMark/>
          </w:tcPr>
          <w:p w14:paraId="6241EEDA" w14:textId="77777777" w:rsidR="00004D5C" w:rsidRPr="00004D5C" w:rsidRDefault="00004D5C" w:rsidP="00004D5C">
            <w:pPr>
              <w:spacing w:before="0" w:after="0" w:line="240" w:lineRule="auto"/>
              <w:jc w:val="center"/>
              <w:rPr>
                <w:rFonts w:cs="Calibri"/>
                <w:color w:val="333333"/>
                <w:sz w:val="22"/>
                <w:szCs w:val="22"/>
                <w:lang w:val="en-CH"/>
              </w:rPr>
            </w:pPr>
            <w:r w:rsidRPr="00004D5C">
              <w:rPr>
                <w:rFonts w:cs="Calibri"/>
                <w:color w:val="333333"/>
                <w:sz w:val="22"/>
                <w:szCs w:val="22"/>
                <w:lang w:val="en-CH"/>
              </w:rPr>
              <w:t>3659 (56.2%)</w:t>
            </w:r>
          </w:p>
        </w:tc>
        <w:tc>
          <w:tcPr>
            <w:tcW w:w="2238" w:type="dxa"/>
            <w:shd w:val="clear" w:color="auto" w:fill="auto"/>
            <w:noWrap/>
            <w:vAlign w:val="bottom"/>
            <w:hideMark/>
          </w:tcPr>
          <w:p w14:paraId="16750022" w14:textId="77777777" w:rsidR="00004D5C" w:rsidRPr="00004D5C" w:rsidRDefault="00004D5C" w:rsidP="00004D5C">
            <w:pPr>
              <w:spacing w:before="0" w:after="0" w:line="240" w:lineRule="auto"/>
              <w:jc w:val="center"/>
              <w:rPr>
                <w:rFonts w:cs="Calibri"/>
                <w:color w:val="333333"/>
                <w:sz w:val="22"/>
                <w:szCs w:val="22"/>
                <w:lang w:val="en-CH"/>
              </w:rPr>
            </w:pPr>
            <w:r w:rsidRPr="00004D5C">
              <w:rPr>
                <w:rFonts w:cs="Calibri"/>
                <w:color w:val="333333"/>
                <w:sz w:val="22"/>
                <w:szCs w:val="22"/>
                <w:lang w:val="en-CH"/>
              </w:rPr>
              <w:t>44437 (60.4%)</w:t>
            </w:r>
          </w:p>
        </w:tc>
        <w:tc>
          <w:tcPr>
            <w:tcW w:w="1080" w:type="dxa"/>
            <w:shd w:val="clear" w:color="auto" w:fill="auto"/>
            <w:noWrap/>
            <w:vAlign w:val="bottom"/>
            <w:hideMark/>
          </w:tcPr>
          <w:p w14:paraId="2192D126" w14:textId="77777777" w:rsidR="00004D5C" w:rsidRPr="00004D5C" w:rsidRDefault="00004D5C" w:rsidP="00004D5C">
            <w:pPr>
              <w:spacing w:before="0" w:after="0" w:line="240" w:lineRule="auto"/>
              <w:jc w:val="center"/>
              <w:rPr>
                <w:rFonts w:cs="Calibri"/>
                <w:color w:val="333333"/>
                <w:sz w:val="22"/>
                <w:szCs w:val="22"/>
                <w:lang w:val="en-CH"/>
              </w:rPr>
            </w:pPr>
          </w:p>
        </w:tc>
      </w:tr>
      <w:tr w:rsidR="00004D5C" w:rsidRPr="00004D5C" w14:paraId="30AA7AEB" w14:textId="77777777" w:rsidTr="00004D5C">
        <w:trPr>
          <w:trHeight w:val="360"/>
        </w:trPr>
        <w:tc>
          <w:tcPr>
            <w:tcW w:w="3297" w:type="dxa"/>
            <w:shd w:val="clear" w:color="auto" w:fill="auto"/>
            <w:noWrap/>
            <w:vAlign w:val="bottom"/>
            <w:hideMark/>
          </w:tcPr>
          <w:p w14:paraId="5F457890" w14:textId="77777777" w:rsidR="00004D5C" w:rsidRPr="00004D5C" w:rsidRDefault="00004D5C" w:rsidP="00004D5C">
            <w:pPr>
              <w:spacing w:before="0" w:after="0" w:line="240" w:lineRule="auto"/>
              <w:jc w:val="left"/>
              <w:rPr>
                <w:rFonts w:cs="Calibri"/>
                <w:color w:val="333333"/>
                <w:sz w:val="22"/>
                <w:szCs w:val="22"/>
                <w:lang w:val="en-CH"/>
              </w:rPr>
            </w:pPr>
            <w:r w:rsidRPr="00004D5C">
              <w:rPr>
                <w:rFonts w:cs="Calibri"/>
                <w:color w:val="333333"/>
                <w:sz w:val="22"/>
                <w:szCs w:val="22"/>
                <w:lang w:val="en-CH"/>
              </w:rPr>
              <w:t>   Male</w:t>
            </w:r>
          </w:p>
        </w:tc>
        <w:tc>
          <w:tcPr>
            <w:tcW w:w="3131" w:type="dxa"/>
            <w:shd w:val="clear" w:color="auto" w:fill="auto"/>
            <w:noWrap/>
            <w:vAlign w:val="bottom"/>
            <w:hideMark/>
          </w:tcPr>
          <w:p w14:paraId="072F1524" w14:textId="77777777" w:rsidR="00004D5C" w:rsidRPr="00004D5C" w:rsidRDefault="00004D5C" w:rsidP="00004D5C">
            <w:pPr>
              <w:spacing w:before="0" w:after="0" w:line="240" w:lineRule="auto"/>
              <w:jc w:val="center"/>
              <w:rPr>
                <w:rFonts w:cs="Calibri"/>
                <w:color w:val="333333"/>
                <w:sz w:val="22"/>
                <w:szCs w:val="22"/>
                <w:lang w:val="en-CH"/>
              </w:rPr>
            </w:pPr>
            <w:r w:rsidRPr="00004D5C">
              <w:rPr>
                <w:rFonts w:cs="Calibri"/>
                <w:color w:val="333333"/>
                <w:sz w:val="22"/>
                <w:szCs w:val="22"/>
                <w:lang w:val="en-CH"/>
              </w:rPr>
              <w:t>2747 (42.2%)</w:t>
            </w:r>
          </w:p>
        </w:tc>
        <w:tc>
          <w:tcPr>
            <w:tcW w:w="2238" w:type="dxa"/>
            <w:shd w:val="clear" w:color="auto" w:fill="auto"/>
            <w:noWrap/>
            <w:vAlign w:val="bottom"/>
            <w:hideMark/>
          </w:tcPr>
          <w:p w14:paraId="344ABDFA" w14:textId="77777777" w:rsidR="00004D5C" w:rsidRPr="00004D5C" w:rsidRDefault="00004D5C" w:rsidP="00004D5C">
            <w:pPr>
              <w:spacing w:before="0" w:after="0" w:line="240" w:lineRule="auto"/>
              <w:jc w:val="center"/>
              <w:rPr>
                <w:rFonts w:cs="Calibri"/>
                <w:color w:val="333333"/>
                <w:sz w:val="22"/>
                <w:szCs w:val="22"/>
                <w:lang w:val="en-CH"/>
              </w:rPr>
            </w:pPr>
            <w:r w:rsidRPr="00004D5C">
              <w:rPr>
                <w:rFonts w:cs="Calibri"/>
                <w:color w:val="333333"/>
                <w:sz w:val="22"/>
                <w:szCs w:val="22"/>
                <w:lang w:val="en-CH"/>
              </w:rPr>
              <w:t>27848 (37.9%)</w:t>
            </w:r>
          </w:p>
        </w:tc>
        <w:tc>
          <w:tcPr>
            <w:tcW w:w="1080" w:type="dxa"/>
            <w:shd w:val="clear" w:color="auto" w:fill="auto"/>
            <w:noWrap/>
            <w:vAlign w:val="bottom"/>
            <w:hideMark/>
          </w:tcPr>
          <w:p w14:paraId="3266E6A1" w14:textId="77777777" w:rsidR="00004D5C" w:rsidRPr="00004D5C" w:rsidRDefault="00004D5C" w:rsidP="00004D5C">
            <w:pPr>
              <w:spacing w:before="0" w:after="0" w:line="240" w:lineRule="auto"/>
              <w:jc w:val="center"/>
              <w:rPr>
                <w:rFonts w:cs="Calibri"/>
                <w:color w:val="333333"/>
                <w:sz w:val="22"/>
                <w:szCs w:val="22"/>
                <w:lang w:val="en-CH"/>
              </w:rPr>
            </w:pPr>
          </w:p>
        </w:tc>
      </w:tr>
      <w:tr w:rsidR="00004D5C" w:rsidRPr="00004D5C" w14:paraId="04F11286" w14:textId="77777777" w:rsidTr="00004D5C">
        <w:trPr>
          <w:trHeight w:val="360"/>
        </w:trPr>
        <w:tc>
          <w:tcPr>
            <w:tcW w:w="3297" w:type="dxa"/>
            <w:shd w:val="clear" w:color="auto" w:fill="auto"/>
            <w:noWrap/>
            <w:vAlign w:val="bottom"/>
            <w:hideMark/>
          </w:tcPr>
          <w:p w14:paraId="173A4757" w14:textId="5D3C3A8D" w:rsidR="00004D5C" w:rsidRPr="00004D5C" w:rsidRDefault="00004D5C" w:rsidP="00004D5C">
            <w:pPr>
              <w:spacing w:before="0" w:after="0" w:line="240" w:lineRule="auto"/>
              <w:jc w:val="left"/>
              <w:rPr>
                <w:rFonts w:cs="Calibri"/>
                <w:color w:val="333333"/>
                <w:sz w:val="22"/>
                <w:szCs w:val="22"/>
                <w:lang w:val="en-CH"/>
              </w:rPr>
            </w:pPr>
            <w:r w:rsidRPr="00004D5C">
              <w:rPr>
                <w:rFonts w:cs="Calibri"/>
                <w:color w:val="333333"/>
                <w:sz w:val="22"/>
                <w:szCs w:val="22"/>
                <w:lang w:val="en-CH"/>
              </w:rPr>
              <w:t>   </w:t>
            </w:r>
            <w:r w:rsidR="00CE679D" w:rsidRPr="00011669">
              <w:rPr>
                <w:rFonts w:cstheme="minorHAnsi"/>
                <w:color w:val="000000" w:themeColor="text1"/>
                <w:sz w:val="22"/>
                <w:szCs w:val="22"/>
              </w:rPr>
              <w:t>Gender diverse</w:t>
            </w:r>
          </w:p>
        </w:tc>
        <w:tc>
          <w:tcPr>
            <w:tcW w:w="3131" w:type="dxa"/>
            <w:shd w:val="clear" w:color="auto" w:fill="auto"/>
            <w:noWrap/>
            <w:vAlign w:val="bottom"/>
            <w:hideMark/>
          </w:tcPr>
          <w:p w14:paraId="31CF9066" w14:textId="77777777" w:rsidR="00004D5C" w:rsidRPr="00004D5C" w:rsidRDefault="00004D5C" w:rsidP="00004D5C">
            <w:pPr>
              <w:spacing w:before="0" w:after="0" w:line="240" w:lineRule="auto"/>
              <w:jc w:val="center"/>
              <w:rPr>
                <w:rFonts w:cs="Calibri"/>
                <w:color w:val="333333"/>
                <w:sz w:val="22"/>
                <w:szCs w:val="22"/>
                <w:lang w:val="en-CH"/>
              </w:rPr>
            </w:pPr>
            <w:r w:rsidRPr="00004D5C">
              <w:rPr>
                <w:rFonts w:cs="Calibri"/>
                <w:color w:val="333333"/>
                <w:sz w:val="22"/>
                <w:szCs w:val="22"/>
                <w:lang w:val="en-CH"/>
              </w:rPr>
              <w:t>108 (1.7%)</w:t>
            </w:r>
          </w:p>
        </w:tc>
        <w:tc>
          <w:tcPr>
            <w:tcW w:w="2238" w:type="dxa"/>
            <w:shd w:val="clear" w:color="auto" w:fill="auto"/>
            <w:noWrap/>
            <w:vAlign w:val="bottom"/>
            <w:hideMark/>
          </w:tcPr>
          <w:p w14:paraId="02E370F3" w14:textId="77777777" w:rsidR="00004D5C" w:rsidRPr="00004D5C" w:rsidRDefault="00004D5C" w:rsidP="00004D5C">
            <w:pPr>
              <w:spacing w:before="0" w:after="0" w:line="240" w:lineRule="auto"/>
              <w:jc w:val="center"/>
              <w:rPr>
                <w:rFonts w:cs="Calibri"/>
                <w:color w:val="333333"/>
                <w:sz w:val="22"/>
                <w:szCs w:val="22"/>
                <w:lang w:val="en-CH"/>
              </w:rPr>
            </w:pPr>
            <w:r w:rsidRPr="00004D5C">
              <w:rPr>
                <w:rFonts w:cs="Calibri"/>
                <w:color w:val="333333"/>
                <w:sz w:val="22"/>
                <w:szCs w:val="22"/>
                <w:lang w:val="en-CH"/>
              </w:rPr>
              <w:t>1239 (1.7%)</w:t>
            </w:r>
          </w:p>
        </w:tc>
        <w:tc>
          <w:tcPr>
            <w:tcW w:w="1080" w:type="dxa"/>
            <w:shd w:val="clear" w:color="auto" w:fill="auto"/>
            <w:noWrap/>
            <w:vAlign w:val="bottom"/>
            <w:hideMark/>
          </w:tcPr>
          <w:p w14:paraId="6A70D039" w14:textId="77777777" w:rsidR="00004D5C" w:rsidRPr="00004D5C" w:rsidRDefault="00004D5C" w:rsidP="00004D5C">
            <w:pPr>
              <w:spacing w:before="0" w:after="0" w:line="240" w:lineRule="auto"/>
              <w:jc w:val="center"/>
              <w:rPr>
                <w:rFonts w:cs="Calibri"/>
                <w:color w:val="333333"/>
                <w:sz w:val="22"/>
                <w:szCs w:val="22"/>
                <w:lang w:val="en-CH"/>
              </w:rPr>
            </w:pPr>
          </w:p>
        </w:tc>
      </w:tr>
      <w:tr w:rsidR="00004D5C" w:rsidRPr="00004D5C" w14:paraId="39D7FB79" w14:textId="77777777" w:rsidTr="00004D5C">
        <w:trPr>
          <w:trHeight w:val="360"/>
        </w:trPr>
        <w:tc>
          <w:tcPr>
            <w:tcW w:w="3297" w:type="dxa"/>
            <w:shd w:val="clear" w:color="auto" w:fill="auto"/>
            <w:noWrap/>
            <w:vAlign w:val="bottom"/>
            <w:hideMark/>
          </w:tcPr>
          <w:p w14:paraId="2F6053CE" w14:textId="77777777" w:rsidR="00004D5C" w:rsidRPr="00004D5C" w:rsidRDefault="00004D5C" w:rsidP="00004D5C">
            <w:pPr>
              <w:spacing w:before="0" w:after="0" w:line="240" w:lineRule="auto"/>
              <w:jc w:val="left"/>
              <w:rPr>
                <w:rFonts w:cs="Calibri"/>
                <w:color w:val="333333"/>
                <w:sz w:val="22"/>
                <w:szCs w:val="22"/>
                <w:lang w:val="en-CH"/>
              </w:rPr>
            </w:pPr>
            <w:r w:rsidRPr="00004D5C">
              <w:rPr>
                <w:rFonts w:cs="Calibri"/>
                <w:color w:val="333333"/>
                <w:sz w:val="22"/>
                <w:szCs w:val="22"/>
                <w:lang w:val="en-CH"/>
              </w:rPr>
              <w:t>   Missing</w:t>
            </w:r>
          </w:p>
        </w:tc>
        <w:tc>
          <w:tcPr>
            <w:tcW w:w="3131" w:type="dxa"/>
            <w:shd w:val="clear" w:color="auto" w:fill="auto"/>
            <w:noWrap/>
            <w:vAlign w:val="bottom"/>
            <w:hideMark/>
          </w:tcPr>
          <w:p w14:paraId="1D7BD75C" w14:textId="77777777" w:rsidR="00004D5C" w:rsidRPr="00004D5C" w:rsidRDefault="00004D5C" w:rsidP="00004D5C">
            <w:pPr>
              <w:spacing w:before="0" w:after="0" w:line="240" w:lineRule="auto"/>
              <w:jc w:val="center"/>
              <w:rPr>
                <w:rFonts w:cs="Calibri"/>
                <w:color w:val="333333"/>
                <w:sz w:val="22"/>
                <w:szCs w:val="22"/>
                <w:lang w:val="en-CH"/>
              </w:rPr>
            </w:pPr>
            <w:r w:rsidRPr="00004D5C">
              <w:rPr>
                <w:rFonts w:cs="Calibri"/>
                <w:color w:val="333333"/>
                <w:sz w:val="22"/>
                <w:szCs w:val="22"/>
                <w:lang w:val="en-CH"/>
              </w:rPr>
              <w:t>6894</w:t>
            </w:r>
          </w:p>
        </w:tc>
        <w:tc>
          <w:tcPr>
            <w:tcW w:w="2238" w:type="dxa"/>
            <w:shd w:val="clear" w:color="auto" w:fill="auto"/>
            <w:noWrap/>
            <w:vAlign w:val="bottom"/>
            <w:hideMark/>
          </w:tcPr>
          <w:p w14:paraId="3301AFE0" w14:textId="77777777" w:rsidR="00004D5C" w:rsidRPr="00004D5C" w:rsidRDefault="00004D5C" w:rsidP="00004D5C">
            <w:pPr>
              <w:spacing w:before="0" w:after="0" w:line="240" w:lineRule="auto"/>
              <w:jc w:val="center"/>
              <w:rPr>
                <w:rFonts w:cs="Calibri"/>
                <w:color w:val="333333"/>
                <w:sz w:val="22"/>
                <w:szCs w:val="22"/>
                <w:lang w:val="en-CH"/>
              </w:rPr>
            </w:pPr>
            <w:r w:rsidRPr="00004D5C">
              <w:rPr>
                <w:rFonts w:cs="Calibri"/>
                <w:color w:val="333333"/>
                <w:sz w:val="22"/>
                <w:szCs w:val="22"/>
                <w:lang w:val="en-CH"/>
              </w:rPr>
              <w:t>8098</w:t>
            </w:r>
          </w:p>
        </w:tc>
        <w:tc>
          <w:tcPr>
            <w:tcW w:w="1080" w:type="dxa"/>
            <w:shd w:val="clear" w:color="auto" w:fill="auto"/>
            <w:noWrap/>
            <w:vAlign w:val="bottom"/>
            <w:hideMark/>
          </w:tcPr>
          <w:p w14:paraId="62C4FAD7" w14:textId="77777777" w:rsidR="00004D5C" w:rsidRPr="00004D5C" w:rsidRDefault="00004D5C" w:rsidP="00004D5C">
            <w:pPr>
              <w:spacing w:before="0" w:after="0" w:line="240" w:lineRule="auto"/>
              <w:jc w:val="center"/>
              <w:rPr>
                <w:rFonts w:cs="Calibri"/>
                <w:color w:val="333333"/>
                <w:sz w:val="22"/>
                <w:szCs w:val="22"/>
                <w:lang w:val="en-CH"/>
              </w:rPr>
            </w:pPr>
          </w:p>
        </w:tc>
      </w:tr>
      <w:tr w:rsidR="003D4339" w:rsidRPr="00004D5C" w14:paraId="7ED3EF21" w14:textId="77777777" w:rsidTr="00861F60">
        <w:trPr>
          <w:trHeight w:val="360"/>
        </w:trPr>
        <w:tc>
          <w:tcPr>
            <w:tcW w:w="6428" w:type="dxa"/>
            <w:gridSpan w:val="2"/>
            <w:shd w:val="clear" w:color="auto" w:fill="auto"/>
            <w:noWrap/>
            <w:vAlign w:val="center"/>
            <w:hideMark/>
          </w:tcPr>
          <w:p w14:paraId="2DD723FB" w14:textId="483F781B" w:rsidR="003D4339" w:rsidRPr="00004D5C" w:rsidRDefault="003D4339" w:rsidP="003D4339">
            <w:pPr>
              <w:spacing w:before="0" w:after="0" w:line="240" w:lineRule="auto"/>
              <w:jc w:val="left"/>
              <w:rPr>
                <w:rFonts w:cs="Calibri"/>
                <w:b/>
                <w:bCs/>
                <w:color w:val="333333"/>
                <w:sz w:val="22"/>
                <w:szCs w:val="22"/>
                <w:lang w:val="en-CH"/>
              </w:rPr>
            </w:pPr>
            <w:r w:rsidRPr="00011669">
              <w:rPr>
                <w:rFonts w:asciiTheme="minorHAnsi" w:hAnsiTheme="minorHAnsi" w:cstheme="minorHAnsi"/>
                <w:b/>
                <w:color w:val="333333"/>
                <w:sz w:val="22"/>
                <w:szCs w:val="22"/>
              </w:rPr>
              <w:t xml:space="preserve">Aboriginal and/or Torres Strait Islander </w:t>
            </w:r>
          </w:p>
        </w:tc>
        <w:tc>
          <w:tcPr>
            <w:tcW w:w="2238" w:type="dxa"/>
            <w:shd w:val="clear" w:color="auto" w:fill="auto"/>
            <w:noWrap/>
            <w:vAlign w:val="bottom"/>
            <w:hideMark/>
          </w:tcPr>
          <w:p w14:paraId="318C118D" w14:textId="77777777" w:rsidR="003D4339" w:rsidRPr="00004D5C" w:rsidRDefault="003D4339" w:rsidP="003D4339">
            <w:pPr>
              <w:spacing w:before="0" w:after="0" w:line="240" w:lineRule="auto"/>
              <w:jc w:val="center"/>
              <w:rPr>
                <w:rFonts w:cs="Calibri"/>
                <w:b/>
                <w:bCs/>
                <w:color w:val="333333"/>
                <w:sz w:val="22"/>
                <w:szCs w:val="22"/>
                <w:lang w:val="en-CH"/>
              </w:rPr>
            </w:pPr>
          </w:p>
        </w:tc>
        <w:tc>
          <w:tcPr>
            <w:tcW w:w="1080" w:type="dxa"/>
            <w:shd w:val="clear" w:color="auto" w:fill="auto"/>
            <w:noWrap/>
            <w:vAlign w:val="bottom"/>
            <w:hideMark/>
          </w:tcPr>
          <w:p w14:paraId="658A1EFE"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&lt; 0.001</w:t>
            </w:r>
          </w:p>
        </w:tc>
      </w:tr>
      <w:tr w:rsidR="003D4339" w:rsidRPr="00004D5C" w14:paraId="3A5F1F1F" w14:textId="77777777" w:rsidTr="00004D5C">
        <w:trPr>
          <w:trHeight w:val="360"/>
        </w:trPr>
        <w:tc>
          <w:tcPr>
            <w:tcW w:w="3297" w:type="dxa"/>
            <w:shd w:val="clear" w:color="auto" w:fill="auto"/>
            <w:noWrap/>
            <w:vAlign w:val="bottom"/>
            <w:hideMark/>
          </w:tcPr>
          <w:p w14:paraId="2389C4AB" w14:textId="77777777" w:rsidR="003D4339" w:rsidRPr="00004D5C" w:rsidRDefault="003D4339" w:rsidP="003D4339">
            <w:pPr>
              <w:spacing w:before="0" w:after="0" w:line="240" w:lineRule="auto"/>
              <w:jc w:val="left"/>
              <w:rPr>
                <w:rFonts w:cs="Calibri"/>
                <w:color w:val="333333"/>
                <w:sz w:val="22"/>
                <w:szCs w:val="22"/>
                <w:lang w:val="en-CH"/>
              </w:rPr>
            </w:pPr>
            <w:r w:rsidRPr="00004D5C">
              <w:rPr>
                <w:rFonts w:cs="Calibri"/>
                <w:color w:val="333333"/>
                <w:sz w:val="22"/>
                <w:szCs w:val="22"/>
                <w:lang w:val="en-CH"/>
              </w:rPr>
              <w:t>   No</w:t>
            </w:r>
          </w:p>
        </w:tc>
        <w:tc>
          <w:tcPr>
            <w:tcW w:w="3131" w:type="dxa"/>
            <w:shd w:val="clear" w:color="auto" w:fill="auto"/>
            <w:noWrap/>
            <w:vAlign w:val="bottom"/>
            <w:hideMark/>
          </w:tcPr>
          <w:p w14:paraId="774A9B60"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4808 (81.6%)</w:t>
            </w:r>
          </w:p>
        </w:tc>
        <w:tc>
          <w:tcPr>
            <w:tcW w:w="2238" w:type="dxa"/>
            <w:shd w:val="clear" w:color="auto" w:fill="auto"/>
            <w:noWrap/>
            <w:vAlign w:val="bottom"/>
            <w:hideMark/>
          </w:tcPr>
          <w:p w14:paraId="0437A81E"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66029 (91.3%)</w:t>
            </w:r>
          </w:p>
        </w:tc>
        <w:tc>
          <w:tcPr>
            <w:tcW w:w="1080" w:type="dxa"/>
            <w:shd w:val="clear" w:color="auto" w:fill="auto"/>
            <w:noWrap/>
            <w:vAlign w:val="bottom"/>
            <w:hideMark/>
          </w:tcPr>
          <w:p w14:paraId="66392C23" w14:textId="77777777" w:rsidR="003D4339" w:rsidRPr="00004D5C" w:rsidRDefault="003D4339" w:rsidP="003D4339">
            <w:pPr>
              <w:spacing w:before="0" w:after="0" w:line="240" w:lineRule="auto"/>
              <w:jc w:val="center"/>
              <w:rPr>
                <w:rFonts w:cs="Calibri"/>
                <w:color w:val="333333"/>
                <w:sz w:val="22"/>
                <w:szCs w:val="22"/>
                <w:lang w:val="en-CH"/>
              </w:rPr>
            </w:pPr>
          </w:p>
        </w:tc>
      </w:tr>
      <w:tr w:rsidR="003D4339" w:rsidRPr="00004D5C" w14:paraId="21511E47" w14:textId="77777777" w:rsidTr="00004D5C">
        <w:trPr>
          <w:trHeight w:val="360"/>
        </w:trPr>
        <w:tc>
          <w:tcPr>
            <w:tcW w:w="3297" w:type="dxa"/>
            <w:shd w:val="clear" w:color="auto" w:fill="auto"/>
            <w:noWrap/>
            <w:vAlign w:val="bottom"/>
            <w:hideMark/>
          </w:tcPr>
          <w:p w14:paraId="6E39AB05" w14:textId="77777777" w:rsidR="003D4339" w:rsidRPr="00004D5C" w:rsidRDefault="003D4339" w:rsidP="003D4339">
            <w:pPr>
              <w:spacing w:before="0" w:after="0" w:line="240" w:lineRule="auto"/>
              <w:jc w:val="left"/>
              <w:rPr>
                <w:rFonts w:cs="Calibri"/>
                <w:color w:val="333333"/>
                <w:sz w:val="22"/>
                <w:szCs w:val="22"/>
                <w:lang w:val="en-CH"/>
              </w:rPr>
            </w:pPr>
            <w:r w:rsidRPr="00004D5C">
              <w:rPr>
                <w:rFonts w:cs="Calibri"/>
                <w:color w:val="333333"/>
                <w:sz w:val="22"/>
                <w:szCs w:val="22"/>
                <w:lang w:val="en-CH"/>
              </w:rPr>
              <w:t>   Yes</w:t>
            </w:r>
          </w:p>
        </w:tc>
        <w:tc>
          <w:tcPr>
            <w:tcW w:w="3131" w:type="dxa"/>
            <w:shd w:val="clear" w:color="auto" w:fill="auto"/>
            <w:noWrap/>
            <w:vAlign w:val="bottom"/>
            <w:hideMark/>
          </w:tcPr>
          <w:p w14:paraId="3562D8F3"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1084 (18.4%)</w:t>
            </w:r>
          </w:p>
        </w:tc>
        <w:tc>
          <w:tcPr>
            <w:tcW w:w="2238" w:type="dxa"/>
            <w:shd w:val="clear" w:color="auto" w:fill="auto"/>
            <w:noWrap/>
            <w:vAlign w:val="bottom"/>
            <w:hideMark/>
          </w:tcPr>
          <w:p w14:paraId="2C29BEF7"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6330 (8.7%)</w:t>
            </w:r>
          </w:p>
        </w:tc>
        <w:tc>
          <w:tcPr>
            <w:tcW w:w="1080" w:type="dxa"/>
            <w:shd w:val="clear" w:color="auto" w:fill="auto"/>
            <w:noWrap/>
            <w:vAlign w:val="bottom"/>
            <w:hideMark/>
          </w:tcPr>
          <w:p w14:paraId="588FD7A8" w14:textId="77777777" w:rsidR="003D4339" w:rsidRPr="00004D5C" w:rsidRDefault="003D4339" w:rsidP="003D4339">
            <w:pPr>
              <w:spacing w:before="0" w:after="0" w:line="240" w:lineRule="auto"/>
              <w:jc w:val="center"/>
              <w:rPr>
                <w:rFonts w:cs="Calibri"/>
                <w:color w:val="333333"/>
                <w:sz w:val="22"/>
                <w:szCs w:val="22"/>
                <w:lang w:val="en-CH"/>
              </w:rPr>
            </w:pPr>
          </w:p>
        </w:tc>
      </w:tr>
      <w:tr w:rsidR="003D4339" w:rsidRPr="00004D5C" w14:paraId="5BBD88F1" w14:textId="77777777" w:rsidTr="00004D5C">
        <w:trPr>
          <w:trHeight w:val="360"/>
        </w:trPr>
        <w:tc>
          <w:tcPr>
            <w:tcW w:w="3297" w:type="dxa"/>
            <w:shd w:val="clear" w:color="auto" w:fill="auto"/>
            <w:noWrap/>
            <w:vAlign w:val="bottom"/>
            <w:hideMark/>
          </w:tcPr>
          <w:p w14:paraId="40033FE4" w14:textId="77777777" w:rsidR="003D4339" w:rsidRPr="00004D5C" w:rsidRDefault="003D4339" w:rsidP="003D4339">
            <w:pPr>
              <w:spacing w:before="0" w:after="0" w:line="240" w:lineRule="auto"/>
              <w:jc w:val="left"/>
              <w:rPr>
                <w:rFonts w:cs="Calibri"/>
                <w:color w:val="333333"/>
                <w:sz w:val="22"/>
                <w:szCs w:val="22"/>
                <w:lang w:val="en-CH"/>
              </w:rPr>
            </w:pPr>
            <w:r w:rsidRPr="00004D5C">
              <w:rPr>
                <w:rFonts w:cs="Calibri"/>
                <w:color w:val="333333"/>
                <w:sz w:val="22"/>
                <w:szCs w:val="22"/>
                <w:lang w:val="en-CH"/>
              </w:rPr>
              <w:t>   Missing</w:t>
            </w:r>
          </w:p>
        </w:tc>
        <w:tc>
          <w:tcPr>
            <w:tcW w:w="3131" w:type="dxa"/>
            <w:shd w:val="clear" w:color="auto" w:fill="auto"/>
            <w:noWrap/>
            <w:vAlign w:val="bottom"/>
            <w:hideMark/>
          </w:tcPr>
          <w:p w14:paraId="57B6ED36"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7516</w:t>
            </w:r>
          </w:p>
        </w:tc>
        <w:tc>
          <w:tcPr>
            <w:tcW w:w="2238" w:type="dxa"/>
            <w:shd w:val="clear" w:color="auto" w:fill="auto"/>
            <w:noWrap/>
            <w:vAlign w:val="bottom"/>
            <w:hideMark/>
          </w:tcPr>
          <w:p w14:paraId="1FB7133A"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9263</w:t>
            </w:r>
          </w:p>
        </w:tc>
        <w:tc>
          <w:tcPr>
            <w:tcW w:w="1080" w:type="dxa"/>
            <w:shd w:val="clear" w:color="auto" w:fill="auto"/>
            <w:noWrap/>
            <w:vAlign w:val="bottom"/>
            <w:hideMark/>
          </w:tcPr>
          <w:p w14:paraId="4D694D0B" w14:textId="77777777" w:rsidR="003D4339" w:rsidRPr="00004D5C" w:rsidRDefault="003D4339" w:rsidP="003D4339">
            <w:pPr>
              <w:spacing w:before="0" w:after="0" w:line="240" w:lineRule="auto"/>
              <w:jc w:val="center"/>
              <w:rPr>
                <w:rFonts w:cs="Calibri"/>
                <w:color w:val="333333"/>
                <w:sz w:val="22"/>
                <w:szCs w:val="22"/>
                <w:lang w:val="en-CH"/>
              </w:rPr>
            </w:pPr>
          </w:p>
        </w:tc>
      </w:tr>
      <w:tr w:rsidR="003D4339" w:rsidRPr="00004D5C" w14:paraId="6876EFBE" w14:textId="77777777" w:rsidTr="00004D5C">
        <w:trPr>
          <w:trHeight w:val="360"/>
        </w:trPr>
        <w:tc>
          <w:tcPr>
            <w:tcW w:w="6428" w:type="dxa"/>
            <w:gridSpan w:val="2"/>
            <w:shd w:val="clear" w:color="auto" w:fill="auto"/>
            <w:noWrap/>
            <w:vAlign w:val="bottom"/>
            <w:hideMark/>
          </w:tcPr>
          <w:p w14:paraId="113B7F9D" w14:textId="0DD151B0" w:rsidR="003D4339" w:rsidRPr="00004D5C" w:rsidRDefault="003D4339" w:rsidP="003D4339">
            <w:pPr>
              <w:spacing w:before="0" w:after="0" w:line="240" w:lineRule="auto"/>
              <w:jc w:val="left"/>
              <w:rPr>
                <w:rFonts w:cs="Calibri"/>
                <w:b/>
                <w:bCs/>
                <w:color w:val="333333"/>
                <w:sz w:val="22"/>
                <w:szCs w:val="22"/>
                <w:lang w:val="en-CH"/>
              </w:rPr>
            </w:pPr>
            <w:r w:rsidRPr="00011669">
              <w:rPr>
                <w:rFonts w:asciiTheme="minorHAnsi" w:hAnsiTheme="minorHAnsi" w:cstheme="minorHAnsi"/>
                <w:b/>
                <w:color w:val="333333"/>
                <w:sz w:val="22"/>
                <w:szCs w:val="22"/>
              </w:rPr>
              <w:t>Culturally and linguistically diverse</w:t>
            </w:r>
            <w:r w:rsidRPr="00011669">
              <w:rPr>
                <w:rFonts w:asciiTheme="minorHAnsi" w:hAnsiTheme="minorHAnsi" w:cstheme="minorHAnsi"/>
                <w:b/>
                <w:color w:val="333333"/>
                <w:sz w:val="22"/>
                <w:szCs w:val="22"/>
                <w:vertAlign w:val="superscript"/>
              </w:rPr>
              <w:t>*</w:t>
            </w:r>
          </w:p>
        </w:tc>
        <w:tc>
          <w:tcPr>
            <w:tcW w:w="2238" w:type="dxa"/>
            <w:shd w:val="clear" w:color="auto" w:fill="auto"/>
            <w:noWrap/>
            <w:vAlign w:val="bottom"/>
            <w:hideMark/>
          </w:tcPr>
          <w:p w14:paraId="329B5964" w14:textId="77777777" w:rsidR="003D4339" w:rsidRPr="00004D5C" w:rsidRDefault="003D4339" w:rsidP="003D4339">
            <w:pPr>
              <w:spacing w:before="0" w:after="0" w:line="240" w:lineRule="auto"/>
              <w:jc w:val="center"/>
              <w:rPr>
                <w:rFonts w:cs="Calibri"/>
                <w:b/>
                <w:bCs/>
                <w:color w:val="333333"/>
                <w:sz w:val="22"/>
                <w:szCs w:val="22"/>
                <w:lang w:val="en-CH"/>
              </w:rPr>
            </w:pPr>
          </w:p>
        </w:tc>
        <w:tc>
          <w:tcPr>
            <w:tcW w:w="1080" w:type="dxa"/>
            <w:shd w:val="clear" w:color="auto" w:fill="auto"/>
            <w:noWrap/>
            <w:vAlign w:val="bottom"/>
            <w:hideMark/>
          </w:tcPr>
          <w:p w14:paraId="0CC12361"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&lt; 0.001</w:t>
            </w:r>
          </w:p>
        </w:tc>
      </w:tr>
      <w:tr w:rsidR="003D4339" w:rsidRPr="00004D5C" w14:paraId="0EAC1F62" w14:textId="77777777" w:rsidTr="00004D5C">
        <w:trPr>
          <w:trHeight w:val="360"/>
        </w:trPr>
        <w:tc>
          <w:tcPr>
            <w:tcW w:w="3297" w:type="dxa"/>
            <w:shd w:val="clear" w:color="auto" w:fill="auto"/>
            <w:noWrap/>
            <w:vAlign w:val="bottom"/>
            <w:hideMark/>
          </w:tcPr>
          <w:p w14:paraId="35D82C02" w14:textId="77777777" w:rsidR="003D4339" w:rsidRPr="00004D5C" w:rsidRDefault="003D4339" w:rsidP="003D4339">
            <w:pPr>
              <w:spacing w:before="0" w:after="0" w:line="240" w:lineRule="auto"/>
              <w:jc w:val="left"/>
              <w:rPr>
                <w:rFonts w:cs="Calibri"/>
                <w:color w:val="333333"/>
                <w:sz w:val="22"/>
                <w:szCs w:val="22"/>
                <w:lang w:val="en-CH"/>
              </w:rPr>
            </w:pPr>
            <w:r w:rsidRPr="00004D5C">
              <w:rPr>
                <w:rFonts w:cs="Calibri"/>
                <w:color w:val="333333"/>
                <w:sz w:val="22"/>
                <w:szCs w:val="22"/>
                <w:lang w:val="en-CH"/>
              </w:rPr>
              <w:t>   No</w:t>
            </w:r>
          </w:p>
        </w:tc>
        <w:tc>
          <w:tcPr>
            <w:tcW w:w="3131" w:type="dxa"/>
            <w:shd w:val="clear" w:color="auto" w:fill="auto"/>
            <w:noWrap/>
            <w:vAlign w:val="bottom"/>
            <w:hideMark/>
          </w:tcPr>
          <w:p w14:paraId="411D165A"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4952 (85.5%)</w:t>
            </w:r>
          </w:p>
        </w:tc>
        <w:tc>
          <w:tcPr>
            <w:tcW w:w="2238" w:type="dxa"/>
            <w:shd w:val="clear" w:color="auto" w:fill="auto"/>
            <w:noWrap/>
            <w:vAlign w:val="bottom"/>
            <w:hideMark/>
          </w:tcPr>
          <w:p w14:paraId="13EF5B6E"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64504 (89.2%)</w:t>
            </w:r>
          </w:p>
        </w:tc>
        <w:tc>
          <w:tcPr>
            <w:tcW w:w="1080" w:type="dxa"/>
            <w:shd w:val="clear" w:color="auto" w:fill="auto"/>
            <w:noWrap/>
            <w:vAlign w:val="bottom"/>
            <w:hideMark/>
          </w:tcPr>
          <w:p w14:paraId="6093518B" w14:textId="77777777" w:rsidR="003D4339" w:rsidRPr="00004D5C" w:rsidRDefault="003D4339" w:rsidP="003D4339">
            <w:pPr>
              <w:spacing w:before="0" w:after="0" w:line="240" w:lineRule="auto"/>
              <w:jc w:val="center"/>
              <w:rPr>
                <w:rFonts w:cs="Calibri"/>
                <w:color w:val="333333"/>
                <w:sz w:val="22"/>
                <w:szCs w:val="22"/>
                <w:lang w:val="en-CH"/>
              </w:rPr>
            </w:pPr>
          </w:p>
        </w:tc>
      </w:tr>
      <w:tr w:rsidR="003D4339" w:rsidRPr="00004D5C" w14:paraId="7510F275" w14:textId="77777777" w:rsidTr="00004D5C">
        <w:trPr>
          <w:trHeight w:val="360"/>
        </w:trPr>
        <w:tc>
          <w:tcPr>
            <w:tcW w:w="3297" w:type="dxa"/>
            <w:shd w:val="clear" w:color="auto" w:fill="auto"/>
            <w:noWrap/>
            <w:vAlign w:val="bottom"/>
            <w:hideMark/>
          </w:tcPr>
          <w:p w14:paraId="7C3CBCED" w14:textId="77777777" w:rsidR="003D4339" w:rsidRPr="00004D5C" w:rsidRDefault="003D4339" w:rsidP="003D4339">
            <w:pPr>
              <w:spacing w:before="0" w:after="0" w:line="240" w:lineRule="auto"/>
              <w:jc w:val="left"/>
              <w:rPr>
                <w:rFonts w:cs="Calibri"/>
                <w:color w:val="333333"/>
                <w:sz w:val="22"/>
                <w:szCs w:val="22"/>
                <w:lang w:val="en-CH"/>
              </w:rPr>
            </w:pPr>
            <w:r w:rsidRPr="00004D5C">
              <w:rPr>
                <w:rFonts w:cs="Calibri"/>
                <w:color w:val="333333"/>
                <w:sz w:val="22"/>
                <w:szCs w:val="22"/>
                <w:lang w:val="en-CH"/>
              </w:rPr>
              <w:t>   Yes</w:t>
            </w:r>
          </w:p>
        </w:tc>
        <w:tc>
          <w:tcPr>
            <w:tcW w:w="3131" w:type="dxa"/>
            <w:shd w:val="clear" w:color="auto" w:fill="auto"/>
            <w:noWrap/>
            <w:vAlign w:val="bottom"/>
            <w:hideMark/>
          </w:tcPr>
          <w:p w14:paraId="4128D77E"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841 (14.5%)</w:t>
            </w:r>
          </w:p>
        </w:tc>
        <w:tc>
          <w:tcPr>
            <w:tcW w:w="2238" w:type="dxa"/>
            <w:shd w:val="clear" w:color="auto" w:fill="auto"/>
            <w:noWrap/>
            <w:vAlign w:val="bottom"/>
            <w:hideMark/>
          </w:tcPr>
          <w:p w14:paraId="56DFDF4E"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7811 (10.8%)</w:t>
            </w:r>
          </w:p>
        </w:tc>
        <w:tc>
          <w:tcPr>
            <w:tcW w:w="1080" w:type="dxa"/>
            <w:shd w:val="clear" w:color="auto" w:fill="auto"/>
            <w:noWrap/>
            <w:vAlign w:val="bottom"/>
            <w:hideMark/>
          </w:tcPr>
          <w:p w14:paraId="658687B4" w14:textId="77777777" w:rsidR="003D4339" w:rsidRPr="00004D5C" w:rsidRDefault="003D4339" w:rsidP="003D4339">
            <w:pPr>
              <w:spacing w:before="0" w:after="0" w:line="240" w:lineRule="auto"/>
              <w:jc w:val="center"/>
              <w:rPr>
                <w:rFonts w:cs="Calibri"/>
                <w:color w:val="333333"/>
                <w:sz w:val="22"/>
                <w:szCs w:val="22"/>
                <w:lang w:val="en-CH"/>
              </w:rPr>
            </w:pPr>
          </w:p>
        </w:tc>
      </w:tr>
      <w:tr w:rsidR="003D4339" w:rsidRPr="00004D5C" w14:paraId="0421965E" w14:textId="77777777" w:rsidTr="00004D5C">
        <w:trPr>
          <w:trHeight w:val="360"/>
        </w:trPr>
        <w:tc>
          <w:tcPr>
            <w:tcW w:w="3297" w:type="dxa"/>
            <w:shd w:val="clear" w:color="auto" w:fill="auto"/>
            <w:noWrap/>
            <w:vAlign w:val="bottom"/>
            <w:hideMark/>
          </w:tcPr>
          <w:p w14:paraId="26326C30" w14:textId="77777777" w:rsidR="003D4339" w:rsidRPr="00004D5C" w:rsidRDefault="003D4339" w:rsidP="003D4339">
            <w:pPr>
              <w:spacing w:before="0" w:after="0" w:line="240" w:lineRule="auto"/>
              <w:jc w:val="left"/>
              <w:rPr>
                <w:rFonts w:cs="Calibri"/>
                <w:color w:val="333333"/>
                <w:sz w:val="22"/>
                <w:szCs w:val="22"/>
                <w:lang w:val="en-CH"/>
              </w:rPr>
            </w:pPr>
            <w:r w:rsidRPr="00004D5C">
              <w:rPr>
                <w:rFonts w:cs="Calibri"/>
                <w:color w:val="333333"/>
                <w:sz w:val="22"/>
                <w:szCs w:val="22"/>
                <w:lang w:val="en-CH"/>
              </w:rPr>
              <w:t>   Missing</w:t>
            </w:r>
          </w:p>
        </w:tc>
        <w:tc>
          <w:tcPr>
            <w:tcW w:w="3131" w:type="dxa"/>
            <w:shd w:val="clear" w:color="auto" w:fill="auto"/>
            <w:noWrap/>
            <w:vAlign w:val="bottom"/>
            <w:hideMark/>
          </w:tcPr>
          <w:p w14:paraId="776D46AD"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7615</w:t>
            </w:r>
          </w:p>
        </w:tc>
        <w:tc>
          <w:tcPr>
            <w:tcW w:w="2238" w:type="dxa"/>
            <w:shd w:val="clear" w:color="auto" w:fill="auto"/>
            <w:noWrap/>
            <w:vAlign w:val="bottom"/>
            <w:hideMark/>
          </w:tcPr>
          <w:p w14:paraId="363D4180"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9307</w:t>
            </w:r>
          </w:p>
        </w:tc>
        <w:tc>
          <w:tcPr>
            <w:tcW w:w="1080" w:type="dxa"/>
            <w:shd w:val="clear" w:color="auto" w:fill="auto"/>
            <w:noWrap/>
            <w:vAlign w:val="bottom"/>
            <w:hideMark/>
          </w:tcPr>
          <w:p w14:paraId="67069F7E" w14:textId="77777777" w:rsidR="003D4339" w:rsidRPr="00004D5C" w:rsidRDefault="003D4339" w:rsidP="003D4339">
            <w:pPr>
              <w:spacing w:before="0" w:after="0" w:line="240" w:lineRule="auto"/>
              <w:jc w:val="center"/>
              <w:rPr>
                <w:rFonts w:cs="Calibri"/>
                <w:color w:val="333333"/>
                <w:sz w:val="22"/>
                <w:szCs w:val="22"/>
                <w:lang w:val="en-CH"/>
              </w:rPr>
            </w:pPr>
          </w:p>
        </w:tc>
      </w:tr>
      <w:tr w:rsidR="003D4339" w:rsidRPr="00004D5C" w14:paraId="08E887D9" w14:textId="77777777" w:rsidTr="00004D5C">
        <w:trPr>
          <w:trHeight w:val="360"/>
        </w:trPr>
        <w:tc>
          <w:tcPr>
            <w:tcW w:w="6428" w:type="dxa"/>
            <w:gridSpan w:val="2"/>
            <w:shd w:val="clear" w:color="auto" w:fill="auto"/>
            <w:noWrap/>
            <w:vAlign w:val="bottom"/>
            <w:hideMark/>
          </w:tcPr>
          <w:p w14:paraId="179255B7" w14:textId="332FD998" w:rsidR="003D4339" w:rsidRPr="00004D5C" w:rsidRDefault="003D4339" w:rsidP="003D4339">
            <w:pPr>
              <w:spacing w:before="0" w:after="0" w:line="240" w:lineRule="auto"/>
              <w:jc w:val="left"/>
              <w:rPr>
                <w:rFonts w:cs="Calibri"/>
                <w:b/>
                <w:bCs/>
                <w:color w:val="333333"/>
                <w:sz w:val="22"/>
                <w:szCs w:val="22"/>
                <w:lang w:val="en-CH"/>
              </w:rPr>
            </w:pPr>
            <w:r w:rsidRPr="00004D5C">
              <w:rPr>
                <w:rFonts w:cs="Calibri"/>
                <w:b/>
                <w:bCs/>
                <w:color w:val="333333"/>
                <w:sz w:val="22"/>
                <w:szCs w:val="22"/>
                <w:lang w:val="en-CH"/>
              </w:rPr>
              <w:t>Rurality</w:t>
            </w:r>
            <w:r w:rsidR="003A459B">
              <w:rPr>
                <w:rFonts w:cs="Calibri"/>
                <w:b/>
                <w:bCs/>
                <w:color w:val="333333"/>
                <w:sz w:val="22"/>
                <w:szCs w:val="22"/>
                <w:lang w:val="en-CH"/>
              </w:rPr>
              <w:t xml:space="preserve"> </w:t>
            </w:r>
          </w:p>
        </w:tc>
        <w:tc>
          <w:tcPr>
            <w:tcW w:w="2238" w:type="dxa"/>
            <w:shd w:val="clear" w:color="auto" w:fill="auto"/>
            <w:noWrap/>
            <w:vAlign w:val="bottom"/>
            <w:hideMark/>
          </w:tcPr>
          <w:p w14:paraId="63EEFE7B" w14:textId="77777777" w:rsidR="003D4339" w:rsidRPr="00004D5C" w:rsidRDefault="003D4339" w:rsidP="003D4339">
            <w:pPr>
              <w:spacing w:before="0" w:after="0" w:line="240" w:lineRule="auto"/>
              <w:jc w:val="center"/>
              <w:rPr>
                <w:rFonts w:cs="Calibri"/>
                <w:b/>
                <w:bCs/>
                <w:color w:val="333333"/>
                <w:sz w:val="22"/>
                <w:szCs w:val="22"/>
                <w:lang w:val="en-CH"/>
              </w:rPr>
            </w:pPr>
          </w:p>
        </w:tc>
        <w:tc>
          <w:tcPr>
            <w:tcW w:w="1080" w:type="dxa"/>
            <w:shd w:val="clear" w:color="auto" w:fill="auto"/>
            <w:noWrap/>
            <w:vAlign w:val="bottom"/>
            <w:hideMark/>
          </w:tcPr>
          <w:p w14:paraId="62A5ACF1"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&lt; 0.001</w:t>
            </w:r>
          </w:p>
        </w:tc>
      </w:tr>
      <w:tr w:rsidR="003D4339" w:rsidRPr="00004D5C" w14:paraId="5851920A" w14:textId="77777777" w:rsidTr="00004D5C">
        <w:trPr>
          <w:trHeight w:val="360"/>
        </w:trPr>
        <w:tc>
          <w:tcPr>
            <w:tcW w:w="3297" w:type="dxa"/>
            <w:shd w:val="clear" w:color="auto" w:fill="auto"/>
            <w:noWrap/>
            <w:vAlign w:val="bottom"/>
            <w:hideMark/>
          </w:tcPr>
          <w:p w14:paraId="5BB051B1" w14:textId="77777777" w:rsidR="003D4339" w:rsidRPr="00004D5C" w:rsidRDefault="003D4339" w:rsidP="003D4339">
            <w:pPr>
              <w:spacing w:before="0" w:after="0" w:line="240" w:lineRule="auto"/>
              <w:jc w:val="left"/>
              <w:rPr>
                <w:rFonts w:cs="Calibri"/>
                <w:color w:val="333333"/>
                <w:sz w:val="22"/>
                <w:szCs w:val="22"/>
                <w:lang w:val="en-CH"/>
              </w:rPr>
            </w:pPr>
            <w:r w:rsidRPr="00004D5C">
              <w:rPr>
                <w:rFonts w:cs="Calibri"/>
                <w:color w:val="333333"/>
                <w:sz w:val="22"/>
                <w:szCs w:val="22"/>
                <w:lang w:val="en-CH"/>
              </w:rPr>
              <w:t>   Major Cities of Australia</w:t>
            </w:r>
          </w:p>
        </w:tc>
        <w:tc>
          <w:tcPr>
            <w:tcW w:w="3131" w:type="dxa"/>
            <w:shd w:val="clear" w:color="auto" w:fill="auto"/>
            <w:noWrap/>
            <w:vAlign w:val="bottom"/>
            <w:hideMark/>
          </w:tcPr>
          <w:p w14:paraId="163AE68B"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7323 (55.4%)</w:t>
            </w:r>
          </w:p>
        </w:tc>
        <w:tc>
          <w:tcPr>
            <w:tcW w:w="2238" w:type="dxa"/>
            <w:shd w:val="clear" w:color="auto" w:fill="auto"/>
            <w:noWrap/>
            <w:vAlign w:val="bottom"/>
            <w:hideMark/>
          </w:tcPr>
          <w:p w14:paraId="6CAB23E8"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50036 (61.8%)</w:t>
            </w:r>
          </w:p>
        </w:tc>
        <w:tc>
          <w:tcPr>
            <w:tcW w:w="1080" w:type="dxa"/>
            <w:shd w:val="clear" w:color="auto" w:fill="auto"/>
            <w:noWrap/>
            <w:vAlign w:val="bottom"/>
            <w:hideMark/>
          </w:tcPr>
          <w:p w14:paraId="7C8D6B12" w14:textId="77777777" w:rsidR="003D4339" w:rsidRPr="00004D5C" w:rsidRDefault="003D4339" w:rsidP="003D4339">
            <w:pPr>
              <w:spacing w:before="0" w:after="0" w:line="240" w:lineRule="auto"/>
              <w:jc w:val="center"/>
              <w:rPr>
                <w:rFonts w:cs="Calibri"/>
                <w:color w:val="333333"/>
                <w:sz w:val="22"/>
                <w:szCs w:val="22"/>
                <w:lang w:val="en-CH"/>
              </w:rPr>
            </w:pPr>
          </w:p>
        </w:tc>
      </w:tr>
      <w:tr w:rsidR="003D4339" w:rsidRPr="00004D5C" w14:paraId="7D454CE5" w14:textId="77777777" w:rsidTr="00004D5C">
        <w:trPr>
          <w:trHeight w:val="360"/>
        </w:trPr>
        <w:tc>
          <w:tcPr>
            <w:tcW w:w="3297" w:type="dxa"/>
            <w:shd w:val="clear" w:color="auto" w:fill="auto"/>
            <w:noWrap/>
            <w:vAlign w:val="bottom"/>
            <w:hideMark/>
          </w:tcPr>
          <w:p w14:paraId="4C5C7741" w14:textId="77777777" w:rsidR="003D4339" w:rsidRPr="00004D5C" w:rsidRDefault="003D4339" w:rsidP="003D4339">
            <w:pPr>
              <w:spacing w:before="0" w:after="0" w:line="240" w:lineRule="auto"/>
              <w:jc w:val="left"/>
              <w:rPr>
                <w:rFonts w:cs="Calibri"/>
                <w:color w:val="333333"/>
                <w:sz w:val="22"/>
                <w:szCs w:val="22"/>
                <w:lang w:val="en-CH"/>
              </w:rPr>
            </w:pPr>
            <w:r w:rsidRPr="00004D5C">
              <w:rPr>
                <w:rFonts w:cs="Calibri"/>
                <w:color w:val="333333"/>
                <w:sz w:val="22"/>
                <w:szCs w:val="22"/>
                <w:lang w:val="en-CH"/>
              </w:rPr>
              <w:t>   Inner Regional Australia</w:t>
            </w:r>
          </w:p>
        </w:tc>
        <w:tc>
          <w:tcPr>
            <w:tcW w:w="3131" w:type="dxa"/>
            <w:shd w:val="clear" w:color="auto" w:fill="auto"/>
            <w:noWrap/>
            <w:vAlign w:val="bottom"/>
            <w:hideMark/>
          </w:tcPr>
          <w:p w14:paraId="1257C87D"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4036 (30.5%)</w:t>
            </w:r>
          </w:p>
        </w:tc>
        <w:tc>
          <w:tcPr>
            <w:tcW w:w="2238" w:type="dxa"/>
            <w:shd w:val="clear" w:color="auto" w:fill="auto"/>
            <w:noWrap/>
            <w:vAlign w:val="bottom"/>
            <w:hideMark/>
          </w:tcPr>
          <w:p w14:paraId="4CB32F03"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21504 (26.6%)</w:t>
            </w:r>
          </w:p>
        </w:tc>
        <w:tc>
          <w:tcPr>
            <w:tcW w:w="1080" w:type="dxa"/>
            <w:shd w:val="clear" w:color="auto" w:fill="auto"/>
            <w:noWrap/>
            <w:vAlign w:val="bottom"/>
            <w:hideMark/>
          </w:tcPr>
          <w:p w14:paraId="111F6A7F" w14:textId="77777777" w:rsidR="003D4339" w:rsidRPr="00004D5C" w:rsidRDefault="003D4339" w:rsidP="003D4339">
            <w:pPr>
              <w:spacing w:before="0" w:after="0" w:line="240" w:lineRule="auto"/>
              <w:jc w:val="center"/>
              <w:rPr>
                <w:rFonts w:cs="Calibri"/>
                <w:color w:val="333333"/>
                <w:sz w:val="22"/>
                <w:szCs w:val="22"/>
                <w:lang w:val="en-CH"/>
              </w:rPr>
            </w:pPr>
          </w:p>
        </w:tc>
      </w:tr>
      <w:tr w:rsidR="003D4339" w:rsidRPr="00004D5C" w14:paraId="1EE89C45" w14:textId="77777777" w:rsidTr="00004D5C">
        <w:trPr>
          <w:trHeight w:val="360"/>
        </w:trPr>
        <w:tc>
          <w:tcPr>
            <w:tcW w:w="3297" w:type="dxa"/>
            <w:shd w:val="clear" w:color="auto" w:fill="auto"/>
            <w:noWrap/>
            <w:vAlign w:val="bottom"/>
            <w:hideMark/>
          </w:tcPr>
          <w:p w14:paraId="66A3E753" w14:textId="77777777" w:rsidR="003D4339" w:rsidRPr="00004D5C" w:rsidRDefault="003D4339" w:rsidP="003D4339">
            <w:pPr>
              <w:spacing w:before="0" w:after="0" w:line="240" w:lineRule="auto"/>
              <w:jc w:val="left"/>
              <w:rPr>
                <w:rFonts w:cs="Calibri"/>
                <w:color w:val="333333"/>
                <w:sz w:val="22"/>
                <w:szCs w:val="22"/>
                <w:lang w:val="en-CH"/>
              </w:rPr>
            </w:pPr>
            <w:r w:rsidRPr="00004D5C">
              <w:rPr>
                <w:rFonts w:cs="Calibri"/>
                <w:color w:val="333333"/>
                <w:sz w:val="22"/>
                <w:szCs w:val="22"/>
                <w:lang w:val="en-CH"/>
              </w:rPr>
              <w:t>   Outer Regional Australia</w:t>
            </w:r>
          </w:p>
        </w:tc>
        <w:tc>
          <w:tcPr>
            <w:tcW w:w="3131" w:type="dxa"/>
            <w:shd w:val="clear" w:color="auto" w:fill="auto"/>
            <w:noWrap/>
            <w:vAlign w:val="bottom"/>
            <w:hideMark/>
          </w:tcPr>
          <w:p w14:paraId="38EE37D7"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1609 (12.2%)</w:t>
            </w:r>
          </w:p>
        </w:tc>
        <w:tc>
          <w:tcPr>
            <w:tcW w:w="2238" w:type="dxa"/>
            <w:shd w:val="clear" w:color="auto" w:fill="auto"/>
            <w:noWrap/>
            <w:vAlign w:val="bottom"/>
            <w:hideMark/>
          </w:tcPr>
          <w:p w14:paraId="25E10108"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8146 (10.1%)</w:t>
            </w:r>
          </w:p>
        </w:tc>
        <w:tc>
          <w:tcPr>
            <w:tcW w:w="1080" w:type="dxa"/>
            <w:shd w:val="clear" w:color="auto" w:fill="auto"/>
            <w:noWrap/>
            <w:vAlign w:val="bottom"/>
            <w:hideMark/>
          </w:tcPr>
          <w:p w14:paraId="43F16626" w14:textId="77777777" w:rsidR="003D4339" w:rsidRPr="00004D5C" w:rsidRDefault="003D4339" w:rsidP="003D4339">
            <w:pPr>
              <w:spacing w:before="0" w:after="0" w:line="240" w:lineRule="auto"/>
              <w:jc w:val="center"/>
              <w:rPr>
                <w:rFonts w:cs="Calibri"/>
                <w:color w:val="333333"/>
                <w:sz w:val="22"/>
                <w:szCs w:val="22"/>
                <w:lang w:val="en-CH"/>
              </w:rPr>
            </w:pPr>
          </w:p>
        </w:tc>
      </w:tr>
      <w:tr w:rsidR="003D4339" w:rsidRPr="00004D5C" w14:paraId="04A8847D" w14:textId="77777777" w:rsidTr="00004D5C">
        <w:trPr>
          <w:trHeight w:val="360"/>
        </w:trPr>
        <w:tc>
          <w:tcPr>
            <w:tcW w:w="3297" w:type="dxa"/>
            <w:shd w:val="clear" w:color="auto" w:fill="auto"/>
            <w:noWrap/>
            <w:vAlign w:val="bottom"/>
            <w:hideMark/>
          </w:tcPr>
          <w:p w14:paraId="5CBFBC16" w14:textId="77777777" w:rsidR="003D4339" w:rsidRPr="00004D5C" w:rsidRDefault="003D4339" w:rsidP="003D4339">
            <w:pPr>
              <w:spacing w:before="0" w:after="0" w:line="240" w:lineRule="auto"/>
              <w:jc w:val="left"/>
              <w:rPr>
                <w:rFonts w:cs="Calibri"/>
                <w:color w:val="333333"/>
                <w:sz w:val="22"/>
                <w:szCs w:val="22"/>
                <w:lang w:val="en-CH"/>
              </w:rPr>
            </w:pPr>
            <w:r w:rsidRPr="00004D5C">
              <w:rPr>
                <w:rFonts w:cs="Calibri"/>
                <w:color w:val="333333"/>
                <w:sz w:val="22"/>
                <w:szCs w:val="22"/>
                <w:lang w:val="en-CH"/>
              </w:rPr>
              <w:t>   Remote/very remote Australia</w:t>
            </w:r>
          </w:p>
        </w:tc>
        <w:tc>
          <w:tcPr>
            <w:tcW w:w="3131" w:type="dxa"/>
            <w:shd w:val="clear" w:color="auto" w:fill="auto"/>
            <w:noWrap/>
            <w:vAlign w:val="bottom"/>
            <w:hideMark/>
          </w:tcPr>
          <w:p w14:paraId="429F7A99"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248 (1.9%)</w:t>
            </w:r>
          </w:p>
        </w:tc>
        <w:tc>
          <w:tcPr>
            <w:tcW w:w="2238" w:type="dxa"/>
            <w:shd w:val="clear" w:color="auto" w:fill="auto"/>
            <w:noWrap/>
            <w:vAlign w:val="bottom"/>
            <w:hideMark/>
          </w:tcPr>
          <w:p w14:paraId="7B2F1AEB"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1276 (1.6%)</w:t>
            </w:r>
          </w:p>
        </w:tc>
        <w:tc>
          <w:tcPr>
            <w:tcW w:w="1080" w:type="dxa"/>
            <w:shd w:val="clear" w:color="auto" w:fill="auto"/>
            <w:noWrap/>
            <w:vAlign w:val="bottom"/>
            <w:hideMark/>
          </w:tcPr>
          <w:p w14:paraId="59289352" w14:textId="77777777" w:rsidR="003D4339" w:rsidRPr="00004D5C" w:rsidRDefault="003D4339" w:rsidP="003D4339">
            <w:pPr>
              <w:spacing w:before="0" w:after="0" w:line="240" w:lineRule="auto"/>
              <w:jc w:val="center"/>
              <w:rPr>
                <w:rFonts w:cs="Calibri"/>
                <w:color w:val="333333"/>
                <w:sz w:val="22"/>
                <w:szCs w:val="22"/>
                <w:lang w:val="en-CH"/>
              </w:rPr>
            </w:pPr>
          </w:p>
        </w:tc>
      </w:tr>
      <w:tr w:rsidR="003D4339" w:rsidRPr="00004D5C" w14:paraId="5CDF19BA" w14:textId="77777777" w:rsidTr="00004D5C">
        <w:trPr>
          <w:trHeight w:val="360"/>
        </w:trPr>
        <w:tc>
          <w:tcPr>
            <w:tcW w:w="3297" w:type="dxa"/>
            <w:shd w:val="clear" w:color="auto" w:fill="auto"/>
            <w:noWrap/>
            <w:vAlign w:val="bottom"/>
            <w:hideMark/>
          </w:tcPr>
          <w:p w14:paraId="4FEF5EC4" w14:textId="77777777" w:rsidR="003D4339" w:rsidRPr="00004D5C" w:rsidRDefault="003D4339" w:rsidP="003D4339">
            <w:pPr>
              <w:spacing w:before="0" w:after="0" w:line="240" w:lineRule="auto"/>
              <w:jc w:val="left"/>
              <w:rPr>
                <w:rFonts w:cs="Calibri"/>
                <w:color w:val="333333"/>
                <w:sz w:val="22"/>
                <w:szCs w:val="22"/>
                <w:lang w:val="en-CH"/>
              </w:rPr>
            </w:pPr>
            <w:r w:rsidRPr="00004D5C">
              <w:rPr>
                <w:rFonts w:cs="Calibri"/>
                <w:color w:val="333333"/>
                <w:sz w:val="22"/>
                <w:szCs w:val="22"/>
                <w:lang w:val="en-CH"/>
              </w:rPr>
              <w:t>   Missing</w:t>
            </w:r>
          </w:p>
        </w:tc>
        <w:tc>
          <w:tcPr>
            <w:tcW w:w="3131" w:type="dxa"/>
            <w:shd w:val="clear" w:color="auto" w:fill="auto"/>
            <w:noWrap/>
            <w:vAlign w:val="bottom"/>
            <w:hideMark/>
          </w:tcPr>
          <w:p w14:paraId="2D135740"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192</w:t>
            </w:r>
          </w:p>
        </w:tc>
        <w:tc>
          <w:tcPr>
            <w:tcW w:w="2238" w:type="dxa"/>
            <w:shd w:val="clear" w:color="auto" w:fill="auto"/>
            <w:noWrap/>
            <w:vAlign w:val="bottom"/>
            <w:hideMark/>
          </w:tcPr>
          <w:p w14:paraId="5A07081E"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660</w:t>
            </w:r>
          </w:p>
        </w:tc>
        <w:tc>
          <w:tcPr>
            <w:tcW w:w="1080" w:type="dxa"/>
            <w:shd w:val="clear" w:color="auto" w:fill="auto"/>
            <w:noWrap/>
            <w:vAlign w:val="bottom"/>
            <w:hideMark/>
          </w:tcPr>
          <w:p w14:paraId="5ACF46E1" w14:textId="77777777" w:rsidR="003D4339" w:rsidRPr="00004D5C" w:rsidRDefault="003D4339" w:rsidP="003D4339">
            <w:pPr>
              <w:spacing w:before="0" w:after="0" w:line="240" w:lineRule="auto"/>
              <w:jc w:val="center"/>
              <w:rPr>
                <w:rFonts w:cs="Calibri"/>
                <w:color w:val="333333"/>
                <w:sz w:val="22"/>
                <w:szCs w:val="22"/>
                <w:lang w:val="en-CH"/>
              </w:rPr>
            </w:pPr>
          </w:p>
        </w:tc>
      </w:tr>
      <w:tr w:rsidR="003D4339" w:rsidRPr="00004D5C" w14:paraId="50FD1E4E" w14:textId="77777777" w:rsidTr="00004D5C">
        <w:trPr>
          <w:trHeight w:val="360"/>
        </w:trPr>
        <w:tc>
          <w:tcPr>
            <w:tcW w:w="6428" w:type="dxa"/>
            <w:gridSpan w:val="2"/>
            <w:shd w:val="clear" w:color="auto" w:fill="auto"/>
            <w:noWrap/>
            <w:vAlign w:val="bottom"/>
            <w:hideMark/>
          </w:tcPr>
          <w:p w14:paraId="75EAD54D" w14:textId="77777777" w:rsidR="003D4339" w:rsidRPr="00004D5C" w:rsidRDefault="003D4339" w:rsidP="003D4339">
            <w:pPr>
              <w:spacing w:before="0" w:after="0" w:line="240" w:lineRule="auto"/>
              <w:jc w:val="left"/>
              <w:rPr>
                <w:rFonts w:cs="Calibri"/>
                <w:b/>
                <w:bCs/>
                <w:color w:val="333333"/>
                <w:sz w:val="22"/>
                <w:szCs w:val="22"/>
                <w:lang w:val="en-CH"/>
              </w:rPr>
            </w:pPr>
            <w:r w:rsidRPr="00004D5C">
              <w:rPr>
                <w:rFonts w:cs="Calibri"/>
                <w:b/>
                <w:bCs/>
                <w:color w:val="333333"/>
                <w:sz w:val="22"/>
                <w:szCs w:val="22"/>
                <w:lang w:val="en-CH"/>
              </w:rPr>
              <w:t>Total number of visits</w:t>
            </w:r>
          </w:p>
        </w:tc>
        <w:tc>
          <w:tcPr>
            <w:tcW w:w="2238" w:type="dxa"/>
            <w:shd w:val="clear" w:color="auto" w:fill="auto"/>
            <w:noWrap/>
            <w:vAlign w:val="bottom"/>
            <w:hideMark/>
          </w:tcPr>
          <w:p w14:paraId="4D05D7EB" w14:textId="77777777" w:rsidR="003D4339" w:rsidRPr="00004D5C" w:rsidRDefault="003D4339" w:rsidP="003D4339">
            <w:pPr>
              <w:spacing w:before="0" w:after="0" w:line="240" w:lineRule="auto"/>
              <w:jc w:val="center"/>
              <w:rPr>
                <w:rFonts w:cs="Calibri"/>
                <w:b/>
                <w:bCs/>
                <w:color w:val="333333"/>
                <w:sz w:val="22"/>
                <w:szCs w:val="22"/>
                <w:lang w:val="en-CH"/>
              </w:rPr>
            </w:pPr>
          </w:p>
        </w:tc>
        <w:tc>
          <w:tcPr>
            <w:tcW w:w="1080" w:type="dxa"/>
            <w:shd w:val="clear" w:color="auto" w:fill="auto"/>
            <w:noWrap/>
            <w:vAlign w:val="bottom"/>
            <w:hideMark/>
          </w:tcPr>
          <w:p w14:paraId="74393041"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&lt; 0.001</w:t>
            </w:r>
          </w:p>
        </w:tc>
      </w:tr>
      <w:tr w:rsidR="003D4339" w:rsidRPr="00004D5C" w14:paraId="6FC5A1BA" w14:textId="77777777" w:rsidTr="00004D5C">
        <w:trPr>
          <w:trHeight w:val="360"/>
        </w:trPr>
        <w:tc>
          <w:tcPr>
            <w:tcW w:w="3297" w:type="dxa"/>
            <w:shd w:val="clear" w:color="auto" w:fill="auto"/>
            <w:noWrap/>
            <w:vAlign w:val="bottom"/>
            <w:hideMark/>
          </w:tcPr>
          <w:p w14:paraId="1980775F" w14:textId="77777777" w:rsidR="003D4339" w:rsidRPr="00004D5C" w:rsidRDefault="003D4339" w:rsidP="003D4339">
            <w:pPr>
              <w:spacing w:before="0" w:after="0" w:line="240" w:lineRule="auto"/>
              <w:jc w:val="left"/>
              <w:rPr>
                <w:rFonts w:cs="Calibri"/>
                <w:color w:val="333333"/>
                <w:sz w:val="22"/>
                <w:szCs w:val="22"/>
                <w:lang w:val="en-CH"/>
              </w:rPr>
            </w:pPr>
            <w:r w:rsidRPr="00004D5C">
              <w:rPr>
                <w:rFonts w:cs="Calibri"/>
                <w:color w:val="333333"/>
                <w:sz w:val="22"/>
                <w:szCs w:val="22"/>
                <w:lang w:val="en-CH"/>
              </w:rPr>
              <w:t>   Mean (SD)</w:t>
            </w:r>
          </w:p>
        </w:tc>
        <w:tc>
          <w:tcPr>
            <w:tcW w:w="3131" w:type="dxa"/>
            <w:shd w:val="clear" w:color="auto" w:fill="auto"/>
            <w:noWrap/>
            <w:vAlign w:val="bottom"/>
            <w:hideMark/>
          </w:tcPr>
          <w:p w14:paraId="7070339A"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1.3 (1.4)</w:t>
            </w:r>
          </w:p>
        </w:tc>
        <w:tc>
          <w:tcPr>
            <w:tcW w:w="2238" w:type="dxa"/>
            <w:shd w:val="clear" w:color="auto" w:fill="auto"/>
            <w:noWrap/>
            <w:vAlign w:val="bottom"/>
            <w:hideMark/>
          </w:tcPr>
          <w:p w14:paraId="1B788EB6"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3.7 (3.6)</w:t>
            </w:r>
          </w:p>
        </w:tc>
        <w:tc>
          <w:tcPr>
            <w:tcW w:w="1080" w:type="dxa"/>
            <w:shd w:val="clear" w:color="auto" w:fill="auto"/>
            <w:noWrap/>
            <w:vAlign w:val="bottom"/>
            <w:hideMark/>
          </w:tcPr>
          <w:p w14:paraId="7B07A804" w14:textId="77777777" w:rsidR="003D4339" w:rsidRPr="00004D5C" w:rsidRDefault="003D4339" w:rsidP="003D4339">
            <w:pPr>
              <w:spacing w:before="0" w:after="0" w:line="240" w:lineRule="auto"/>
              <w:jc w:val="center"/>
              <w:rPr>
                <w:rFonts w:cs="Calibri"/>
                <w:color w:val="333333"/>
                <w:sz w:val="22"/>
                <w:szCs w:val="22"/>
                <w:lang w:val="en-CH"/>
              </w:rPr>
            </w:pPr>
          </w:p>
        </w:tc>
      </w:tr>
      <w:tr w:rsidR="003D4339" w:rsidRPr="00004D5C" w14:paraId="4DEC90A5" w14:textId="77777777" w:rsidTr="00004D5C">
        <w:trPr>
          <w:trHeight w:val="360"/>
        </w:trPr>
        <w:tc>
          <w:tcPr>
            <w:tcW w:w="3297" w:type="dxa"/>
            <w:shd w:val="clear" w:color="auto" w:fill="auto"/>
            <w:noWrap/>
            <w:vAlign w:val="bottom"/>
            <w:hideMark/>
          </w:tcPr>
          <w:p w14:paraId="0BDA5B94" w14:textId="77777777" w:rsidR="003D4339" w:rsidRPr="00004D5C" w:rsidRDefault="003D4339" w:rsidP="003D4339">
            <w:pPr>
              <w:spacing w:before="0" w:after="0" w:line="240" w:lineRule="auto"/>
              <w:jc w:val="left"/>
              <w:rPr>
                <w:rFonts w:cs="Calibri"/>
                <w:color w:val="333333"/>
                <w:sz w:val="22"/>
                <w:szCs w:val="22"/>
                <w:lang w:val="en-CH"/>
              </w:rPr>
            </w:pPr>
            <w:r w:rsidRPr="00004D5C">
              <w:rPr>
                <w:rFonts w:cs="Calibri"/>
                <w:color w:val="333333"/>
                <w:sz w:val="22"/>
                <w:szCs w:val="22"/>
                <w:lang w:val="en-CH"/>
              </w:rPr>
              <w:t>   Median (Q1, Q3)</w:t>
            </w:r>
          </w:p>
        </w:tc>
        <w:tc>
          <w:tcPr>
            <w:tcW w:w="3131" w:type="dxa"/>
            <w:shd w:val="clear" w:color="auto" w:fill="auto"/>
            <w:noWrap/>
            <w:vAlign w:val="bottom"/>
            <w:hideMark/>
          </w:tcPr>
          <w:p w14:paraId="52F7EBBF"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1.0 (1.0, 1.0)</w:t>
            </w:r>
          </w:p>
        </w:tc>
        <w:tc>
          <w:tcPr>
            <w:tcW w:w="2238" w:type="dxa"/>
            <w:shd w:val="clear" w:color="auto" w:fill="auto"/>
            <w:noWrap/>
            <w:vAlign w:val="bottom"/>
            <w:hideMark/>
          </w:tcPr>
          <w:p w14:paraId="0C1BD3F5"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2.0 (1.0, 5.0)</w:t>
            </w:r>
          </w:p>
        </w:tc>
        <w:tc>
          <w:tcPr>
            <w:tcW w:w="1080" w:type="dxa"/>
            <w:shd w:val="clear" w:color="auto" w:fill="auto"/>
            <w:noWrap/>
            <w:vAlign w:val="bottom"/>
            <w:hideMark/>
          </w:tcPr>
          <w:p w14:paraId="229F221E" w14:textId="77777777" w:rsidR="003D4339" w:rsidRPr="00004D5C" w:rsidRDefault="003D4339" w:rsidP="003D4339">
            <w:pPr>
              <w:spacing w:before="0" w:after="0" w:line="240" w:lineRule="auto"/>
              <w:jc w:val="center"/>
              <w:rPr>
                <w:rFonts w:cs="Calibri"/>
                <w:color w:val="333333"/>
                <w:sz w:val="22"/>
                <w:szCs w:val="22"/>
                <w:lang w:val="en-CH"/>
              </w:rPr>
            </w:pPr>
          </w:p>
        </w:tc>
      </w:tr>
      <w:tr w:rsidR="003D4339" w:rsidRPr="00004D5C" w14:paraId="0F56CF91" w14:textId="77777777" w:rsidTr="00004D5C">
        <w:trPr>
          <w:trHeight w:val="360"/>
        </w:trPr>
        <w:tc>
          <w:tcPr>
            <w:tcW w:w="3297" w:type="dxa"/>
            <w:shd w:val="clear" w:color="auto" w:fill="auto"/>
            <w:noWrap/>
            <w:vAlign w:val="bottom"/>
            <w:hideMark/>
          </w:tcPr>
          <w:p w14:paraId="4F79866D" w14:textId="77777777" w:rsidR="003D4339" w:rsidRPr="00004D5C" w:rsidRDefault="003D4339" w:rsidP="003D4339">
            <w:pPr>
              <w:spacing w:before="0" w:after="0" w:line="240" w:lineRule="auto"/>
              <w:jc w:val="left"/>
              <w:rPr>
                <w:rFonts w:cs="Calibri"/>
                <w:color w:val="333333"/>
                <w:sz w:val="22"/>
                <w:szCs w:val="22"/>
                <w:lang w:val="en-CH"/>
              </w:rPr>
            </w:pPr>
            <w:r w:rsidRPr="00004D5C">
              <w:rPr>
                <w:rFonts w:cs="Calibri"/>
                <w:color w:val="333333"/>
                <w:sz w:val="22"/>
                <w:szCs w:val="22"/>
                <w:lang w:val="en-CH"/>
              </w:rPr>
              <w:t>   Missing</w:t>
            </w:r>
          </w:p>
        </w:tc>
        <w:tc>
          <w:tcPr>
            <w:tcW w:w="3131" w:type="dxa"/>
            <w:shd w:val="clear" w:color="auto" w:fill="auto"/>
            <w:noWrap/>
            <w:vAlign w:val="bottom"/>
            <w:hideMark/>
          </w:tcPr>
          <w:p w14:paraId="0426D1E7"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0</w:t>
            </w:r>
          </w:p>
        </w:tc>
        <w:tc>
          <w:tcPr>
            <w:tcW w:w="2238" w:type="dxa"/>
            <w:shd w:val="clear" w:color="auto" w:fill="auto"/>
            <w:noWrap/>
            <w:vAlign w:val="bottom"/>
            <w:hideMark/>
          </w:tcPr>
          <w:p w14:paraId="604F3746"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0</w:t>
            </w:r>
          </w:p>
        </w:tc>
        <w:tc>
          <w:tcPr>
            <w:tcW w:w="1080" w:type="dxa"/>
            <w:shd w:val="clear" w:color="auto" w:fill="auto"/>
            <w:noWrap/>
            <w:vAlign w:val="bottom"/>
            <w:hideMark/>
          </w:tcPr>
          <w:p w14:paraId="5A0866A6" w14:textId="77777777" w:rsidR="003D4339" w:rsidRPr="00004D5C" w:rsidRDefault="003D4339" w:rsidP="003D4339">
            <w:pPr>
              <w:spacing w:before="0" w:after="0" w:line="240" w:lineRule="auto"/>
              <w:jc w:val="center"/>
              <w:rPr>
                <w:rFonts w:cs="Calibri"/>
                <w:color w:val="333333"/>
                <w:sz w:val="22"/>
                <w:szCs w:val="22"/>
                <w:lang w:val="en-CH"/>
              </w:rPr>
            </w:pPr>
          </w:p>
        </w:tc>
      </w:tr>
      <w:tr w:rsidR="003D4339" w:rsidRPr="00004D5C" w14:paraId="3007E170" w14:textId="77777777" w:rsidTr="00004D5C">
        <w:trPr>
          <w:trHeight w:val="360"/>
        </w:trPr>
        <w:tc>
          <w:tcPr>
            <w:tcW w:w="6428" w:type="dxa"/>
            <w:gridSpan w:val="2"/>
            <w:shd w:val="clear" w:color="auto" w:fill="auto"/>
            <w:noWrap/>
            <w:vAlign w:val="bottom"/>
            <w:hideMark/>
          </w:tcPr>
          <w:p w14:paraId="10659850" w14:textId="59EA1C28" w:rsidR="003D4339" w:rsidRPr="00004D5C" w:rsidRDefault="003D4339" w:rsidP="003D4339">
            <w:pPr>
              <w:spacing w:before="0" w:after="0" w:line="240" w:lineRule="auto"/>
              <w:jc w:val="left"/>
              <w:rPr>
                <w:rFonts w:cs="Calibri"/>
                <w:b/>
                <w:bCs/>
                <w:color w:val="333333"/>
                <w:sz w:val="22"/>
                <w:szCs w:val="22"/>
                <w:lang w:val="en-CH"/>
              </w:rPr>
            </w:pPr>
            <w:r w:rsidRPr="00775880">
              <w:rPr>
                <w:rFonts w:cs="Calibri"/>
                <w:b/>
                <w:bCs/>
                <w:color w:val="333333"/>
                <w:sz w:val="22"/>
                <w:szCs w:val="22"/>
                <w:lang w:val="en-CH"/>
              </w:rPr>
              <w:t>Socio-economic status (IRSAD group)</w:t>
            </w:r>
          </w:p>
        </w:tc>
        <w:tc>
          <w:tcPr>
            <w:tcW w:w="2238" w:type="dxa"/>
            <w:shd w:val="clear" w:color="auto" w:fill="auto"/>
            <w:noWrap/>
            <w:vAlign w:val="bottom"/>
            <w:hideMark/>
          </w:tcPr>
          <w:p w14:paraId="2490F61A" w14:textId="77777777" w:rsidR="003D4339" w:rsidRPr="00004D5C" w:rsidRDefault="003D4339" w:rsidP="003D4339">
            <w:pPr>
              <w:spacing w:before="0" w:after="0" w:line="240" w:lineRule="auto"/>
              <w:jc w:val="center"/>
              <w:rPr>
                <w:rFonts w:cs="Calibri"/>
                <w:b/>
                <w:bCs/>
                <w:color w:val="333333"/>
                <w:sz w:val="22"/>
                <w:szCs w:val="22"/>
                <w:lang w:val="en-CH"/>
              </w:rPr>
            </w:pPr>
          </w:p>
        </w:tc>
        <w:tc>
          <w:tcPr>
            <w:tcW w:w="1080" w:type="dxa"/>
            <w:shd w:val="clear" w:color="auto" w:fill="auto"/>
            <w:noWrap/>
            <w:vAlign w:val="bottom"/>
            <w:hideMark/>
          </w:tcPr>
          <w:p w14:paraId="683E1065"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&lt; 0.001</w:t>
            </w:r>
          </w:p>
        </w:tc>
      </w:tr>
      <w:tr w:rsidR="003D4339" w:rsidRPr="00004D5C" w14:paraId="02AB19D0" w14:textId="77777777" w:rsidTr="00004D5C">
        <w:trPr>
          <w:trHeight w:val="360"/>
        </w:trPr>
        <w:tc>
          <w:tcPr>
            <w:tcW w:w="3297" w:type="dxa"/>
            <w:shd w:val="clear" w:color="auto" w:fill="auto"/>
            <w:noWrap/>
            <w:vAlign w:val="bottom"/>
            <w:hideMark/>
          </w:tcPr>
          <w:p w14:paraId="39604AFF" w14:textId="77777777" w:rsidR="003D4339" w:rsidRPr="00004D5C" w:rsidRDefault="003D4339" w:rsidP="003D4339">
            <w:pPr>
              <w:spacing w:before="0" w:after="0" w:line="240" w:lineRule="auto"/>
              <w:jc w:val="left"/>
              <w:rPr>
                <w:rFonts w:cs="Calibri"/>
                <w:color w:val="333333"/>
                <w:sz w:val="22"/>
                <w:szCs w:val="22"/>
                <w:lang w:val="en-CH"/>
              </w:rPr>
            </w:pPr>
            <w:r w:rsidRPr="00004D5C">
              <w:rPr>
                <w:rFonts w:cs="Calibri"/>
                <w:color w:val="333333"/>
                <w:sz w:val="22"/>
                <w:szCs w:val="22"/>
                <w:lang w:val="en-CH"/>
              </w:rPr>
              <w:t>   Low</w:t>
            </w:r>
          </w:p>
        </w:tc>
        <w:tc>
          <w:tcPr>
            <w:tcW w:w="3131" w:type="dxa"/>
            <w:shd w:val="clear" w:color="auto" w:fill="auto"/>
            <w:noWrap/>
            <w:vAlign w:val="bottom"/>
            <w:hideMark/>
          </w:tcPr>
          <w:p w14:paraId="3E29F327"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4650 (34.7%)</w:t>
            </w:r>
          </w:p>
        </w:tc>
        <w:tc>
          <w:tcPr>
            <w:tcW w:w="2238" w:type="dxa"/>
            <w:shd w:val="clear" w:color="auto" w:fill="auto"/>
            <w:noWrap/>
            <w:vAlign w:val="bottom"/>
            <w:hideMark/>
          </w:tcPr>
          <w:p w14:paraId="6A61E2D3"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27010 (33.1%)</w:t>
            </w:r>
          </w:p>
        </w:tc>
        <w:tc>
          <w:tcPr>
            <w:tcW w:w="1080" w:type="dxa"/>
            <w:shd w:val="clear" w:color="auto" w:fill="auto"/>
            <w:noWrap/>
            <w:vAlign w:val="bottom"/>
            <w:hideMark/>
          </w:tcPr>
          <w:p w14:paraId="4847B9AE" w14:textId="77777777" w:rsidR="003D4339" w:rsidRPr="00004D5C" w:rsidRDefault="003D4339" w:rsidP="003D4339">
            <w:pPr>
              <w:spacing w:before="0" w:after="0" w:line="240" w:lineRule="auto"/>
              <w:jc w:val="center"/>
              <w:rPr>
                <w:rFonts w:cs="Calibri"/>
                <w:color w:val="333333"/>
                <w:sz w:val="22"/>
                <w:szCs w:val="22"/>
                <w:lang w:val="en-CH"/>
              </w:rPr>
            </w:pPr>
          </w:p>
        </w:tc>
      </w:tr>
      <w:tr w:rsidR="003D4339" w:rsidRPr="00004D5C" w14:paraId="172243C5" w14:textId="77777777" w:rsidTr="00004D5C">
        <w:trPr>
          <w:trHeight w:val="360"/>
        </w:trPr>
        <w:tc>
          <w:tcPr>
            <w:tcW w:w="3297" w:type="dxa"/>
            <w:shd w:val="clear" w:color="auto" w:fill="auto"/>
            <w:noWrap/>
            <w:vAlign w:val="bottom"/>
            <w:hideMark/>
          </w:tcPr>
          <w:p w14:paraId="7909EC9E" w14:textId="77777777" w:rsidR="003D4339" w:rsidRPr="00004D5C" w:rsidRDefault="003D4339" w:rsidP="003D4339">
            <w:pPr>
              <w:spacing w:before="0" w:after="0" w:line="240" w:lineRule="auto"/>
              <w:jc w:val="left"/>
              <w:rPr>
                <w:rFonts w:cs="Calibri"/>
                <w:color w:val="333333"/>
                <w:sz w:val="22"/>
                <w:szCs w:val="22"/>
                <w:lang w:val="en-CH"/>
              </w:rPr>
            </w:pPr>
            <w:r w:rsidRPr="00004D5C">
              <w:rPr>
                <w:rFonts w:cs="Calibri"/>
                <w:color w:val="333333"/>
                <w:sz w:val="22"/>
                <w:szCs w:val="22"/>
                <w:lang w:val="en-CH"/>
              </w:rPr>
              <w:t>   Medium</w:t>
            </w:r>
          </w:p>
        </w:tc>
        <w:tc>
          <w:tcPr>
            <w:tcW w:w="3131" w:type="dxa"/>
            <w:shd w:val="clear" w:color="auto" w:fill="auto"/>
            <w:noWrap/>
            <w:vAlign w:val="bottom"/>
            <w:hideMark/>
          </w:tcPr>
          <w:p w14:paraId="0CC7621D"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4199 (31.3%)</w:t>
            </w:r>
          </w:p>
        </w:tc>
        <w:tc>
          <w:tcPr>
            <w:tcW w:w="2238" w:type="dxa"/>
            <w:shd w:val="clear" w:color="auto" w:fill="auto"/>
            <w:noWrap/>
            <w:vAlign w:val="bottom"/>
            <w:hideMark/>
          </w:tcPr>
          <w:p w14:paraId="580BAE8D"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26848 (32.9%)</w:t>
            </w:r>
          </w:p>
        </w:tc>
        <w:tc>
          <w:tcPr>
            <w:tcW w:w="1080" w:type="dxa"/>
            <w:shd w:val="clear" w:color="auto" w:fill="auto"/>
            <w:noWrap/>
            <w:vAlign w:val="bottom"/>
            <w:hideMark/>
          </w:tcPr>
          <w:p w14:paraId="53344405" w14:textId="77777777" w:rsidR="003D4339" w:rsidRPr="00004D5C" w:rsidRDefault="003D4339" w:rsidP="003D4339">
            <w:pPr>
              <w:spacing w:before="0" w:after="0" w:line="240" w:lineRule="auto"/>
              <w:jc w:val="center"/>
              <w:rPr>
                <w:rFonts w:cs="Calibri"/>
                <w:color w:val="333333"/>
                <w:sz w:val="22"/>
                <w:szCs w:val="22"/>
                <w:lang w:val="en-CH"/>
              </w:rPr>
            </w:pPr>
          </w:p>
        </w:tc>
      </w:tr>
      <w:tr w:rsidR="003D4339" w:rsidRPr="00004D5C" w14:paraId="149AB9E4" w14:textId="77777777" w:rsidTr="00004D5C">
        <w:trPr>
          <w:trHeight w:val="360"/>
        </w:trPr>
        <w:tc>
          <w:tcPr>
            <w:tcW w:w="3297" w:type="dxa"/>
            <w:shd w:val="clear" w:color="auto" w:fill="auto"/>
            <w:noWrap/>
            <w:vAlign w:val="bottom"/>
            <w:hideMark/>
          </w:tcPr>
          <w:p w14:paraId="188E88C7" w14:textId="77777777" w:rsidR="003D4339" w:rsidRPr="00004D5C" w:rsidRDefault="003D4339" w:rsidP="003D4339">
            <w:pPr>
              <w:spacing w:before="0" w:after="0" w:line="240" w:lineRule="auto"/>
              <w:jc w:val="left"/>
              <w:rPr>
                <w:rFonts w:cs="Calibri"/>
                <w:color w:val="333333"/>
                <w:sz w:val="22"/>
                <w:szCs w:val="22"/>
                <w:lang w:val="en-CH"/>
              </w:rPr>
            </w:pPr>
            <w:r w:rsidRPr="00004D5C">
              <w:rPr>
                <w:rFonts w:cs="Calibri"/>
                <w:color w:val="333333"/>
                <w:sz w:val="22"/>
                <w:szCs w:val="22"/>
                <w:lang w:val="en-CH"/>
              </w:rPr>
              <w:t>   High</w:t>
            </w:r>
          </w:p>
        </w:tc>
        <w:tc>
          <w:tcPr>
            <w:tcW w:w="3131" w:type="dxa"/>
            <w:shd w:val="clear" w:color="auto" w:fill="auto"/>
            <w:noWrap/>
            <w:vAlign w:val="bottom"/>
            <w:hideMark/>
          </w:tcPr>
          <w:p w14:paraId="2F21F437"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4554 (34.0%)</w:t>
            </w:r>
          </w:p>
        </w:tc>
        <w:tc>
          <w:tcPr>
            <w:tcW w:w="2238" w:type="dxa"/>
            <w:shd w:val="clear" w:color="auto" w:fill="auto"/>
            <w:noWrap/>
            <w:vAlign w:val="bottom"/>
            <w:hideMark/>
          </w:tcPr>
          <w:p w14:paraId="44A2A51E"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27722 (34.0%)</w:t>
            </w:r>
          </w:p>
        </w:tc>
        <w:tc>
          <w:tcPr>
            <w:tcW w:w="1080" w:type="dxa"/>
            <w:shd w:val="clear" w:color="auto" w:fill="auto"/>
            <w:noWrap/>
            <w:vAlign w:val="bottom"/>
            <w:hideMark/>
          </w:tcPr>
          <w:p w14:paraId="2EA54026" w14:textId="77777777" w:rsidR="003D4339" w:rsidRPr="00004D5C" w:rsidRDefault="003D4339" w:rsidP="003D4339">
            <w:pPr>
              <w:spacing w:before="0" w:after="0" w:line="240" w:lineRule="auto"/>
              <w:jc w:val="center"/>
              <w:rPr>
                <w:rFonts w:cs="Calibri"/>
                <w:color w:val="333333"/>
                <w:sz w:val="22"/>
                <w:szCs w:val="22"/>
                <w:lang w:val="en-CH"/>
              </w:rPr>
            </w:pPr>
          </w:p>
        </w:tc>
      </w:tr>
      <w:tr w:rsidR="003D4339" w:rsidRPr="00004D5C" w14:paraId="66B1B7EE" w14:textId="77777777" w:rsidTr="00004D5C">
        <w:trPr>
          <w:trHeight w:val="360"/>
        </w:trPr>
        <w:tc>
          <w:tcPr>
            <w:tcW w:w="3297" w:type="dxa"/>
            <w:shd w:val="clear" w:color="auto" w:fill="auto"/>
            <w:noWrap/>
            <w:vAlign w:val="bottom"/>
            <w:hideMark/>
          </w:tcPr>
          <w:p w14:paraId="0EDA0944" w14:textId="77777777" w:rsidR="003D4339" w:rsidRPr="00004D5C" w:rsidRDefault="003D4339" w:rsidP="003D4339">
            <w:pPr>
              <w:spacing w:before="0" w:after="0" w:line="240" w:lineRule="auto"/>
              <w:jc w:val="left"/>
              <w:rPr>
                <w:rFonts w:cs="Calibri"/>
                <w:color w:val="333333"/>
                <w:sz w:val="22"/>
                <w:szCs w:val="22"/>
                <w:lang w:val="en-CH"/>
              </w:rPr>
            </w:pPr>
            <w:r w:rsidRPr="00004D5C">
              <w:rPr>
                <w:rFonts w:cs="Calibri"/>
                <w:color w:val="333333"/>
                <w:sz w:val="22"/>
                <w:szCs w:val="22"/>
                <w:lang w:val="en-CH"/>
              </w:rPr>
              <w:t>   Missing</w:t>
            </w:r>
          </w:p>
        </w:tc>
        <w:tc>
          <w:tcPr>
            <w:tcW w:w="3131" w:type="dxa"/>
            <w:shd w:val="clear" w:color="auto" w:fill="auto"/>
            <w:noWrap/>
            <w:vAlign w:val="bottom"/>
            <w:hideMark/>
          </w:tcPr>
          <w:p w14:paraId="5DA23A56"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5</w:t>
            </w:r>
          </w:p>
        </w:tc>
        <w:tc>
          <w:tcPr>
            <w:tcW w:w="2238" w:type="dxa"/>
            <w:shd w:val="clear" w:color="auto" w:fill="auto"/>
            <w:noWrap/>
            <w:vAlign w:val="bottom"/>
            <w:hideMark/>
          </w:tcPr>
          <w:p w14:paraId="33A4DDC5" w14:textId="77777777" w:rsidR="003D4339" w:rsidRPr="00004D5C" w:rsidRDefault="003D4339" w:rsidP="003D4339">
            <w:pPr>
              <w:spacing w:before="0" w:after="0" w:line="240" w:lineRule="auto"/>
              <w:jc w:val="center"/>
              <w:rPr>
                <w:rFonts w:cs="Calibri"/>
                <w:color w:val="333333"/>
                <w:sz w:val="22"/>
                <w:szCs w:val="22"/>
                <w:lang w:val="en-CH"/>
              </w:rPr>
            </w:pPr>
            <w:r w:rsidRPr="00004D5C">
              <w:rPr>
                <w:rFonts w:cs="Calibri"/>
                <w:color w:val="333333"/>
                <w:sz w:val="22"/>
                <w:szCs w:val="22"/>
                <w:lang w:val="en-CH"/>
              </w:rPr>
              <w:t>42</w:t>
            </w:r>
          </w:p>
        </w:tc>
        <w:tc>
          <w:tcPr>
            <w:tcW w:w="1080" w:type="dxa"/>
            <w:shd w:val="clear" w:color="auto" w:fill="auto"/>
            <w:noWrap/>
            <w:vAlign w:val="bottom"/>
            <w:hideMark/>
          </w:tcPr>
          <w:p w14:paraId="56DC90F4" w14:textId="77777777" w:rsidR="003D4339" w:rsidRPr="00004D5C" w:rsidRDefault="003D4339" w:rsidP="003D4339">
            <w:pPr>
              <w:spacing w:before="0" w:after="0" w:line="240" w:lineRule="auto"/>
              <w:jc w:val="center"/>
              <w:rPr>
                <w:rFonts w:cs="Calibri"/>
                <w:color w:val="333333"/>
                <w:sz w:val="22"/>
                <w:szCs w:val="22"/>
                <w:lang w:val="en-CH"/>
              </w:rPr>
            </w:pPr>
          </w:p>
        </w:tc>
      </w:tr>
    </w:tbl>
    <w:p w14:paraId="304D9F78" w14:textId="77777777" w:rsidR="003F48E8" w:rsidRDefault="003F48E8" w:rsidP="003F48E8">
      <w:pPr>
        <w:spacing w:before="0" w:after="0" w:line="276" w:lineRule="auto"/>
        <w:jc w:val="left"/>
        <w:rPr>
          <w:rFonts w:cstheme="minorHAnsi"/>
          <w:color w:val="333333"/>
        </w:rPr>
      </w:pPr>
      <w:r w:rsidRPr="00011669">
        <w:rPr>
          <w:rFonts w:cstheme="minorHAnsi"/>
          <w:color w:val="333333"/>
          <w:vertAlign w:val="superscript"/>
        </w:rPr>
        <w:t xml:space="preserve">* </w:t>
      </w:r>
      <w:r w:rsidRPr="00011669">
        <w:rPr>
          <w:rFonts w:cstheme="minorHAnsi"/>
          <w:color w:val="333333"/>
        </w:rPr>
        <w:t xml:space="preserve">Born in countries other than Australia and New Zealand or spoken language other than English at home. </w:t>
      </w:r>
    </w:p>
    <w:p w14:paraId="28CCD584" w14:textId="77777777" w:rsidR="00AD5053" w:rsidRDefault="00AD5053" w:rsidP="0042504C"/>
    <w:p w14:paraId="2FA03DAD" w14:textId="77777777" w:rsidR="00764799" w:rsidRDefault="00764799" w:rsidP="0042504C"/>
    <w:p w14:paraId="6C469DF4" w14:textId="77777777" w:rsidR="00764799" w:rsidRDefault="00764799" w:rsidP="0042504C"/>
    <w:p w14:paraId="1D5FDA5D" w14:textId="77777777" w:rsidR="00764799" w:rsidRPr="00FA2146" w:rsidRDefault="00764799" w:rsidP="0042504C">
      <w:pPr>
        <w:sectPr w:rsidR="00764799" w:rsidRPr="00FA2146" w:rsidSect="00DC2CC8">
          <w:pgSz w:w="11906" w:h="16838"/>
          <w:pgMar w:top="1440" w:right="1080" w:bottom="1440" w:left="1080" w:header="708" w:footer="708" w:gutter="0"/>
          <w:cols w:space="708"/>
          <w:titlePg/>
          <w:docGrid w:linePitch="360"/>
        </w:sectPr>
      </w:pPr>
    </w:p>
    <w:p w14:paraId="0148EAD8" w14:textId="2028025F" w:rsidR="0042504C" w:rsidRPr="00FA2146" w:rsidRDefault="0042504C" w:rsidP="0042504C">
      <w:r w:rsidRPr="00FA2146">
        <w:lastRenderedPageBreak/>
        <w:t>Table S</w:t>
      </w:r>
      <w:r w:rsidR="00764799">
        <w:t>4</w:t>
      </w:r>
      <w:r w:rsidRPr="00FA2146">
        <w:t xml:space="preserve">. Characteristics of young people across all EOCs </w:t>
      </w:r>
    </w:p>
    <w:tbl>
      <w:tblPr>
        <w:tblStyle w:val="Mytable"/>
        <w:tblW w:w="5000" w:type="pct"/>
        <w:tblLook w:val="04A0" w:firstRow="1" w:lastRow="0" w:firstColumn="1" w:lastColumn="0" w:noHBand="0" w:noVBand="1"/>
      </w:tblPr>
      <w:tblGrid>
        <w:gridCol w:w="4362"/>
        <w:gridCol w:w="2149"/>
        <w:gridCol w:w="2149"/>
        <w:gridCol w:w="2008"/>
        <w:gridCol w:w="2011"/>
        <w:gridCol w:w="1999"/>
      </w:tblGrid>
      <w:tr w:rsidR="0042504C" w:rsidRPr="00FA2146" w14:paraId="5C11265B" w14:textId="77777777" w:rsidTr="00B43E1B">
        <w:trPr>
          <w:cnfStyle w:val="100000000000" w:firstRow="1" w:lastRow="0" w:firstColumn="0" w:lastColumn="0" w:oddVBand="0" w:evenVBand="0" w:oddHBand="0" w:evenHBand="0" w:firstRowFirstColumn="0" w:firstRowLastColumn="0" w:lastRowFirstColumn="0" w:lastRowLastColumn="0"/>
          <w:trHeight w:val="340"/>
        </w:trPr>
        <w:tc>
          <w:tcPr>
            <w:tcW w:w="1486" w:type="pct"/>
            <w:tcBorders>
              <w:top w:val="single" w:sz="8" w:space="0" w:color="auto"/>
              <w:bottom w:val="nil"/>
            </w:tcBorders>
            <w:noWrap/>
            <w:vAlign w:val="center"/>
            <w:hideMark/>
          </w:tcPr>
          <w:p w14:paraId="656617C4" w14:textId="77777777" w:rsidR="0042504C" w:rsidRPr="00FA2146" w:rsidRDefault="0042504C" w:rsidP="00B43E1B">
            <w:pPr>
              <w:spacing w:before="0" w:after="0" w:line="240" w:lineRule="auto"/>
              <w:jc w:val="left"/>
              <w:rPr>
                <w:rFonts w:cstheme="minorHAnsi"/>
                <w:color w:val="000000"/>
                <w:sz w:val="22"/>
                <w:szCs w:val="22"/>
              </w:rPr>
            </w:pPr>
          </w:p>
        </w:tc>
        <w:tc>
          <w:tcPr>
            <w:tcW w:w="2833" w:type="pct"/>
            <w:gridSpan w:val="4"/>
            <w:tcBorders>
              <w:top w:val="single" w:sz="8" w:space="0" w:color="auto"/>
              <w:bottom w:val="nil"/>
            </w:tcBorders>
            <w:noWrap/>
            <w:vAlign w:val="center"/>
          </w:tcPr>
          <w:p w14:paraId="18AA95FF"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Age group</w:t>
            </w:r>
          </w:p>
        </w:tc>
        <w:tc>
          <w:tcPr>
            <w:tcW w:w="681" w:type="pct"/>
            <w:vMerge w:val="restart"/>
            <w:tcBorders>
              <w:top w:val="single" w:sz="8" w:space="0" w:color="auto"/>
              <w:bottom w:val="single" w:sz="8" w:space="0" w:color="auto"/>
            </w:tcBorders>
            <w:noWrap/>
            <w:vAlign w:val="center"/>
          </w:tcPr>
          <w:p w14:paraId="634903C5" w14:textId="77777777" w:rsidR="0042504C" w:rsidRPr="00FA2146" w:rsidRDefault="0042504C" w:rsidP="00B43E1B">
            <w:pPr>
              <w:spacing w:before="0" w:after="0" w:line="240" w:lineRule="auto"/>
              <w:jc w:val="center"/>
              <w:rPr>
                <w:rFonts w:cstheme="minorHAnsi"/>
                <w:b w:val="0"/>
                <w:color w:val="333333"/>
                <w:sz w:val="22"/>
                <w:szCs w:val="22"/>
              </w:rPr>
            </w:pPr>
            <w:r w:rsidRPr="00FA2146">
              <w:rPr>
                <w:rFonts w:cstheme="minorHAnsi"/>
                <w:color w:val="333333"/>
                <w:sz w:val="22"/>
                <w:szCs w:val="22"/>
              </w:rPr>
              <w:t>Total</w:t>
            </w:r>
          </w:p>
          <w:p w14:paraId="032275E3"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(N= 81622)</w:t>
            </w:r>
          </w:p>
        </w:tc>
      </w:tr>
      <w:tr w:rsidR="0042504C" w:rsidRPr="00FA2146" w14:paraId="64DEEF85" w14:textId="77777777" w:rsidTr="00B43E1B">
        <w:trPr>
          <w:trHeight w:val="340"/>
        </w:trPr>
        <w:tc>
          <w:tcPr>
            <w:tcW w:w="1486" w:type="pct"/>
            <w:tcBorders>
              <w:top w:val="nil"/>
              <w:bottom w:val="single" w:sz="8" w:space="0" w:color="auto"/>
            </w:tcBorders>
            <w:noWrap/>
            <w:vAlign w:val="center"/>
          </w:tcPr>
          <w:p w14:paraId="18F9674D" w14:textId="77777777" w:rsidR="0042504C" w:rsidRPr="00FA2146" w:rsidRDefault="0042504C" w:rsidP="00B43E1B">
            <w:pPr>
              <w:spacing w:before="0" w:after="0" w:line="240" w:lineRule="auto"/>
              <w:jc w:val="left"/>
              <w:rPr>
                <w:rFonts w:cstheme="minorHAnsi"/>
                <w:color w:val="000000"/>
                <w:sz w:val="22"/>
                <w:szCs w:val="22"/>
              </w:rPr>
            </w:pPr>
          </w:p>
        </w:tc>
        <w:tc>
          <w:tcPr>
            <w:tcW w:w="732" w:type="pct"/>
            <w:tcBorders>
              <w:top w:val="nil"/>
              <w:bottom w:val="single" w:sz="8" w:space="0" w:color="auto"/>
            </w:tcBorders>
            <w:noWrap/>
            <w:vAlign w:val="center"/>
          </w:tcPr>
          <w:p w14:paraId="32FCB137" w14:textId="77777777" w:rsidR="0042504C" w:rsidRPr="00FA2146" w:rsidRDefault="0042504C" w:rsidP="00B43E1B">
            <w:pPr>
              <w:spacing w:before="0" w:after="0" w:line="240" w:lineRule="auto"/>
              <w:jc w:val="center"/>
              <w:rPr>
                <w:rFonts w:cstheme="minorHAnsi"/>
                <w:b/>
                <w:color w:val="333333"/>
                <w:sz w:val="22"/>
                <w:szCs w:val="22"/>
              </w:rPr>
            </w:pPr>
            <w:r w:rsidRPr="00FA2146">
              <w:rPr>
                <w:rFonts w:cstheme="minorHAnsi"/>
                <w:b/>
                <w:color w:val="333333"/>
                <w:sz w:val="22"/>
                <w:szCs w:val="22"/>
              </w:rPr>
              <w:t>12-14 (N=19181)</w:t>
            </w:r>
          </w:p>
        </w:tc>
        <w:tc>
          <w:tcPr>
            <w:tcW w:w="732" w:type="pct"/>
            <w:tcBorders>
              <w:top w:val="nil"/>
              <w:bottom w:val="single" w:sz="8" w:space="0" w:color="auto"/>
            </w:tcBorders>
            <w:noWrap/>
            <w:vAlign w:val="center"/>
          </w:tcPr>
          <w:p w14:paraId="23276652" w14:textId="77777777" w:rsidR="0042504C" w:rsidRPr="00FA2146" w:rsidRDefault="0042504C" w:rsidP="00B43E1B">
            <w:pPr>
              <w:spacing w:before="0" w:after="0" w:line="240" w:lineRule="auto"/>
              <w:jc w:val="center"/>
              <w:rPr>
                <w:rFonts w:cstheme="minorHAnsi"/>
                <w:b/>
                <w:color w:val="333333"/>
                <w:sz w:val="22"/>
                <w:szCs w:val="22"/>
              </w:rPr>
            </w:pPr>
            <w:r w:rsidRPr="00FA2146">
              <w:rPr>
                <w:rFonts w:cstheme="minorHAnsi"/>
                <w:b/>
                <w:color w:val="333333"/>
                <w:sz w:val="22"/>
                <w:szCs w:val="22"/>
              </w:rPr>
              <w:t>15-17 (N=24406)</w:t>
            </w:r>
          </w:p>
        </w:tc>
        <w:tc>
          <w:tcPr>
            <w:tcW w:w="684" w:type="pct"/>
            <w:tcBorders>
              <w:top w:val="nil"/>
              <w:bottom w:val="single" w:sz="8" w:space="0" w:color="auto"/>
            </w:tcBorders>
            <w:noWrap/>
            <w:vAlign w:val="center"/>
          </w:tcPr>
          <w:p w14:paraId="398D1B60" w14:textId="77777777" w:rsidR="0042504C" w:rsidRPr="00FA2146" w:rsidRDefault="0042504C" w:rsidP="00B43E1B">
            <w:pPr>
              <w:spacing w:before="0" w:after="0" w:line="240" w:lineRule="auto"/>
              <w:jc w:val="center"/>
              <w:rPr>
                <w:rFonts w:cstheme="minorHAnsi"/>
                <w:b/>
                <w:color w:val="333333"/>
                <w:sz w:val="22"/>
                <w:szCs w:val="22"/>
              </w:rPr>
            </w:pPr>
            <w:r w:rsidRPr="00FA2146">
              <w:rPr>
                <w:rFonts w:cstheme="minorHAnsi"/>
                <w:b/>
                <w:color w:val="333333"/>
                <w:sz w:val="22"/>
                <w:szCs w:val="22"/>
              </w:rPr>
              <w:t>18-20(N=19149)</w:t>
            </w:r>
          </w:p>
        </w:tc>
        <w:tc>
          <w:tcPr>
            <w:tcW w:w="685" w:type="pct"/>
            <w:tcBorders>
              <w:top w:val="nil"/>
              <w:bottom w:val="single" w:sz="8" w:space="0" w:color="auto"/>
            </w:tcBorders>
            <w:noWrap/>
            <w:vAlign w:val="center"/>
          </w:tcPr>
          <w:p w14:paraId="75600591" w14:textId="77777777" w:rsidR="0042504C" w:rsidRPr="00FA2146" w:rsidRDefault="0042504C" w:rsidP="00B43E1B">
            <w:pPr>
              <w:spacing w:before="0" w:after="0" w:line="240" w:lineRule="auto"/>
              <w:jc w:val="center"/>
              <w:rPr>
                <w:rFonts w:cstheme="minorHAnsi"/>
                <w:b/>
                <w:color w:val="333333"/>
                <w:sz w:val="22"/>
                <w:szCs w:val="22"/>
              </w:rPr>
            </w:pPr>
            <w:r w:rsidRPr="00FA2146">
              <w:rPr>
                <w:rFonts w:cstheme="minorHAnsi"/>
                <w:b/>
                <w:color w:val="333333"/>
                <w:sz w:val="22"/>
                <w:szCs w:val="22"/>
              </w:rPr>
              <w:t>21-25 (N=18719)</w:t>
            </w:r>
          </w:p>
        </w:tc>
        <w:tc>
          <w:tcPr>
            <w:tcW w:w="681" w:type="pct"/>
            <w:vMerge/>
            <w:noWrap/>
            <w:vAlign w:val="center"/>
          </w:tcPr>
          <w:p w14:paraId="7FC287C1" w14:textId="77777777" w:rsidR="0042504C" w:rsidRPr="00FA2146" w:rsidRDefault="0042504C" w:rsidP="00B43E1B">
            <w:pPr>
              <w:spacing w:before="0" w:after="0" w:line="240" w:lineRule="auto"/>
              <w:jc w:val="center"/>
              <w:rPr>
                <w:rFonts w:cstheme="minorHAnsi"/>
                <w:b/>
                <w:color w:val="333333"/>
                <w:sz w:val="22"/>
                <w:szCs w:val="22"/>
              </w:rPr>
            </w:pPr>
          </w:p>
        </w:tc>
      </w:tr>
      <w:tr w:rsidR="0042504C" w:rsidRPr="00FA2146" w14:paraId="100F4668" w14:textId="77777777" w:rsidTr="00B43E1B">
        <w:trPr>
          <w:trHeight w:val="340"/>
        </w:trPr>
        <w:tc>
          <w:tcPr>
            <w:tcW w:w="1486" w:type="pct"/>
            <w:tcBorders>
              <w:top w:val="single" w:sz="8" w:space="0" w:color="auto"/>
            </w:tcBorders>
            <w:noWrap/>
            <w:vAlign w:val="center"/>
            <w:hideMark/>
          </w:tcPr>
          <w:p w14:paraId="5797BD9F" w14:textId="77777777" w:rsidR="0042504C" w:rsidRPr="00FA2146" w:rsidRDefault="0042504C" w:rsidP="00B43E1B">
            <w:pPr>
              <w:spacing w:before="0" w:after="0" w:line="240" w:lineRule="auto"/>
              <w:jc w:val="left"/>
              <w:rPr>
                <w:rFonts w:cstheme="minorBidi"/>
                <w:b/>
                <w:bCs/>
                <w:color w:val="333333"/>
                <w:sz w:val="22"/>
                <w:szCs w:val="22"/>
              </w:rPr>
            </w:pPr>
            <w:r w:rsidRPr="3D685BCD">
              <w:rPr>
                <w:rFonts w:cstheme="minorBidi"/>
                <w:b/>
                <w:bCs/>
                <w:color w:val="333333"/>
                <w:sz w:val="22"/>
                <w:szCs w:val="22"/>
              </w:rPr>
              <w:t>Gender identity</w:t>
            </w:r>
          </w:p>
        </w:tc>
        <w:tc>
          <w:tcPr>
            <w:tcW w:w="732" w:type="pct"/>
            <w:tcBorders>
              <w:top w:val="single" w:sz="8" w:space="0" w:color="auto"/>
            </w:tcBorders>
            <w:noWrap/>
            <w:vAlign w:val="center"/>
            <w:hideMark/>
          </w:tcPr>
          <w:p w14:paraId="735263B6" w14:textId="77777777" w:rsidR="0042504C" w:rsidRPr="00FA2146" w:rsidRDefault="0042504C" w:rsidP="00B43E1B">
            <w:pPr>
              <w:spacing w:before="0" w:after="0" w:line="240" w:lineRule="auto"/>
              <w:jc w:val="center"/>
              <w:rPr>
                <w:rFonts w:cstheme="minorHAnsi"/>
                <w:b/>
                <w:color w:val="333333"/>
                <w:sz w:val="22"/>
                <w:szCs w:val="22"/>
              </w:rPr>
            </w:pPr>
          </w:p>
        </w:tc>
        <w:tc>
          <w:tcPr>
            <w:tcW w:w="732" w:type="pct"/>
            <w:tcBorders>
              <w:top w:val="single" w:sz="8" w:space="0" w:color="auto"/>
            </w:tcBorders>
            <w:noWrap/>
            <w:vAlign w:val="center"/>
            <w:hideMark/>
          </w:tcPr>
          <w:p w14:paraId="3AC82CFC" w14:textId="77777777" w:rsidR="0042504C" w:rsidRPr="00FA2146" w:rsidRDefault="0042504C" w:rsidP="00B43E1B">
            <w:pPr>
              <w:spacing w:before="0" w:after="0" w:line="240" w:lineRule="auto"/>
              <w:jc w:val="center"/>
              <w:rPr>
                <w:rFonts w:cstheme="minorHAnsi"/>
                <w:sz w:val="22"/>
                <w:szCs w:val="22"/>
              </w:rPr>
            </w:pPr>
          </w:p>
        </w:tc>
        <w:tc>
          <w:tcPr>
            <w:tcW w:w="684" w:type="pct"/>
            <w:tcBorders>
              <w:top w:val="single" w:sz="8" w:space="0" w:color="auto"/>
            </w:tcBorders>
            <w:noWrap/>
            <w:vAlign w:val="center"/>
            <w:hideMark/>
          </w:tcPr>
          <w:p w14:paraId="2C72A0BB" w14:textId="77777777" w:rsidR="0042504C" w:rsidRPr="00FA2146" w:rsidRDefault="0042504C" w:rsidP="00B43E1B">
            <w:pPr>
              <w:spacing w:before="0" w:after="0" w:line="240" w:lineRule="auto"/>
              <w:jc w:val="center"/>
              <w:rPr>
                <w:rFonts w:cstheme="minorHAnsi"/>
                <w:sz w:val="22"/>
                <w:szCs w:val="22"/>
              </w:rPr>
            </w:pPr>
          </w:p>
        </w:tc>
        <w:tc>
          <w:tcPr>
            <w:tcW w:w="685" w:type="pct"/>
            <w:tcBorders>
              <w:top w:val="single" w:sz="8" w:space="0" w:color="auto"/>
            </w:tcBorders>
            <w:noWrap/>
            <w:vAlign w:val="center"/>
            <w:hideMark/>
          </w:tcPr>
          <w:p w14:paraId="448CEFF6" w14:textId="77777777" w:rsidR="0042504C" w:rsidRPr="00FA2146" w:rsidRDefault="0042504C" w:rsidP="00B43E1B">
            <w:pPr>
              <w:spacing w:before="0" w:after="0" w:line="240" w:lineRule="auto"/>
              <w:jc w:val="center"/>
              <w:rPr>
                <w:rFonts w:cstheme="minorHAnsi"/>
                <w:sz w:val="22"/>
                <w:szCs w:val="22"/>
              </w:rPr>
            </w:pPr>
          </w:p>
        </w:tc>
        <w:tc>
          <w:tcPr>
            <w:tcW w:w="681" w:type="pct"/>
            <w:tcBorders>
              <w:top w:val="single" w:sz="8" w:space="0" w:color="auto"/>
            </w:tcBorders>
            <w:noWrap/>
            <w:vAlign w:val="center"/>
            <w:hideMark/>
          </w:tcPr>
          <w:p w14:paraId="6DDE9BE3" w14:textId="77777777" w:rsidR="0042504C" w:rsidRPr="00FA2146" w:rsidRDefault="0042504C" w:rsidP="00B43E1B">
            <w:pPr>
              <w:spacing w:before="0" w:after="0" w:line="240" w:lineRule="auto"/>
              <w:jc w:val="center"/>
              <w:rPr>
                <w:rFonts w:cstheme="minorHAnsi"/>
                <w:sz w:val="22"/>
                <w:szCs w:val="22"/>
              </w:rPr>
            </w:pPr>
          </w:p>
        </w:tc>
      </w:tr>
      <w:tr w:rsidR="0042504C" w:rsidRPr="00FA2146" w14:paraId="38AD400B" w14:textId="77777777" w:rsidTr="00B43E1B">
        <w:trPr>
          <w:trHeight w:val="340"/>
        </w:trPr>
        <w:tc>
          <w:tcPr>
            <w:tcW w:w="1486" w:type="pct"/>
            <w:noWrap/>
            <w:vAlign w:val="center"/>
            <w:hideMark/>
          </w:tcPr>
          <w:p w14:paraId="350CCFAF" w14:textId="77777777" w:rsidR="0042504C" w:rsidRPr="00FA2146" w:rsidRDefault="0042504C" w:rsidP="00B43E1B">
            <w:pPr>
              <w:spacing w:before="0" w:after="0" w:line="240" w:lineRule="auto"/>
              <w:jc w:val="left"/>
              <w:rPr>
                <w:rFonts w:cstheme="minorHAnsi"/>
                <w:color w:val="333333"/>
                <w:sz w:val="22"/>
                <w:szCs w:val="22"/>
              </w:rPr>
            </w:pPr>
            <w:r w:rsidRPr="00FA2146">
              <w:rPr>
                <w:rFonts w:cstheme="minorHAnsi"/>
                <w:color w:val="333333"/>
                <w:sz w:val="22"/>
                <w:szCs w:val="22"/>
              </w:rPr>
              <w:t>Female</w:t>
            </w:r>
          </w:p>
        </w:tc>
        <w:tc>
          <w:tcPr>
            <w:tcW w:w="732" w:type="pct"/>
            <w:noWrap/>
            <w:vAlign w:val="center"/>
          </w:tcPr>
          <w:p w14:paraId="4788467D"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10376 (59.9%)</w:t>
            </w:r>
          </w:p>
        </w:tc>
        <w:tc>
          <w:tcPr>
            <w:tcW w:w="732" w:type="pct"/>
            <w:noWrap/>
            <w:vAlign w:val="center"/>
          </w:tcPr>
          <w:p w14:paraId="5205020D"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13736 (62.5%)</w:t>
            </w:r>
          </w:p>
        </w:tc>
        <w:tc>
          <w:tcPr>
            <w:tcW w:w="684" w:type="pct"/>
            <w:noWrap/>
            <w:vAlign w:val="center"/>
          </w:tcPr>
          <w:p w14:paraId="252C81FE"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10543 (60.9%)</w:t>
            </w:r>
          </w:p>
        </w:tc>
        <w:tc>
          <w:tcPr>
            <w:tcW w:w="685" w:type="pct"/>
            <w:noWrap/>
            <w:vAlign w:val="center"/>
          </w:tcPr>
          <w:p w14:paraId="3783BBE0"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9761 (57.9%)</w:t>
            </w:r>
          </w:p>
        </w:tc>
        <w:tc>
          <w:tcPr>
            <w:tcW w:w="681" w:type="pct"/>
            <w:noWrap/>
            <w:vAlign w:val="center"/>
          </w:tcPr>
          <w:p w14:paraId="53CB489B"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44437 (60.4%)</w:t>
            </w:r>
          </w:p>
        </w:tc>
      </w:tr>
      <w:tr w:rsidR="0042504C" w:rsidRPr="00FA2146" w14:paraId="5DE4F686" w14:textId="77777777" w:rsidTr="00B43E1B">
        <w:trPr>
          <w:trHeight w:val="340"/>
        </w:trPr>
        <w:tc>
          <w:tcPr>
            <w:tcW w:w="1486" w:type="pct"/>
            <w:noWrap/>
            <w:vAlign w:val="center"/>
            <w:hideMark/>
          </w:tcPr>
          <w:p w14:paraId="697EC8C0" w14:textId="77777777" w:rsidR="0042504C" w:rsidRPr="00FA2146" w:rsidRDefault="0042504C" w:rsidP="00B43E1B">
            <w:pPr>
              <w:spacing w:before="0" w:after="0" w:line="240" w:lineRule="auto"/>
              <w:jc w:val="left"/>
              <w:rPr>
                <w:rFonts w:cstheme="minorHAnsi"/>
                <w:color w:val="333333"/>
                <w:sz w:val="22"/>
                <w:szCs w:val="22"/>
              </w:rPr>
            </w:pPr>
            <w:r w:rsidRPr="00FA2146">
              <w:rPr>
                <w:rFonts w:cstheme="minorHAnsi"/>
                <w:color w:val="333333"/>
                <w:sz w:val="22"/>
                <w:szCs w:val="22"/>
              </w:rPr>
              <w:t>Male</w:t>
            </w:r>
          </w:p>
        </w:tc>
        <w:tc>
          <w:tcPr>
            <w:tcW w:w="732" w:type="pct"/>
            <w:noWrap/>
            <w:vAlign w:val="center"/>
          </w:tcPr>
          <w:p w14:paraId="3FE85706"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6708 (38.7%)</w:t>
            </w:r>
          </w:p>
        </w:tc>
        <w:tc>
          <w:tcPr>
            <w:tcW w:w="732" w:type="pct"/>
            <w:noWrap/>
            <w:vAlign w:val="center"/>
          </w:tcPr>
          <w:p w14:paraId="4F5F62E3"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7875 (35.8%)</w:t>
            </w:r>
          </w:p>
        </w:tc>
        <w:tc>
          <w:tcPr>
            <w:tcW w:w="684" w:type="pct"/>
            <w:noWrap/>
            <w:vAlign w:val="center"/>
          </w:tcPr>
          <w:p w14:paraId="196172E9"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6463 (37.3%)</w:t>
            </w:r>
          </w:p>
        </w:tc>
        <w:tc>
          <w:tcPr>
            <w:tcW w:w="685" w:type="pct"/>
            <w:noWrap/>
            <w:vAlign w:val="center"/>
          </w:tcPr>
          <w:p w14:paraId="4A822352"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6784 (40.2%)</w:t>
            </w:r>
          </w:p>
        </w:tc>
        <w:tc>
          <w:tcPr>
            <w:tcW w:w="681" w:type="pct"/>
            <w:noWrap/>
            <w:vAlign w:val="center"/>
          </w:tcPr>
          <w:p w14:paraId="7D91CFFC"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27848 (37.9%)</w:t>
            </w:r>
          </w:p>
        </w:tc>
      </w:tr>
      <w:tr w:rsidR="0042504C" w:rsidRPr="00FA2146" w14:paraId="74AEA462" w14:textId="77777777" w:rsidTr="00B43E1B">
        <w:trPr>
          <w:trHeight w:val="340"/>
        </w:trPr>
        <w:tc>
          <w:tcPr>
            <w:tcW w:w="1486" w:type="pct"/>
            <w:noWrap/>
            <w:vAlign w:val="center"/>
            <w:hideMark/>
          </w:tcPr>
          <w:p w14:paraId="33D255D0" w14:textId="77777777" w:rsidR="0042504C" w:rsidRPr="00FA2146" w:rsidRDefault="0042504C" w:rsidP="00B43E1B">
            <w:pPr>
              <w:spacing w:before="0" w:after="0" w:line="240" w:lineRule="auto"/>
              <w:jc w:val="left"/>
              <w:rPr>
                <w:rFonts w:cstheme="minorBidi"/>
                <w:color w:val="333333"/>
                <w:sz w:val="22"/>
                <w:szCs w:val="22"/>
              </w:rPr>
            </w:pPr>
            <w:r>
              <w:rPr>
                <w:rFonts w:cstheme="minorBidi"/>
                <w:color w:val="333333"/>
                <w:sz w:val="22"/>
                <w:szCs w:val="22"/>
              </w:rPr>
              <w:t>None</w:t>
            </w:r>
          </w:p>
        </w:tc>
        <w:tc>
          <w:tcPr>
            <w:tcW w:w="732" w:type="pct"/>
            <w:noWrap/>
            <w:vAlign w:val="center"/>
          </w:tcPr>
          <w:p w14:paraId="2732CBF4"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235 (1.4%)</w:t>
            </w:r>
          </w:p>
        </w:tc>
        <w:tc>
          <w:tcPr>
            <w:tcW w:w="732" w:type="pct"/>
            <w:noWrap/>
            <w:vAlign w:val="center"/>
          </w:tcPr>
          <w:p w14:paraId="62C71CBD"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368 (1.7%)</w:t>
            </w:r>
          </w:p>
        </w:tc>
        <w:tc>
          <w:tcPr>
            <w:tcW w:w="684" w:type="pct"/>
            <w:noWrap/>
            <w:vAlign w:val="center"/>
          </w:tcPr>
          <w:p w14:paraId="0BA67B58"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315 (1.8%)</w:t>
            </w:r>
          </w:p>
        </w:tc>
        <w:tc>
          <w:tcPr>
            <w:tcW w:w="685" w:type="pct"/>
            <w:noWrap/>
            <w:vAlign w:val="center"/>
          </w:tcPr>
          <w:p w14:paraId="0CD69C0A"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321 (1.9%)</w:t>
            </w:r>
          </w:p>
        </w:tc>
        <w:tc>
          <w:tcPr>
            <w:tcW w:w="681" w:type="pct"/>
            <w:noWrap/>
            <w:vAlign w:val="center"/>
          </w:tcPr>
          <w:p w14:paraId="202CE089"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1239 (1.7%)</w:t>
            </w:r>
          </w:p>
        </w:tc>
      </w:tr>
      <w:tr w:rsidR="0042504C" w:rsidRPr="00FA2146" w14:paraId="5783630F" w14:textId="77777777" w:rsidTr="00B43E1B">
        <w:trPr>
          <w:trHeight w:val="340"/>
        </w:trPr>
        <w:tc>
          <w:tcPr>
            <w:tcW w:w="1486" w:type="pct"/>
            <w:noWrap/>
            <w:vAlign w:val="center"/>
            <w:hideMark/>
          </w:tcPr>
          <w:p w14:paraId="6AE541C7" w14:textId="77777777" w:rsidR="0042504C" w:rsidRPr="00FA2146" w:rsidRDefault="0042504C" w:rsidP="00B43E1B">
            <w:pPr>
              <w:spacing w:before="0" w:after="0" w:line="240" w:lineRule="auto"/>
              <w:jc w:val="left"/>
              <w:rPr>
                <w:rFonts w:cstheme="minorHAnsi"/>
                <w:b/>
                <w:color w:val="333333"/>
                <w:sz w:val="22"/>
                <w:szCs w:val="22"/>
              </w:rPr>
            </w:pPr>
            <w:r w:rsidRPr="00FA2146">
              <w:rPr>
                <w:rFonts w:cstheme="minorHAnsi"/>
                <w:b/>
                <w:color w:val="333333"/>
                <w:sz w:val="22"/>
                <w:szCs w:val="22"/>
              </w:rPr>
              <w:t xml:space="preserve">Aboriginal and/or Torres Strait Islander </w:t>
            </w:r>
          </w:p>
        </w:tc>
        <w:tc>
          <w:tcPr>
            <w:tcW w:w="732" w:type="pct"/>
            <w:noWrap/>
            <w:vAlign w:val="center"/>
            <w:hideMark/>
          </w:tcPr>
          <w:p w14:paraId="78196AFF"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1959 (11.5%)</w:t>
            </w:r>
          </w:p>
        </w:tc>
        <w:tc>
          <w:tcPr>
            <w:tcW w:w="732" w:type="pct"/>
            <w:noWrap/>
            <w:vAlign w:val="center"/>
            <w:hideMark/>
          </w:tcPr>
          <w:p w14:paraId="022AB4A6"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2047 (9.5%)</w:t>
            </w:r>
          </w:p>
        </w:tc>
        <w:tc>
          <w:tcPr>
            <w:tcW w:w="684" w:type="pct"/>
            <w:noWrap/>
            <w:vAlign w:val="center"/>
            <w:hideMark/>
          </w:tcPr>
          <w:p w14:paraId="3B60E918"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1235 (7.2%)</w:t>
            </w:r>
          </w:p>
        </w:tc>
        <w:tc>
          <w:tcPr>
            <w:tcW w:w="685" w:type="pct"/>
            <w:noWrap/>
            <w:vAlign w:val="center"/>
            <w:hideMark/>
          </w:tcPr>
          <w:p w14:paraId="0FDB1EAE"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1085 (6.5%)</w:t>
            </w:r>
          </w:p>
        </w:tc>
        <w:tc>
          <w:tcPr>
            <w:tcW w:w="681" w:type="pct"/>
            <w:noWrap/>
            <w:vAlign w:val="center"/>
            <w:hideMark/>
          </w:tcPr>
          <w:p w14:paraId="6434C556"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6330 (8.7%)</w:t>
            </w:r>
          </w:p>
        </w:tc>
      </w:tr>
      <w:tr w:rsidR="0042504C" w:rsidRPr="00FA2146" w14:paraId="0D73329A" w14:textId="77777777" w:rsidTr="00B43E1B">
        <w:trPr>
          <w:trHeight w:val="340"/>
        </w:trPr>
        <w:tc>
          <w:tcPr>
            <w:tcW w:w="1486" w:type="pct"/>
            <w:noWrap/>
            <w:vAlign w:val="center"/>
            <w:hideMark/>
          </w:tcPr>
          <w:p w14:paraId="667C2916" w14:textId="77777777" w:rsidR="0042504C" w:rsidRPr="00FA2146" w:rsidRDefault="0042504C" w:rsidP="00B43E1B">
            <w:pPr>
              <w:spacing w:before="0" w:after="0" w:line="240" w:lineRule="auto"/>
              <w:jc w:val="left"/>
              <w:rPr>
                <w:rFonts w:cstheme="minorHAnsi"/>
                <w:b/>
                <w:color w:val="333333"/>
                <w:sz w:val="22"/>
                <w:szCs w:val="22"/>
              </w:rPr>
            </w:pPr>
            <w:r w:rsidRPr="00FA2146">
              <w:rPr>
                <w:rFonts w:cstheme="minorHAnsi"/>
                <w:b/>
                <w:color w:val="333333"/>
                <w:sz w:val="22"/>
                <w:szCs w:val="22"/>
              </w:rPr>
              <w:t>Culturally and linguistically diverse</w:t>
            </w:r>
            <w:r w:rsidRPr="00FA2146">
              <w:rPr>
                <w:rFonts w:cstheme="minorHAnsi"/>
                <w:b/>
                <w:color w:val="333333"/>
                <w:sz w:val="22"/>
                <w:szCs w:val="22"/>
                <w:vertAlign w:val="superscript"/>
              </w:rPr>
              <w:t>*</w:t>
            </w:r>
          </w:p>
        </w:tc>
        <w:tc>
          <w:tcPr>
            <w:tcW w:w="732" w:type="pct"/>
            <w:noWrap/>
            <w:vAlign w:val="center"/>
            <w:hideMark/>
          </w:tcPr>
          <w:p w14:paraId="44412DBF"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1658 (9.8%)</w:t>
            </w:r>
          </w:p>
        </w:tc>
        <w:tc>
          <w:tcPr>
            <w:tcW w:w="732" w:type="pct"/>
            <w:noWrap/>
            <w:vAlign w:val="center"/>
            <w:hideMark/>
          </w:tcPr>
          <w:p w14:paraId="1384E2CA"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2228 (10.3%)</w:t>
            </w:r>
          </w:p>
        </w:tc>
        <w:tc>
          <w:tcPr>
            <w:tcW w:w="684" w:type="pct"/>
            <w:noWrap/>
            <w:vAlign w:val="center"/>
            <w:hideMark/>
          </w:tcPr>
          <w:p w14:paraId="6BFD1029"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1873 (11.0%)</w:t>
            </w:r>
          </w:p>
        </w:tc>
        <w:tc>
          <w:tcPr>
            <w:tcW w:w="685" w:type="pct"/>
            <w:noWrap/>
            <w:vAlign w:val="center"/>
            <w:hideMark/>
          </w:tcPr>
          <w:p w14:paraId="6661D83F"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2046 (12.3%)</w:t>
            </w:r>
          </w:p>
        </w:tc>
        <w:tc>
          <w:tcPr>
            <w:tcW w:w="681" w:type="pct"/>
            <w:noWrap/>
            <w:vAlign w:val="center"/>
            <w:hideMark/>
          </w:tcPr>
          <w:p w14:paraId="52B1E38B"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7811 (10.8%)</w:t>
            </w:r>
          </w:p>
        </w:tc>
      </w:tr>
      <w:tr w:rsidR="0042504C" w:rsidRPr="00FA2146" w14:paraId="2588F010" w14:textId="77777777" w:rsidTr="00B43E1B">
        <w:trPr>
          <w:trHeight w:val="340"/>
        </w:trPr>
        <w:tc>
          <w:tcPr>
            <w:tcW w:w="2950" w:type="pct"/>
            <w:gridSpan w:val="3"/>
            <w:noWrap/>
            <w:vAlign w:val="center"/>
            <w:hideMark/>
          </w:tcPr>
          <w:p w14:paraId="1768EF07" w14:textId="77777777" w:rsidR="0042504C" w:rsidRPr="00FA2146" w:rsidRDefault="0042504C" w:rsidP="00B43E1B">
            <w:pPr>
              <w:spacing w:before="0" w:after="0" w:line="240" w:lineRule="auto"/>
              <w:jc w:val="left"/>
              <w:rPr>
                <w:rFonts w:cstheme="minorHAnsi"/>
                <w:b/>
                <w:color w:val="333333"/>
                <w:sz w:val="22"/>
                <w:szCs w:val="22"/>
              </w:rPr>
            </w:pPr>
            <w:r w:rsidRPr="00FA2146">
              <w:rPr>
                <w:rFonts w:cstheme="minorHAnsi"/>
                <w:b/>
                <w:color w:val="333333"/>
                <w:sz w:val="22"/>
                <w:szCs w:val="22"/>
              </w:rPr>
              <w:t>Rurality of young people’s residential address</w:t>
            </w:r>
          </w:p>
        </w:tc>
        <w:tc>
          <w:tcPr>
            <w:tcW w:w="684" w:type="pct"/>
            <w:noWrap/>
            <w:vAlign w:val="center"/>
            <w:hideMark/>
          </w:tcPr>
          <w:p w14:paraId="2FA6920C" w14:textId="77777777" w:rsidR="0042504C" w:rsidRPr="00FA2146" w:rsidRDefault="0042504C" w:rsidP="00B43E1B">
            <w:pPr>
              <w:spacing w:before="0" w:after="0" w:line="240" w:lineRule="auto"/>
              <w:jc w:val="center"/>
              <w:rPr>
                <w:rFonts w:cstheme="minorHAnsi"/>
                <w:color w:val="333333"/>
                <w:sz w:val="22"/>
                <w:szCs w:val="22"/>
              </w:rPr>
            </w:pPr>
          </w:p>
        </w:tc>
        <w:tc>
          <w:tcPr>
            <w:tcW w:w="685" w:type="pct"/>
            <w:noWrap/>
            <w:vAlign w:val="center"/>
            <w:hideMark/>
          </w:tcPr>
          <w:p w14:paraId="243D9A2C" w14:textId="77777777" w:rsidR="0042504C" w:rsidRPr="00FA2146" w:rsidRDefault="0042504C" w:rsidP="00B43E1B">
            <w:pPr>
              <w:spacing w:before="0" w:after="0" w:line="240" w:lineRule="auto"/>
              <w:jc w:val="center"/>
              <w:rPr>
                <w:rFonts w:cstheme="minorHAnsi"/>
                <w:color w:val="333333"/>
                <w:sz w:val="22"/>
                <w:szCs w:val="22"/>
              </w:rPr>
            </w:pPr>
          </w:p>
        </w:tc>
        <w:tc>
          <w:tcPr>
            <w:tcW w:w="681" w:type="pct"/>
            <w:noWrap/>
            <w:vAlign w:val="center"/>
            <w:hideMark/>
          </w:tcPr>
          <w:p w14:paraId="6A504C38" w14:textId="77777777" w:rsidR="0042504C" w:rsidRPr="00FA2146" w:rsidRDefault="0042504C" w:rsidP="00B43E1B">
            <w:pPr>
              <w:spacing w:before="0" w:after="0" w:line="240" w:lineRule="auto"/>
              <w:jc w:val="center"/>
              <w:rPr>
                <w:rFonts w:cstheme="minorHAnsi"/>
                <w:color w:val="333333"/>
                <w:sz w:val="22"/>
                <w:szCs w:val="22"/>
              </w:rPr>
            </w:pPr>
          </w:p>
        </w:tc>
      </w:tr>
      <w:tr w:rsidR="0042504C" w:rsidRPr="00FA2146" w14:paraId="65DFD1E1" w14:textId="77777777" w:rsidTr="00B43E1B">
        <w:trPr>
          <w:trHeight w:val="340"/>
        </w:trPr>
        <w:tc>
          <w:tcPr>
            <w:tcW w:w="1486" w:type="pct"/>
            <w:noWrap/>
            <w:vAlign w:val="center"/>
            <w:hideMark/>
          </w:tcPr>
          <w:p w14:paraId="116E68FC" w14:textId="77777777" w:rsidR="0042504C" w:rsidRPr="00FA2146" w:rsidRDefault="0042504C" w:rsidP="00B43E1B">
            <w:pPr>
              <w:spacing w:before="0" w:after="0" w:line="240" w:lineRule="auto"/>
              <w:jc w:val="left"/>
              <w:rPr>
                <w:rFonts w:cstheme="minorHAnsi"/>
                <w:color w:val="333333"/>
                <w:sz w:val="22"/>
                <w:szCs w:val="22"/>
              </w:rPr>
            </w:pPr>
            <w:r w:rsidRPr="00FA2146">
              <w:rPr>
                <w:rFonts w:cstheme="minorHAnsi"/>
                <w:color w:val="333333"/>
                <w:sz w:val="22"/>
                <w:szCs w:val="22"/>
              </w:rPr>
              <w:t xml:space="preserve">Major Cities </w:t>
            </w:r>
          </w:p>
        </w:tc>
        <w:tc>
          <w:tcPr>
            <w:tcW w:w="732" w:type="pct"/>
            <w:noWrap/>
            <w:vAlign w:val="center"/>
            <w:hideMark/>
          </w:tcPr>
          <w:p w14:paraId="53BE56D9"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11063 (58.2%)</w:t>
            </w:r>
          </w:p>
        </w:tc>
        <w:tc>
          <w:tcPr>
            <w:tcW w:w="732" w:type="pct"/>
            <w:noWrap/>
            <w:vAlign w:val="center"/>
            <w:hideMark/>
          </w:tcPr>
          <w:p w14:paraId="4816B1BA"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14593 (60.2%)</w:t>
            </w:r>
          </w:p>
        </w:tc>
        <w:tc>
          <w:tcPr>
            <w:tcW w:w="684" w:type="pct"/>
            <w:noWrap/>
            <w:vAlign w:val="center"/>
            <w:hideMark/>
          </w:tcPr>
          <w:p w14:paraId="29ACFFD1"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12109 (63.7%)</w:t>
            </w:r>
          </w:p>
        </w:tc>
        <w:tc>
          <w:tcPr>
            <w:tcW w:w="685" w:type="pct"/>
            <w:noWrap/>
            <w:vAlign w:val="center"/>
            <w:hideMark/>
          </w:tcPr>
          <w:p w14:paraId="6CDEC732"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12121 (65.2%)</w:t>
            </w:r>
          </w:p>
        </w:tc>
        <w:tc>
          <w:tcPr>
            <w:tcW w:w="681" w:type="pct"/>
            <w:noWrap/>
            <w:vAlign w:val="center"/>
            <w:hideMark/>
          </w:tcPr>
          <w:p w14:paraId="398CB3F0"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50036 (61.8%)</w:t>
            </w:r>
          </w:p>
        </w:tc>
      </w:tr>
      <w:tr w:rsidR="0042504C" w:rsidRPr="00FA2146" w14:paraId="6071AB5C" w14:textId="77777777" w:rsidTr="00B43E1B">
        <w:trPr>
          <w:trHeight w:val="340"/>
        </w:trPr>
        <w:tc>
          <w:tcPr>
            <w:tcW w:w="1486" w:type="pct"/>
            <w:noWrap/>
            <w:vAlign w:val="center"/>
          </w:tcPr>
          <w:p w14:paraId="5683A0D2" w14:textId="77777777" w:rsidR="0042504C" w:rsidRPr="00FA2146" w:rsidRDefault="0042504C" w:rsidP="00B43E1B">
            <w:pPr>
              <w:spacing w:before="0" w:after="0" w:line="240" w:lineRule="auto"/>
              <w:jc w:val="left"/>
              <w:rPr>
                <w:rFonts w:cstheme="minorHAnsi"/>
                <w:color w:val="333333"/>
                <w:sz w:val="22"/>
                <w:szCs w:val="22"/>
              </w:rPr>
            </w:pPr>
            <w:r w:rsidRPr="00FA2146">
              <w:rPr>
                <w:rFonts w:cstheme="minorHAnsi"/>
                <w:color w:val="333333"/>
                <w:sz w:val="22"/>
                <w:szCs w:val="22"/>
              </w:rPr>
              <w:t xml:space="preserve">Inner Regional </w:t>
            </w:r>
          </w:p>
        </w:tc>
        <w:tc>
          <w:tcPr>
            <w:tcW w:w="732" w:type="pct"/>
            <w:noWrap/>
            <w:vAlign w:val="center"/>
          </w:tcPr>
          <w:p w14:paraId="12BD6A57"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5365 (28.2%)</w:t>
            </w:r>
          </w:p>
        </w:tc>
        <w:tc>
          <w:tcPr>
            <w:tcW w:w="732" w:type="pct"/>
            <w:noWrap/>
            <w:vAlign w:val="center"/>
          </w:tcPr>
          <w:p w14:paraId="07A53B1D"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6647 (27.4%)</w:t>
            </w:r>
          </w:p>
        </w:tc>
        <w:tc>
          <w:tcPr>
            <w:tcW w:w="684" w:type="pct"/>
            <w:noWrap/>
            <w:vAlign w:val="center"/>
          </w:tcPr>
          <w:p w14:paraId="68D98127"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4949 (26.0%)</w:t>
            </w:r>
          </w:p>
        </w:tc>
        <w:tc>
          <w:tcPr>
            <w:tcW w:w="685" w:type="pct"/>
            <w:noWrap/>
            <w:vAlign w:val="center"/>
          </w:tcPr>
          <w:p w14:paraId="7B3CA927"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4531 (24.4%)</w:t>
            </w:r>
          </w:p>
        </w:tc>
        <w:tc>
          <w:tcPr>
            <w:tcW w:w="681" w:type="pct"/>
            <w:noWrap/>
            <w:vAlign w:val="center"/>
          </w:tcPr>
          <w:p w14:paraId="61324443" w14:textId="77777777" w:rsidR="0042504C" w:rsidRPr="00FA2146" w:rsidRDefault="0042504C" w:rsidP="00B43E1B">
            <w:pPr>
              <w:spacing w:before="0" w:after="0" w:line="240" w:lineRule="auto"/>
              <w:jc w:val="center"/>
              <w:rPr>
                <w:rFonts w:cstheme="minorHAnsi"/>
                <w:color w:val="333333"/>
                <w:sz w:val="22"/>
                <w:szCs w:val="22"/>
              </w:rPr>
            </w:pPr>
            <w:r w:rsidRPr="00A15B02">
              <w:rPr>
                <w:rFonts w:cstheme="minorHAnsi"/>
                <w:color w:val="333333"/>
                <w:sz w:val="22"/>
                <w:szCs w:val="22"/>
              </w:rPr>
              <w:t>21504 (26.5%)</w:t>
            </w:r>
          </w:p>
        </w:tc>
      </w:tr>
      <w:tr w:rsidR="0042504C" w:rsidRPr="00FA2146" w14:paraId="55E4C77E" w14:textId="77777777" w:rsidTr="00B43E1B">
        <w:trPr>
          <w:trHeight w:val="340"/>
        </w:trPr>
        <w:tc>
          <w:tcPr>
            <w:tcW w:w="1486" w:type="pct"/>
            <w:noWrap/>
            <w:vAlign w:val="center"/>
            <w:hideMark/>
          </w:tcPr>
          <w:p w14:paraId="03C7CD48" w14:textId="77777777" w:rsidR="0042504C" w:rsidRPr="00FA2146" w:rsidRDefault="0042504C" w:rsidP="00B43E1B">
            <w:pPr>
              <w:spacing w:before="0" w:after="0" w:line="240" w:lineRule="auto"/>
              <w:jc w:val="left"/>
              <w:rPr>
                <w:rFonts w:cstheme="minorHAnsi"/>
                <w:color w:val="333333"/>
                <w:sz w:val="22"/>
                <w:szCs w:val="22"/>
              </w:rPr>
            </w:pPr>
            <w:r w:rsidRPr="00FA2146">
              <w:rPr>
                <w:rFonts w:cstheme="minorHAnsi"/>
                <w:color w:val="333333"/>
                <w:sz w:val="22"/>
                <w:szCs w:val="22"/>
              </w:rPr>
              <w:t xml:space="preserve">Outer Regional </w:t>
            </w:r>
          </w:p>
        </w:tc>
        <w:tc>
          <w:tcPr>
            <w:tcW w:w="732" w:type="pct"/>
            <w:noWrap/>
            <w:vAlign w:val="center"/>
            <w:hideMark/>
          </w:tcPr>
          <w:p w14:paraId="231AE301"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2345 (12.3%)</w:t>
            </w:r>
          </w:p>
        </w:tc>
        <w:tc>
          <w:tcPr>
            <w:tcW w:w="732" w:type="pct"/>
            <w:noWrap/>
            <w:vAlign w:val="center"/>
            <w:hideMark/>
          </w:tcPr>
          <w:p w14:paraId="59835868"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2619 (10.8%)</w:t>
            </w:r>
          </w:p>
        </w:tc>
        <w:tc>
          <w:tcPr>
            <w:tcW w:w="684" w:type="pct"/>
            <w:noWrap/>
            <w:vAlign w:val="center"/>
            <w:hideMark/>
          </w:tcPr>
          <w:p w14:paraId="1EE36CB8"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1644 (8.6%)</w:t>
            </w:r>
          </w:p>
        </w:tc>
        <w:tc>
          <w:tcPr>
            <w:tcW w:w="685" w:type="pct"/>
            <w:noWrap/>
            <w:vAlign w:val="center"/>
            <w:hideMark/>
          </w:tcPr>
          <w:p w14:paraId="15CE87A4"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1536 (8.3%)</w:t>
            </w:r>
          </w:p>
        </w:tc>
        <w:tc>
          <w:tcPr>
            <w:tcW w:w="681" w:type="pct"/>
            <w:noWrap/>
            <w:vAlign w:val="center"/>
            <w:hideMark/>
          </w:tcPr>
          <w:p w14:paraId="2F366C48"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8146 (10.1%)</w:t>
            </w:r>
          </w:p>
        </w:tc>
      </w:tr>
      <w:tr w:rsidR="0042504C" w:rsidRPr="00FA2146" w14:paraId="7F9CACBE" w14:textId="77777777" w:rsidTr="00B43E1B">
        <w:trPr>
          <w:trHeight w:val="340"/>
        </w:trPr>
        <w:tc>
          <w:tcPr>
            <w:tcW w:w="1486" w:type="pct"/>
            <w:noWrap/>
            <w:vAlign w:val="center"/>
            <w:hideMark/>
          </w:tcPr>
          <w:p w14:paraId="44C61599" w14:textId="77777777" w:rsidR="0042504C" w:rsidRPr="00FA2146" w:rsidRDefault="0042504C" w:rsidP="00B43E1B">
            <w:pPr>
              <w:spacing w:before="0" w:after="0" w:line="240" w:lineRule="auto"/>
              <w:jc w:val="left"/>
              <w:rPr>
                <w:rFonts w:cstheme="minorHAnsi"/>
                <w:color w:val="333333"/>
                <w:sz w:val="22"/>
                <w:szCs w:val="22"/>
              </w:rPr>
            </w:pPr>
            <w:r w:rsidRPr="00FA2146">
              <w:rPr>
                <w:rFonts w:cstheme="minorHAnsi"/>
                <w:color w:val="333333"/>
                <w:sz w:val="22"/>
                <w:szCs w:val="22"/>
              </w:rPr>
              <w:t>Remote</w:t>
            </w:r>
            <w:r>
              <w:rPr>
                <w:rFonts w:cstheme="minorHAnsi"/>
                <w:color w:val="333333"/>
                <w:sz w:val="22"/>
                <w:szCs w:val="22"/>
              </w:rPr>
              <w:t>/v</w:t>
            </w:r>
            <w:r w:rsidRPr="00FA2146">
              <w:rPr>
                <w:rFonts w:cstheme="minorHAnsi"/>
                <w:color w:val="333333"/>
                <w:sz w:val="22"/>
                <w:szCs w:val="22"/>
              </w:rPr>
              <w:t>ery Remote</w:t>
            </w:r>
          </w:p>
        </w:tc>
        <w:tc>
          <w:tcPr>
            <w:tcW w:w="732" w:type="pct"/>
            <w:noWrap/>
            <w:vAlign w:val="center"/>
            <w:hideMark/>
          </w:tcPr>
          <w:p w14:paraId="7E376CD7" w14:textId="77777777" w:rsidR="0042504C" w:rsidRPr="00FA2146" w:rsidRDefault="0042504C" w:rsidP="00B43E1B">
            <w:pPr>
              <w:spacing w:before="0" w:after="0" w:line="240" w:lineRule="auto"/>
              <w:jc w:val="center"/>
              <w:rPr>
                <w:rFonts w:cstheme="minorHAnsi"/>
                <w:color w:val="333333"/>
                <w:sz w:val="22"/>
                <w:szCs w:val="22"/>
              </w:rPr>
            </w:pPr>
            <w:r w:rsidRPr="00A15B02">
              <w:rPr>
                <w:rFonts w:cstheme="minorHAnsi"/>
                <w:color w:val="333333"/>
                <w:sz w:val="22"/>
                <w:szCs w:val="22"/>
              </w:rPr>
              <w:t>227 (1.2%)</w:t>
            </w:r>
          </w:p>
        </w:tc>
        <w:tc>
          <w:tcPr>
            <w:tcW w:w="732" w:type="pct"/>
            <w:noWrap/>
            <w:vAlign w:val="center"/>
            <w:hideMark/>
          </w:tcPr>
          <w:p w14:paraId="2F576147" w14:textId="77777777" w:rsidR="0042504C" w:rsidRPr="00FA2146" w:rsidRDefault="0042504C" w:rsidP="00B43E1B">
            <w:pPr>
              <w:spacing w:before="0" w:after="0" w:line="240" w:lineRule="auto"/>
              <w:jc w:val="center"/>
              <w:rPr>
                <w:rFonts w:cstheme="minorHAnsi"/>
                <w:color w:val="333333"/>
                <w:sz w:val="22"/>
                <w:szCs w:val="22"/>
              </w:rPr>
            </w:pPr>
            <w:r w:rsidRPr="00A15B02">
              <w:rPr>
                <w:rFonts w:cstheme="minorHAnsi"/>
                <w:color w:val="333333"/>
                <w:sz w:val="22"/>
                <w:szCs w:val="22"/>
              </w:rPr>
              <w:t>342 (1.4%)</w:t>
            </w:r>
          </w:p>
        </w:tc>
        <w:tc>
          <w:tcPr>
            <w:tcW w:w="684" w:type="pct"/>
            <w:noWrap/>
            <w:vAlign w:val="center"/>
            <w:hideMark/>
          </w:tcPr>
          <w:p w14:paraId="463BAD4B" w14:textId="77777777" w:rsidR="0042504C" w:rsidRPr="00FA2146" w:rsidRDefault="0042504C" w:rsidP="00B43E1B">
            <w:pPr>
              <w:spacing w:before="0" w:after="0" w:line="240" w:lineRule="auto"/>
              <w:jc w:val="center"/>
              <w:rPr>
                <w:rFonts w:cstheme="minorHAnsi"/>
                <w:color w:val="333333"/>
                <w:sz w:val="22"/>
                <w:szCs w:val="22"/>
              </w:rPr>
            </w:pPr>
            <w:r w:rsidRPr="00A15B02">
              <w:rPr>
                <w:rFonts w:cstheme="minorHAnsi"/>
                <w:color w:val="333333"/>
                <w:sz w:val="22"/>
                <w:szCs w:val="22"/>
              </w:rPr>
              <w:t>308 (1.6%)</w:t>
            </w:r>
          </w:p>
        </w:tc>
        <w:tc>
          <w:tcPr>
            <w:tcW w:w="685" w:type="pct"/>
            <w:noWrap/>
            <w:vAlign w:val="center"/>
            <w:hideMark/>
          </w:tcPr>
          <w:p w14:paraId="7A74018A" w14:textId="77777777" w:rsidR="0042504C" w:rsidRPr="00FA2146" w:rsidRDefault="0042504C" w:rsidP="00B43E1B">
            <w:pPr>
              <w:spacing w:before="0" w:after="0" w:line="240" w:lineRule="auto"/>
              <w:jc w:val="center"/>
              <w:rPr>
                <w:rFonts w:cstheme="minorHAnsi"/>
                <w:color w:val="333333"/>
                <w:sz w:val="22"/>
                <w:szCs w:val="22"/>
              </w:rPr>
            </w:pPr>
            <w:r w:rsidRPr="00A15B02">
              <w:rPr>
                <w:rFonts w:cstheme="minorHAnsi"/>
                <w:color w:val="333333"/>
                <w:sz w:val="22"/>
                <w:szCs w:val="22"/>
              </w:rPr>
              <w:t>396 (2.1%)</w:t>
            </w:r>
          </w:p>
        </w:tc>
        <w:tc>
          <w:tcPr>
            <w:tcW w:w="681" w:type="pct"/>
            <w:noWrap/>
            <w:vAlign w:val="center"/>
            <w:hideMark/>
          </w:tcPr>
          <w:p w14:paraId="4F6C0F88" w14:textId="77777777" w:rsidR="0042504C" w:rsidRPr="00FA2146" w:rsidRDefault="0042504C" w:rsidP="00B43E1B">
            <w:pPr>
              <w:spacing w:before="0" w:after="0" w:line="240" w:lineRule="auto"/>
              <w:jc w:val="center"/>
              <w:rPr>
                <w:rFonts w:cstheme="minorHAnsi"/>
                <w:color w:val="333333"/>
                <w:sz w:val="22"/>
                <w:szCs w:val="22"/>
              </w:rPr>
            </w:pPr>
            <w:r w:rsidRPr="00A15B02">
              <w:rPr>
                <w:rFonts w:cstheme="minorHAnsi"/>
                <w:color w:val="333333"/>
                <w:sz w:val="22"/>
                <w:szCs w:val="22"/>
              </w:rPr>
              <w:t>1276</w:t>
            </w:r>
            <w:r w:rsidRPr="00FA2146">
              <w:rPr>
                <w:rFonts w:cstheme="minorHAnsi"/>
                <w:color w:val="333333"/>
                <w:sz w:val="22"/>
                <w:szCs w:val="22"/>
              </w:rPr>
              <w:t xml:space="preserve"> (1.6%)</w:t>
            </w:r>
          </w:p>
        </w:tc>
      </w:tr>
      <w:tr w:rsidR="0042504C" w:rsidRPr="00FA2146" w14:paraId="04D6671E" w14:textId="77777777" w:rsidTr="00B43E1B">
        <w:trPr>
          <w:trHeight w:val="340"/>
        </w:trPr>
        <w:tc>
          <w:tcPr>
            <w:tcW w:w="1486" w:type="pct"/>
            <w:noWrap/>
            <w:vAlign w:val="center"/>
          </w:tcPr>
          <w:p w14:paraId="389BFB25" w14:textId="77777777" w:rsidR="0042504C" w:rsidRPr="00FA2146" w:rsidRDefault="0042504C" w:rsidP="00B43E1B">
            <w:pPr>
              <w:spacing w:before="0" w:after="0" w:line="240" w:lineRule="auto"/>
              <w:jc w:val="left"/>
              <w:rPr>
                <w:rFonts w:cstheme="minorBidi"/>
                <w:color w:val="333333"/>
                <w:sz w:val="22"/>
                <w:szCs w:val="22"/>
              </w:rPr>
            </w:pPr>
            <w:r w:rsidRPr="3D685BCD">
              <w:rPr>
                <w:b/>
                <w:bCs/>
                <w:sz w:val="22"/>
                <w:szCs w:val="22"/>
              </w:rPr>
              <w:t>Socio-economic status (IRSAD group)</w:t>
            </w:r>
          </w:p>
        </w:tc>
        <w:tc>
          <w:tcPr>
            <w:tcW w:w="732" w:type="pct"/>
            <w:noWrap/>
            <w:vAlign w:val="center"/>
          </w:tcPr>
          <w:p w14:paraId="52FE9986" w14:textId="77777777" w:rsidR="0042504C" w:rsidRPr="00FA2146" w:rsidRDefault="0042504C" w:rsidP="00B43E1B">
            <w:pPr>
              <w:spacing w:before="0" w:after="0" w:line="240" w:lineRule="auto"/>
              <w:jc w:val="center"/>
              <w:rPr>
                <w:rFonts w:cstheme="minorHAnsi"/>
                <w:color w:val="333333"/>
                <w:sz w:val="22"/>
                <w:szCs w:val="22"/>
              </w:rPr>
            </w:pPr>
          </w:p>
        </w:tc>
        <w:tc>
          <w:tcPr>
            <w:tcW w:w="732" w:type="pct"/>
            <w:noWrap/>
            <w:vAlign w:val="center"/>
          </w:tcPr>
          <w:p w14:paraId="0C5496C7" w14:textId="77777777" w:rsidR="0042504C" w:rsidRPr="00FA2146" w:rsidRDefault="0042504C" w:rsidP="00B43E1B">
            <w:pPr>
              <w:spacing w:before="0" w:after="0" w:line="240" w:lineRule="auto"/>
              <w:jc w:val="center"/>
              <w:rPr>
                <w:rFonts w:cstheme="minorHAnsi"/>
                <w:color w:val="333333"/>
                <w:sz w:val="22"/>
                <w:szCs w:val="22"/>
              </w:rPr>
            </w:pPr>
          </w:p>
        </w:tc>
        <w:tc>
          <w:tcPr>
            <w:tcW w:w="684" w:type="pct"/>
            <w:noWrap/>
            <w:vAlign w:val="center"/>
          </w:tcPr>
          <w:p w14:paraId="242915C1" w14:textId="77777777" w:rsidR="0042504C" w:rsidRPr="00FA2146" w:rsidRDefault="0042504C" w:rsidP="00B43E1B">
            <w:pPr>
              <w:spacing w:before="0" w:after="0" w:line="240" w:lineRule="auto"/>
              <w:jc w:val="center"/>
              <w:rPr>
                <w:rFonts w:cstheme="minorHAnsi"/>
                <w:color w:val="333333"/>
                <w:sz w:val="22"/>
                <w:szCs w:val="22"/>
              </w:rPr>
            </w:pPr>
          </w:p>
        </w:tc>
        <w:tc>
          <w:tcPr>
            <w:tcW w:w="685" w:type="pct"/>
            <w:noWrap/>
            <w:vAlign w:val="center"/>
          </w:tcPr>
          <w:p w14:paraId="57344F33" w14:textId="77777777" w:rsidR="0042504C" w:rsidRPr="00FA2146" w:rsidRDefault="0042504C" w:rsidP="00B43E1B">
            <w:pPr>
              <w:spacing w:before="0" w:after="0" w:line="240" w:lineRule="auto"/>
              <w:jc w:val="center"/>
              <w:rPr>
                <w:rFonts w:cstheme="minorHAnsi"/>
                <w:color w:val="333333"/>
                <w:sz w:val="22"/>
                <w:szCs w:val="22"/>
              </w:rPr>
            </w:pPr>
          </w:p>
        </w:tc>
        <w:tc>
          <w:tcPr>
            <w:tcW w:w="681" w:type="pct"/>
            <w:noWrap/>
            <w:vAlign w:val="center"/>
          </w:tcPr>
          <w:p w14:paraId="0CCF3950" w14:textId="77777777" w:rsidR="0042504C" w:rsidRPr="00FA2146" w:rsidRDefault="0042504C" w:rsidP="00B43E1B">
            <w:pPr>
              <w:spacing w:before="0" w:after="0" w:line="240" w:lineRule="auto"/>
              <w:jc w:val="center"/>
              <w:rPr>
                <w:rFonts w:cstheme="minorHAnsi"/>
                <w:color w:val="333333"/>
                <w:sz w:val="22"/>
                <w:szCs w:val="22"/>
              </w:rPr>
            </w:pPr>
          </w:p>
        </w:tc>
      </w:tr>
      <w:tr w:rsidR="0042504C" w:rsidRPr="00FA2146" w14:paraId="73719750" w14:textId="77777777" w:rsidTr="00B43E1B">
        <w:trPr>
          <w:trHeight w:val="340"/>
        </w:trPr>
        <w:tc>
          <w:tcPr>
            <w:tcW w:w="1486" w:type="pct"/>
            <w:noWrap/>
            <w:vAlign w:val="center"/>
          </w:tcPr>
          <w:p w14:paraId="303E8E17" w14:textId="77777777" w:rsidR="0042504C" w:rsidRPr="00FA2146" w:rsidRDefault="0042504C" w:rsidP="00B43E1B">
            <w:pPr>
              <w:spacing w:before="0" w:after="0" w:line="240" w:lineRule="auto"/>
              <w:jc w:val="left"/>
              <w:rPr>
                <w:rFonts w:cstheme="minorHAnsi"/>
                <w:color w:val="333333"/>
                <w:sz w:val="22"/>
                <w:szCs w:val="22"/>
              </w:rPr>
            </w:pPr>
            <w:r w:rsidRPr="00FA2146">
              <w:rPr>
                <w:color w:val="333333"/>
                <w:sz w:val="22"/>
                <w:szCs w:val="22"/>
              </w:rPr>
              <w:t>Low</w:t>
            </w:r>
          </w:p>
        </w:tc>
        <w:tc>
          <w:tcPr>
            <w:tcW w:w="732" w:type="pct"/>
            <w:noWrap/>
            <w:vAlign w:val="center"/>
          </w:tcPr>
          <w:p w14:paraId="6ADDD7ED"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7397 (38.6%)</w:t>
            </w:r>
          </w:p>
        </w:tc>
        <w:tc>
          <w:tcPr>
            <w:tcW w:w="732" w:type="pct"/>
            <w:noWrap/>
            <w:vAlign w:val="center"/>
          </w:tcPr>
          <w:p w14:paraId="5BB19B8D"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8671 (35.5%)</w:t>
            </w:r>
          </w:p>
        </w:tc>
        <w:tc>
          <w:tcPr>
            <w:tcW w:w="684" w:type="pct"/>
            <w:noWrap/>
            <w:vAlign w:val="center"/>
          </w:tcPr>
          <w:p w14:paraId="47A96530"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5746 (30.1%)</w:t>
            </w:r>
          </w:p>
        </w:tc>
        <w:tc>
          <w:tcPr>
            <w:tcW w:w="685" w:type="pct"/>
            <w:noWrap/>
            <w:vAlign w:val="center"/>
          </w:tcPr>
          <w:p w14:paraId="489BAAAB"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5180 (27.7%)</w:t>
            </w:r>
          </w:p>
        </w:tc>
        <w:tc>
          <w:tcPr>
            <w:tcW w:w="681" w:type="pct"/>
            <w:noWrap/>
            <w:vAlign w:val="center"/>
          </w:tcPr>
          <w:p w14:paraId="16EF3FDC"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27010 (33.1%)</w:t>
            </w:r>
          </w:p>
        </w:tc>
      </w:tr>
      <w:tr w:rsidR="0042504C" w:rsidRPr="00FA2146" w14:paraId="0128646C" w14:textId="77777777" w:rsidTr="00B43E1B">
        <w:trPr>
          <w:trHeight w:val="340"/>
        </w:trPr>
        <w:tc>
          <w:tcPr>
            <w:tcW w:w="1486" w:type="pct"/>
            <w:noWrap/>
            <w:vAlign w:val="center"/>
          </w:tcPr>
          <w:p w14:paraId="67C6C156" w14:textId="77777777" w:rsidR="0042504C" w:rsidRPr="00FA2146" w:rsidRDefault="0042504C" w:rsidP="00B43E1B">
            <w:pPr>
              <w:spacing w:before="0" w:after="0" w:line="240" w:lineRule="auto"/>
              <w:jc w:val="left"/>
              <w:rPr>
                <w:rFonts w:cstheme="minorHAnsi"/>
                <w:color w:val="333333"/>
                <w:sz w:val="22"/>
                <w:szCs w:val="22"/>
              </w:rPr>
            </w:pPr>
            <w:r w:rsidRPr="00FA2146">
              <w:rPr>
                <w:color w:val="333333"/>
                <w:sz w:val="22"/>
                <w:szCs w:val="22"/>
              </w:rPr>
              <w:t>Medium</w:t>
            </w:r>
          </w:p>
        </w:tc>
        <w:tc>
          <w:tcPr>
            <w:tcW w:w="732" w:type="pct"/>
            <w:noWrap/>
            <w:vAlign w:val="center"/>
          </w:tcPr>
          <w:p w14:paraId="4EF3E206"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6545 (34.1%)</w:t>
            </w:r>
          </w:p>
        </w:tc>
        <w:tc>
          <w:tcPr>
            <w:tcW w:w="732" w:type="pct"/>
            <w:noWrap/>
            <w:vAlign w:val="center"/>
          </w:tcPr>
          <w:p w14:paraId="7D32DB97"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7984 (32.7%)</w:t>
            </w:r>
          </w:p>
        </w:tc>
        <w:tc>
          <w:tcPr>
            <w:tcW w:w="684" w:type="pct"/>
            <w:noWrap/>
            <w:vAlign w:val="center"/>
          </w:tcPr>
          <w:p w14:paraId="231F20C6"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6322 (33.1%)</w:t>
            </w:r>
          </w:p>
        </w:tc>
        <w:tc>
          <w:tcPr>
            <w:tcW w:w="685" w:type="pct"/>
            <w:noWrap/>
            <w:vAlign w:val="center"/>
          </w:tcPr>
          <w:p w14:paraId="7C391B93"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5963 (31.9%)</w:t>
            </w:r>
          </w:p>
        </w:tc>
        <w:tc>
          <w:tcPr>
            <w:tcW w:w="681" w:type="pct"/>
            <w:noWrap/>
            <w:vAlign w:val="center"/>
          </w:tcPr>
          <w:p w14:paraId="35E3D9D4"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26848 (32.9%)</w:t>
            </w:r>
          </w:p>
        </w:tc>
      </w:tr>
      <w:tr w:rsidR="0042504C" w:rsidRPr="00FA2146" w14:paraId="0157B04B" w14:textId="77777777" w:rsidTr="00B43E1B">
        <w:trPr>
          <w:trHeight w:val="340"/>
        </w:trPr>
        <w:tc>
          <w:tcPr>
            <w:tcW w:w="1486" w:type="pct"/>
            <w:noWrap/>
            <w:vAlign w:val="center"/>
          </w:tcPr>
          <w:p w14:paraId="05A144E0" w14:textId="77777777" w:rsidR="0042504C" w:rsidRPr="00FA2146" w:rsidRDefault="0042504C" w:rsidP="00B43E1B">
            <w:pPr>
              <w:spacing w:before="0" w:after="0" w:line="240" w:lineRule="auto"/>
              <w:jc w:val="left"/>
              <w:rPr>
                <w:rFonts w:cstheme="minorHAnsi"/>
                <w:color w:val="333333"/>
                <w:sz w:val="22"/>
                <w:szCs w:val="22"/>
              </w:rPr>
            </w:pPr>
            <w:r w:rsidRPr="00FA2146">
              <w:rPr>
                <w:color w:val="333333"/>
                <w:sz w:val="22"/>
                <w:szCs w:val="22"/>
              </w:rPr>
              <w:t>High</w:t>
            </w:r>
          </w:p>
        </w:tc>
        <w:tc>
          <w:tcPr>
            <w:tcW w:w="732" w:type="pct"/>
            <w:noWrap/>
            <w:vAlign w:val="center"/>
          </w:tcPr>
          <w:p w14:paraId="16DBFD5A"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5239 (27.3%)</w:t>
            </w:r>
          </w:p>
        </w:tc>
        <w:tc>
          <w:tcPr>
            <w:tcW w:w="732" w:type="pct"/>
            <w:noWrap/>
            <w:vAlign w:val="center"/>
          </w:tcPr>
          <w:p w14:paraId="1093189D"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7749 (31.8%)</w:t>
            </w:r>
          </w:p>
        </w:tc>
        <w:tc>
          <w:tcPr>
            <w:tcW w:w="684" w:type="pct"/>
            <w:noWrap/>
            <w:vAlign w:val="center"/>
          </w:tcPr>
          <w:p w14:paraId="7623EFA0"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7049 (36.9%)</w:t>
            </w:r>
          </w:p>
        </w:tc>
        <w:tc>
          <w:tcPr>
            <w:tcW w:w="685" w:type="pct"/>
            <w:noWrap/>
            <w:vAlign w:val="center"/>
          </w:tcPr>
          <w:p w14:paraId="5BACB23D"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7568 (40.4%)</w:t>
            </w:r>
          </w:p>
        </w:tc>
        <w:tc>
          <w:tcPr>
            <w:tcW w:w="681" w:type="pct"/>
            <w:noWrap/>
            <w:vAlign w:val="center"/>
          </w:tcPr>
          <w:p w14:paraId="0B3EBFFB"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27722 (34.0%)</w:t>
            </w:r>
          </w:p>
        </w:tc>
      </w:tr>
      <w:tr w:rsidR="0042504C" w:rsidRPr="00FA2146" w14:paraId="6AE8E3C2" w14:textId="77777777" w:rsidTr="00B43E1B">
        <w:trPr>
          <w:trHeight w:val="340"/>
        </w:trPr>
        <w:tc>
          <w:tcPr>
            <w:tcW w:w="1486" w:type="pct"/>
            <w:noWrap/>
            <w:vAlign w:val="center"/>
            <w:hideMark/>
          </w:tcPr>
          <w:p w14:paraId="1C12D1E3" w14:textId="77777777" w:rsidR="0042504C" w:rsidRPr="00FA2146" w:rsidRDefault="0042504C" w:rsidP="00B43E1B">
            <w:pPr>
              <w:spacing w:before="0" w:after="0" w:line="240" w:lineRule="auto"/>
              <w:jc w:val="left"/>
              <w:rPr>
                <w:rFonts w:cstheme="minorHAnsi"/>
                <w:b/>
                <w:color w:val="333333"/>
                <w:sz w:val="22"/>
                <w:szCs w:val="22"/>
              </w:rPr>
            </w:pPr>
            <w:r w:rsidRPr="00FA2146">
              <w:rPr>
                <w:rFonts w:cstheme="minorHAnsi"/>
                <w:b/>
                <w:color w:val="333333"/>
                <w:sz w:val="22"/>
                <w:szCs w:val="22"/>
              </w:rPr>
              <w:t>Total number of visits</w:t>
            </w:r>
          </w:p>
        </w:tc>
        <w:tc>
          <w:tcPr>
            <w:tcW w:w="732" w:type="pct"/>
            <w:noWrap/>
            <w:vAlign w:val="center"/>
          </w:tcPr>
          <w:p w14:paraId="190AC47D" w14:textId="77777777" w:rsidR="0042504C" w:rsidRPr="00FA2146" w:rsidRDefault="0042504C" w:rsidP="00B43E1B">
            <w:pPr>
              <w:spacing w:before="0" w:after="0" w:line="240" w:lineRule="auto"/>
              <w:jc w:val="center"/>
              <w:rPr>
                <w:rFonts w:cstheme="minorHAnsi"/>
                <w:color w:val="333333"/>
                <w:sz w:val="22"/>
                <w:szCs w:val="22"/>
              </w:rPr>
            </w:pPr>
          </w:p>
        </w:tc>
        <w:tc>
          <w:tcPr>
            <w:tcW w:w="732" w:type="pct"/>
            <w:noWrap/>
            <w:vAlign w:val="center"/>
          </w:tcPr>
          <w:p w14:paraId="4D20B847" w14:textId="77777777" w:rsidR="0042504C" w:rsidRPr="00FA2146" w:rsidRDefault="0042504C" w:rsidP="00B43E1B">
            <w:pPr>
              <w:spacing w:before="0" w:after="0" w:line="240" w:lineRule="auto"/>
              <w:jc w:val="center"/>
              <w:rPr>
                <w:rFonts w:cstheme="minorHAnsi"/>
                <w:color w:val="333333"/>
                <w:sz w:val="22"/>
                <w:szCs w:val="22"/>
              </w:rPr>
            </w:pPr>
          </w:p>
        </w:tc>
        <w:tc>
          <w:tcPr>
            <w:tcW w:w="684" w:type="pct"/>
            <w:noWrap/>
            <w:vAlign w:val="center"/>
          </w:tcPr>
          <w:p w14:paraId="7B4A5B36" w14:textId="77777777" w:rsidR="0042504C" w:rsidRPr="00FA2146" w:rsidRDefault="0042504C" w:rsidP="00B43E1B">
            <w:pPr>
              <w:spacing w:before="0" w:after="0" w:line="240" w:lineRule="auto"/>
              <w:jc w:val="center"/>
              <w:rPr>
                <w:rFonts w:cstheme="minorHAnsi"/>
                <w:color w:val="333333"/>
                <w:sz w:val="22"/>
                <w:szCs w:val="22"/>
              </w:rPr>
            </w:pPr>
          </w:p>
        </w:tc>
        <w:tc>
          <w:tcPr>
            <w:tcW w:w="685" w:type="pct"/>
            <w:noWrap/>
            <w:vAlign w:val="center"/>
          </w:tcPr>
          <w:p w14:paraId="6E9A1FEC" w14:textId="77777777" w:rsidR="0042504C" w:rsidRPr="00FA2146" w:rsidRDefault="0042504C" w:rsidP="00B43E1B">
            <w:pPr>
              <w:spacing w:before="0" w:after="0" w:line="240" w:lineRule="auto"/>
              <w:jc w:val="center"/>
              <w:rPr>
                <w:rFonts w:cstheme="minorHAnsi"/>
                <w:color w:val="333333"/>
                <w:sz w:val="22"/>
                <w:szCs w:val="22"/>
              </w:rPr>
            </w:pPr>
          </w:p>
        </w:tc>
        <w:tc>
          <w:tcPr>
            <w:tcW w:w="681" w:type="pct"/>
            <w:noWrap/>
            <w:vAlign w:val="center"/>
          </w:tcPr>
          <w:p w14:paraId="29C7A3EF" w14:textId="77777777" w:rsidR="0042504C" w:rsidRPr="00FA2146" w:rsidRDefault="0042504C" w:rsidP="00B43E1B">
            <w:pPr>
              <w:spacing w:before="0" w:after="0" w:line="240" w:lineRule="auto"/>
              <w:jc w:val="center"/>
              <w:rPr>
                <w:rFonts w:cstheme="minorHAnsi"/>
                <w:color w:val="333333"/>
                <w:sz w:val="22"/>
                <w:szCs w:val="22"/>
              </w:rPr>
            </w:pPr>
          </w:p>
        </w:tc>
      </w:tr>
      <w:tr w:rsidR="0042504C" w:rsidRPr="00FA2146" w14:paraId="41651033" w14:textId="77777777" w:rsidTr="00B43E1B">
        <w:trPr>
          <w:trHeight w:val="340"/>
        </w:trPr>
        <w:tc>
          <w:tcPr>
            <w:tcW w:w="1486" w:type="pct"/>
            <w:noWrap/>
            <w:vAlign w:val="center"/>
          </w:tcPr>
          <w:p w14:paraId="037684D0" w14:textId="77777777" w:rsidR="0042504C" w:rsidRPr="00FA2146" w:rsidRDefault="0042504C" w:rsidP="00B43E1B">
            <w:pPr>
              <w:spacing w:before="0" w:after="0" w:line="240" w:lineRule="auto"/>
              <w:jc w:val="left"/>
              <w:rPr>
                <w:rFonts w:cstheme="minorHAnsi"/>
                <w:b/>
                <w:color w:val="333333"/>
                <w:sz w:val="22"/>
                <w:szCs w:val="22"/>
              </w:rPr>
            </w:pPr>
            <w:r w:rsidRPr="00FA2146">
              <w:rPr>
                <w:rFonts w:cstheme="minorHAnsi"/>
                <w:color w:val="333333"/>
                <w:sz w:val="22"/>
                <w:szCs w:val="22"/>
              </w:rPr>
              <w:t>Mean (SD</w:t>
            </w:r>
          </w:p>
        </w:tc>
        <w:tc>
          <w:tcPr>
            <w:tcW w:w="732" w:type="pct"/>
            <w:noWrap/>
            <w:vAlign w:val="center"/>
          </w:tcPr>
          <w:p w14:paraId="74D1D249"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3.7 (3.5)</w:t>
            </w:r>
          </w:p>
        </w:tc>
        <w:tc>
          <w:tcPr>
            <w:tcW w:w="732" w:type="pct"/>
            <w:noWrap/>
            <w:vAlign w:val="center"/>
          </w:tcPr>
          <w:p w14:paraId="307D3999"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3.6 (3.6)</w:t>
            </w:r>
          </w:p>
        </w:tc>
        <w:tc>
          <w:tcPr>
            <w:tcW w:w="684" w:type="pct"/>
            <w:noWrap/>
            <w:vAlign w:val="center"/>
          </w:tcPr>
          <w:p w14:paraId="4F177ED1"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3.6 (3.8)</w:t>
            </w:r>
          </w:p>
        </w:tc>
        <w:tc>
          <w:tcPr>
            <w:tcW w:w="685" w:type="pct"/>
            <w:noWrap/>
            <w:vAlign w:val="center"/>
          </w:tcPr>
          <w:p w14:paraId="536908C4"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3.7 (3.7)</w:t>
            </w:r>
          </w:p>
        </w:tc>
        <w:tc>
          <w:tcPr>
            <w:tcW w:w="681" w:type="pct"/>
            <w:noWrap/>
            <w:vAlign w:val="center"/>
          </w:tcPr>
          <w:p w14:paraId="7F82362B"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3.7 (3.6)</w:t>
            </w:r>
          </w:p>
        </w:tc>
      </w:tr>
      <w:tr w:rsidR="0042504C" w:rsidRPr="00FA2146" w14:paraId="12EDD734" w14:textId="77777777" w:rsidTr="00B43E1B">
        <w:trPr>
          <w:trHeight w:val="340"/>
        </w:trPr>
        <w:tc>
          <w:tcPr>
            <w:tcW w:w="1486" w:type="pct"/>
            <w:noWrap/>
            <w:vAlign w:val="center"/>
          </w:tcPr>
          <w:p w14:paraId="5D2B42AD" w14:textId="77777777" w:rsidR="0042504C" w:rsidRPr="00FA2146" w:rsidRDefault="0042504C" w:rsidP="00B43E1B">
            <w:pPr>
              <w:spacing w:before="0" w:after="0" w:line="240" w:lineRule="auto"/>
              <w:jc w:val="left"/>
              <w:rPr>
                <w:rFonts w:cstheme="minorHAnsi"/>
                <w:color w:val="333333"/>
                <w:sz w:val="22"/>
                <w:szCs w:val="22"/>
              </w:rPr>
            </w:pPr>
            <w:r w:rsidRPr="00FA2146">
              <w:rPr>
                <w:rFonts w:cstheme="minorHAnsi"/>
                <w:color w:val="333333"/>
                <w:sz w:val="22"/>
                <w:szCs w:val="22"/>
              </w:rPr>
              <w:t>Median (Q1-Q3)</w:t>
            </w:r>
          </w:p>
        </w:tc>
        <w:tc>
          <w:tcPr>
            <w:tcW w:w="732" w:type="pct"/>
            <w:noWrap/>
            <w:vAlign w:val="center"/>
          </w:tcPr>
          <w:p w14:paraId="5FA9D1FE"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2 (1, 5)</w:t>
            </w:r>
          </w:p>
        </w:tc>
        <w:tc>
          <w:tcPr>
            <w:tcW w:w="732" w:type="pct"/>
            <w:noWrap/>
            <w:vAlign w:val="center"/>
          </w:tcPr>
          <w:p w14:paraId="10E9F3BD"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2 (1, 5)</w:t>
            </w:r>
          </w:p>
        </w:tc>
        <w:tc>
          <w:tcPr>
            <w:tcW w:w="684" w:type="pct"/>
            <w:noWrap/>
            <w:vAlign w:val="center"/>
          </w:tcPr>
          <w:p w14:paraId="7A3853CD"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2 (1, 5)</w:t>
            </w:r>
          </w:p>
        </w:tc>
        <w:tc>
          <w:tcPr>
            <w:tcW w:w="685" w:type="pct"/>
            <w:noWrap/>
            <w:vAlign w:val="center"/>
          </w:tcPr>
          <w:p w14:paraId="5DF3DDE0"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2 (1, 5)</w:t>
            </w:r>
          </w:p>
        </w:tc>
        <w:tc>
          <w:tcPr>
            <w:tcW w:w="681" w:type="pct"/>
            <w:noWrap/>
            <w:vAlign w:val="center"/>
          </w:tcPr>
          <w:p w14:paraId="6F93C4B2" w14:textId="77777777" w:rsidR="0042504C" w:rsidRPr="00FA2146" w:rsidRDefault="0042504C" w:rsidP="00B43E1B">
            <w:pPr>
              <w:spacing w:before="0" w:after="0" w:line="240" w:lineRule="auto"/>
              <w:jc w:val="center"/>
              <w:rPr>
                <w:rFonts w:cstheme="minorHAnsi"/>
                <w:color w:val="333333"/>
                <w:sz w:val="22"/>
                <w:szCs w:val="22"/>
              </w:rPr>
            </w:pPr>
            <w:r w:rsidRPr="00FA2146">
              <w:rPr>
                <w:rFonts w:cstheme="minorHAnsi"/>
                <w:color w:val="333333"/>
                <w:sz w:val="22"/>
                <w:szCs w:val="22"/>
              </w:rPr>
              <w:t>2 (1, 5)</w:t>
            </w:r>
          </w:p>
        </w:tc>
      </w:tr>
    </w:tbl>
    <w:p w14:paraId="4965A701" w14:textId="77777777" w:rsidR="0042504C" w:rsidRDefault="0042504C" w:rsidP="0042504C">
      <w:pPr>
        <w:spacing w:line="276" w:lineRule="auto"/>
        <w:rPr>
          <w:rFonts w:cstheme="minorHAnsi"/>
          <w:color w:val="333333"/>
        </w:rPr>
      </w:pPr>
      <w:r w:rsidRPr="00FA2146">
        <w:t xml:space="preserve">Note: The dataset contains 167 missing values for age, </w:t>
      </w:r>
      <w:r w:rsidRPr="00FA2146">
        <w:rPr>
          <w:rFonts w:cstheme="minorHAnsi"/>
          <w:color w:val="333333"/>
        </w:rPr>
        <w:t xml:space="preserve">8098 for gender identity, 9263 for </w:t>
      </w:r>
      <w:r w:rsidRPr="00224A66">
        <w:rPr>
          <w:rFonts w:cstheme="minorHAnsi"/>
          <w:bCs/>
          <w:color w:val="333333"/>
          <w:sz w:val="22"/>
          <w:szCs w:val="22"/>
        </w:rPr>
        <w:t>Aboriginal and/or Torres Strait Islander identity</w:t>
      </w:r>
      <w:r w:rsidRPr="00FA2146">
        <w:rPr>
          <w:rFonts w:cstheme="minorHAnsi"/>
          <w:color w:val="333333"/>
        </w:rPr>
        <w:t xml:space="preserve">, 9307 for CALD, </w:t>
      </w:r>
      <w:r w:rsidRPr="00332431">
        <w:rPr>
          <w:rFonts w:cstheme="minorHAnsi"/>
          <w:color w:val="333333"/>
        </w:rPr>
        <w:t xml:space="preserve">660 </w:t>
      </w:r>
      <w:r w:rsidRPr="00FA2146">
        <w:rPr>
          <w:rFonts w:cstheme="minorHAnsi"/>
          <w:color w:val="333333"/>
        </w:rPr>
        <w:t xml:space="preserve">for rurality and 42 for IRSAD group; </w:t>
      </w:r>
      <w:r w:rsidRPr="00FA2146">
        <w:rPr>
          <w:rFonts w:cstheme="minorHAnsi"/>
          <w:color w:val="333333"/>
          <w:vertAlign w:val="superscript"/>
        </w:rPr>
        <w:t>*</w:t>
      </w:r>
      <w:r w:rsidRPr="00FA2146">
        <w:rPr>
          <w:rFonts w:cstheme="minorHAnsi"/>
          <w:color w:val="333333"/>
        </w:rPr>
        <w:t xml:space="preserve">Born in countries other than Australia and New Zealand or spoken language other than English at home. </w:t>
      </w:r>
    </w:p>
    <w:p w14:paraId="5BC4A548" w14:textId="77777777" w:rsidR="0042504C" w:rsidRDefault="0042504C" w:rsidP="0042504C">
      <w:pPr>
        <w:spacing w:line="276" w:lineRule="auto"/>
        <w:rPr>
          <w:rFonts w:cstheme="minorHAnsi"/>
          <w:color w:val="333333"/>
        </w:rPr>
      </w:pPr>
    </w:p>
    <w:p w14:paraId="2205A5C8" w14:textId="77777777" w:rsidR="0042504C" w:rsidRDefault="0042504C" w:rsidP="0042504C">
      <w:pPr>
        <w:spacing w:before="0" w:after="0" w:line="240" w:lineRule="auto"/>
        <w:jc w:val="left"/>
        <w:rPr>
          <w:rFonts w:cstheme="minorHAnsi"/>
          <w:color w:val="333333"/>
        </w:rPr>
      </w:pPr>
      <w:r>
        <w:rPr>
          <w:rFonts w:cstheme="minorHAnsi"/>
          <w:color w:val="333333"/>
        </w:rPr>
        <w:lastRenderedPageBreak/>
        <w:br w:type="page"/>
      </w:r>
    </w:p>
    <w:p w14:paraId="4DB5AF57" w14:textId="3EFF2B0B" w:rsidR="0042504C" w:rsidRPr="00FA2146" w:rsidRDefault="0042504C" w:rsidP="0042504C">
      <w:r>
        <w:lastRenderedPageBreak/>
        <w:t>Table S</w:t>
      </w:r>
      <w:r w:rsidR="00764799">
        <w:t>5</w:t>
      </w:r>
      <w:r>
        <w:t>: Complexity subgroups in the 4 cluster solutions</w:t>
      </w:r>
    </w:p>
    <w:tbl>
      <w:tblPr>
        <w:tblW w:w="12720" w:type="dxa"/>
        <w:shd w:val="clear" w:color="auto" w:fill="FFFFFF"/>
        <w:tblCellMar>
          <w:top w:w="15" w:type="dxa"/>
          <w:left w:w="15" w:type="dxa"/>
          <w:bottom w:w="15" w:type="dxa"/>
          <w:right w:w="15" w:type="dxa"/>
        </w:tblCellMar>
        <w:tblLook w:val="04A0" w:firstRow="1" w:lastRow="0" w:firstColumn="1" w:lastColumn="0" w:noHBand="0" w:noVBand="1"/>
      </w:tblPr>
      <w:tblGrid>
        <w:gridCol w:w="4936"/>
        <w:gridCol w:w="1946"/>
        <w:gridCol w:w="1946"/>
        <w:gridCol w:w="1946"/>
        <w:gridCol w:w="1946"/>
      </w:tblGrid>
      <w:tr w:rsidR="0042504C" w:rsidRPr="00FA2146" w14:paraId="64BFA6E7" w14:textId="77777777" w:rsidTr="00B43E1B">
        <w:trPr>
          <w:trHeight w:val="20"/>
          <w:tblHeader/>
        </w:trPr>
        <w:tc>
          <w:tcPr>
            <w:tcW w:w="0" w:type="auto"/>
            <w:tcBorders>
              <w:top w:val="single" w:sz="4" w:space="0" w:color="auto"/>
              <w:bottom w:val="single" w:sz="4" w:space="0" w:color="auto"/>
            </w:tcBorders>
            <w:shd w:val="clear" w:color="auto" w:fill="FFFFFF" w:themeFill="background1"/>
            <w:tcMar>
              <w:top w:w="75" w:type="dxa"/>
              <w:left w:w="75" w:type="dxa"/>
              <w:bottom w:w="75" w:type="dxa"/>
              <w:right w:w="75" w:type="dxa"/>
            </w:tcMar>
            <w:vAlign w:val="bottom"/>
            <w:hideMark/>
          </w:tcPr>
          <w:p w14:paraId="4E147399" w14:textId="77777777" w:rsidR="0042504C" w:rsidRPr="00FA2146" w:rsidRDefault="0042504C" w:rsidP="00B43E1B">
            <w:pPr>
              <w:spacing w:before="0" w:after="0" w:line="240" w:lineRule="auto"/>
              <w:rPr>
                <w:color w:val="777777"/>
                <w:sz w:val="22"/>
                <w:szCs w:val="22"/>
              </w:rPr>
            </w:pPr>
          </w:p>
        </w:tc>
        <w:tc>
          <w:tcPr>
            <w:tcW w:w="0" w:type="auto"/>
            <w:tcBorders>
              <w:top w:val="single" w:sz="4" w:space="0" w:color="auto"/>
              <w:bottom w:val="single" w:sz="4" w:space="0" w:color="auto"/>
            </w:tcBorders>
            <w:shd w:val="clear" w:color="auto" w:fill="FFFFFF" w:themeFill="background1"/>
            <w:tcMar>
              <w:top w:w="75" w:type="dxa"/>
              <w:left w:w="75" w:type="dxa"/>
              <w:bottom w:w="75" w:type="dxa"/>
              <w:right w:w="75" w:type="dxa"/>
            </w:tcMar>
            <w:hideMark/>
          </w:tcPr>
          <w:p w14:paraId="01A38A01" w14:textId="77777777" w:rsidR="0042504C" w:rsidRPr="00FA2146" w:rsidRDefault="0042504C" w:rsidP="00B43E1B">
            <w:pPr>
              <w:pStyle w:val="NoSpacing"/>
              <w:jc w:val="center"/>
              <w:rPr>
                <w:rFonts w:ascii="Times New Roman" w:hAnsi="Times New Roman" w:cs="Times New Roman"/>
                <w:b/>
                <w:color w:val="000000" w:themeColor="text1"/>
                <w:sz w:val="22"/>
                <w:szCs w:val="22"/>
              </w:rPr>
            </w:pPr>
            <w:r w:rsidRPr="00FA2146">
              <w:rPr>
                <w:rFonts w:ascii="Times New Roman" w:hAnsi="Times New Roman" w:cs="Times New Roman"/>
                <w:b/>
                <w:color w:val="000000" w:themeColor="text1"/>
                <w:sz w:val="22"/>
                <w:szCs w:val="22"/>
              </w:rPr>
              <w:t xml:space="preserve">Low </w:t>
            </w:r>
            <w:r w:rsidRPr="00FA2146">
              <w:rPr>
                <w:b/>
                <w:color w:val="000000" w:themeColor="text1"/>
                <w:sz w:val="22"/>
                <w:szCs w:val="22"/>
              </w:rPr>
              <w:br/>
            </w:r>
            <w:r w:rsidRPr="00FA2146">
              <w:rPr>
                <w:rFonts w:ascii="Times New Roman" w:hAnsi="Times New Roman" w:cs="Times New Roman"/>
                <w:b/>
                <w:color w:val="000000" w:themeColor="text1"/>
                <w:sz w:val="22"/>
                <w:szCs w:val="22"/>
              </w:rPr>
              <w:t>complexity</w:t>
            </w:r>
          </w:p>
          <w:p w14:paraId="79F1FE89" w14:textId="77777777" w:rsidR="0042504C" w:rsidRPr="00FA2146" w:rsidRDefault="0042504C" w:rsidP="00B43E1B">
            <w:pPr>
              <w:spacing w:before="0" w:after="0" w:line="240" w:lineRule="auto"/>
              <w:jc w:val="center"/>
              <w:rPr>
                <w:b/>
                <w:color w:val="333333"/>
                <w:sz w:val="22"/>
                <w:szCs w:val="22"/>
              </w:rPr>
            </w:pPr>
            <w:r w:rsidRPr="00FA2146">
              <w:rPr>
                <w:b/>
                <w:color w:val="000000" w:themeColor="text1"/>
                <w:sz w:val="22"/>
                <w:szCs w:val="22"/>
              </w:rPr>
              <w:t>n=32506 (39.8%)</w:t>
            </w:r>
          </w:p>
        </w:tc>
        <w:tc>
          <w:tcPr>
            <w:tcW w:w="0" w:type="auto"/>
            <w:tcBorders>
              <w:top w:val="single" w:sz="4" w:space="0" w:color="auto"/>
              <w:bottom w:val="single" w:sz="4" w:space="0" w:color="auto"/>
            </w:tcBorders>
            <w:shd w:val="clear" w:color="auto" w:fill="FFFFFF" w:themeFill="background1"/>
            <w:tcMar>
              <w:top w:w="75" w:type="dxa"/>
              <w:left w:w="75" w:type="dxa"/>
              <w:bottom w:w="75" w:type="dxa"/>
              <w:right w:w="75" w:type="dxa"/>
            </w:tcMar>
            <w:hideMark/>
          </w:tcPr>
          <w:p w14:paraId="53BEB41F" w14:textId="77777777" w:rsidR="0042504C" w:rsidRPr="00FA2146" w:rsidRDefault="0042504C" w:rsidP="00B43E1B">
            <w:pPr>
              <w:pStyle w:val="NoSpacing"/>
              <w:jc w:val="center"/>
              <w:rPr>
                <w:rFonts w:ascii="Times New Roman" w:hAnsi="Times New Roman" w:cs="Times New Roman"/>
                <w:b/>
                <w:color w:val="000000" w:themeColor="text1"/>
                <w:sz w:val="22"/>
                <w:szCs w:val="22"/>
              </w:rPr>
            </w:pPr>
            <w:r w:rsidRPr="00FA2146">
              <w:rPr>
                <w:rFonts w:ascii="Times New Roman" w:hAnsi="Times New Roman" w:cs="Times New Roman"/>
                <w:b/>
                <w:color w:val="000000" w:themeColor="text1"/>
                <w:sz w:val="22"/>
                <w:szCs w:val="22"/>
              </w:rPr>
              <w:t xml:space="preserve">Distress </w:t>
            </w:r>
            <w:r w:rsidRPr="00FA2146">
              <w:rPr>
                <w:b/>
                <w:color w:val="000000" w:themeColor="text1"/>
                <w:sz w:val="22"/>
                <w:szCs w:val="22"/>
              </w:rPr>
              <w:br/>
            </w:r>
            <w:r w:rsidRPr="00FA2146">
              <w:rPr>
                <w:rFonts w:ascii="Times New Roman" w:hAnsi="Times New Roman" w:cs="Times New Roman"/>
                <w:b/>
                <w:color w:val="000000" w:themeColor="text1"/>
                <w:sz w:val="22"/>
                <w:szCs w:val="22"/>
              </w:rPr>
              <w:t>complexity</w:t>
            </w:r>
          </w:p>
          <w:p w14:paraId="5610F349" w14:textId="77777777" w:rsidR="0042504C" w:rsidRPr="00FA2146" w:rsidRDefault="0042504C" w:rsidP="00B43E1B">
            <w:pPr>
              <w:spacing w:before="0" w:after="0" w:line="240" w:lineRule="auto"/>
              <w:jc w:val="center"/>
              <w:rPr>
                <w:b/>
                <w:color w:val="333333"/>
                <w:sz w:val="22"/>
                <w:szCs w:val="22"/>
              </w:rPr>
            </w:pPr>
            <w:r w:rsidRPr="00FA2146">
              <w:rPr>
                <w:b/>
                <w:color w:val="000000" w:themeColor="text1"/>
                <w:sz w:val="22"/>
                <w:szCs w:val="22"/>
              </w:rPr>
              <w:t>n=16251 (19.9%)</w:t>
            </w:r>
          </w:p>
        </w:tc>
        <w:tc>
          <w:tcPr>
            <w:tcW w:w="0" w:type="auto"/>
            <w:tcBorders>
              <w:top w:val="single" w:sz="4" w:space="0" w:color="auto"/>
              <w:bottom w:val="single" w:sz="4" w:space="0" w:color="auto"/>
            </w:tcBorders>
            <w:shd w:val="clear" w:color="auto" w:fill="FFFFFF" w:themeFill="background1"/>
            <w:tcMar>
              <w:top w:w="75" w:type="dxa"/>
              <w:left w:w="75" w:type="dxa"/>
              <w:bottom w:w="75" w:type="dxa"/>
              <w:right w:w="75" w:type="dxa"/>
            </w:tcMar>
            <w:hideMark/>
          </w:tcPr>
          <w:p w14:paraId="6352122E" w14:textId="77777777" w:rsidR="0042504C" w:rsidRPr="00FA2146" w:rsidRDefault="0042504C" w:rsidP="00B43E1B">
            <w:pPr>
              <w:spacing w:before="0" w:after="0" w:line="240" w:lineRule="auto"/>
              <w:jc w:val="center"/>
              <w:rPr>
                <w:b/>
                <w:color w:val="333333"/>
                <w:sz w:val="22"/>
                <w:szCs w:val="22"/>
              </w:rPr>
            </w:pPr>
            <w:r w:rsidRPr="00FA2146">
              <w:rPr>
                <w:b/>
                <w:color w:val="000000" w:themeColor="text1"/>
                <w:sz w:val="22"/>
                <w:szCs w:val="22"/>
              </w:rPr>
              <w:t xml:space="preserve">Psychosocial </w:t>
            </w:r>
            <w:r w:rsidRPr="00FA2146">
              <w:rPr>
                <w:b/>
                <w:color w:val="000000" w:themeColor="text1"/>
                <w:sz w:val="22"/>
                <w:szCs w:val="22"/>
              </w:rPr>
              <w:br/>
              <w:t>complexity</w:t>
            </w:r>
            <w:r w:rsidRPr="00FA2146">
              <w:rPr>
                <w:b/>
                <w:color w:val="000000" w:themeColor="text1"/>
                <w:sz w:val="22"/>
                <w:szCs w:val="22"/>
              </w:rPr>
              <w:br/>
              <w:t>n=17781 (21.8%)</w:t>
            </w:r>
          </w:p>
        </w:tc>
        <w:tc>
          <w:tcPr>
            <w:tcW w:w="0" w:type="auto"/>
            <w:tcBorders>
              <w:top w:val="single" w:sz="4" w:space="0" w:color="auto"/>
              <w:bottom w:val="single" w:sz="4" w:space="0" w:color="auto"/>
            </w:tcBorders>
            <w:shd w:val="clear" w:color="auto" w:fill="FFFFFF" w:themeFill="background1"/>
            <w:tcMar>
              <w:top w:w="75" w:type="dxa"/>
              <w:left w:w="75" w:type="dxa"/>
              <w:bottom w:w="75" w:type="dxa"/>
              <w:right w:w="75" w:type="dxa"/>
            </w:tcMar>
            <w:hideMark/>
          </w:tcPr>
          <w:p w14:paraId="5E9066AB" w14:textId="77777777" w:rsidR="0042504C" w:rsidRPr="00FA2146" w:rsidRDefault="0042504C" w:rsidP="00B43E1B">
            <w:pPr>
              <w:spacing w:before="0" w:after="0" w:line="240" w:lineRule="auto"/>
              <w:jc w:val="center"/>
              <w:rPr>
                <w:b/>
                <w:color w:val="333333"/>
                <w:sz w:val="22"/>
                <w:szCs w:val="22"/>
              </w:rPr>
            </w:pPr>
            <w:r w:rsidRPr="00FA2146">
              <w:rPr>
                <w:b/>
                <w:color w:val="000000" w:themeColor="text1"/>
                <w:sz w:val="22"/>
                <w:szCs w:val="22"/>
              </w:rPr>
              <w:t xml:space="preserve">High </w:t>
            </w:r>
            <w:r w:rsidRPr="00FA2146">
              <w:rPr>
                <w:b/>
                <w:color w:val="000000" w:themeColor="text1"/>
                <w:sz w:val="22"/>
                <w:szCs w:val="22"/>
              </w:rPr>
              <w:br/>
              <w:t>complexity</w:t>
            </w:r>
            <w:r w:rsidRPr="00FA2146">
              <w:rPr>
                <w:b/>
                <w:color w:val="000000" w:themeColor="text1"/>
                <w:sz w:val="22"/>
                <w:szCs w:val="22"/>
              </w:rPr>
              <w:br/>
              <w:t>n=15084 (18.5%)</w:t>
            </w:r>
          </w:p>
        </w:tc>
      </w:tr>
      <w:tr w:rsidR="0042504C" w:rsidRPr="00FA2146" w14:paraId="4A8D98F3" w14:textId="77777777" w:rsidTr="00B43E1B">
        <w:trPr>
          <w:trHeight w:val="20"/>
        </w:trPr>
        <w:tc>
          <w:tcPr>
            <w:tcW w:w="0" w:type="auto"/>
            <w:tcBorders>
              <w:top w:val="single" w:sz="4" w:space="0" w:color="auto"/>
            </w:tcBorders>
            <w:shd w:val="clear" w:color="auto" w:fill="FFFFFF" w:themeFill="background1"/>
            <w:tcMar>
              <w:top w:w="75" w:type="dxa"/>
              <w:left w:w="75" w:type="dxa"/>
              <w:bottom w:w="75" w:type="dxa"/>
              <w:right w:w="75" w:type="dxa"/>
            </w:tcMar>
          </w:tcPr>
          <w:p w14:paraId="2772E4A1" w14:textId="77777777" w:rsidR="0042504C" w:rsidRPr="00FA2146" w:rsidRDefault="0042504C" w:rsidP="00B43E1B">
            <w:pPr>
              <w:spacing w:before="0" w:after="0" w:line="240" w:lineRule="auto"/>
              <w:rPr>
                <w:color w:val="333333"/>
                <w:sz w:val="22"/>
                <w:szCs w:val="22"/>
              </w:rPr>
            </w:pPr>
            <w:r w:rsidRPr="00FA2146">
              <w:rPr>
                <w:rFonts w:cstheme="minorHAnsi"/>
                <w:b/>
                <w:color w:val="333333"/>
                <w:sz w:val="22"/>
                <w:szCs w:val="22"/>
              </w:rPr>
              <w:t>Clinical factors</w:t>
            </w:r>
          </w:p>
        </w:tc>
        <w:tc>
          <w:tcPr>
            <w:tcW w:w="0" w:type="auto"/>
            <w:tcBorders>
              <w:top w:val="single" w:sz="4" w:space="0" w:color="auto"/>
            </w:tcBorders>
            <w:shd w:val="clear" w:color="auto" w:fill="FFFFFF" w:themeFill="background1"/>
            <w:tcMar>
              <w:top w:w="75" w:type="dxa"/>
              <w:left w:w="75" w:type="dxa"/>
              <w:bottom w:w="75" w:type="dxa"/>
              <w:right w:w="75" w:type="dxa"/>
            </w:tcMar>
          </w:tcPr>
          <w:p w14:paraId="7DB9BFDD" w14:textId="77777777" w:rsidR="0042504C" w:rsidRPr="00FA2146" w:rsidRDefault="0042504C" w:rsidP="00B43E1B">
            <w:pPr>
              <w:spacing w:before="0" w:after="0" w:line="240" w:lineRule="auto"/>
              <w:jc w:val="center"/>
              <w:rPr>
                <w:color w:val="333333"/>
                <w:sz w:val="22"/>
                <w:szCs w:val="22"/>
              </w:rPr>
            </w:pPr>
          </w:p>
        </w:tc>
        <w:tc>
          <w:tcPr>
            <w:tcW w:w="0" w:type="auto"/>
            <w:tcBorders>
              <w:top w:val="single" w:sz="4" w:space="0" w:color="auto"/>
            </w:tcBorders>
            <w:shd w:val="clear" w:color="auto" w:fill="FFFFFF" w:themeFill="background1"/>
            <w:tcMar>
              <w:top w:w="75" w:type="dxa"/>
              <w:left w:w="75" w:type="dxa"/>
              <w:bottom w:w="75" w:type="dxa"/>
              <w:right w:w="75" w:type="dxa"/>
            </w:tcMar>
          </w:tcPr>
          <w:p w14:paraId="5A027725" w14:textId="77777777" w:rsidR="0042504C" w:rsidRPr="00FA2146" w:rsidRDefault="0042504C" w:rsidP="00B43E1B">
            <w:pPr>
              <w:spacing w:before="0" w:after="0" w:line="240" w:lineRule="auto"/>
              <w:jc w:val="center"/>
              <w:rPr>
                <w:sz w:val="22"/>
                <w:szCs w:val="22"/>
              </w:rPr>
            </w:pPr>
          </w:p>
        </w:tc>
        <w:tc>
          <w:tcPr>
            <w:tcW w:w="0" w:type="auto"/>
            <w:tcBorders>
              <w:top w:val="single" w:sz="4" w:space="0" w:color="auto"/>
            </w:tcBorders>
            <w:shd w:val="clear" w:color="auto" w:fill="FFFFFF" w:themeFill="background1"/>
            <w:tcMar>
              <w:top w:w="75" w:type="dxa"/>
              <w:left w:w="75" w:type="dxa"/>
              <w:bottom w:w="75" w:type="dxa"/>
              <w:right w:w="75" w:type="dxa"/>
            </w:tcMar>
          </w:tcPr>
          <w:p w14:paraId="2BA1BC01" w14:textId="77777777" w:rsidR="0042504C" w:rsidRPr="00FA2146" w:rsidRDefault="0042504C" w:rsidP="00B43E1B">
            <w:pPr>
              <w:spacing w:before="0" w:after="0" w:line="240" w:lineRule="auto"/>
              <w:jc w:val="center"/>
              <w:rPr>
                <w:sz w:val="22"/>
                <w:szCs w:val="22"/>
              </w:rPr>
            </w:pPr>
          </w:p>
        </w:tc>
        <w:tc>
          <w:tcPr>
            <w:tcW w:w="0" w:type="auto"/>
            <w:tcBorders>
              <w:top w:val="single" w:sz="4" w:space="0" w:color="auto"/>
            </w:tcBorders>
            <w:shd w:val="clear" w:color="auto" w:fill="FFFFFF" w:themeFill="background1"/>
            <w:tcMar>
              <w:top w:w="75" w:type="dxa"/>
              <w:left w:w="75" w:type="dxa"/>
              <w:bottom w:w="75" w:type="dxa"/>
              <w:right w:w="75" w:type="dxa"/>
            </w:tcMar>
          </w:tcPr>
          <w:p w14:paraId="76B64BF9" w14:textId="77777777" w:rsidR="0042504C" w:rsidRPr="00FA2146" w:rsidRDefault="0042504C" w:rsidP="00B43E1B">
            <w:pPr>
              <w:spacing w:before="0" w:after="0" w:line="240" w:lineRule="auto"/>
              <w:jc w:val="center"/>
              <w:rPr>
                <w:sz w:val="22"/>
                <w:szCs w:val="22"/>
              </w:rPr>
            </w:pPr>
          </w:p>
        </w:tc>
      </w:tr>
      <w:tr w:rsidR="0042504C" w:rsidRPr="00FA2146" w14:paraId="2D9FB5CF" w14:textId="77777777" w:rsidTr="00B43E1B">
        <w:trPr>
          <w:trHeight w:val="20"/>
        </w:trPr>
        <w:tc>
          <w:tcPr>
            <w:tcW w:w="0" w:type="auto"/>
            <w:shd w:val="clear" w:color="auto" w:fill="FFFFFF" w:themeFill="background1"/>
            <w:tcMar>
              <w:top w:w="75" w:type="dxa"/>
              <w:left w:w="75" w:type="dxa"/>
              <w:bottom w:w="75" w:type="dxa"/>
              <w:right w:w="75" w:type="dxa"/>
            </w:tcMar>
          </w:tcPr>
          <w:p w14:paraId="3531881B" w14:textId="77777777" w:rsidR="0042504C" w:rsidRPr="00FA2146" w:rsidRDefault="0042504C" w:rsidP="00B43E1B">
            <w:pPr>
              <w:spacing w:before="0" w:after="0" w:line="240" w:lineRule="auto"/>
              <w:rPr>
                <w:b/>
                <w:bCs/>
                <w:color w:val="333333"/>
                <w:sz w:val="22"/>
                <w:szCs w:val="22"/>
              </w:rPr>
            </w:pPr>
            <w:r w:rsidRPr="00FA2146">
              <w:rPr>
                <w:rStyle w:val="Strong"/>
                <w:rFonts w:eastAsiaTheme="minorEastAsia"/>
                <w:color w:val="333333"/>
                <w:sz w:val="22"/>
                <w:szCs w:val="22"/>
              </w:rPr>
              <w:t>Later stage of illness</w:t>
            </w:r>
          </w:p>
        </w:tc>
        <w:tc>
          <w:tcPr>
            <w:tcW w:w="0" w:type="auto"/>
            <w:shd w:val="clear" w:color="auto" w:fill="FFFFFF" w:themeFill="background1"/>
            <w:tcMar>
              <w:top w:w="75" w:type="dxa"/>
              <w:left w:w="75" w:type="dxa"/>
              <w:bottom w:w="75" w:type="dxa"/>
              <w:right w:w="75" w:type="dxa"/>
            </w:tcMar>
          </w:tcPr>
          <w:p w14:paraId="483F47E1" w14:textId="77777777" w:rsidR="0042504C" w:rsidRPr="00FA2146" w:rsidRDefault="0042504C" w:rsidP="00B43E1B">
            <w:pPr>
              <w:spacing w:before="0" w:after="0" w:line="240" w:lineRule="auto"/>
              <w:jc w:val="center"/>
              <w:rPr>
                <w:color w:val="333333"/>
                <w:sz w:val="22"/>
                <w:szCs w:val="22"/>
              </w:rPr>
            </w:pPr>
            <w:r w:rsidRPr="00FA2146">
              <w:rPr>
                <w:color w:val="333333"/>
                <w:sz w:val="22"/>
                <w:szCs w:val="22"/>
              </w:rPr>
              <w:t>3107 (9.9%)</w:t>
            </w:r>
          </w:p>
        </w:tc>
        <w:tc>
          <w:tcPr>
            <w:tcW w:w="0" w:type="auto"/>
            <w:shd w:val="clear" w:color="auto" w:fill="FFFFFF" w:themeFill="background1"/>
            <w:tcMar>
              <w:top w:w="75" w:type="dxa"/>
              <w:left w:w="75" w:type="dxa"/>
              <w:bottom w:w="75" w:type="dxa"/>
              <w:right w:w="75" w:type="dxa"/>
            </w:tcMar>
          </w:tcPr>
          <w:p w14:paraId="3EB554EF" w14:textId="77777777" w:rsidR="0042504C" w:rsidRPr="00FA2146" w:rsidRDefault="0042504C" w:rsidP="00B43E1B">
            <w:pPr>
              <w:spacing w:before="0" w:after="0" w:line="240" w:lineRule="auto"/>
              <w:jc w:val="center"/>
              <w:rPr>
                <w:sz w:val="22"/>
                <w:szCs w:val="22"/>
              </w:rPr>
            </w:pPr>
            <w:r w:rsidRPr="00FA2146">
              <w:rPr>
                <w:color w:val="333333"/>
                <w:sz w:val="22"/>
                <w:szCs w:val="22"/>
              </w:rPr>
              <w:t>6797 (43.4%)</w:t>
            </w:r>
          </w:p>
        </w:tc>
        <w:tc>
          <w:tcPr>
            <w:tcW w:w="0" w:type="auto"/>
            <w:shd w:val="clear" w:color="auto" w:fill="FFFFFF" w:themeFill="background1"/>
            <w:tcMar>
              <w:top w:w="75" w:type="dxa"/>
              <w:left w:w="75" w:type="dxa"/>
              <w:bottom w:w="75" w:type="dxa"/>
              <w:right w:w="75" w:type="dxa"/>
            </w:tcMar>
          </w:tcPr>
          <w:p w14:paraId="4D8838A1" w14:textId="77777777" w:rsidR="0042504C" w:rsidRPr="00FA2146" w:rsidRDefault="0042504C" w:rsidP="00B43E1B">
            <w:pPr>
              <w:spacing w:before="0" w:after="0" w:line="240" w:lineRule="auto"/>
              <w:jc w:val="center"/>
              <w:rPr>
                <w:sz w:val="22"/>
                <w:szCs w:val="22"/>
              </w:rPr>
            </w:pPr>
            <w:r w:rsidRPr="00FA2146">
              <w:rPr>
                <w:color w:val="333333"/>
                <w:sz w:val="22"/>
                <w:szCs w:val="22"/>
              </w:rPr>
              <w:t>5657 (33.1%)</w:t>
            </w:r>
          </w:p>
        </w:tc>
        <w:tc>
          <w:tcPr>
            <w:tcW w:w="0" w:type="auto"/>
            <w:shd w:val="clear" w:color="auto" w:fill="FFFFFF" w:themeFill="background1"/>
            <w:tcMar>
              <w:top w:w="75" w:type="dxa"/>
              <w:left w:w="75" w:type="dxa"/>
              <w:bottom w:w="75" w:type="dxa"/>
              <w:right w:w="75" w:type="dxa"/>
            </w:tcMar>
          </w:tcPr>
          <w:p w14:paraId="7DF1503A" w14:textId="77777777" w:rsidR="0042504C" w:rsidRPr="00FA2146" w:rsidRDefault="0042504C" w:rsidP="00B43E1B">
            <w:pPr>
              <w:spacing w:before="0" w:after="0" w:line="240" w:lineRule="auto"/>
              <w:jc w:val="center"/>
              <w:rPr>
                <w:sz w:val="22"/>
                <w:szCs w:val="22"/>
              </w:rPr>
            </w:pPr>
            <w:r w:rsidRPr="00FA2146">
              <w:rPr>
                <w:color w:val="333333"/>
                <w:sz w:val="22"/>
                <w:szCs w:val="22"/>
              </w:rPr>
              <w:t>11307 (75.2%)</w:t>
            </w:r>
          </w:p>
        </w:tc>
      </w:tr>
      <w:tr w:rsidR="0042504C" w:rsidRPr="00FA2146" w14:paraId="0F6CF074" w14:textId="77777777" w:rsidTr="00B43E1B">
        <w:trPr>
          <w:trHeight w:val="20"/>
        </w:trPr>
        <w:tc>
          <w:tcPr>
            <w:tcW w:w="0" w:type="auto"/>
            <w:shd w:val="clear" w:color="auto" w:fill="FFFFFF" w:themeFill="background1"/>
            <w:tcMar>
              <w:top w:w="75" w:type="dxa"/>
              <w:left w:w="75" w:type="dxa"/>
              <w:bottom w:w="75" w:type="dxa"/>
              <w:right w:w="75" w:type="dxa"/>
            </w:tcMar>
          </w:tcPr>
          <w:p w14:paraId="630E9FE3" w14:textId="77777777" w:rsidR="0042504C" w:rsidRPr="00FA2146" w:rsidRDefault="0042504C" w:rsidP="00B43E1B">
            <w:pPr>
              <w:spacing w:before="0" w:after="0" w:line="240" w:lineRule="auto"/>
              <w:rPr>
                <w:rStyle w:val="Strong"/>
                <w:rFonts w:eastAsiaTheme="minorEastAsia"/>
                <w:b w:val="0"/>
                <w:bCs w:val="0"/>
                <w:color w:val="333333"/>
                <w:sz w:val="22"/>
                <w:szCs w:val="22"/>
              </w:rPr>
            </w:pPr>
            <w:r w:rsidRPr="00FA2146">
              <w:rPr>
                <w:rStyle w:val="Strong"/>
                <w:rFonts w:eastAsiaTheme="minorEastAsia"/>
                <w:color w:val="333333"/>
                <w:sz w:val="22"/>
                <w:szCs w:val="22"/>
              </w:rPr>
              <w:t>Severe mental disorders</w:t>
            </w:r>
            <w:r w:rsidRPr="00FA2146">
              <w:rPr>
                <w:rStyle w:val="Strong"/>
                <w:rFonts w:eastAsiaTheme="minorEastAsia"/>
                <w:color w:val="333333"/>
                <w:sz w:val="22"/>
                <w:szCs w:val="22"/>
                <w:vertAlign w:val="superscript"/>
              </w:rPr>
              <w:t>*</w:t>
            </w:r>
          </w:p>
        </w:tc>
        <w:tc>
          <w:tcPr>
            <w:tcW w:w="0" w:type="auto"/>
            <w:shd w:val="clear" w:color="auto" w:fill="FFFFFF" w:themeFill="background1"/>
            <w:tcMar>
              <w:top w:w="75" w:type="dxa"/>
              <w:left w:w="75" w:type="dxa"/>
              <w:bottom w:w="75" w:type="dxa"/>
              <w:right w:w="75" w:type="dxa"/>
            </w:tcMar>
          </w:tcPr>
          <w:p w14:paraId="4318B190" w14:textId="77777777" w:rsidR="0042504C" w:rsidRPr="00FA2146" w:rsidRDefault="0042504C" w:rsidP="00B43E1B">
            <w:pPr>
              <w:spacing w:before="0" w:after="0" w:line="240" w:lineRule="auto"/>
              <w:jc w:val="center"/>
              <w:rPr>
                <w:color w:val="333333"/>
                <w:sz w:val="22"/>
                <w:szCs w:val="22"/>
              </w:rPr>
            </w:pPr>
            <w:r w:rsidRPr="00FA2146">
              <w:rPr>
                <w:color w:val="333333"/>
                <w:sz w:val="22"/>
                <w:szCs w:val="22"/>
              </w:rPr>
              <w:t>531 (1.7%)</w:t>
            </w:r>
          </w:p>
        </w:tc>
        <w:tc>
          <w:tcPr>
            <w:tcW w:w="0" w:type="auto"/>
            <w:shd w:val="clear" w:color="auto" w:fill="FFFFFF" w:themeFill="background1"/>
            <w:tcMar>
              <w:top w:w="75" w:type="dxa"/>
              <w:left w:w="75" w:type="dxa"/>
              <w:bottom w:w="75" w:type="dxa"/>
              <w:right w:w="75" w:type="dxa"/>
            </w:tcMar>
          </w:tcPr>
          <w:p w14:paraId="2560C2F2" w14:textId="77777777" w:rsidR="0042504C" w:rsidRPr="00FA2146" w:rsidRDefault="0042504C" w:rsidP="00B43E1B">
            <w:pPr>
              <w:spacing w:before="0" w:after="0" w:line="240" w:lineRule="auto"/>
              <w:jc w:val="center"/>
              <w:rPr>
                <w:color w:val="333333"/>
                <w:sz w:val="22"/>
                <w:szCs w:val="22"/>
              </w:rPr>
            </w:pPr>
            <w:r w:rsidRPr="00FA2146">
              <w:rPr>
                <w:color w:val="333333"/>
                <w:sz w:val="22"/>
                <w:szCs w:val="22"/>
              </w:rPr>
              <w:t>60 (0.4%)</w:t>
            </w:r>
          </w:p>
        </w:tc>
        <w:tc>
          <w:tcPr>
            <w:tcW w:w="0" w:type="auto"/>
            <w:shd w:val="clear" w:color="auto" w:fill="FFFFFF" w:themeFill="background1"/>
            <w:tcMar>
              <w:top w:w="75" w:type="dxa"/>
              <w:left w:w="75" w:type="dxa"/>
              <w:bottom w:w="75" w:type="dxa"/>
              <w:right w:w="75" w:type="dxa"/>
            </w:tcMar>
          </w:tcPr>
          <w:p w14:paraId="0C238B65" w14:textId="77777777" w:rsidR="0042504C" w:rsidRPr="00FA2146" w:rsidRDefault="0042504C" w:rsidP="00B43E1B">
            <w:pPr>
              <w:spacing w:before="0" w:after="0" w:line="240" w:lineRule="auto"/>
              <w:jc w:val="center"/>
              <w:rPr>
                <w:color w:val="333333"/>
                <w:sz w:val="22"/>
                <w:szCs w:val="22"/>
              </w:rPr>
            </w:pPr>
            <w:r w:rsidRPr="00FA2146">
              <w:rPr>
                <w:color w:val="333333"/>
                <w:sz w:val="22"/>
                <w:szCs w:val="22"/>
              </w:rPr>
              <w:t>376 (2.2%)</w:t>
            </w:r>
          </w:p>
        </w:tc>
        <w:tc>
          <w:tcPr>
            <w:tcW w:w="0" w:type="auto"/>
            <w:shd w:val="clear" w:color="auto" w:fill="FFFFFF" w:themeFill="background1"/>
            <w:tcMar>
              <w:top w:w="75" w:type="dxa"/>
              <w:left w:w="75" w:type="dxa"/>
              <w:bottom w:w="75" w:type="dxa"/>
              <w:right w:w="75" w:type="dxa"/>
            </w:tcMar>
          </w:tcPr>
          <w:p w14:paraId="4AA74E20" w14:textId="77777777" w:rsidR="0042504C" w:rsidRPr="00FA2146" w:rsidRDefault="0042504C" w:rsidP="00B43E1B">
            <w:pPr>
              <w:spacing w:before="0" w:after="0" w:line="240" w:lineRule="auto"/>
              <w:jc w:val="center"/>
              <w:rPr>
                <w:color w:val="333333"/>
                <w:sz w:val="22"/>
                <w:szCs w:val="22"/>
              </w:rPr>
            </w:pPr>
            <w:r w:rsidRPr="00FA2146">
              <w:rPr>
                <w:color w:val="333333"/>
                <w:sz w:val="22"/>
                <w:szCs w:val="22"/>
              </w:rPr>
              <w:t>7905 (52.6%)</w:t>
            </w:r>
          </w:p>
        </w:tc>
      </w:tr>
      <w:tr w:rsidR="0042504C" w:rsidRPr="00FA2146" w14:paraId="05B0F02A" w14:textId="77777777" w:rsidTr="00B43E1B">
        <w:trPr>
          <w:trHeight w:val="20"/>
        </w:trPr>
        <w:tc>
          <w:tcPr>
            <w:tcW w:w="0" w:type="auto"/>
            <w:shd w:val="clear" w:color="auto" w:fill="FFFFFF" w:themeFill="background1"/>
            <w:tcMar>
              <w:top w:w="75" w:type="dxa"/>
              <w:left w:w="75" w:type="dxa"/>
              <w:bottom w:w="75" w:type="dxa"/>
              <w:right w:w="75" w:type="dxa"/>
            </w:tcMar>
            <w:hideMark/>
          </w:tcPr>
          <w:p w14:paraId="615148E9" w14:textId="77777777" w:rsidR="0042504C" w:rsidRPr="00FA2146" w:rsidRDefault="0042504C" w:rsidP="00B43E1B">
            <w:pPr>
              <w:spacing w:before="0" w:after="0" w:line="240" w:lineRule="auto"/>
              <w:rPr>
                <w:b/>
                <w:bCs/>
                <w:color w:val="333333"/>
                <w:sz w:val="22"/>
                <w:szCs w:val="22"/>
              </w:rPr>
            </w:pPr>
            <w:r w:rsidRPr="00FA2146">
              <w:rPr>
                <w:rStyle w:val="Strong"/>
                <w:rFonts w:eastAsiaTheme="minorEastAsia"/>
                <w:color w:val="333333"/>
                <w:sz w:val="22"/>
                <w:szCs w:val="22"/>
              </w:rPr>
              <w:t>High distress</w:t>
            </w:r>
          </w:p>
        </w:tc>
        <w:tc>
          <w:tcPr>
            <w:tcW w:w="0" w:type="auto"/>
            <w:shd w:val="clear" w:color="auto" w:fill="FFFFFF" w:themeFill="background1"/>
            <w:tcMar>
              <w:top w:w="75" w:type="dxa"/>
              <w:left w:w="75" w:type="dxa"/>
              <w:bottom w:w="75" w:type="dxa"/>
              <w:right w:w="75" w:type="dxa"/>
            </w:tcMar>
            <w:hideMark/>
          </w:tcPr>
          <w:p w14:paraId="06670A62" w14:textId="77777777" w:rsidR="0042504C" w:rsidRPr="00FA2146" w:rsidRDefault="0042504C" w:rsidP="00B43E1B">
            <w:pPr>
              <w:spacing w:before="0" w:after="0" w:line="240" w:lineRule="auto"/>
              <w:jc w:val="center"/>
              <w:rPr>
                <w:color w:val="333333"/>
                <w:sz w:val="22"/>
                <w:szCs w:val="22"/>
              </w:rPr>
            </w:pPr>
            <w:r w:rsidRPr="00FA2146">
              <w:rPr>
                <w:color w:val="333333"/>
                <w:sz w:val="22"/>
                <w:szCs w:val="22"/>
              </w:rPr>
              <w:t>2919 (11.9%)</w:t>
            </w:r>
          </w:p>
        </w:tc>
        <w:tc>
          <w:tcPr>
            <w:tcW w:w="0" w:type="auto"/>
            <w:shd w:val="clear" w:color="auto" w:fill="FFFFFF" w:themeFill="background1"/>
            <w:tcMar>
              <w:top w:w="75" w:type="dxa"/>
              <w:left w:w="75" w:type="dxa"/>
              <w:bottom w:w="75" w:type="dxa"/>
              <w:right w:w="75" w:type="dxa"/>
            </w:tcMar>
            <w:hideMark/>
          </w:tcPr>
          <w:p w14:paraId="3A060F1E" w14:textId="77777777" w:rsidR="0042504C" w:rsidRPr="00FA2146" w:rsidRDefault="0042504C" w:rsidP="00B43E1B">
            <w:pPr>
              <w:spacing w:before="0" w:after="0" w:line="240" w:lineRule="auto"/>
              <w:jc w:val="center"/>
              <w:rPr>
                <w:sz w:val="22"/>
                <w:szCs w:val="22"/>
              </w:rPr>
            </w:pPr>
            <w:r w:rsidRPr="00FA2146">
              <w:rPr>
                <w:color w:val="333333"/>
                <w:sz w:val="22"/>
                <w:szCs w:val="22"/>
              </w:rPr>
              <w:t>12930 (88.3%)</w:t>
            </w:r>
          </w:p>
        </w:tc>
        <w:tc>
          <w:tcPr>
            <w:tcW w:w="0" w:type="auto"/>
            <w:shd w:val="clear" w:color="auto" w:fill="FFFFFF" w:themeFill="background1"/>
            <w:tcMar>
              <w:top w:w="75" w:type="dxa"/>
              <w:left w:w="75" w:type="dxa"/>
              <w:bottom w:w="75" w:type="dxa"/>
              <w:right w:w="75" w:type="dxa"/>
            </w:tcMar>
            <w:hideMark/>
          </w:tcPr>
          <w:p w14:paraId="157ED09C" w14:textId="77777777" w:rsidR="0042504C" w:rsidRPr="00FA2146" w:rsidRDefault="0042504C" w:rsidP="00B43E1B">
            <w:pPr>
              <w:spacing w:before="0" w:after="0" w:line="240" w:lineRule="auto"/>
              <w:jc w:val="center"/>
              <w:rPr>
                <w:sz w:val="22"/>
                <w:szCs w:val="22"/>
              </w:rPr>
            </w:pPr>
            <w:r w:rsidRPr="00FA2146">
              <w:rPr>
                <w:color w:val="333333"/>
                <w:sz w:val="22"/>
                <w:szCs w:val="22"/>
              </w:rPr>
              <w:t>9540 (67.5%)</w:t>
            </w:r>
          </w:p>
        </w:tc>
        <w:tc>
          <w:tcPr>
            <w:tcW w:w="0" w:type="auto"/>
            <w:shd w:val="clear" w:color="auto" w:fill="FFFFFF" w:themeFill="background1"/>
            <w:tcMar>
              <w:top w:w="75" w:type="dxa"/>
              <w:left w:w="75" w:type="dxa"/>
              <w:bottom w:w="75" w:type="dxa"/>
              <w:right w:w="75" w:type="dxa"/>
            </w:tcMar>
            <w:hideMark/>
          </w:tcPr>
          <w:p w14:paraId="3D15BAED" w14:textId="77777777" w:rsidR="0042504C" w:rsidRPr="00FA2146" w:rsidRDefault="0042504C" w:rsidP="00B43E1B">
            <w:pPr>
              <w:spacing w:before="0" w:after="0" w:line="240" w:lineRule="auto"/>
              <w:jc w:val="center"/>
              <w:rPr>
                <w:sz w:val="22"/>
                <w:szCs w:val="22"/>
              </w:rPr>
            </w:pPr>
            <w:r w:rsidRPr="00FA2146">
              <w:rPr>
                <w:color w:val="333333"/>
                <w:sz w:val="22"/>
                <w:szCs w:val="22"/>
              </w:rPr>
              <w:t>8241 (61.1%)</w:t>
            </w:r>
          </w:p>
        </w:tc>
      </w:tr>
      <w:tr w:rsidR="0042504C" w:rsidRPr="00FA2146" w14:paraId="4442210A" w14:textId="77777777" w:rsidTr="00B43E1B">
        <w:trPr>
          <w:trHeight w:val="20"/>
        </w:trPr>
        <w:tc>
          <w:tcPr>
            <w:tcW w:w="0" w:type="auto"/>
            <w:shd w:val="clear" w:color="auto" w:fill="FFFFFF" w:themeFill="background1"/>
            <w:tcMar>
              <w:top w:w="75" w:type="dxa"/>
              <w:left w:w="75" w:type="dxa"/>
              <w:bottom w:w="75" w:type="dxa"/>
              <w:right w:w="75" w:type="dxa"/>
            </w:tcMar>
            <w:vAlign w:val="center"/>
            <w:hideMark/>
          </w:tcPr>
          <w:p w14:paraId="6FFA3B78" w14:textId="77777777" w:rsidR="0042504C" w:rsidRPr="00FA2146" w:rsidRDefault="0042504C" w:rsidP="00B43E1B">
            <w:pPr>
              <w:spacing w:before="0" w:after="0" w:line="240" w:lineRule="auto"/>
              <w:rPr>
                <w:b/>
                <w:bCs/>
                <w:color w:val="333333"/>
                <w:sz w:val="22"/>
                <w:szCs w:val="22"/>
              </w:rPr>
            </w:pPr>
            <w:r w:rsidRPr="00FA2146">
              <w:rPr>
                <w:rFonts w:cstheme="minorHAnsi"/>
                <w:color w:val="333333"/>
                <w:sz w:val="22"/>
                <w:szCs w:val="22"/>
              </w:rPr>
              <w:t xml:space="preserve">Primary presenting for self-harm or suicidality </w:t>
            </w:r>
          </w:p>
        </w:tc>
        <w:tc>
          <w:tcPr>
            <w:tcW w:w="0" w:type="auto"/>
            <w:shd w:val="clear" w:color="auto" w:fill="FFFFFF" w:themeFill="background1"/>
            <w:tcMar>
              <w:top w:w="75" w:type="dxa"/>
              <w:left w:w="75" w:type="dxa"/>
              <w:bottom w:w="75" w:type="dxa"/>
              <w:right w:w="75" w:type="dxa"/>
            </w:tcMar>
            <w:hideMark/>
          </w:tcPr>
          <w:p w14:paraId="6DC85DFB" w14:textId="77777777" w:rsidR="0042504C" w:rsidRPr="00FA2146" w:rsidRDefault="0042504C" w:rsidP="00B43E1B">
            <w:pPr>
              <w:spacing w:before="0" w:after="0" w:line="240" w:lineRule="auto"/>
              <w:jc w:val="center"/>
              <w:rPr>
                <w:color w:val="333333"/>
                <w:sz w:val="22"/>
                <w:szCs w:val="22"/>
              </w:rPr>
            </w:pPr>
            <w:r w:rsidRPr="00FA2146">
              <w:rPr>
                <w:color w:val="333333"/>
                <w:sz w:val="22"/>
                <w:szCs w:val="22"/>
              </w:rPr>
              <w:t>368 (1.2%)</w:t>
            </w:r>
          </w:p>
        </w:tc>
        <w:tc>
          <w:tcPr>
            <w:tcW w:w="0" w:type="auto"/>
            <w:shd w:val="clear" w:color="auto" w:fill="FFFFFF" w:themeFill="background1"/>
            <w:tcMar>
              <w:top w:w="75" w:type="dxa"/>
              <w:left w:w="75" w:type="dxa"/>
              <w:bottom w:w="75" w:type="dxa"/>
              <w:right w:w="75" w:type="dxa"/>
            </w:tcMar>
            <w:hideMark/>
          </w:tcPr>
          <w:p w14:paraId="3ACA5BE6" w14:textId="77777777" w:rsidR="0042504C" w:rsidRPr="00FA2146" w:rsidRDefault="0042504C" w:rsidP="00B43E1B">
            <w:pPr>
              <w:spacing w:before="0" w:after="0" w:line="240" w:lineRule="auto"/>
              <w:jc w:val="center"/>
              <w:rPr>
                <w:sz w:val="22"/>
                <w:szCs w:val="22"/>
              </w:rPr>
            </w:pPr>
            <w:r w:rsidRPr="00FA2146">
              <w:rPr>
                <w:color w:val="333333"/>
                <w:sz w:val="22"/>
                <w:szCs w:val="22"/>
              </w:rPr>
              <w:t>1310 (8.4%)</w:t>
            </w:r>
          </w:p>
        </w:tc>
        <w:tc>
          <w:tcPr>
            <w:tcW w:w="0" w:type="auto"/>
            <w:shd w:val="clear" w:color="auto" w:fill="FFFFFF" w:themeFill="background1"/>
            <w:tcMar>
              <w:top w:w="75" w:type="dxa"/>
              <w:left w:w="75" w:type="dxa"/>
              <w:bottom w:w="75" w:type="dxa"/>
              <w:right w:w="75" w:type="dxa"/>
            </w:tcMar>
            <w:hideMark/>
          </w:tcPr>
          <w:p w14:paraId="003447D2" w14:textId="77777777" w:rsidR="0042504C" w:rsidRPr="00FA2146" w:rsidRDefault="0042504C" w:rsidP="00B43E1B">
            <w:pPr>
              <w:spacing w:before="0" w:after="0" w:line="240" w:lineRule="auto"/>
              <w:jc w:val="center"/>
              <w:rPr>
                <w:sz w:val="22"/>
                <w:szCs w:val="22"/>
              </w:rPr>
            </w:pPr>
            <w:r w:rsidRPr="00FA2146">
              <w:rPr>
                <w:color w:val="333333"/>
                <w:sz w:val="22"/>
                <w:szCs w:val="22"/>
              </w:rPr>
              <w:t>781 (4.6%)</w:t>
            </w:r>
          </w:p>
        </w:tc>
        <w:tc>
          <w:tcPr>
            <w:tcW w:w="0" w:type="auto"/>
            <w:shd w:val="clear" w:color="auto" w:fill="FFFFFF" w:themeFill="background1"/>
            <w:tcMar>
              <w:top w:w="75" w:type="dxa"/>
              <w:left w:w="75" w:type="dxa"/>
              <w:bottom w:w="75" w:type="dxa"/>
              <w:right w:w="75" w:type="dxa"/>
            </w:tcMar>
            <w:hideMark/>
          </w:tcPr>
          <w:p w14:paraId="70B3FEC8" w14:textId="77777777" w:rsidR="0042504C" w:rsidRPr="00FA2146" w:rsidRDefault="0042504C" w:rsidP="00B43E1B">
            <w:pPr>
              <w:spacing w:before="0" w:after="0" w:line="240" w:lineRule="auto"/>
              <w:jc w:val="center"/>
              <w:rPr>
                <w:sz w:val="22"/>
                <w:szCs w:val="22"/>
              </w:rPr>
            </w:pPr>
            <w:r w:rsidRPr="00FA2146">
              <w:rPr>
                <w:color w:val="333333"/>
                <w:sz w:val="22"/>
                <w:szCs w:val="22"/>
              </w:rPr>
              <w:t>1081 (7.2%)</w:t>
            </w:r>
          </w:p>
        </w:tc>
      </w:tr>
      <w:tr w:rsidR="0042504C" w:rsidRPr="00FA2146" w14:paraId="4BB31963" w14:textId="77777777" w:rsidTr="00B43E1B">
        <w:trPr>
          <w:trHeight w:val="20"/>
        </w:trPr>
        <w:tc>
          <w:tcPr>
            <w:tcW w:w="0" w:type="auto"/>
            <w:shd w:val="clear" w:color="auto" w:fill="FFFFFF" w:themeFill="background1"/>
            <w:tcMar>
              <w:top w:w="75" w:type="dxa"/>
              <w:left w:w="75" w:type="dxa"/>
              <w:bottom w:w="75" w:type="dxa"/>
              <w:right w:w="75" w:type="dxa"/>
            </w:tcMar>
            <w:hideMark/>
          </w:tcPr>
          <w:p w14:paraId="37FA5161" w14:textId="77777777" w:rsidR="0042504C" w:rsidRPr="00FA2146" w:rsidRDefault="0042504C" w:rsidP="00B43E1B">
            <w:pPr>
              <w:spacing w:before="0" w:after="0" w:line="240" w:lineRule="auto"/>
              <w:rPr>
                <w:b/>
                <w:bCs/>
                <w:color w:val="333333"/>
                <w:sz w:val="22"/>
                <w:szCs w:val="22"/>
              </w:rPr>
            </w:pPr>
            <w:r w:rsidRPr="00FA2146">
              <w:rPr>
                <w:rStyle w:val="Strong"/>
                <w:rFonts w:eastAsiaTheme="minorEastAsia"/>
                <w:color w:val="333333"/>
                <w:sz w:val="22"/>
                <w:szCs w:val="22"/>
              </w:rPr>
              <w:t>History of trauma</w:t>
            </w:r>
          </w:p>
        </w:tc>
        <w:tc>
          <w:tcPr>
            <w:tcW w:w="0" w:type="auto"/>
            <w:shd w:val="clear" w:color="auto" w:fill="FFFFFF" w:themeFill="background1"/>
            <w:tcMar>
              <w:top w:w="75" w:type="dxa"/>
              <w:left w:w="75" w:type="dxa"/>
              <w:bottom w:w="75" w:type="dxa"/>
              <w:right w:w="75" w:type="dxa"/>
            </w:tcMar>
            <w:hideMark/>
          </w:tcPr>
          <w:p w14:paraId="1910BA6D" w14:textId="77777777" w:rsidR="0042504C" w:rsidRPr="00FA2146" w:rsidRDefault="0042504C" w:rsidP="00B43E1B">
            <w:pPr>
              <w:spacing w:before="0" w:after="0" w:line="240" w:lineRule="auto"/>
              <w:jc w:val="center"/>
              <w:rPr>
                <w:color w:val="333333"/>
                <w:sz w:val="22"/>
                <w:szCs w:val="22"/>
              </w:rPr>
            </w:pPr>
            <w:r w:rsidRPr="00FA2146">
              <w:rPr>
                <w:color w:val="333333"/>
                <w:sz w:val="22"/>
                <w:szCs w:val="22"/>
              </w:rPr>
              <w:t>883 (2.8%)</w:t>
            </w:r>
          </w:p>
        </w:tc>
        <w:tc>
          <w:tcPr>
            <w:tcW w:w="0" w:type="auto"/>
            <w:shd w:val="clear" w:color="auto" w:fill="FFFFFF" w:themeFill="background1"/>
            <w:tcMar>
              <w:top w:w="75" w:type="dxa"/>
              <w:left w:w="75" w:type="dxa"/>
              <w:bottom w:w="75" w:type="dxa"/>
              <w:right w:w="75" w:type="dxa"/>
            </w:tcMar>
            <w:hideMark/>
          </w:tcPr>
          <w:p w14:paraId="31CCA650" w14:textId="77777777" w:rsidR="0042504C" w:rsidRPr="00FA2146" w:rsidRDefault="0042504C" w:rsidP="00B43E1B">
            <w:pPr>
              <w:spacing w:before="0" w:after="0" w:line="240" w:lineRule="auto"/>
              <w:jc w:val="center"/>
              <w:rPr>
                <w:color w:val="333333"/>
                <w:sz w:val="22"/>
                <w:szCs w:val="22"/>
              </w:rPr>
            </w:pPr>
            <w:r w:rsidRPr="00FA2146">
              <w:rPr>
                <w:color w:val="333333"/>
                <w:sz w:val="22"/>
                <w:szCs w:val="22"/>
              </w:rPr>
              <w:t>1098 (7.0%)</w:t>
            </w:r>
          </w:p>
        </w:tc>
        <w:tc>
          <w:tcPr>
            <w:tcW w:w="0" w:type="auto"/>
            <w:shd w:val="clear" w:color="auto" w:fill="FFFFFF" w:themeFill="background1"/>
            <w:tcMar>
              <w:top w:w="75" w:type="dxa"/>
              <w:left w:w="75" w:type="dxa"/>
              <w:bottom w:w="75" w:type="dxa"/>
              <w:right w:w="75" w:type="dxa"/>
            </w:tcMar>
            <w:hideMark/>
          </w:tcPr>
          <w:p w14:paraId="1315262E" w14:textId="77777777" w:rsidR="0042504C" w:rsidRPr="00FA2146" w:rsidRDefault="0042504C" w:rsidP="00B43E1B">
            <w:pPr>
              <w:spacing w:before="0" w:after="0" w:line="240" w:lineRule="auto"/>
              <w:jc w:val="center"/>
              <w:rPr>
                <w:color w:val="333333"/>
                <w:sz w:val="22"/>
                <w:szCs w:val="22"/>
              </w:rPr>
            </w:pPr>
            <w:r w:rsidRPr="00FA2146">
              <w:rPr>
                <w:color w:val="333333"/>
                <w:sz w:val="22"/>
                <w:szCs w:val="22"/>
              </w:rPr>
              <w:t>1874 (11.0%)</w:t>
            </w:r>
          </w:p>
        </w:tc>
        <w:tc>
          <w:tcPr>
            <w:tcW w:w="0" w:type="auto"/>
            <w:shd w:val="clear" w:color="auto" w:fill="FFFFFF" w:themeFill="background1"/>
            <w:tcMar>
              <w:top w:w="75" w:type="dxa"/>
              <w:left w:w="75" w:type="dxa"/>
              <w:bottom w:w="75" w:type="dxa"/>
              <w:right w:w="75" w:type="dxa"/>
            </w:tcMar>
            <w:hideMark/>
          </w:tcPr>
          <w:p w14:paraId="2D666165" w14:textId="77777777" w:rsidR="0042504C" w:rsidRPr="00FA2146" w:rsidRDefault="0042504C" w:rsidP="00B43E1B">
            <w:pPr>
              <w:spacing w:before="0" w:after="0" w:line="240" w:lineRule="auto"/>
              <w:jc w:val="center"/>
              <w:rPr>
                <w:color w:val="333333"/>
                <w:sz w:val="22"/>
                <w:szCs w:val="22"/>
              </w:rPr>
            </w:pPr>
            <w:r w:rsidRPr="00FA2146">
              <w:rPr>
                <w:color w:val="333333"/>
                <w:sz w:val="22"/>
                <w:szCs w:val="22"/>
              </w:rPr>
              <w:t>4292 (28.6%)</w:t>
            </w:r>
          </w:p>
        </w:tc>
      </w:tr>
      <w:tr w:rsidR="0042504C" w:rsidRPr="00FA2146" w14:paraId="30F42444" w14:textId="77777777" w:rsidTr="00B43E1B">
        <w:trPr>
          <w:trHeight w:val="20"/>
        </w:trPr>
        <w:tc>
          <w:tcPr>
            <w:tcW w:w="0" w:type="auto"/>
            <w:shd w:val="clear" w:color="auto" w:fill="FFFFFF" w:themeFill="background1"/>
            <w:tcMar>
              <w:top w:w="75" w:type="dxa"/>
              <w:left w:w="75" w:type="dxa"/>
              <w:bottom w:w="75" w:type="dxa"/>
              <w:right w:w="75" w:type="dxa"/>
            </w:tcMar>
            <w:hideMark/>
          </w:tcPr>
          <w:p w14:paraId="30E1BF8F" w14:textId="77777777" w:rsidR="0042504C" w:rsidRPr="00FA2146" w:rsidRDefault="0042504C" w:rsidP="00B43E1B">
            <w:pPr>
              <w:spacing w:before="0" w:after="0" w:line="240" w:lineRule="auto"/>
              <w:rPr>
                <w:b/>
                <w:bCs/>
                <w:color w:val="333333"/>
                <w:sz w:val="22"/>
                <w:szCs w:val="22"/>
              </w:rPr>
            </w:pPr>
            <w:r w:rsidRPr="00FA2146">
              <w:rPr>
                <w:rStyle w:val="Strong"/>
                <w:rFonts w:eastAsiaTheme="minorEastAsia"/>
                <w:color w:val="333333"/>
                <w:sz w:val="22"/>
                <w:szCs w:val="22"/>
              </w:rPr>
              <w:t>Five or more visits</w:t>
            </w:r>
          </w:p>
        </w:tc>
        <w:tc>
          <w:tcPr>
            <w:tcW w:w="0" w:type="auto"/>
            <w:shd w:val="clear" w:color="auto" w:fill="FFFFFF" w:themeFill="background1"/>
            <w:tcMar>
              <w:top w:w="75" w:type="dxa"/>
              <w:left w:w="75" w:type="dxa"/>
              <w:bottom w:w="75" w:type="dxa"/>
              <w:right w:w="75" w:type="dxa"/>
            </w:tcMar>
            <w:vAlign w:val="bottom"/>
            <w:hideMark/>
          </w:tcPr>
          <w:p w14:paraId="5F7EAD8F" w14:textId="77777777" w:rsidR="0042504C" w:rsidRPr="00FA2146" w:rsidRDefault="0042504C" w:rsidP="00B43E1B">
            <w:pPr>
              <w:spacing w:before="0" w:after="0" w:line="240" w:lineRule="auto"/>
              <w:jc w:val="center"/>
              <w:rPr>
                <w:color w:val="333333"/>
                <w:sz w:val="22"/>
                <w:szCs w:val="22"/>
              </w:rPr>
            </w:pPr>
            <w:r w:rsidRPr="00FA2146">
              <w:rPr>
                <w:color w:val="333333"/>
                <w:sz w:val="22"/>
                <w:szCs w:val="22"/>
              </w:rPr>
              <w:t>2061 (6.3%)</w:t>
            </w:r>
          </w:p>
        </w:tc>
        <w:tc>
          <w:tcPr>
            <w:tcW w:w="0" w:type="auto"/>
            <w:shd w:val="clear" w:color="auto" w:fill="FFFFFF" w:themeFill="background1"/>
            <w:tcMar>
              <w:top w:w="75" w:type="dxa"/>
              <w:left w:w="75" w:type="dxa"/>
              <w:bottom w:w="75" w:type="dxa"/>
              <w:right w:w="75" w:type="dxa"/>
            </w:tcMar>
            <w:vAlign w:val="bottom"/>
            <w:hideMark/>
          </w:tcPr>
          <w:p w14:paraId="19D53446" w14:textId="77777777" w:rsidR="0042504C" w:rsidRPr="00FA2146" w:rsidRDefault="0042504C" w:rsidP="00B43E1B">
            <w:pPr>
              <w:spacing w:before="0" w:after="0" w:line="240" w:lineRule="auto"/>
              <w:jc w:val="center"/>
              <w:rPr>
                <w:color w:val="333333"/>
                <w:sz w:val="22"/>
                <w:szCs w:val="22"/>
              </w:rPr>
            </w:pPr>
            <w:r w:rsidRPr="00FA2146">
              <w:rPr>
                <w:color w:val="333333"/>
                <w:sz w:val="22"/>
                <w:szCs w:val="22"/>
              </w:rPr>
              <w:t>4369 (26.9%)</w:t>
            </w:r>
          </w:p>
        </w:tc>
        <w:tc>
          <w:tcPr>
            <w:tcW w:w="0" w:type="auto"/>
            <w:shd w:val="clear" w:color="auto" w:fill="FFFFFF" w:themeFill="background1"/>
            <w:tcMar>
              <w:top w:w="75" w:type="dxa"/>
              <w:left w:w="75" w:type="dxa"/>
              <w:bottom w:w="75" w:type="dxa"/>
              <w:right w:w="75" w:type="dxa"/>
            </w:tcMar>
            <w:vAlign w:val="bottom"/>
            <w:hideMark/>
          </w:tcPr>
          <w:p w14:paraId="2343156F" w14:textId="77777777" w:rsidR="0042504C" w:rsidRPr="00FA2146" w:rsidRDefault="0042504C" w:rsidP="00B43E1B">
            <w:pPr>
              <w:spacing w:before="0" w:after="0" w:line="240" w:lineRule="auto"/>
              <w:jc w:val="center"/>
              <w:rPr>
                <w:color w:val="333333"/>
                <w:sz w:val="22"/>
                <w:szCs w:val="22"/>
              </w:rPr>
            </w:pPr>
            <w:r w:rsidRPr="00FA2146">
              <w:rPr>
                <w:color w:val="333333"/>
                <w:sz w:val="22"/>
                <w:szCs w:val="22"/>
              </w:rPr>
              <w:t>2024 (11.4%)</w:t>
            </w:r>
          </w:p>
        </w:tc>
        <w:tc>
          <w:tcPr>
            <w:tcW w:w="0" w:type="auto"/>
            <w:shd w:val="clear" w:color="auto" w:fill="FFFFFF" w:themeFill="background1"/>
            <w:tcMar>
              <w:top w:w="75" w:type="dxa"/>
              <w:left w:w="75" w:type="dxa"/>
              <w:bottom w:w="75" w:type="dxa"/>
              <w:right w:w="75" w:type="dxa"/>
            </w:tcMar>
            <w:vAlign w:val="bottom"/>
            <w:hideMark/>
          </w:tcPr>
          <w:p w14:paraId="5F99F90C" w14:textId="77777777" w:rsidR="0042504C" w:rsidRPr="00FA2146" w:rsidRDefault="0042504C" w:rsidP="00B43E1B">
            <w:pPr>
              <w:spacing w:before="0" w:after="0" w:line="240" w:lineRule="auto"/>
              <w:jc w:val="center"/>
              <w:rPr>
                <w:color w:val="333333"/>
                <w:sz w:val="22"/>
                <w:szCs w:val="22"/>
              </w:rPr>
            </w:pPr>
            <w:r w:rsidRPr="00FA2146">
              <w:rPr>
                <w:color w:val="333333"/>
                <w:sz w:val="22"/>
                <w:szCs w:val="22"/>
              </w:rPr>
              <w:t>8770 (58.1%)</w:t>
            </w:r>
          </w:p>
        </w:tc>
      </w:tr>
      <w:tr w:rsidR="0042504C" w:rsidRPr="00FA2146" w14:paraId="3C10F2EA" w14:textId="77777777" w:rsidTr="00B43E1B">
        <w:trPr>
          <w:trHeight w:val="20"/>
        </w:trPr>
        <w:tc>
          <w:tcPr>
            <w:tcW w:w="0" w:type="auto"/>
            <w:shd w:val="clear" w:color="auto" w:fill="FFFFFF" w:themeFill="background1"/>
            <w:tcMar>
              <w:top w:w="75" w:type="dxa"/>
              <w:left w:w="75" w:type="dxa"/>
              <w:bottom w:w="75" w:type="dxa"/>
              <w:right w:w="75" w:type="dxa"/>
            </w:tcMar>
          </w:tcPr>
          <w:p w14:paraId="2120158E" w14:textId="77777777" w:rsidR="0042504C" w:rsidRPr="00FA2146" w:rsidRDefault="0042504C" w:rsidP="00B43E1B">
            <w:pPr>
              <w:spacing w:before="0" w:after="0" w:line="240" w:lineRule="auto"/>
              <w:rPr>
                <w:rStyle w:val="Strong"/>
                <w:rFonts w:eastAsiaTheme="minorEastAsia"/>
                <w:color w:val="333333"/>
                <w:sz w:val="22"/>
                <w:szCs w:val="22"/>
              </w:rPr>
            </w:pPr>
            <w:r w:rsidRPr="00FA2146">
              <w:rPr>
                <w:rFonts w:cstheme="minorHAnsi"/>
                <w:b/>
                <w:color w:val="333333"/>
                <w:sz w:val="22"/>
                <w:szCs w:val="22"/>
              </w:rPr>
              <w:t>Non-clinical risk factors</w:t>
            </w:r>
          </w:p>
        </w:tc>
        <w:tc>
          <w:tcPr>
            <w:tcW w:w="0" w:type="auto"/>
            <w:shd w:val="clear" w:color="auto" w:fill="FFFFFF" w:themeFill="background1"/>
            <w:tcMar>
              <w:top w:w="75" w:type="dxa"/>
              <w:left w:w="75" w:type="dxa"/>
              <w:bottom w:w="75" w:type="dxa"/>
              <w:right w:w="75" w:type="dxa"/>
            </w:tcMar>
            <w:vAlign w:val="bottom"/>
          </w:tcPr>
          <w:p w14:paraId="66E79BAF" w14:textId="77777777" w:rsidR="0042504C" w:rsidRPr="00FA2146" w:rsidRDefault="0042504C" w:rsidP="00B43E1B">
            <w:pPr>
              <w:spacing w:before="0" w:after="0" w:line="240" w:lineRule="auto"/>
              <w:jc w:val="center"/>
              <w:rPr>
                <w:color w:val="333333"/>
                <w:sz w:val="22"/>
                <w:szCs w:val="22"/>
              </w:rPr>
            </w:pPr>
          </w:p>
        </w:tc>
        <w:tc>
          <w:tcPr>
            <w:tcW w:w="0" w:type="auto"/>
            <w:shd w:val="clear" w:color="auto" w:fill="FFFFFF" w:themeFill="background1"/>
            <w:tcMar>
              <w:top w:w="75" w:type="dxa"/>
              <w:left w:w="75" w:type="dxa"/>
              <w:bottom w:w="75" w:type="dxa"/>
              <w:right w:w="75" w:type="dxa"/>
            </w:tcMar>
            <w:vAlign w:val="bottom"/>
          </w:tcPr>
          <w:p w14:paraId="5E4C8421" w14:textId="77777777" w:rsidR="0042504C" w:rsidRPr="00FA2146" w:rsidRDefault="0042504C" w:rsidP="00B43E1B">
            <w:pPr>
              <w:spacing w:before="0" w:after="0" w:line="240" w:lineRule="auto"/>
              <w:jc w:val="center"/>
              <w:rPr>
                <w:color w:val="333333"/>
                <w:sz w:val="22"/>
                <w:szCs w:val="22"/>
              </w:rPr>
            </w:pPr>
          </w:p>
        </w:tc>
        <w:tc>
          <w:tcPr>
            <w:tcW w:w="0" w:type="auto"/>
            <w:shd w:val="clear" w:color="auto" w:fill="FFFFFF" w:themeFill="background1"/>
            <w:tcMar>
              <w:top w:w="75" w:type="dxa"/>
              <w:left w:w="75" w:type="dxa"/>
              <w:bottom w:w="75" w:type="dxa"/>
              <w:right w:w="75" w:type="dxa"/>
            </w:tcMar>
            <w:vAlign w:val="bottom"/>
          </w:tcPr>
          <w:p w14:paraId="3875D3FC" w14:textId="77777777" w:rsidR="0042504C" w:rsidRPr="00FA2146" w:rsidRDefault="0042504C" w:rsidP="00B43E1B">
            <w:pPr>
              <w:spacing w:before="0" w:after="0" w:line="240" w:lineRule="auto"/>
              <w:jc w:val="center"/>
              <w:rPr>
                <w:color w:val="333333"/>
                <w:sz w:val="22"/>
                <w:szCs w:val="22"/>
              </w:rPr>
            </w:pPr>
          </w:p>
        </w:tc>
        <w:tc>
          <w:tcPr>
            <w:tcW w:w="0" w:type="auto"/>
            <w:shd w:val="clear" w:color="auto" w:fill="FFFFFF" w:themeFill="background1"/>
            <w:tcMar>
              <w:top w:w="75" w:type="dxa"/>
              <w:left w:w="75" w:type="dxa"/>
              <w:bottom w:w="75" w:type="dxa"/>
              <w:right w:w="75" w:type="dxa"/>
            </w:tcMar>
            <w:vAlign w:val="bottom"/>
          </w:tcPr>
          <w:p w14:paraId="1B5236E7" w14:textId="77777777" w:rsidR="0042504C" w:rsidRPr="00FA2146" w:rsidRDefault="0042504C" w:rsidP="00B43E1B">
            <w:pPr>
              <w:spacing w:before="0" w:after="0" w:line="240" w:lineRule="auto"/>
              <w:jc w:val="center"/>
              <w:rPr>
                <w:color w:val="333333"/>
                <w:sz w:val="22"/>
                <w:szCs w:val="22"/>
              </w:rPr>
            </w:pPr>
          </w:p>
        </w:tc>
      </w:tr>
      <w:tr w:rsidR="0042504C" w:rsidRPr="00FA2146" w14:paraId="4044C05E" w14:textId="77777777" w:rsidTr="00B43E1B">
        <w:trPr>
          <w:trHeight w:val="20"/>
        </w:trPr>
        <w:tc>
          <w:tcPr>
            <w:tcW w:w="0" w:type="auto"/>
            <w:shd w:val="clear" w:color="auto" w:fill="FFFFFF" w:themeFill="background1"/>
            <w:tcMar>
              <w:top w:w="75" w:type="dxa"/>
              <w:left w:w="75" w:type="dxa"/>
              <w:bottom w:w="75" w:type="dxa"/>
              <w:right w:w="75" w:type="dxa"/>
            </w:tcMar>
            <w:hideMark/>
          </w:tcPr>
          <w:p w14:paraId="7143E148" w14:textId="77777777" w:rsidR="0042504C" w:rsidRPr="00FA2146" w:rsidRDefault="0042504C" w:rsidP="00B43E1B">
            <w:pPr>
              <w:spacing w:before="0" w:after="0" w:line="240" w:lineRule="auto"/>
              <w:rPr>
                <w:b/>
                <w:bCs/>
                <w:color w:val="333333"/>
                <w:sz w:val="22"/>
                <w:szCs w:val="22"/>
              </w:rPr>
            </w:pPr>
            <w:r w:rsidRPr="00FA2146">
              <w:rPr>
                <w:rStyle w:val="Strong"/>
                <w:rFonts w:eastAsiaTheme="minorEastAsia"/>
                <w:color w:val="333333"/>
                <w:sz w:val="22"/>
                <w:szCs w:val="22"/>
              </w:rPr>
              <w:t>Housing issues</w:t>
            </w:r>
          </w:p>
        </w:tc>
        <w:tc>
          <w:tcPr>
            <w:tcW w:w="0" w:type="auto"/>
            <w:shd w:val="clear" w:color="auto" w:fill="FFFFFF" w:themeFill="background1"/>
            <w:tcMar>
              <w:top w:w="75" w:type="dxa"/>
              <w:left w:w="75" w:type="dxa"/>
              <w:bottom w:w="75" w:type="dxa"/>
              <w:right w:w="75" w:type="dxa"/>
            </w:tcMar>
            <w:hideMark/>
          </w:tcPr>
          <w:p w14:paraId="54268509" w14:textId="77777777" w:rsidR="0042504C" w:rsidRPr="00FA2146" w:rsidRDefault="0042504C" w:rsidP="00B43E1B">
            <w:pPr>
              <w:spacing w:before="0" w:after="0" w:line="240" w:lineRule="auto"/>
              <w:jc w:val="center"/>
              <w:rPr>
                <w:color w:val="333333"/>
                <w:sz w:val="22"/>
                <w:szCs w:val="22"/>
              </w:rPr>
            </w:pPr>
            <w:r w:rsidRPr="00FA2146">
              <w:rPr>
                <w:color w:val="333333"/>
                <w:sz w:val="22"/>
                <w:szCs w:val="22"/>
              </w:rPr>
              <w:t>324 (1.3%)</w:t>
            </w:r>
          </w:p>
        </w:tc>
        <w:tc>
          <w:tcPr>
            <w:tcW w:w="0" w:type="auto"/>
            <w:shd w:val="clear" w:color="auto" w:fill="FFFFFF" w:themeFill="background1"/>
            <w:tcMar>
              <w:top w:w="75" w:type="dxa"/>
              <w:left w:w="75" w:type="dxa"/>
              <w:bottom w:w="75" w:type="dxa"/>
              <w:right w:w="75" w:type="dxa"/>
            </w:tcMar>
            <w:hideMark/>
          </w:tcPr>
          <w:p w14:paraId="64CA8A1A" w14:textId="77777777" w:rsidR="0042504C" w:rsidRPr="00FA2146" w:rsidRDefault="0042504C" w:rsidP="00B43E1B">
            <w:pPr>
              <w:spacing w:before="0" w:after="0" w:line="240" w:lineRule="auto"/>
              <w:jc w:val="center"/>
              <w:rPr>
                <w:sz w:val="22"/>
                <w:szCs w:val="22"/>
              </w:rPr>
            </w:pPr>
            <w:r w:rsidRPr="00FA2146">
              <w:rPr>
                <w:color w:val="333333"/>
                <w:sz w:val="22"/>
                <w:szCs w:val="22"/>
              </w:rPr>
              <w:t>0 (0.0%)</w:t>
            </w:r>
          </w:p>
        </w:tc>
        <w:tc>
          <w:tcPr>
            <w:tcW w:w="0" w:type="auto"/>
            <w:shd w:val="clear" w:color="auto" w:fill="FFFFFF" w:themeFill="background1"/>
            <w:tcMar>
              <w:top w:w="75" w:type="dxa"/>
              <w:left w:w="75" w:type="dxa"/>
              <w:bottom w:w="75" w:type="dxa"/>
              <w:right w:w="75" w:type="dxa"/>
            </w:tcMar>
            <w:hideMark/>
          </w:tcPr>
          <w:p w14:paraId="4920ED7F" w14:textId="77777777" w:rsidR="0042504C" w:rsidRPr="00FA2146" w:rsidRDefault="0042504C" w:rsidP="00B43E1B">
            <w:pPr>
              <w:spacing w:before="0" w:after="0" w:line="240" w:lineRule="auto"/>
              <w:jc w:val="center"/>
              <w:rPr>
                <w:sz w:val="22"/>
                <w:szCs w:val="22"/>
              </w:rPr>
            </w:pPr>
            <w:r w:rsidRPr="00FA2146">
              <w:rPr>
                <w:color w:val="333333"/>
                <w:sz w:val="22"/>
                <w:szCs w:val="22"/>
              </w:rPr>
              <w:t>4832 (34.2%)</w:t>
            </w:r>
          </w:p>
        </w:tc>
        <w:tc>
          <w:tcPr>
            <w:tcW w:w="0" w:type="auto"/>
            <w:shd w:val="clear" w:color="auto" w:fill="FFFFFF" w:themeFill="background1"/>
            <w:tcMar>
              <w:top w:w="75" w:type="dxa"/>
              <w:left w:w="75" w:type="dxa"/>
              <w:bottom w:w="75" w:type="dxa"/>
              <w:right w:w="75" w:type="dxa"/>
            </w:tcMar>
            <w:hideMark/>
          </w:tcPr>
          <w:p w14:paraId="0F440A1D" w14:textId="77777777" w:rsidR="0042504C" w:rsidRPr="00FA2146" w:rsidRDefault="0042504C" w:rsidP="00B43E1B">
            <w:pPr>
              <w:spacing w:before="0" w:after="0" w:line="240" w:lineRule="auto"/>
              <w:jc w:val="center"/>
              <w:rPr>
                <w:sz w:val="22"/>
                <w:szCs w:val="22"/>
              </w:rPr>
            </w:pPr>
            <w:r w:rsidRPr="00FA2146">
              <w:rPr>
                <w:color w:val="333333"/>
                <w:sz w:val="22"/>
                <w:szCs w:val="22"/>
              </w:rPr>
              <w:t>1306 (9.8%)</w:t>
            </w:r>
          </w:p>
        </w:tc>
      </w:tr>
      <w:tr w:rsidR="0042504C" w:rsidRPr="00FA2146" w14:paraId="449EA624" w14:textId="77777777" w:rsidTr="00B43E1B">
        <w:trPr>
          <w:trHeight w:val="20"/>
        </w:trPr>
        <w:tc>
          <w:tcPr>
            <w:tcW w:w="0" w:type="auto"/>
            <w:shd w:val="clear" w:color="auto" w:fill="FFFFFF" w:themeFill="background1"/>
            <w:tcMar>
              <w:top w:w="75" w:type="dxa"/>
              <w:left w:w="75" w:type="dxa"/>
              <w:bottom w:w="75" w:type="dxa"/>
              <w:right w:w="75" w:type="dxa"/>
            </w:tcMar>
            <w:hideMark/>
          </w:tcPr>
          <w:p w14:paraId="2894BB14" w14:textId="77777777" w:rsidR="0042504C" w:rsidRPr="00FA2146" w:rsidRDefault="0042504C" w:rsidP="00B43E1B">
            <w:pPr>
              <w:spacing w:before="0" w:after="0" w:line="240" w:lineRule="auto"/>
              <w:rPr>
                <w:rStyle w:val="Strong"/>
                <w:rFonts w:eastAsiaTheme="minorEastAsia"/>
                <w:b w:val="0"/>
                <w:bCs w:val="0"/>
                <w:color w:val="333333"/>
                <w:sz w:val="22"/>
                <w:szCs w:val="22"/>
              </w:rPr>
            </w:pPr>
            <w:r w:rsidRPr="00FA2146">
              <w:rPr>
                <w:rStyle w:val="Strong"/>
                <w:rFonts w:eastAsiaTheme="minorEastAsia"/>
                <w:color w:val="333333"/>
                <w:sz w:val="22"/>
                <w:szCs w:val="22"/>
              </w:rPr>
              <w:t>Not in employment, education, training</w:t>
            </w:r>
          </w:p>
        </w:tc>
        <w:tc>
          <w:tcPr>
            <w:tcW w:w="0" w:type="auto"/>
            <w:shd w:val="clear" w:color="auto" w:fill="FFFFFF" w:themeFill="background1"/>
            <w:tcMar>
              <w:top w:w="75" w:type="dxa"/>
              <w:left w:w="75" w:type="dxa"/>
              <w:bottom w:w="75" w:type="dxa"/>
              <w:right w:w="75" w:type="dxa"/>
            </w:tcMar>
            <w:hideMark/>
          </w:tcPr>
          <w:p w14:paraId="6CD9BB70" w14:textId="77777777" w:rsidR="0042504C" w:rsidRPr="00FA2146" w:rsidRDefault="0042504C" w:rsidP="00B43E1B">
            <w:pPr>
              <w:spacing w:before="0" w:after="0" w:line="240" w:lineRule="auto"/>
              <w:jc w:val="center"/>
              <w:rPr>
                <w:color w:val="333333"/>
                <w:sz w:val="22"/>
                <w:szCs w:val="22"/>
              </w:rPr>
            </w:pPr>
            <w:r w:rsidRPr="00FA2146">
              <w:rPr>
                <w:color w:val="333333"/>
                <w:sz w:val="22"/>
                <w:szCs w:val="22"/>
              </w:rPr>
              <w:t>974 (4.0%)</w:t>
            </w:r>
          </w:p>
        </w:tc>
        <w:tc>
          <w:tcPr>
            <w:tcW w:w="0" w:type="auto"/>
            <w:shd w:val="clear" w:color="auto" w:fill="FFFFFF" w:themeFill="background1"/>
            <w:tcMar>
              <w:top w:w="75" w:type="dxa"/>
              <w:left w:w="75" w:type="dxa"/>
              <w:bottom w:w="75" w:type="dxa"/>
              <w:right w:w="75" w:type="dxa"/>
            </w:tcMar>
            <w:hideMark/>
          </w:tcPr>
          <w:p w14:paraId="77F8BB55" w14:textId="77777777" w:rsidR="0042504C" w:rsidRPr="00FA2146" w:rsidRDefault="0042504C" w:rsidP="00B43E1B">
            <w:pPr>
              <w:spacing w:before="0" w:after="0" w:line="240" w:lineRule="auto"/>
              <w:jc w:val="center"/>
              <w:rPr>
                <w:sz w:val="22"/>
                <w:szCs w:val="22"/>
              </w:rPr>
            </w:pPr>
            <w:r w:rsidRPr="00FA2146">
              <w:rPr>
                <w:color w:val="333333"/>
                <w:sz w:val="22"/>
                <w:szCs w:val="22"/>
              </w:rPr>
              <w:t>0 (0.0%)</w:t>
            </w:r>
          </w:p>
        </w:tc>
        <w:tc>
          <w:tcPr>
            <w:tcW w:w="0" w:type="auto"/>
            <w:shd w:val="clear" w:color="auto" w:fill="FFFFFF" w:themeFill="background1"/>
            <w:tcMar>
              <w:top w:w="75" w:type="dxa"/>
              <w:left w:w="75" w:type="dxa"/>
              <w:bottom w:w="75" w:type="dxa"/>
              <w:right w:w="75" w:type="dxa"/>
            </w:tcMar>
            <w:hideMark/>
          </w:tcPr>
          <w:p w14:paraId="1C37B1A1" w14:textId="77777777" w:rsidR="0042504C" w:rsidRPr="00FA2146" w:rsidRDefault="0042504C" w:rsidP="00B43E1B">
            <w:pPr>
              <w:spacing w:before="0" w:after="0" w:line="240" w:lineRule="auto"/>
              <w:jc w:val="center"/>
              <w:rPr>
                <w:sz w:val="22"/>
                <w:szCs w:val="22"/>
              </w:rPr>
            </w:pPr>
            <w:r w:rsidRPr="00FA2146">
              <w:rPr>
                <w:color w:val="333333"/>
                <w:sz w:val="22"/>
                <w:szCs w:val="22"/>
              </w:rPr>
              <w:t>7637 (53.9%)</w:t>
            </w:r>
          </w:p>
        </w:tc>
        <w:tc>
          <w:tcPr>
            <w:tcW w:w="0" w:type="auto"/>
            <w:shd w:val="clear" w:color="auto" w:fill="FFFFFF" w:themeFill="background1"/>
            <w:tcMar>
              <w:top w:w="75" w:type="dxa"/>
              <w:left w:w="75" w:type="dxa"/>
              <w:bottom w:w="75" w:type="dxa"/>
              <w:right w:w="75" w:type="dxa"/>
            </w:tcMar>
            <w:hideMark/>
          </w:tcPr>
          <w:p w14:paraId="1FA629CF" w14:textId="77777777" w:rsidR="0042504C" w:rsidRPr="00FA2146" w:rsidRDefault="0042504C" w:rsidP="00B43E1B">
            <w:pPr>
              <w:spacing w:before="0" w:after="0" w:line="240" w:lineRule="auto"/>
              <w:jc w:val="center"/>
              <w:rPr>
                <w:sz w:val="22"/>
                <w:szCs w:val="22"/>
              </w:rPr>
            </w:pPr>
            <w:r w:rsidRPr="00FA2146">
              <w:rPr>
                <w:color w:val="333333"/>
                <w:sz w:val="22"/>
                <w:szCs w:val="22"/>
              </w:rPr>
              <w:t>3936 (29.2%)</w:t>
            </w:r>
          </w:p>
        </w:tc>
      </w:tr>
      <w:tr w:rsidR="0042504C" w:rsidRPr="00FA2146" w14:paraId="5DE947E4" w14:textId="77777777" w:rsidTr="00B43E1B">
        <w:trPr>
          <w:trHeight w:val="20"/>
        </w:trPr>
        <w:tc>
          <w:tcPr>
            <w:tcW w:w="0" w:type="auto"/>
            <w:shd w:val="clear" w:color="auto" w:fill="FFFFFF" w:themeFill="background1"/>
            <w:tcMar>
              <w:top w:w="75" w:type="dxa"/>
              <w:left w:w="75" w:type="dxa"/>
              <w:bottom w:w="75" w:type="dxa"/>
              <w:right w:w="75" w:type="dxa"/>
            </w:tcMar>
            <w:hideMark/>
          </w:tcPr>
          <w:p w14:paraId="155898E9" w14:textId="77777777" w:rsidR="0042504C" w:rsidRPr="00FA2146" w:rsidRDefault="0042504C" w:rsidP="00B43E1B">
            <w:pPr>
              <w:spacing w:before="0" w:after="0" w:line="240" w:lineRule="auto"/>
              <w:rPr>
                <w:b/>
                <w:bCs/>
                <w:color w:val="333333"/>
                <w:sz w:val="22"/>
                <w:szCs w:val="22"/>
              </w:rPr>
            </w:pPr>
            <w:r w:rsidRPr="00FA2146">
              <w:rPr>
                <w:rStyle w:val="Strong"/>
                <w:rFonts w:eastAsiaTheme="minorEastAsia"/>
                <w:color w:val="333333"/>
                <w:sz w:val="22"/>
                <w:szCs w:val="22"/>
              </w:rPr>
              <w:t>Low function</w:t>
            </w:r>
          </w:p>
        </w:tc>
        <w:tc>
          <w:tcPr>
            <w:tcW w:w="0" w:type="auto"/>
            <w:shd w:val="clear" w:color="auto" w:fill="FFFFFF" w:themeFill="background1"/>
            <w:tcMar>
              <w:top w:w="75" w:type="dxa"/>
              <w:left w:w="75" w:type="dxa"/>
              <w:bottom w:w="75" w:type="dxa"/>
              <w:right w:w="75" w:type="dxa"/>
            </w:tcMar>
            <w:hideMark/>
          </w:tcPr>
          <w:p w14:paraId="02EED05B" w14:textId="77777777" w:rsidR="0042504C" w:rsidRPr="00FA2146" w:rsidRDefault="0042504C" w:rsidP="00B43E1B">
            <w:pPr>
              <w:spacing w:before="0" w:after="0" w:line="240" w:lineRule="auto"/>
              <w:jc w:val="center"/>
              <w:rPr>
                <w:color w:val="333333"/>
                <w:sz w:val="22"/>
                <w:szCs w:val="22"/>
              </w:rPr>
            </w:pPr>
            <w:r w:rsidRPr="00FA2146">
              <w:rPr>
                <w:color w:val="333333"/>
                <w:sz w:val="22"/>
                <w:szCs w:val="22"/>
              </w:rPr>
              <w:t>5315 (17.0%)</w:t>
            </w:r>
          </w:p>
        </w:tc>
        <w:tc>
          <w:tcPr>
            <w:tcW w:w="0" w:type="auto"/>
            <w:shd w:val="clear" w:color="auto" w:fill="FFFFFF" w:themeFill="background1"/>
            <w:tcMar>
              <w:top w:w="75" w:type="dxa"/>
              <w:left w:w="75" w:type="dxa"/>
              <w:bottom w:w="75" w:type="dxa"/>
              <w:right w:w="75" w:type="dxa"/>
            </w:tcMar>
            <w:hideMark/>
          </w:tcPr>
          <w:p w14:paraId="1EBBDEE5" w14:textId="77777777" w:rsidR="0042504C" w:rsidRPr="00FA2146" w:rsidRDefault="0042504C" w:rsidP="00B43E1B">
            <w:pPr>
              <w:spacing w:before="0" w:after="0" w:line="240" w:lineRule="auto"/>
              <w:jc w:val="center"/>
              <w:rPr>
                <w:sz w:val="22"/>
                <w:szCs w:val="22"/>
              </w:rPr>
            </w:pPr>
            <w:r w:rsidRPr="00FA2146">
              <w:rPr>
                <w:color w:val="333333"/>
                <w:sz w:val="22"/>
                <w:szCs w:val="22"/>
              </w:rPr>
              <w:t>9920 (63.4%)</w:t>
            </w:r>
          </w:p>
        </w:tc>
        <w:tc>
          <w:tcPr>
            <w:tcW w:w="0" w:type="auto"/>
            <w:shd w:val="clear" w:color="auto" w:fill="FFFFFF" w:themeFill="background1"/>
            <w:tcMar>
              <w:top w:w="75" w:type="dxa"/>
              <w:left w:w="75" w:type="dxa"/>
              <w:bottom w:w="75" w:type="dxa"/>
              <w:right w:w="75" w:type="dxa"/>
            </w:tcMar>
            <w:hideMark/>
          </w:tcPr>
          <w:p w14:paraId="2862B4A3" w14:textId="77777777" w:rsidR="0042504C" w:rsidRPr="00FA2146" w:rsidRDefault="0042504C" w:rsidP="00B43E1B">
            <w:pPr>
              <w:spacing w:before="0" w:after="0" w:line="240" w:lineRule="auto"/>
              <w:jc w:val="center"/>
              <w:rPr>
                <w:sz w:val="22"/>
                <w:szCs w:val="22"/>
              </w:rPr>
            </w:pPr>
            <w:r w:rsidRPr="00FA2146">
              <w:rPr>
                <w:color w:val="333333"/>
                <w:sz w:val="22"/>
                <w:szCs w:val="22"/>
              </w:rPr>
              <w:t>9938 (58.3%)</w:t>
            </w:r>
          </w:p>
        </w:tc>
        <w:tc>
          <w:tcPr>
            <w:tcW w:w="0" w:type="auto"/>
            <w:shd w:val="clear" w:color="auto" w:fill="FFFFFF" w:themeFill="background1"/>
            <w:tcMar>
              <w:top w:w="75" w:type="dxa"/>
              <w:left w:w="75" w:type="dxa"/>
              <w:bottom w:w="75" w:type="dxa"/>
              <w:right w:w="75" w:type="dxa"/>
            </w:tcMar>
            <w:hideMark/>
          </w:tcPr>
          <w:p w14:paraId="6DB89998" w14:textId="77777777" w:rsidR="0042504C" w:rsidRPr="00FA2146" w:rsidRDefault="0042504C" w:rsidP="00B43E1B">
            <w:pPr>
              <w:spacing w:before="0" w:after="0" w:line="240" w:lineRule="auto"/>
              <w:jc w:val="center"/>
              <w:rPr>
                <w:sz w:val="22"/>
                <w:szCs w:val="22"/>
              </w:rPr>
            </w:pPr>
            <w:r w:rsidRPr="00FA2146">
              <w:rPr>
                <w:color w:val="333333"/>
                <w:sz w:val="22"/>
                <w:szCs w:val="22"/>
              </w:rPr>
              <w:t>11429 (76.0%)</w:t>
            </w:r>
          </w:p>
        </w:tc>
      </w:tr>
      <w:tr w:rsidR="0042504C" w:rsidRPr="00FA2146" w14:paraId="13016775" w14:textId="77777777" w:rsidTr="00B43E1B">
        <w:trPr>
          <w:trHeight w:val="20"/>
        </w:trPr>
        <w:tc>
          <w:tcPr>
            <w:tcW w:w="0" w:type="auto"/>
            <w:shd w:val="clear" w:color="auto" w:fill="FFFFFF" w:themeFill="background1"/>
            <w:tcMar>
              <w:top w:w="75" w:type="dxa"/>
              <w:left w:w="75" w:type="dxa"/>
              <w:bottom w:w="75" w:type="dxa"/>
              <w:right w:w="75" w:type="dxa"/>
            </w:tcMar>
            <w:hideMark/>
          </w:tcPr>
          <w:p w14:paraId="5977D06A" w14:textId="77777777" w:rsidR="0042504C" w:rsidRPr="00FA2146" w:rsidRDefault="0042504C" w:rsidP="00B43E1B">
            <w:pPr>
              <w:spacing w:before="0" w:after="0" w:line="240" w:lineRule="auto"/>
              <w:rPr>
                <w:b/>
                <w:bCs/>
                <w:color w:val="333333"/>
                <w:sz w:val="22"/>
                <w:szCs w:val="22"/>
              </w:rPr>
            </w:pPr>
            <w:r w:rsidRPr="00FA2146">
              <w:rPr>
                <w:rStyle w:val="Strong"/>
                <w:rFonts w:eastAsiaTheme="minorEastAsia"/>
                <w:color w:val="333333"/>
                <w:sz w:val="22"/>
                <w:szCs w:val="22"/>
              </w:rPr>
              <w:t>Low quality of life</w:t>
            </w:r>
          </w:p>
        </w:tc>
        <w:tc>
          <w:tcPr>
            <w:tcW w:w="0" w:type="auto"/>
            <w:shd w:val="clear" w:color="auto" w:fill="FFFFFF" w:themeFill="background1"/>
            <w:tcMar>
              <w:top w:w="75" w:type="dxa"/>
              <w:left w:w="75" w:type="dxa"/>
              <w:bottom w:w="75" w:type="dxa"/>
              <w:right w:w="75" w:type="dxa"/>
            </w:tcMar>
            <w:hideMark/>
          </w:tcPr>
          <w:p w14:paraId="6483637F" w14:textId="77777777" w:rsidR="0042504C" w:rsidRPr="00FA2146" w:rsidRDefault="0042504C" w:rsidP="00B43E1B">
            <w:pPr>
              <w:spacing w:before="0" w:after="0" w:line="240" w:lineRule="auto"/>
              <w:jc w:val="center"/>
              <w:rPr>
                <w:color w:val="333333"/>
                <w:sz w:val="22"/>
                <w:szCs w:val="22"/>
              </w:rPr>
            </w:pPr>
            <w:r w:rsidRPr="00FA2146">
              <w:rPr>
                <w:color w:val="333333"/>
                <w:sz w:val="22"/>
                <w:szCs w:val="22"/>
              </w:rPr>
              <w:t>740 (3.1%)</w:t>
            </w:r>
          </w:p>
        </w:tc>
        <w:tc>
          <w:tcPr>
            <w:tcW w:w="0" w:type="auto"/>
            <w:shd w:val="clear" w:color="auto" w:fill="FFFFFF" w:themeFill="background1"/>
            <w:tcMar>
              <w:top w:w="75" w:type="dxa"/>
              <w:left w:w="75" w:type="dxa"/>
              <w:bottom w:w="75" w:type="dxa"/>
              <w:right w:w="75" w:type="dxa"/>
            </w:tcMar>
            <w:hideMark/>
          </w:tcPr>
          <w:p w14:paraId="1F8CFC0B" w14:textId="77777777" w:rsidR="0042504C" w:rsidRPr="00FA2146" w:rsidRDefault="0042504C" w:rsidP="00B43E1B">
            <w:pPr>
              <w:spacing w:before="0" w:after="0" w:line="240" w:lineRule="auto"/>
              <w:jc w:val="center"/>
              <w:rPr>
                <w:sz w:val="22"/>
                <w:szCs w:val="22"/>
              </w:rPr>
            </w:pPr>
            <w:r w:rsidRPr="00FA2146">
              <w:rPr>
                <w:color w:val="333333"/>
                <w:sz w:val="22"/>
                <w:szCs w:val="22"/>
              </w:rPr>
              <w:t>9121 (63.0%)</w:t>
            </w:r>
          </w:p>
        </w:tc>
        <w:tc>
          <w:tcPr>
            <w:tcW w:w="0" w:type="auto"/>
            <w:shd w:val="clear" w:color="auto" w:fill="FFFFFF" w:themeFill="background1"/>
            <w:tcMar>
              <w:top w:w="75" w:type="dxa"/>
              <w:left w:w="75" w:type="dxa"/>
              <w:bottom w:w="75" w:type="dxa"/>
              <w:right w:w="75" w:type="dxa"/>
            </w:tcMar>
            <w:hideMark/>
          </w:tcPr>
          <w:p w14:paraId="7EAE03F7" w14:textId="77777777" w:rsidR="0042504C" w:rsidRPr="00FA2146" w:rsidRDefault="0042504C" w:rsidP="00B43E1B">
            <w:pPr>
              <w:spacing w:before="0" w:after="0" w:line="240" w:lineRule="auto"/>
              <w:jc w:val="center"/>
              <w:rPr>
                <w:sz w:val="22"/>
                <w:szCs w:val="22"/>
              </w:rPr>
            </w:pPr>
            <w:r w:rsidRPr="00FA2146">
              <w:rPr>
                <w:color w:val="333333"/>
                <w:sz w:val="22"/>
                <w:szCs w:val="22"/>
              </w:rPr>
              <w:t>7312 (52.6%)</w:t>
            </w:r>
          </w:p>
        </w:tc>
        <w:tc>
          <w:tcPr>
            <w:tcW w:w="0" w:type="auto"/>
            <w:shd w:val="clear" w:color="auto" w:fill="FFFFFF" w:themeFill="background1"/>
            <w:tcMar>
              <w:top w:w="75" w:type="dxa"/>
              <w:left w:w="75" w:type="dxa"/>
              <w:bottom w:w="75" w:type="dxa"/>
              <w:right w:w="75" w:type="dxa"/>
            </w:tcMar>
            <w:hideMark/>
          </w:tcPr>
          <w:p w14:paraId="74DB0FFE" w14:textId="77777777" w:rsidR="0042504C" w:rsidRPr="00FA2146" w:rsidRDefault="0042504C" w:rsidP="00B43E1B">
            <w:pPr>
              <w:spacing w:before="0" w:after="0" w:line="240" w:lineRule="auto"/>
              <w:jc w:val="center"/>
              <w:rPr>
                <w:sz w:val="22"/>
                <w:szCs w:val="22"/>
              </w:rPr>
            </w:pPr>
            <w:r w:rsidRPr="00FA2146">
              <w:rPr>
                <w:color w:val="333333"/>
                <w:sz w:val="22"/>
                <w:szCs w:val="22"/>
              </w:rPr>
              <w:t>6606 (49.5%)</w:t>
            </w:r>
          </w:p>
        </w:tc>
      </w:tr>
      <w:tr w:rsidR="0042504C" w:rsidRPr="00FA2146" w14:paraId="4043884D" w14:textId="77777777" w:rsidTr="00B43E1B">
        <w:trPr>
          <w:trHeight w:val="20"/>
        </w:trPr>
        <w:tc>
          <w:tcPr>
            <w:tcW w:w="0" w:type="auto"/>
            <w:shd w:val="clear" w:color="auto" w:fill="FFFFFF" w:themeFill="background1"/>
            <w:tcMar>
              <w:top w:w="75" w:type="dxa"/>
              <w:left w:w="75" w:type="dxa"/>
              <w:bottom w:w="75" w:type="dxa"/>
              <w:right w:w="75" w:type="dxa"/>
            </w:tcMar>
            <w:hideMark/>
          </w:tcPr>
          <w:p w14:paraId="37EAA170" w14:textId="77777777" w:rsidR="0042504C" w:rsidRPr="00FA2146" w:rsidRDefault="0042504C" w:rsidP="00B43E1B">
            <w:pPr>
              <w:spacing w:before="0" w:after="0" w:line="240" w:lineRule="auto"/>
              <w:rPr>
                <w:b/>
                <w:bCs/>
                <w:color w:val="333333"/>
                <w:sz w:val="22"/>
                <w:szCs w:val="22"/>
              </w:rPr>
            </w:pPr>
            <w:r w:rsidRPr="00FA2146">
              <w:rPr>
                <w:rStyle w:val="Strong"/>
                <w:rFonts w:eastAsiaTheme="minorEastAsia"/>
                <w:color w:val="333333"/>
                <w:sz w:val="22"/>
                <w:szCs w:val="22"/>
              </w:rPr>
              <w:t>Co-occurring difficulties</w:t>
            </w:r>
          </w:p>
        </w:tc>
        <w:tc>
          <w:tcPr>
            <w:tcW w:w="0" w:type="auto"/>
            <w:shd w:val="clear" w:color="auto" w:fill="FFFFFF" w:themeFill="background1"/>
            <w:tcMar>
              <w:top w:w="75" w:type="dxa"/>
              <w:left w:w="75" w:type="dxa"/>
              <w:bottom w:w="75" w:type="dxa"/>
              <w:right w:w="75" w:type="dxa"/>
            </w:tcMar>
            <w:hideMark/>
          </w:tcPr>
          <w:p w14:paraId="3F40066D" w14:textId="77777777" w:rsidR="0042504C" w:rsidRPr="00FA2146" w:rsidRDefault="0042504C" w:rsidP="00B43E1B">
            <w:pPr>
              <w:spacing w:before="0" w:after="0" w:line="240" w:lineRule="auto"/>
              <w:jc w:val="center"/>
              <w:rPr>
                <w:color w:val="333333"/>
                <w:sz w:val="22"/>
                <w:szCs w:val="22"/>
              </w:rPr>
            </w:pPr>
            <w:r w:rsidRPr="00FA2146">
              <w:rPr>
                <w:color w:val="333333"/>
                <w:sz w:val="22"/>
                <w:szCs w:val="22"/>
              </w:rPr>
              <w:t>707 (2.2%)</w:t>
            </w:r>
          </w:p>
        </w:tc>
        <w:tc>
          <w:tcPr>
            <w:tcW w:w="0" w:type="auto"/>
            <w:shd w:val="clear" w:color="auto" w:fill="FFFFFF" w:themeFill="background1"/>
            <w:tcMar>
              <w:top w:w="75" w:type="dxa"/>
              <w:left w:w="75" w:type="dxa"/>
              <w:bottom w:w="75" w:type="dxa"/>
              <w:right w:w="75" w:type="dxa"/>
            </w:tcMar>
            <w:hideMark/>
          </w:tcPr>
          <w:p w14:paraId="16435B0B" w14:textId="77777777" w:rsidR="0042504C" w:rsidRPr="00FA2146" w:rsidRDefault="0042504C" w:rsidP="00B43E1B">
            <w:pPr>
              <w:spacing w:before="0" w:after="0" w:line="240" w:lineRule="auto"/>
              <w:jc w:val="center"/>
              <w:rPr>
                <w:sz w:val="22"/>
                <w:szCs w:val="22"/>
              </w:rPr>
            </w:pPr>
            <w:r w:rsidRPr="00FA2146">
              <w:rPr>
                <w:color w:val="333333"/>
                <w:sz w:val="22"/>
                <w:szCs w:val="22"/>
              </w:rPr>
              <w:t>67 (0.4%)</w:t>
            </w:r>
          </w:p>
        </w:tc>
        <w:tc>
          <w:tcPr>
            <w:tcW w:w="0" w:type="auto"/>
            <w:shd w:val="clear" w:color="auto" w:fill="FFFFFF" w:themeFill="background1"/>
            <w:tcMar>
              <w:top w:w="75" w:type="dxa"/>
              <w:left w:w="75" w:type="dxa"/>
              <w:bottom w:w="75" w:type="dxa"/>
              <w:right w:w="75" w:type="dxa"/>
            </w:tcMar>
            <w:hideMark/>
          </w:tcPr>
          <w:p w14:paraId="31086780" w14:textId="77777777" w:rsidR="0042504C" w:rsidRPr="00FA2146" w:rsidRDefault="0042504C" w:rsidP="00B43E1B">
            <w:pPr>
              <w:spacing w:before="0" w:after="0" w:line="240" w:lineRule="auto"/>
              <w:jc w:val="center"/>
              <w:rPr>
                <w:sz w:val="22"/>
                <w:szCs w:val="22"/>
              </w:rPr>
            </w:pPr>
            <w:r w:rsidRPr="00FA2146">
              <w:rPr>
                <w:color w:val="333333"/>
                <w:sz w:val="22"/>
                <w:szCs w:val="22"/>
              </w:rPr>
              <w:t>196 (1.1%)</w:t>
            </w:r>
          </w:p>
        </w:tc>
        <w:tc>
          <w:tcPr>
            <w:tcW w:w="0" w:type="auto"/>
            <w:shd w:val="clear" w:color="auto" w:fill="FFFFFF" w:themeFill="background1"/>
            <w:tcMar>
              <w:top w:w="75" w:type="dxa"/>
              <w:left w:w="75" w:type="dxa"/>
              <w:bottom w:w="75" w:type="dxa"/>
              <w:right w:w="75" w:type="dxa"/>
            </w:tcMar>
            <w:hideMark/>
          </w:tcPr>
          <w:p w14:paraId="2A775D50" w14:textId="77777777" w:rsidR="0042504C" w:rsidRPr="00FA2146" w:rsidRDefault="0042504C" w:rsidP="00B43E1B">
            <w:pPr>
              <w:spacing w:before="0" w:after="0" w:line="240" w:lineRule="auto"/>
              <w:jc w:val="center"/>
              <w:rPr>
                <w:sz w:val="22"/>
                <w:szCs w:val="22"/>
              </w:rPr>
            </w:pPr>
            <w:r w:rsidRPr="00FA2146">
              <w:rPr>
                <w:color w:val="333333"/>
                <w:sz w:val="22"/>
                <w:szCs w:val="22"/>
              </w:rPr>
              <w:t>6645 (44.2%)</w:t>
            </w:r>
          </w:p>
        </w:tc>
      </w:tr>
      <w:tr w:rsidR="0042504C" w:rsidRPr="00FA2146" w14:paraId="18D3E527" w14:textId="77777777" w:rsidTr="00B43E1B">
        <w:trPr>
          <w:trHeight w:val="20"/>
        </w:trPr>
        <w:tc>
          <w:tcPr>
            <w:tcW w:w="0" w:type="auto"/>
            <w:shd w:val="clear" w:color="auto" w:fill="FFFFFF" w:themeFill="background1"/>
            <w:tcMar>
              <w:top w:w="75" w:type="dxa"/>
              <w:left w:w="75" w:type="dxa"/>
              <w:bottom w:w="75" w:type="dxa"/>
              <w:right w:w="75" w:type="dxa"/>
            </w:tcMar>
            <w:hideMark/>
          </w:tcPr>
          <w:p w14:paraId="79D0BB53" w14:textId="77777777" w:rsidR="0042504C" w:rsidRPr="00FA2146" w:rsidRDefault="0042504C" w:rsidP="00B43E1B">
            <w:pPr>
              <w:spacing w:before="0" w:after="0" w:line="240" w:lineRule="auto"/>
              <w:rPr>
                <w:b/>
                <w:bCs/>
                <w:color w:val="333333"/>
                <w:sz w:val="22"/>
                <w:szCs w:val="22"/>
              </w:rPr>
            </w:pPr>
            <w:r w:rsidRPr="00FA2146">
              <w:rPr>
                <w:rStyle w:val="Strong"/>
                <w:rFonts w:eastAsiaTheme="minorEastAsia"/>
                <w:color w:val="333333"/>
                <w:sz w:val="22"/>
                <w:szCs w:val="22"/>
              </w:rPr>
              <w:t>Receiving government benefits</w:t>
            </w:r>
          </w:p>
        </w:tc>
        <w:tc>
          <w:tcPr>
            <w:tcW w:w="0" w:type="auto"/>
            <w:shd w:val="clear" w:color="auto" w:fill="FFFFFF" w:themeFill="background1"/>
            <w:tcMar>
              <w:top w:w="75" w:type="dxa"/>
              <w:left w:w="75" w:type="dxa"/>
              <w:bottom w:w="75" w:type="dxa"/>
              <w:right w:w="75" w:type="dxa"/>
            </w:tcMar>
            <w:hideMark/>
          </w:tcPr>
          <w:p w14:paraId="57AF58AF" w14:textId="77777777" w:rsidR="0042504C" w:rsidRPr="00FA2146" w:rsidRDefault="0042504C" w:rsidP="00B43E1B">
            <w:pPr>
              <w:spacing w:before="0" w:after="0" w:line="240" w:lineRule="auto"/>
              <w:jc w:val="center"/>
              <w:rPr>
                <w:color w:val="333333"/>
                <w:sz w:val="22"/>
                <w:szCs w:val="22"/>
              </w:rPr>
            </w:pPr>
            <w:r w:rsidRPr="00FA2146">
              <w:rPr>
                <w:color w:val="333333"/>
                <w:sz w:val="22"/>
                <w:szCs w:val="22"/>
              </w:rPr>
              <w:t>2313 (9.8%)</w:t>
            </w:r>
          </w:p>
        </w:tc>
        <w:tc>
          <w:tcPr>
            <w:tcW w:w="0" w:type="auto"/>
            <w:shd w:val="clear" w:color="auto" w:fill="FFFFFF" w:themeFill="background1"/>
            <w:tcMar>
              <w:top w:w="75" w:type="dxa"/>
              <w:left w:w="75" w:type="dxa"/>
              <w:bottom w:w="75" w:type="dxa"/>
              <w:right w:w="75" w:type="dxa"/>
            </w:tcMar>
            <w:hideMark/>
          </w:tcPr>
          <w:p w14:paraId="7CEA233D" w14:textId="77777777" w:rsidR="0042504C" w:rsidRPr="00FA2146" w:rsidRDefault="0042504C" w:rsidP="00B43E1B">
            <w:pPr>
              <w:spacing w:before="0" w:after="0" w:line="240" w:lineRule="auto"/>
              <w:jc w:val="center"/>
              <w:rPr>
                <w:sz w:val="22"/>
                <w:szCs w:val="22"/>
              </w:rPr>
            </w:pPr>
            <w:r w:rsidRPr="00FA2146">
              <w:rPr>
                <w:color w:val="333333"/>
                <w:sz w:val="22"/>
                <w:szCs w:val="22"/>
              </w:rPr>
              <w:t>8 (0.1%)</w:t>
            </w:r>
          </w:p>
        </w:tc>
        <w:tc>
          <w:tcPr>
            <w:tcW w:w="0" w:type="auto"/>
            <w:shd w:val="clear" w:color="auto" w:fill="FFFFFF" w:themeFill="background1"/>
            <w:tcMar>
              <w:top w:w="75" w:type="dxa"/>
              <w:left w:w="75" w:type="dxa"/>
              <w:bottom w:w="75" w:type="dxa"/>
              <w:right w:w="75" w:type="dxa"/>
            </w:tcMar>
            <w:hideMark/>
          </w:tcPr>
          <w:p w14:paraId="3D56CA0E" w14:textId="77777777" w:rsidR="0042504C" w:rsidRPr="00FA2146" w:rsidRDefault="0042504C" w:rsidP="00B43E1B">
            <w:pPr>
              <w:spacing w:before="0" w:after="0" w:line="240" w:lineRule="auto"/>
              <w:jc w:val="center"/>
              <w:rPr>
                <w:sz w:val="22"/>
                <w:szCs w:val="22"/>
              </w:rPr>
            </w:pPr>
            <w:r w:rsidRPr="00FA2146">
              <w:rPr>
                <w:color w:val="333333"/>
                <w:sz w:val="22"/>
                <w:szCs w:val="22"/>
              </w:rPr>
              <w:t>9106 (65.8%)</w:t>
            </w:r>
          </w:p>
        </w:tc>
        <w:tc>
          <w:tcPr>
            <w:tcW w:w="0" w:type="auto"/>
            <w:shd w:val="clear" w:color="auto" w:fill="FFFFFF" w:themeFill="background1"/>
            <w:tcMar>
              <w:top w:w="75" w:type="dxa"/>
              <w:left w:w="75" w:type="dxa"/>
              <w:bottom w:w="75" w:type="dxa"/>
              <w:right w:w="75" w:type="dxa"/>
            </w:tcMar>
            <w:hideMark/>
          </w:tcPr>
          <w:p w14:paraId="45924E55" w14:textId="77777777" w:rsidR="0042504C" w:rsidRPr="00FA2146" w:rsidRDefault="0042504C" w:rsidP="00B43E1B">
            <w:pPr>
              <w:spacing w:before="0" w:after="0" w:line="240" w:lineRule="auto"/>
              <w:jc w:val="center"/>
              <w:rPr>
                <w:sz w:val="22"/>
                <w:szCs w:val="22"/>
              </w:rPr>
            </w:pPr>
            <w:r w:rsidRPr="00FA2146">
              <w:rPr>
                <w:color w:val="333333"/>
                <w:sz w:val="22"/>
                <w:szCs w:val="22"/>
              </w:rPr>
              <w:t>5200 (38.7%)</w:t>
            </w:r>
          </w:p>
        </w:tc>
      </w:tr>
      <w:tr w:rsidR="0042504C" w:rsidRPr="00FA2146" w14:paraId="43894081" w14:textId="77777777" w:rsidTr="00B43E1B">
        <w:trPr>
          <w:trHeight w:val="20"/>
        </w:trPr>
        <w:tc>
          <w:tcPr>
            <w:tcW w:w="0" w:type="auto"/>
            <w:tcBorders>
              <w:bottom w:val="single" w:sz="4" w:space="0" w:color="auto"/>
            </w:tcBorders>
            <w:shd w:val="clear" w:color="auto" w:fill="FFFFFF" w:themeFill="background1"/>
            <w:tcMar>
              <w:top w:w="75" w:type="dxa"/>
              <w:left w:w="75" w:type="dxa"/>
              <w:bottom w:w="75" w:type="dxa"/>
              <w:right w:w="75" w:type="dxa"/>
            </w:tcMar>
            <w:vAlign w:val="center"/>
            <w:hideMark/>
          </w:tcPr>
          <w:p w14:paraId="140ACD95" w14:textId="77777777" w:rsidR="0042504C" w:rsidRPr="00FA2146" w:rsidRDefault="0042504C" w:rsidP="00B43E1B">
            <w:pPr>
              <w:spacing w:before="0" w:after="0" w:line="240" w:lineRule="auto"/>
              <w:rPr>
                <w:color w:val="333333"/>
                <w:sz w:val="22"/>
                <w:szCs w:val="22"/>
              </w:rPr>
            </w:pPr>
            <w:r w:rsidRPr="00FA2146">
              <w:rPr>
                <w:rFonts w:cstheme="minorBidi"/>
                <w:color w:val="333333"/>
                <w:sz w:val="22"/>
                <w:szCs w:val="22"/>
              </w:rPr>
              <w:t>Alcohol and other</w:t>
            </w:r>
            <w:r w:rsidRPr="00FA2146">
              <w:rPr>
                <w:sz w:val="22"/>
                <w:szCs w:val="22"/>
              </w:rPr>
              <w:t xml:space="preserve"> </w:t>
            </w:r>
            <w:r w:rsidRPr="00FA2146">
              <w:rPr>
                <w:rFonts w:cstheme="minorBidi"/>
                <w:color w:val="333333"/>
                <w:sz w:val="22"/>
                <w:szCs w:val="22"/>
              </w:rPr>
              <w:t>substance use treatment</w:t>
            </w:r>
          </w:p>
        </w:tc>
        <w:tc>
          <w:tcPr>
            <w:tcW w:w="0" w:type="auto"/>
            <w:tcBorders>
              <w:bottom w:val="single" w:sz="4" w:space="0" w:color="auto"/>
            </w:tcBorders>
            <w:shd w:val="clear" w:color="auto" w:fill="FFFFFF" w:themeFill="background1"/>
            <w:tcMar>
              <w:top w:w="75" w:type="dxa"/>
              <w:left w:w="75" w:type="dxa"/>
              <w:bottom w:w="75" w:type="dxa"/>
              <w:right w:w="75" w:type="dxa"/>
            </w:tcMar>
            <w:hideMark/>
          </w:tcPr>
          <w:p w14:paraId="7D7D7A62" w14:textId="77777777" w:rsidR="0042504C" w:rsidRPr="00FA2146" w:rsidRDefault="0042504C" w:rsidP="00B43E1B">
            <w:pPr>
              <w:spacing w:before="0" w:after="0" w:line="240" w:lineRule="auto"/>
              <w:jc w:val="center"/>
              <w:rPr>
                <w:color w:val="333333"/>
                <w:sz w:val="22"/>
                <w:szCs w:val="22"/>
              </w:rPr>
            </w:pPr>
            <w:r w:rsidRPr="00FA2146">
              <w:rPr>
                <w:color w:val="333333"/>
                <w:sz w:val="22"/>
                <w:szCs w:val="22"/>
              </w:rPr>
              <w:t>306 (1.3%)</w:t>
            </w:r>
          </w:p>
        </w:tc>
        <w:tc>
          <w:tcPr>
            <w:tcW w:w="0" w:type="auto"/>
            <w:tcBorders>
              <w:bottom w:val="single" w:sz="4" w:space="0" w:color="auto"/>
            </w:tcBorders>
            <w:shd w:val="clear" w:color="auto" w:fill="FFFFFF" w:themeFill="background1"/>
            <w:tcMar>
              <w:top w:w="75" w:type="dxa"/>
              <w:left w:w="75" w:type="dxa"/>
              <w:bottom w:w="75" w:type="dxa"/>
              <w:right w:w="75" w:type="dxa"/>
            </w:tcMar>
            <w:hideMark/>
          </w:tcPr>
          <w:p w14:paraId="51CCF6B7" w14:textId="77777777" w:rsidR="0042504C" w:rsidRPr="00FA2146" w:rsidRDefault="0042504C" w:rsidP="00B43E1B">
            <w:pPr>
              <w:spacing w:before="0" w:after="0" w:line="240" w:lineRule="auto"/>
              <w:jc w:val="center"/>
              <w:rPr>
                <w:sz w:val="22"/>
                <w:szCs w:val="22"/>
              </w:rPr>
            </w:pPr>
            <w:r w:rsidRPr="00FA2146">
              <w:rPr>
                <w:color w:val="333333"/>
                <w:sz w:val="22"/>
                <w:szCs w:val="22"/>
              </w:rPr>
              <w:t>67 (0.5%)</w:t>
            </w:r>
          </w:p>
        </w:tc>
        <w:tc>
          <w:tcPr>
            <w:tcW w:w="0" w:type="auto"/>
            <w:tcBorders>
              <w:bottom w:val="single" w:sz="4" w:space="0" w:color="auto"/>
            </w:tcBorders>
            <w:shd w:val="clear" w:color="auto" w:fill="FFFFFF" w:themeFill="background1"/>
            <w:tcMar>
              <w:top w:w="75" w:type="dxa"/>
              <w:left w:w="75" w:type="dxa"/>
              <w:bottom w:w="75" w:type="dxa"/>
              <w:right w:w="75" w:type="dxa"/>
            </w:tcMar>
            <w:hideMark/>
          </w:tcPr>
          <w:p w14:paraId="3F21A0B9" w14:textId="77777777" w:rsidR="0042504C" w:rsidRPr="00FA2146" w:rsidRDefault="0042504C" w:rsidP="00B43E1B">
            <w:pPr>
              <w:spacing w:before="0" w:after="0" w:line="240" w:lineRule="auto"/>
              <w:jc w:val="center"/>
              <w:rPr>
                <w:sz w:val="22"/>
                <w:szCs w:val="22"/>
              </w:rPr>
            </w:pPr>
            <w:r w:rsidRPr="00FA2146">
              <w:rPr>
                <w:color w:val="333333"/>
                <w:sz w:val="22"/>
                <w:szCs w:val="22"/>
              </w:rPr>
              <w:t>379 (2.8%)</w:t>
            </w:r>
          </w:p>
        </w:tc>
        <w:tc>
          <w:tcPr>
            <w:tcW w:w="0" w:type="auto"/>
            <w:tcBorders>
              <w:bottom w:val="single" w:sz="4" w:space="0" w:color="auto"/>
            </w:tcBorders>
            <w:shd w:val="clear" w:color="auto" w:fill="FFFFFF" w:themeFill="background1"/>
            <w:tcMar>
              <w:top w:w="75" w:type="dxa"/>
              <w:left w:w="75" w:type="dxa"/>
              <w:bottom w:w="75" w:type="dxa"/>
              <w:right w:w="75" w:type="dxa"/>
            </w:tcMar>
            <w:hideMark/>
          </w:tcPr>
          <w:p w14:paraId="081FB5AC" w14:textId="77777777" w:rsidR="0042504C" w:rsidRPr="00FA2146" w:rsidRDefault="0042504C" w:rsidP="00B43E1B">
            <w:pPr>
              <w:spacing w:before="0" w:after="0" w:line="240" w:lineRule="auto"/>
              <w:jc w:val="center"/>
              <w:rPr>
                <w:sz w:val="22"/>
                <w:szCs w:val="22"/>
              </w:rPr>
            </w:pPr>
            <w:r w:rsidRPr="00FA2146">
              <w:rPr>
                <w:color w:val="333333"/>
                <w:sz w:val="22"/>
                <w:szCs w:val="22"/>
              </w:rPr>
              <w:t>460 (3.5%)</w:t>
            </w:r>
          </w:p>
        </w:tc>
      </w:tr>
    </w:tbl>
    <w:p w14:paraId="037C7779" w14:textId="77777777" w:rsidR="0042504C" w:rsidRPr="00772868" w:rsidRDefault="0042504C" w:rsidP="0042504C">
      <w:pPr>
        <w:spacing w:line="276" w:lineRule="auto"/>
        <w:rPr>
          <w:lang w:eastAsia="en-AU"/>
        </w:rPr>
      </w:pPr>
      <w:r w:rsidRPr="00FA2146">
        <w:rPr>
          <w:vertAlign w:val="superscript"/>
          <w:lang w:eastAsia="en-AU"/>
        </w:rPr>
        <w:t>*</w:t>
      </w:r>
      <w:r w:rsidRPr="00FA2146">
        <w:rPr>
          <w:lang w:eastAsia="en-AU"/>
        </w:rPr>
        <w:t xml:space="preserve">Primary or secondary diagnosis of mental disorders with more complex needs (e.g., psychotic, bipolar, personality and neurodevelopmental disorders, see Table S2) </w:t>
      </w:r>
    </w:p>
    <w:p w14:paraId="72BCC168" w14:textId="77777777" w:rsidR="0042504C" w:rsidRPr="00FA2146" w:rsidRDefault="0042504C" w:rsidP="0042504C">
      <w:pPr>
        <w:sectPr w:rsidR="0042504C" w:rsidRPr="00FA2146" w:rsidSect="00DC2CC8">
          <w:pgSz w:w="16838" w:h="11906" w:orient="landscape"/>
          <w:pgMar w:top="1440" w:right="1080" w:bottom="1440" w:left="1080" w:header="708" w:footer="708" w:gutter="0"/>
          <w:cols w:space="708"/>
          <w:titlePg/>
          <w:docGrid w:linePitch="360"/>
        </w:sectPr>
      </w:pPr>
    </w:p>
    <w:p w14:paraId="4E54ACD7" w14:textId="77777777" w:rsidR="0042504C" w:rsidRPr="00FA2146" w:rsidRDefault="0042504C" w:rsidP="0042504C">
      <w:r w:rsidRPr="00FA2146">
        <w:rPr>
          <w:noProof/>
        </w:rPr>
        <w:lastRenderedPageBreak/>
        <w:drawing>
          <wp:inline distT="0" distB="0" distL="0" distR="0" wp14:anchorId="4096E3F1" wp14:editId="0D0930DA">
            <wp:extent cx="6168325" cy="6168325"/>
            <wp:effectExtent l="0" t="0" r="0" b="0"/>
            <wp:docPr id="1703422193" name="Picture 170342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422193" name="Picture 1703422193"/>
                    <pic:cNvPicPr/>
                  </pic:nvPicPr>
                  <pic:blipFill>
                    <a:blip r:embed="rId7">
                      <a:extLst>
                        <a:ext uri="{28A0092B-C50C-407E-A947-70E740481C1C}">
                          <a14:useLocalDpi xmlns:a14="http://schemas.microsoft.com/office/drawing/2010/main" val="0"/>
                        </a:ext>
                      </a:extLst>
                    </a:blip>
                    <a:stretch>
                      <a:fillRect/>
                    </a:stretch>
                  </pic:blipFill>
                  <pic:spPr>
                    <a:xfrm>
                      <a:off x="0" y="0"/>
                      <a:ext cx="6183388" cy="6183388"/>
                    </a:xfrm>
                    <a:prstGeom prst="rect">
                      <a:avLst/>
                    </a:prstGeom>
                  </pic:spPr>
                </pic:pic>
              </a:graphicData>
            </a:graphic>
          </wp:inline>
        </w:drawing>
      </w:r>
    </w:p>
    <w:p w14:paraId="217789E7" w14:textId="77777777" w:rsidR="0042504C" w:rsidRPr="00FA2146" w:rsidRDefault="0042504C" w:rsidP="0042504C">
      <w:pPr>
        <w:spacing w:line="276" w:lineRule="auto"/>
      </w:pPr>
      <w:r w:rsidRPr="00FA2146">
        <w:t>Fig. S1. Pairwise tetrachoric correlations (</w:t>
      </w:r>
      <m:oMath>
        <m:sSub>
          <m:sSubPr>
            <m:ctrlPr>
              <w:rPr>
                <w:rFonts w:ascii="Cambria Math" w:hAnsi="Cambria Math"/>
              </w:rPr>
            </m:ctrlPr>
          </m:sSubPr>
          <m:e>
            <m:r>
              <w:rPr>
                <w:rFonts w:ascii="Cambria Math" w:hAnsi="Cambria Math"/>
              </w:rPr>
              <m:t>r</m:t>
            </m:r>
          </m:e>
          <m:sub>
            <m:r>
              <w:rPr>
                <w:rFonts w:ascii="Cambria Math" w:hAnsi="Cambria Math"/>
              </w:rPr>
              <m:t>t</m:t>
            </m:r>
          </m:sub>
        </m:sSub>
      </m:oMath>
      <w:r w:rsidRPr="00FA2146">
        <w:t>) between complexity indicators. Note: Pairwise tetrachoric correlations (</w:t>
      </w:r>
      <m:oMath>
        <m:sSub>
          <m:sSubPr>
            <m:ctrlPr>
              <w:rPr>
                <w:rFonts w:ascii="Cambria Math" w:hAnsi="Cambria Math"/>
              </w:rPr>
            </m:ctrlPr>
          </m:sSubPr>
          <m:e>
            <m:r>
              <w:rPr>
                <w:rFonts w:ascii="Cambria Math" w:hAnsi="Cambria Math"/>
              </w:rPr>
              <m:t>r</m:t>
            </m:r>
          </m:e>
          <m:sub>
            <m:r>
              <w:rPr>
                <w:rFonts w:ascii="Cambria Math" w:hAnsi="Cambria Math"/>
              </w:rPr>
              <m:t>t</m:t>
            </m:r>
          </m:sub>
        </m:sSub>
      </m:oMath>
      <w:r w:rsidRPr="00FA2146">
        <w:t>) between complexity indicators were estimated from pooling 20 imputed datasets. The dendrogram indicates clusters of variables estimated using hierarchical clustering with complete linkage.</w:t>
      </w:r>
      <w:r w:rsidRPr="00FA2146">
        <w:rPr>
          <w:lang w:eastAsia="en-AU"/>
        </w:rPr>
        <w:t xml:space="preserve"> </w:t>
      </w:r>
      <w:r w:rsidRPr="00FA2146">
        <w:rPr>
          <w:vertAlign w:val="superscript"/>
          <w:lang w:eastAsia="en-AU"/>
        </w:rPr>
        <w:t>*</w:t>
      </w:r>
      <w:r w:rsidRPr="00FA2146">
        <w:rPr>
          <w:lang w:eastAsia="en-AU"/>
        </w:rPr>
        <w:t xml:space="preserve">Primary or secondary diagnosis of mental disorders with more complex needs (e.g., psychotic, bipolar, personality and neurodevelopmental disorders, see Table S2) </w:t>
      </w:r>
    </w:p>
    <w:p w14:paraId="01F21593" w14:textId="77777777" w:rsidR="0042504C" w:rsidRPr="00FA2146" w:rsidRDefault="0042504C" w:rsidP="0042504C"/>
    <w:p w14:paraId="3F3253C9" w14:textId="77777777" w:rsidR="0042504C" w:rsidRDefault="0042504C" w:rsidP="0042504C">
      <w:pPr>
        <w:spacing w:line="276" w:lineRule="auto"/>
        <w:rPr>
          <w:lang w:eastAsia="en-AU"/>
        </w:rPr>
      </w:pPr>
      <w:r w:rsidRPr="007F2142">
        <w:rPr>
          <w:rFonts w:cstheme="minorHAnsi"/>
          <w:noProof/>
          <w:color w:val="333333"/>
        </w:rPr>
        <w:lastRenderedPageBreak/>
        <w:drawing>
          <wp:inline distT="0" distB="0" distL="0" distR="0" wp14:anchorId="36B9255E" wp14:editId="194D91F2">
            <wp:extent cx="6214612" cy="4140000"/>
            <wp:effectExtent l="0" t="0" r="0" b="635"/>
            <wp:docPr id="1836627605" name="Picture 183662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27605" name=""/>
                    <pic:cNvPicPr/>
                  </pic:nvPicPr>
                  <pic:blipFill rotWithShape="1">
                    <a:blip r:embed="rId8"/>
                    <a:srcRect r="426"/>
                    <a:stretch/>
                  </pic:blipFill>
                  <pic:spPr bwMode="auto">
                    <a:xfrm>
                      <a:off x="0" y="0"/>
                      <a:ext cx="6214612" cy="4140000"/>
                    </a:xfrm>
                    <a:prstGeom prst="rect">
                      <a:avLst/>
                    </a:prstGeom>
                    <a:ln>
                      <a:noFill/>
                    </a:ln>
                    <a:extLst>
                      <a:ext uri="{53640926-AAD7-44D8-BBD7-CCE9431645EC}">
                        <a14:shadowObscured xmlns:a14="http://schemas.microsoft.com/office/drawing/2010/main"/>
                      </a:ext>
                    </a:extLst>
                  </pic:spPr>
                </pic:pic>
              </a:graphicData>
            </a:graphic>
          </wp:inline>
        </w:drawing>
      </w:r>
      <w:r w:rsidRPr="00FA2146">
        <w:rPr>
          <w:rFonts w:cstheme="minorHAnsi"/>
          <w:color w:val="333333"/>
        </w:rPr>
        <w:br/>
      </w:r>
      <w:r w:rsidRPr="00FA2146">
        <w:t xml:space="preserve">Fig. S2. Distribution of individual complexity factor by cluster in the 4 cluster solutions: low complexity (n=32506, 39.8%); distress complexity (n=16251, 19.9%); psychosocial complexity (n=17781, 21.8%); high complexity (n=15084, 18.5%). </w:t>
      </w:r>
      <w:r w:rsidRPr="00FA2146">
        <w:rPr>
          <w:vertAlign w:val="superscript"/>
          <w:lang w:eastAsia="en-AU"/>
        </w:rPr>
        <w:t>*</w:t>
      </w:r>
      <w:r w:rsidRPr="00FA2146">
        <w:rPr>
          <w:lang w:eastAsia="en-AU"/>
        </w:rPr>
        <w:t xml:space="preserve">Primary or secondary diagnosis of mental disorders with more complex needs (e.g., psychotic, bipolar, personality and neurodevelopmental disorders, see Table S2) </w:t>
      </w:r>
    </w:p>
    <w:p w14:paraId="08C52662" w14:textId="77777777" w:rsidR="0042504C" w:rsidRDefault="0042504C" w:rsidP="0042504C">
      <w:pPr>
        <w:spacing w:line="276" w:lineRule="auto"/>
        <w:rPr>
          <w:noProof/>
        </w:rPr>
      </w:pPr>
    </w:p>
    <w:p w14:paraId="0E5E3859" w14:textId="77777777" w:rsidR="0042504C" w:rsidRDefault="0042504C" w:rsidP="0042504C">
      <w:pPr>
        <w:spacing w:line="276" w:lineRule="auto"/>
      </w:pPr>
      <w:r w:rsidRPr="006828C1">
        <w:rPr>
          <w:noProof/>
        </w:rPr>
        <w:lastRenderedPageBreak/>
        <w:drawing>
          <wp:inline distT="0" distB="0" distL="0" distR="0" wp14:anchorId="346FAF3E" wp14:editId="16B41F80">
            <wp:extent cx="6138354" cy="6012000"/>
            <wp:effectExtent l="0" t="0" r="0" b="0"/>
            <wp:docPr id="1638460722" name="Picture 163846072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460722" name="Picture 1" descr="A screenshot of a graph&#10;&#10;Description automatically generated"/>
                    <pic:cNvPicPr/>
                  </pic:nvPicPr>
                  <pic:blipFill rotWithShape="1">
                    <a:blip r:embed="rId9"/>
                    <a:srcRect t="1046" b="-1"/>
                    <a:stretch/>
                  </pic:blipFill>
                  <pic:spPr bwMode="auto">
                    <a:xfrm>
                      <a:off x="0" y="0"/>
                      <a:ext cx="6138354" cy="6012000"/>
                    </a:xfrm>
                    <a:prstGeom prst="rect">
                      <a:avLst/>
                    </a:prstGeom>
                    <a:ln>
                      <a:noFill/>
                    </a:ln>
                    <a:extLst>
                      <a:ext uri="{53640926-AAD7-44D8-BBD7-CCE9431645EC}">
                        <a14:shadowObscured xmlns:a14="http://schemas.microsoft.com/office/drawing/2010/main"/>
                      </a:ext>
                    </a:extLst>
                  </pic:spPr>
                </pic:pic>
              </a:graphicData>
            </a:graphic>
          </wp:inline>
        </w:drawing>
      </w:r>
    </w:p>
    <w:p w14:paraId="4FA47164" w14:textId="77777777" w:rsidR="0042504C" w:rsidRPr="00FA2146" w:rsidRDefault="0042504C" w:rsidP="0042504C">
      <w:pPr>
        <w:spacing w:line="276" w:lineRule="auto"/>
      </w:pPr>
      <w:r w:rsidRPr="00FA2146">
        <w:t>Fig. S</w:t>
      </w:r>
      <w:r>
        <w:t>3</w:t>
      </w:r>
      <w:r w:rsidRPr="00FA2146">
        <w:t xml:space="preserve">. </w:t>
      </w:r>
      <w:r>
        <w:t xml:space="preserve"> Results from (A) 2-cluster, (B) 3-cluster, and (C) 5-cluster solutions. </w:t>
      </w:r>
    </w:p>
    <w:p w14:paraId="729EF8F8" w14:textId="77777777" w:rsidR="0042504C" w:rsidRDefault="0042504C" w:rsidP="0042504C">
      <w:pPr>
        <w:spacing w:before="0" w:after="0" w:line="240" w:lineRule="auto"/>
        <w:jc w:val="left"/>
      </w:pPr>
      <w:r>
        <w:br w:type="page"/>
      </w:r>
    </w:p>
    <w:p w14:paraId="57C234A8" w14:textId="77777777" w:rsidR="0042504C" w:rsidRPr="00C55043" w:rsidRDefault="0042504C" w:rsidP="0042504C">
      <w:pPr>
        <w:pStyle w:val="Heading1"/>
        <w:numPr>
          <w:ilvl w:val="0"/>
          <w:numId w:val="0"/>
        </w:numPr>
        <w:ind w:left="432" w:hanging="432"/>
        <w:rPr>
          <w:lang w:val="en-AU"/>
        </w:rPr>
      </w:pPr>
      <w:r w:rsidRPr="00C55043">
        <w:rPr>
          <w:lang w:val="en-AU"/>
        </w:rPr>
        <w:lastRenderedPageBreak/>
        <w:t>Supplementary Material</w:t>
      </w:r>
      <w:r>
        <w:rPr>
          <w:lang w:val="en-AU"/>
        </w:rPr>
        <w:t xml:space="preserve"> II: Detailed statistical analysis methods </w:t>
      </w:r>
    </w:p>
    <w:p w14:paraId="506B06E5" w14:textId="77777777" w:rsidR="0042504C" w:rsidRPr="00FA2146" w:rsidRDefault="0042504C" w:rsidP="0042504C">
      <w:pPr>
        <w:pStyle w:val="Heading3"/>
        <w:numPr>
          <w:ilvl w:val="0"/>
          <w:numId w:val="0"/>
        </w:numPr>
        <w:ind w:left="720" w:hanging="720"/>
      </w:pPr>
      <w:r w:rsidRPr="00FA2146">
        <w:t xml:space="preserve">Basic descriptive statistics </w:t>
      </w:r>
    </w:p>
    <w:p w14:paraId="34F44E51" w14:textId="77777777" w:rsidR="0042504C" w:rsidRPr="00C55043" w:rsidRDefault="0042504C" w:rsidP="0042504C">
      <w:pPr>
        <w:pStyle w:val="Text"/>
        <w:rPr>
          <w:lang w:val="en-AU"/>
        </w:rPr>
      </w:pPr>
      <w:r w:rsidRPr="3D685BCD">
        <w:rPr>
          <w:lang w:val="en-AU"/>
        </w:rPr>
        <w:t xml:space="preserve">Simple descriptive statistics were used to explore the characteristics of the cohort and determine the respective proportions of young people presenting with different types of complexity indicators as well as associated risk factors (e.g., age, gender, area of residence). </w:t>
      </w:r>
    </w:p>
    <w:p w14:paraId="1B6D4C13" w14:textId="77777777" w:rsidR="0042504C" w:rsidRPr="00FA2146" w:rsidRDefault="0042504C" w:rsidP="0042504C">
      <w:pPr>
        <w:pStyle w:val="Heading3"/>
        <w:numPr>
          <w:ilvl w:val="0"/>
          <w:numId w:val="0"/>
        </w:numPr>
        <w:ind w:left="720" w:hanging="720"/>
      </w:pPr>
      <w:r w:rsidRPr="00FA2146">
        <w:t xml:space="preserve">Network analysis </w:t>
      </w:r>
    </w:p>
    <w:p w14:paraId="4B0C35CA" w14:textId="7514AFF4" w:rsidR="0042504C" w:rsidRPr="00C55043" w:rsidRDefault="0042504C" w:rsidP="0042504C">
      <w:pPr>
        <w:pStyle w:val="Text"/>
        <w:rPr>
          <w:lang w:val="en-AU"/>
        </w:rPr>
      </w:pPr>
      <w:r w:rsidRPr="00297BD7">
        <w:rPr>
          <w:lang w:val="en-AU"/>
        </w:rPr>
        <w:t xml:space="preserve">A multidimensional scaling network plot was employed to illustrate the interrelations among </w:t>
      </w:r>
      <w:r>
        <w:rPr>
          <w:lang w:val="en-AU"/>
        </w:rPr>
        <w:t xml:space="preserve">complexity </w:t>
      </w:r>
      <w:r w:rsidRPr="00297BD7">
        <w:rPr>
          <w:lang w:val="en-AU"/>
        </w:rPr>
        <w:t>factors, visuali</w:t>
      </w:r>
      <w:r>
        <w:rPr>
          <w:lang w:val="en-AU"/>
        </w:rPr>
        <w:t>s</w:t>
      </w:r>
      <w:r w:rsidRPr="00297BD7">
        <w:rPr>
          <w:lang w:val="en-AU"/>
        </w:rPr>
        <w:t xml:space="preserve">ing the pairwise tetrachoric correlations </w:t>
      </w:r>
      <w:r w:rsidRPr="00C55043">
        <w:rPr>
          <w:lang w:val="en-AU"/>
        </w:rPr>
        <w:t>(</w:t>
      </w:r>
      <m:oMath>
        <m:sSub>
          <m:sSubPr>
            <m:ctrlPr>
              <w:rPr>
                <w:rFonts w:ascii="Cambria Math" w:hAnsi="Cambria Math"/>
                <w:lang w:val="en-AU"/>
              </w:rPr>
            </m:ctrlPr>
          </m:sSubPr>
          <m:e>
            <m:r>
              <w:rPr>
                <w:rFonts w:ascii="Cambria Math" w:hAnsi="Cambria Math"/>
                <w:lang w:val="en-AU"/>
              </w:rPr>
              <m:t>r</m:t>
            </m:r>
          </m:e>
          <m:sub>
            <m:r>
              <w:rPr>
                <w:rFonts w:ascii="Cambria Math" w:hAnsi="Cambria Math"/>
                <w:lang w:val="en-AU"/>
              </w:rPr>
              <m:t>t</m:t>
            </m:r>
          </m:sub>
        </m:sSub>
      </m:oMath>
      <w:r w:rsidRPr="00C55043">
        <w:rPr>
          <w:lang w:val="en-AU"/>
        </w:rPr>
        <w:t>)</w:t>
      </w:r>
      <w:r>
        <w:rPr>
          <w:lang w:val="en-AU"/>
        </w:rPr>
        <w:t xml:space="preserve"> between them</w:t>
      </w:r>
      <w:r w:rsidRPr="00C55043">
        <w:rPr>
          <w:lang w:val="en-AU"/>
        </w:rPr>
        <w:t xml:space="preserve">. </w:t>
      </w:r>
      <w:r w:rsidRPr="2D25CEA0">
        <w:rPr>
          <w:lang w:val="en-AU"/>
        </w:rPr>
        <w:t>N</w:t>
      </w:r>
      <w:r w:rsidRPr="00C55043">
        <w:rPr>
          <w:lang w:val="en-AU"/>
        </w:rPr>
        <w:t>etwork plots summarise the multidimensional pairwise associations in a two-dimensional space, with nodes representing variables, and links between nodes representing their associations. It has a direct graphical interpretation, with shorter distances representing stronger associations, and thus providing a</w:t>
      </w:r>
      <w:r>
        <w:rPr>
          <w:lang w:val="en-AU"/>
        </w:rPr>
        <w:t xml:space="preserve"> </w:t>
      </w:r>
      <w:r w:rsidRPr="00C55043">
        <w:rPr>
          <w:lang w:val="en-AU"/>
        </w:rPr>
        <w:t>tangible picture of the</w:t>
      </w:r>
      <w:r w:rsidRPr="3D685BCD">
        <w:rPr>
          <w:lang w:val="en-AU"/>
        </w:rPr>
        <w:t xml:space="preserve"> overall</w:t>
      </w:r>
      <w:r w:rsidRPr="00C55043">
        <w:rPr>
          <w:lang w:val="en-AU"/>
        </w:rPr>
        <w:t xml:space="preserve"> connectivity between variables </w:t>
      </w:r>
      <w:r w:rsidRPr="00FA2146">
        <w:rPr>
          <w:lang w:val="en-AU"/>
        </w:rPr>
        <w:fldChar w:fldCharType="begin"/>
      </w:r>
      <w:r w:rsidR="00B400C5">
        <w:rPr>
          <w:lang w:val="en-AU"/>
        </w:rPr>
        <w:instrText xml:space="preserve"> ADDIN EN.CITE &lt;EndNote&gt;&lt;Cite&gt;&lt;Author&gt;Jones&lt;/Author&gt;&lt;Year&gt;2018&lt;/Year&gt;&lt;RecNum&gt;30&lt;/RecNum&gt;&lt;DisplayText&gt;(Jones et al. 2018)&lt;/DisplayText&gt;&lt;record&gt;&lt;rec-number&gt;48&lt;/rec-number&gt;&lt;foreign-keys&gt;&lt;key app="EN" db-id="t2f2ee9ad5z50yepsexx9p9a29ra5sdatp9z" timestamp="1721092651"&gt;48&lt;/key&gt;&lt;/foreign-keys&gt;&lt;ref-type name="Journal Article"&gt;17&lt;/ref-type&gt;&lt;contributors&gt;&lt;authors&gt;&lt;author&gt;Jones, Payton J.&lt;/author&gt;&lt;author&gt;Mair, Patrick&lt;/author&gt;&lt;author&gt;McNally, Richard J.&lt;/author&gt;&lt;/authors&gt;&lt;/contributors&gt;&lt;titles&gt;&lt;title&gt;Visualizing Psychological Networks: A Tutorial in R&lt;/title&gt;&lt;secondary-title&gt;Frontiers in Psychology&lt;/secondary-title&gt;&lt;/titles&gt;&lt;periodical&gt;&lt;full-title&gt;Frontiers in Psychology&lt;/full-title&gt;&lt;/periodical&gt;&lt;volume&gt;9&lt;/volume&gt;&lt;number&gt;1742&lt;/number&gt;&lt;dates&gt;&lt;year&gt;2018&lt;/year&gt;&lt;/dates&gt;&lt;urls&gt;&lt;related-urls&gt;&lt;url&gt;https://www.frontiersin.org/article/10.3389/fpsyg.2018.01742&lt;/url&gt;&lt;/related-urls&gt;&lt;/urls&gt;&lt;electronic-resource-num&gt;10.3389/fpsyg.2018.01742&lt;/electronic-resource-num&gt;&lt;/record&gt;&lt;/Cite&gt;&lt;/EndNote&gt;</w:instrText>
      </w:r>
      <w:r w:rsidRPr="00FA2146">
        <w:rPr>
          <w:lang w:val="en-AU"/>
        </w:rPr>
        <w:fldChar w:fldCharType="separate"/>
      </w:r>
      <w:r w:rsidR="00866CEF">
        <w:rPr>
          <w:noProof/>
          <w:lang w:val="en-AU"/>
        </w:rPr>
        <w:t>(Jones et al. 2018)</w:t>
      </w:r>
      <w:r w:rsidRPr="00FA2146">
        <w:rPr>
          <w:lang w:val="en-AU"/>
        </w:rPr>
        <w:fldChar w:fldCharType="end"/>
      </w:r>
      <w:r w:rsidRPr="00C55043">
        <w:rPr>
          <w:lang w:val="en-AU"/>
        </w:rPr>
        <w:t xml:space="preserve">. Due to the high proportion of missing data in a few indicators, </w:t>
      </w:r>
      <m:oMath>
        <m:sSub>
          <m:sSubPr>
            <m:ctrlPr>
              <w:rPr>
                <w:rFonts w:ascii="Cambria Math" w:hAnsi="Cambria Math"/>
                <w:i/>
                <w:lang w:val="en-AU"/>
              </w:rPr>
            </m:ctrlPr>
          </m:sSubPr>
          <m:e>
            <m:r>
              <w:rPr>
                <w:rFonts w:ascii="Cambria Math" w:hAnsi="Cambria Math"/>
                <w:lang w:val="en-AU"/>
              </w:rPr>
              <m:t>r</m:t>
            </m:r>
          </m:e>
          <m:sub>
            <m:r>
              <w:rPr>
                <w:rFonts w:ascii="Cambria Math" w:hAnsi="Cambria Math"/>
                <w:lang w:val="en-AU"/>
              </w:rPr>
              <m:t>t</m:t>
            </m:r>
          </m:sub>
        </m:sSub>
      </m:oMath>
      <w:r>
        <w:rPr>
          <w:sz w:val="28"/>
          <w:szCs w:val="28"/>
          <w:lang w:val="en-AU"/>
        </w:rPr>
        <w:t xml:space="preserve"> </w:t>
      </w:r>
      <w:r w:rsidRPr="00C55043">
        <w:rPr>
          <w:lang w:val="en-AU"/>
        </w:rPr>
        <w:t xml:space="preserve">was estimated as an aggregated value from 20 imputed datasets, using multiple imputation by chained random forest (using R function </w:t>
      </w:r>
      <w:proofErr w:type="spellStart"/>
      <w:r w:rsidRPr="00C55043">
        <w:rPr>
          <w:lang w:val="en-AU"/>
        </w:rPr>
        <w:t>missRanger</w:t>
      </w:r>
      <w:proofErr w:type="spellEnd"/>
      <w:r w:rsidRPr="00C55043">
        <w:rPr>
          <w:lang w:val="en-AU"/>
        </w:rPr>
        <w:t xml:space="preserve">) </w:t>
      </w:r>
      <w:r w:rsidRPr="00FA2146">
        <w:rPr>
          <w:lang w:val="en-AU"/>
        </w:rPr>
        <w:fldChar w:fldCharType="begin"/>
      </w:r>
      <w:r w:rsidR="00B400C5">
        <w:rPr>
          <w:lang w:val="en-AU"/>
        </w:rPr>
        <w:instrText xml:space="preserve"> ADDIN EN.CITE &lt;EndNote&gt;&lt;Cite&gt;&lt;Author&gt;Mayer&lt;/Author&gt;&lt;Year&gt;2021&lt;/Year&gt;&lt;RecNum&gt;13&lt;/RecNum&gt;&lt;DisplayText&gt;(Mayer 2021)&lt;/DisplayText&gt;&lt;record&gt;&lt;rec-number&gt;49&lt;/rec-number&gt;&lt;foreign-keys&gt;&lt;key app="EN" db-id="t2f2ee9ad5z50yepsexx9p9a29ra5sdatp9z" timestamp="1721092651"&gt;49&lt;/key&gt;&lt;/foreign-keys&gt;&lt;ref-type name="Report"&gt;27&lt;/ref-type&gt;&lt;contributors&gt;&lt;authors&gt;&lt;author&gt;Mayer, Michael&lt;/author&gt;&lt;/authors&gt;&lt;/contributors&gt;&lt;titles&gt;&lt;title&gt;missRanger: Fast imputation of missing values&lt;/title&gt;&lt;secondary-title&gt;Comprehensive R Archive Network (CRAN)&lt;/secondary-title&gt;&lt;/titles&gt;&lt;dates&gt;&lt;year&gt;2021&lt;/year&gt;&lt;/dates&gt;&lt;urls&gt;&lt;related-urls&gt;&lt;url&gt;https://cran.r-project.org/web/packages/missRanger/missRanger.pdf&lt;/url&gt;&lt;/related-urls&gt;&lt;/urls&gt;&lt;/record&gt;&lt;/Cite&gt;&lt;/EndNote&gt;</w:instrText>
      </w:r>
      <w:r w:rsidRPr="00FA2146">
        <w:rPr>
          <w:lang w:val="en-AU"/>
        </w:rPr>
        <w:fldChar w:fldCharType="separate"/>
      </w:r>
      <w:r w:rsidR="00866CEF">
        <w:rPr>
          <w:noProof/>
          <w:lang w:val="en-AU"/>
        </w:rPr>
        <w:t>(Mayer 2021)</w:t>
      </w:r>
      <w:r w:rsidRPr="00FA2146">
        <w:rPr>
          <w:lang w:val="en-AU"/>
        </w:rPr>
        <w:fldChar w:fldCharType="end"/>
      </w:r>
      <w:r w:rsidRPr="00C55043">
        <w:rPr>
          <w:lang w:val="en-AU"/>
        </w:rPr>
        <w:t>.</w:t>
      </w:r>
    </w:p>
    <w:p w14:paraId="2E786BC3" w14:textId="77777777" w:rsidR="0042504C" w:rsidRPr="00FA2146" w:rsidRDefault="0042504C" w:rsidP="0042504C">
      <w:pPr>
        <w:pStyle w:val="Heading3"/>
        <w:numPr>
          <w:ilvl w:val="0"/>
          <w:numId w:val="0"/>
        </w:numPr>
        <w:ind w:left="720" w:hanging="720"/>
      </w:pPr>
      <w:r w:rsidRPr="00FA2146">
        <w:t xml:space="preserve">Clustering </w:t>
      </w:r>
    </w:p>
    <w:p w14:paraId="5CCAE876" w14:textId="2316E064" w:rsidR="0042504C" w:rsidRPr="00C55043" w:rsidRDefault="0042504C" w:rsidP="0042504C">
      <w:pPr>
        <w:pStyle w:val="Text"/>
        <w:rPr>
          <w:lang w:val="en-AU"/>
        </w:rPr>
      </w:pPr>
      <w:r w:rsidRPr="00C55043">
        <w:rPr>
          <w:lang w:val="en-AU"/>
        </w:rPr>
        <w:t xml:space="preserve">Consensus clustering was used to improve clustering model stability and performance </w:t>
      </w:r>
      <w:r w:rsidRPr="00C55043">
        <w:rPr>
          <w:lang w:val="en-AU"/>
        </w:rPr>
        <w:fldChar w:fldCharType="begin">
          <w:fldData xml:space="preserve">PEVuZE5vdGU+PENpdGU+PEF1dGhvcj5GcmVkPC9BdXRob3I+PFllYXI+MjAwMjwvWWVhcj48UmVj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</w:fldData>
        </w:fldChar>
      </w:r>
      <w:r w:rsidR="00B400C5">
        <w:rPr>
          <w:lang w:val="en-AU"/>
        </w:rPr>
        <w:instrText xml:space="preserve"> ADDIN EN.CITE </w:instrText>
      </w:r>
      <w:r w:rsidR="00B400C5">
        <w:rPr>
          <w:lang w:val="en-AU"/>
        </w:rPr>
        <w:fldChar w:fldCharType="begin">
          <w:fldData xml:space="preserve">PEVuZE5vdGU+PENpdGU+PEF1dGhvcj5GcmVkPC9BdXRob3I+PFllYXI+MjAwMjwvWWVhcj48UmVj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</w:fldData>
        </w:fldChar>
      </w:r>
      <w:r w:rsidR="00B400C5">
        <w:rPr>
          <w:lang w:val="en-AU"/>
        </w:rPr>
        <w:instrText xml:space="preserve"> ADDIN EN.CITE.DATA </w:instrText>
      </w:r>
      <w:r w:rsidR="00B400C5">
        <w:rPr>
          <w:lang w:val="en-AU"/>
        </w:rPr>
      </w:r>
      <w:r w:rsidR="00B400C5">
        <w:rPr>
          <w:lang w:val="en-AU"/>
        </w:rPr>
        <w:fldChar w:fldCharType="end"/>
      </w:r>
      <w:r w:rsidRPr="00C55043">
        <w:rPr>
          <w:lang w:val="en-AU"/>
        </w:rPr>
      </w:r>
      <w:r w:rsidRPr="00C55043">
        <w:rPr>
          <w:lang w:val="en-AU"/>
        </w:rPr>
        <w:fldChar w:fldCharType="separate"/>
      </w:r>
      <w:r w:rsidR="00866CEF">
        <w:rPr>
          <w:noProof/>
          <w:lang w:val="en-AU"/>
        </w:rPr>
        <w:t>(Fred and Jain 2002; Fred and Jain 2005; Monti et al. 2003; Strehl and Ghosh 2002; Topchy et al. 2004)</w:t>
      </w:r>
      <w:r w:rsidRPr="00C55043">
        <w:rPr>
          <w:lang w:val="en-AU"/>
        </w:rPr>
        <w:fldChar w:fldCharType="end"/>
      </w:r>
      <w:r w:rsidRPr="00C55043">
        <w:rPr>
          <w:lang w:val="en-AU"/>
        </w:rPr>
        <w:t>. We chose to use k-means clustering due to its high scalability to large datasets. However, results for k-means clustering can be impacted by the random starting point, and the k-means clustering algorithm cannot account for missing data</w:t>
      </w:r>
      <w:r>
        <w:rPr>
          <w:lang w:val="en-AU"/>
        </w:rPr>
        <w:t xml:space="preserve"> </w:t>
      </w:r>
      <w:r>
        <w:rPr>
          <w:lang w:val="en-AU"/>
        </w:rPr>
        <w:fldChar w:fldCharType="begin"/>
      </w:r>
      <w:r w:rsidR="00B400C5">
        <w:rPr>
          <w:lang w:val="en-AU"/>
        </w:rPr>
        <w:instrText xml:space="preserve"> ADDIN EN.CITE &lt;EndNote&gt;&lt;Cite&gt;&lt;Author&gt;Gao&lt;/Author&gt;&lt;Year&gt;2023&lt;/Year&gt;&lt;RecNum&gt;15&lt;/RecNum&gt;&lt;DisplayText&gt;(Gao et al. 2023)&lt;/DisplayText&gt;&lt;record&gt;&lt;rec-number&gt;29&lt;/rec-number&gt;&lt;foreign-keys&gt;&lt;key app="EN" db-id="t2f2ee9ad5z50yepsexx9p9a29ra5sdatp9z" timestamp="1721092636"&gt;29&lt;/key&gt;&lt;/foreign-keys&gt;&lt;ref-type name="Journal Article"&gt;17&lt;/ref-type&gt;&lt;contributors&gt;&lt;authors&gt;&lt;author&gt;Gao, C. X.&lt;/author&gt;&lt;author&gt;Dwyer, D.&lt;/author&gt;&lt;author&gt;Zhu, Y.&lt;/author&gt;&lt;author&gt;Smith, C. L.&lt;/author&gt;&lt;author&gt;Du, L.&lt;/author&gt;&lt;author&gt;Filia, K. M.&lt;/author&gt;&lt;author&gt;Bayer, J.&lt;/author&gt;&lt;author&gt;Menssink, J. M.&lt;/author&gt;&lt;author&gt;Wang, T.&lt;/author&gt;&lt;author&gt;Bergmeir, C.&lt;/author&gt;&lt;author&gt;Wood, S.&lt;/author&gt;&lt;author&gt;Cotton, S. M.&lt;/author&gt;&lt;/authors&gt;&lt;/contributors&gt;&lt;titles&gt;&lt;title&gt;An overview of clustering methods with guidelines for application in mental health research&lt;/title&gt;&lt;secondary-title&gt;Psychiatry Research &lt;/secondary-title&gt;&lt;/titles&gt;&lt;pages&gt;115265&lt;/pages&gt;&lt;volume&gt;327&lt;/volume&gt;&lt;dates&gt;&lt;year&gt;2023&lt;/year&gt;&lt;/dates&gt;&lt;urls&gt;&lt;/urls&gt;&lt;electronic-resource-num&gt;10.1016/j.psychres.2023.115265&lt;/electronic-resource-num&gt;&lt;/record&gt;&lt;/Cite&gt;&lt;/EndNote&gt;</w:instrText>
      </w:r>
      <w:r>
        <w:rPr>
          <w:lang w:val="en-AU"/>
        </w:rPr>
        <w:fldChar w:fldCharType="separate"/>
      </w:r>
      <w:r w:rsidR="00866CEF">
        <w:rPr>
          <w:noProof/>
          <w:lang w:val="en-AU"/>
        </w:rPr>
        <w:t>(Gao et al. 2023)</w:t>
      </w:r>
      <w:r>
        <w:rPr>
          <w:lang w:val="en-AU"/>
        </w:rPr>
        <w:fldChar w:fldCharType="end"/>
      </w:r>
      <w:r w:rsidRPr="00C55043">
        <w:rPr>
          <w:lang w:val="en-AU"/>
        </w:rPr>
        <w:t xml:space="preserve">. Therefore, we implemented k-means based consensus clustering on imputed datasets, as proposed by Wu and colleagues </w:t>
      </w:r>
      <w:r w:rsidRPr="00C55043">
        <w:rPr>
          <w:lang w:val="en-AU"/>
        </w:rPr>
        <w:fldChar w:fldCharType="begin"/>
      </w:r>
      <w:r w:rsidR="00B400C5">
        <w:rPr>
          <w:lang w:val="en-AU"/>
        </w:rPr>
        <w:instrText xml:space="preserve"> ADDIN EN.CITE &lt;EndNote&gt;&lt;Cite&gt;&lt;Author&gt;Wu&lt;/Author&gt;&lt;Year&gt;2015&lt;/Year&gt;&lt;RecNum&gt;51&lt;/RecNum&gt;&lt;DisplayText&gt;(Wu et al. 2015)&lt;/DisplayText&gt;&lt;record&gt;&lt;rec-number&gt;30&lt;/rec-number&gt;&lt;foreign-keys&gt;&lt;key app="EN" db-id="t2f2ee9ad5z50yepsexx9p9a29ra5sdatp9z" timestamp="1721092636"&gt;30&lt;/key&gt;&lt;/foreign-keys&gt;&lt;ref-type name="Journal Article"&gt;17&lt;/ref-type&gt;&lt;contributors&gt;&lt;authors&gt;&lt;author&gt;J. Wu&lt;/author&gt;&lt;author&gt;H. Liu&lt;/author&gt;&lt;author&gt;H. Xiong&lt;/author&gt;&lt;author&gt;J. Cao&lt;/author&gt;&lt;author&gt;J. Chen&lt;/author&gt;&lt;/authors&gt;&lt;/contributors&gt;&lt;titles&gt;&lt;title&gt;K-Means-Based Consensus Clustering: A Unified View&lt;/title&gt;&lt;secondary-title&gt;IEEE Transactions on Knowledge and Data Engineering&lt;/secondary-title&gt;&lt;/titles&gt;&lt;periodical&gt;&lt;full-title&gt;IEEE Transactions on Knowledge and Data Engineering&lt;/full-title&gt;&lt;/periodical&gt;&lt;pages&gt;155-169&lt;/pages&gt;&lt;volume&gt;27&lt;/volume&gt;&lt;number&gt;1&lt;/number&gt;&lt;dates&gt;&lt;year&gt;2015&lt;/year&gt;&lt;/dates&gt;&lt;isbn&gt;1558-2191&lt;/isbn&gt;&lt;urls&gt;&lt;/urls&gt;&lt;electronic-resource-num&gt;https://doi.org/10.1109/TKDE.2014.2316512&lt;/electronic-resource-num&gt;&lt;/record&gt;&lt;/Cite&gt;&lt;/EndNote&gt;</w:instrText>
      </w:r>
      <w:r w:rsidRPr="00C55043">
        <w:rPr>
          <w:lang w:val="en-AU"/>
        </w:rPr>
        <w:fldChar w:fldCharType="separate"/>
      </w:r>
      <w:r w:rsidR="00866CEF">
        <w:rPr>
          <w:noProof/>
          <w:lang w:val="en-AU"/>
        </w:rPr>
        <w:t>(Wu et al. 2015)</w:t>
      </w:r>
      <w:r w:rsidRPr="00C55043">
        <w:rPr>
          <w:lang w:val="en-AU"/>
        </w:rPr>
        <w:fldChar w:fldCharType="end"/>
      </w:r>
      <w:r w:rsidRPr="00C55043">
        <w:rPr>
          <w:lang w:val="en-AU"/>
        </w:rPr>
        <w:t xml:space="preserve">. To increase the consensus clustering performance, we further introduced the diversity of base clusters by randomly selecting 8 out of 13 clustering variables 10 times from each of the 20 imputed datasets, forming 200 base cluster datasets. We ran multiple correspondence analysis (MCA) for each base cluster dataset, extracting the first five dimensions. K-means clustering was then carried out on the Euclidean distance calculated from the MCA dimensions to generate 200 base clusters. The final clustering result was obtained by estimating a consensus using k-means clustering on the binary cluster association matrix (each cluster label converged to multiple binary variables representing individual partitions) generated from the 200 base cluster labels </w:t>
      </w:r>
      <w:r w:rsidRPr="00C55043">
        <w:rPr>
          <w:lang w:val="en-AU"/>
        </w:rPr>
        <w:fldChar w:fldCharType="begin"/>
      </w:r>
      <w:r w:rsidR="00B400C5">
        <w:rPr>
          <w:lang w:val="en-AU"/>
        </w:rPr>
        <w:instrText xml:space="preserve"> ADDIN EN.CITE &lt;EndNote&gt;&lt;Cite&gt;&lt;Author&gt;Wu&lt;/Author&gt;&lt;Year&gt;2015&lt;/Year&gt;&lt;RecNum&gt;51&lt;/RecNum&gt;&lt;DisplayText&gt;(Wu et al. 2015)&lt;/DisplayText&gt;&lt;record&gt;&lt;rec-number&gt;30&lt;/rec-number&gt;&lt;foreign-keys&gt;&lt;key app="EN" db-id="t2f2ee9ad5z50yepsexx9p9a29ra5sdatp9z" timestamp="1721092636"&gt;30&lt;/key&gt;&lt;/foreign-keys&gt;&lt;ref-type name="Journal Article"&gt;17&lt;/ref-type&gt;&lt;contributors&gt;&lt;authors&gt;&lt;author&gt;J. Wu&lt;/author&gt;&lt;author&gt;H. Liu&lt;/author&gt;&lt;author&gt;H. Xiong&lt;/author&gt;&lt;author&gt;J. Cao&lt;/author&gt;&lt;author&gt;J. Chen&lt;/author&gt;&lt;/authors&gt;&lt;/contributors&gt;&lt;titles&gt;&lt;title&gt;K-Means-Based Consensus Clustering: A Unified View&lt;/title&gt;&lt;secondary-title&gt;IEEE Transactions on Knowledge and Data Engineering&lt;/secondary-title&gt;&lt;/titles&gt;&lt;periodical&gt;&lt;full-title&gt;IEEE Transactions on Knowledge and Data Engineering&lt;/full-title&gt;&lt;/periodical&gt;&lt;pages&gt;155-169&lt;/pages&gt;&lt;volume&gt;27&lt;/volume&gt;&lt;number&gt;1&lt;/number&gt;&lt;dates&gt;&lt;year&gt;2015&lt;/year&gt;&lt;/dates&gt;&lt;isbn&gt;1558-2191&lt;/isbn&gt;&lt;urls&gt;&lt;/urls&gt;&lt;electronic-resource-num&gt;https://doi.org/10.1109/TKDE.2014.2316512&lt;/electronic-resource-num&gt;&lt;/record&gt;&lt;/Cite&gt;&lt;/EndNote&gt;</w:instrText>
      </w:r>
      <w:r w:rsidRPr="00C55043">
        <w:rPr>
          <w:lang w:val="en-AU"/>
        </w:rPr>
        <w:fldChar w:fldCharType="separate"/>
      </w:r>
      <w:r w:rsidR="00866CEF">
        <w:rPr>
          <w:noProof/>
          <w:lang w:val="en-AU"/>
        </w:rPr>
        <w:t>(Wu et al. 2015)</w:t>
      </w:r>
      <w:r w:rsidRPr="00C55043">
        <w:rPr>
          <w:lang w:val="en-AU"/>
        </w:rPr>
        <w:fldChar w:fldCharType="end"/>
      </w:r>
      <w:r w:rsidRPr="00C55043">
        <w:rPr>
          <w:lang w:val="en-AU"/>
        </w:rPr>
        <w:t>.</w:t>
      </w:r>
      <w:r>
        <w:rPr>
          <w:lang w:val="en-AU"/>
        </w:rPr>
        <w:t xml:space="preserve"> </w:t>
      </w:r>
      <w:r w:rsidRPr="00450BFE">
        <w:rPr>
          <w:lang w:val="en-AU"/>
        </w:rPr>
        <w:t xml:space="preserve">Selecting the </w:t>
      </w:r>
      <w:r w:rsidRPr="00450BFE">
        <w:rPr>
          <w:lang w:val="en-AU"/>
        </w:rPr>
        <w:lastRenderedPageBreak/>
        <w:t>optimal number of clusters for consensus clustering</w:t>
      </w:r>
      <w:r>
        <w:rPr>
          <w:lang w:val="en-AU"/>
        </w:rPr>
        <w:t xml:space="preserve"> </w:t>
      </w:r>
      <w:r w:rsidRPr="00450BFE">
        <w:rPr>
          <w:lang w:val="en-AU"/>
        </w:rPr>
        <w:t>remains challenging with model-driven methods</w:t>
      </w:r>
      <w:r>
        <w:rPr>
          <w:lang w:val="en-AU"/>
        </w:rPr>
        <w:t>.</w:t>
      </w:r>
      <w:r w:rsidRPr="00E13DC1">
        <w:t xml:space="preserve"> </w:t>
      </w:r>
      <w:r>
        <w:rPr>
          <w:lang w:val="en-AU"/>
        </w:rPr>
        <w:t>Evidence</w:t>
      </w:r>
      <w:r w:rsidRPr="00E13DC1">
        <w:rPr>
          <w:lang w:val="en-AU"/>
        </w:rPr>
        <w:t xml:space="preserve"> indicates that widely-used stability-based measures </w:t>
      </w:r>
      <w:r>
        <w:rPr>
          <w:lang w:val="en-AU"/>
        </w:rPr>
        <w:t xml:space="preserve">(e.g., </w:t>
      </w:r>
      <w:r>
        <w:rPr>
          <w:lang w:val="en-AU"/>
        </w:rPr>
        <w:fldChar w:fldCharType="begin">
          <w:fldData xml:space="preserve">PEVuZE5vdGU+PENpdGU+PEF1dGhvcj5Nb250aTwvQXV0aG9yPjxZZWFyPjIwMDM8L1llYXI+PFJl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</w:fldData>
        </w:fldChar>
      </w:r>
      <w:r w:rsidR="00B400C5">
        <w:rPr>
          <w:lang w:val="en-AU"/>
        </w:rPr>
        <w:instrText xml:space="preserve"> ADDIN EN.CITE </w:instrText>
      </w:r>
      <w:r w:rsidR="00B400C5">
        <w:rPr>
          <w:lang w:val="en-AU"/>
        </w:rPr>
        <w:fldChar w:fldCharType="begin">
          <w:fldData xml:space="preserve">PEVuZE5vdGU+PENpdGU+PEF1dGhvcj5Nb250aTwvQXV0aG9yPjxZZWFyPjIwMDM8L1llYXI+PFJl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</w:fldData>
        </w:fldChar>
      </w:r>
      <w:r w:rsidR="00B400C5">
        <w:rPr>
          <w:lang w:val="en-AU"/>
        </w:rPr>
        <w:instrText xml:space="preserve"> ADDIN EN.CITE.DATA </w:instrText>
      </w:r>
      <w:r w:rsidR="00B400C5">
        <w:rPr>
          <w:lang w:val="en-AU"/>
        </w:rPr>
      </w:r>
      <w:r w:rsidR="00B400C5">
        <w:rPr>
          <w:lang w:val="en-AU"/>
        </w:rPr>
        <w:fldChar w:fldCharType="end"/>
      </w:r>
      <w:r>
        <w:rPr>
          <w:lang w:val="en-AU"/>
        </w:rPr>
      </w:r>
      <w:r>
        <w:rPr>
          <w:lang w:val="en-AU"/>
        </w:rPr>
        <w:fldChar w:fldCharType="separate"/>
      </w:r>
      <w:r w:rsidR="00866CEF">
        <w:rPr>
          <w:noProof/>
          <w:lang w:val="en-AU"/>
        </w:rPr>
        <w:t>(Monti et al. 2003; Șenbabaoğlu et al. 2014)</w:t>
      </w:r>
      <w:r>
        <w:rPr>
          <w:lang w:val="en-AU"/>
        </w:rPr>
        <w:fldChar w:fldCharType="end"/>
      </w:r>
      <w:r>
        <w:rPr>
          <w:lang w:val="en-AU"/>
        </w:rPr>
        <w:t xml:space="preserve">) </w:t>
      </w:r>
      <w:r w:rsidRPr="00E13DC1">
        <w:rPr>
          <w:lang w:val="en-AU"/>
        </w:rPr>
        <w:t xml:space="preserve">tend to underperform in </w:t>
      </w:r>
      <w:r>
        <w:rPr>
          <w:lang w:val="en-AU"/>
        </w:rPr>
        <w:t xml:space="preserve">some </w:t>
      </w:r>
      <w:r w:rsidRPr="00E13DC1">
        <w:rPr>
          <w:lang w:val="en-AU"/>
        </w:rPr>
        <w:t xml:space="preserve">scenarios involving </w:t>
      </w:r>
      <w:r>
        <w:rPr>
          <w:lang w:val="en-AU"/>
        </w:rPr>
        <w:t>well-separated</w:t>
      </w:r>
      <w:r w:rsidRPr="00E13DC1">
        <w:rPr>
          <w:lang w:val="en-AU"/>
        </w:rPr>
        <w:t xml:space="preserve"> clusters</w:t>
      </w:r>
      <w:r>
        <w:rPr>
          <w:lang w:val="en-AU"/>
        </w:rPr>
        <w:t xml:space="preserve"> </w:t>
      </w:r>
      <w:r>
        <w:rPr>
          <w:lang w:val="en-AU"/>
        </w:rPr>
        <w:fldChar w:fldCharType="begin"/>
      </w:r>
      <w:r w:rsidR="00B400C5">
        <w:rPr>
          <w:lang w:val="en-AU"/>
        </w:rPr>
        <w:instrText xml:space="preserve"> ADDIN EN.CITE &lt;EndNote&gt;&lt;Cite&gt;&lt;Author&gt;He&lt;/Author&gt;&lt;Year&gt;2019&lt;/Year&gt;&lt;RecNum&gt;55&lt;/RecNum&gt;&lt;DisplayText&gt;(He and Yu 2019)&lt;/DisplayText&gt;&lt;record&gt;&lt;rec-number&gt;56&lt;/rec-number&gt;&lt;foreign-keys&gt;&lt;key app="EN" db-id="t2f2ee9ad5z50yepsexx9p9a29ra5sdatp9z" timestamp="1721092651"&gt;56&lt;/key&gt;&lt;/foreign-keys&gt;&lt;ref-type name="Journal Article"&gt;17&lt;/ref-type&gt;&lt;contributors&gt;&lt;authors&gt;&lt;author&gt;He, Zhenfeng&lt;/author&gt;&lt;author&gt;Yu, Chunyan&lt;/author&gt;&lt;/authors&gt;&lt;/contributors&gt;&lt;titles&gt;&lt;title&gt;Clustering stability-based Evolutionary K-Means&lt;/title&gt;&lt;secondary-title&gt;Soft Computing&lt;/secondary-title&gt;&lt;/titles&gt;&lt;periodical&gt;&lt;full-title&gt;Soft Computing&lt;/full-title&gt;&lt;/periodical&gt;&lt;pages&gt;305-321&lt;/pages&gt;&lt;volume&gt;23&lt;/volume&gt;&lt;number&gt;1&lt;/number&gt;&lt;dates&gt;&lt;year&gt;2019&lt;/year&gt;&lt;pub-dates&gt;&lt;date&gt;2019/01/01&lt;/date&gt;&lt;/pub-dates&gt;&lt;/dates&gt;&lt;isbn&gt;1433-7479&lt;/isbn&gt;&lt;urls&gt;&lt;related-urls&gt;&lt;url&gt;https://doi.org/10.1007/s00500-018-3280-0&lt;/url&gt;&lt;/related-urls&gt;&lt;/urls&gt;&lt;electronic-resource-num&gt;10.1007/s00500-018-3280-0&lt;/electronic-resource-num&gt;&lt;/record&gt;&lt;/Cite&gt;&lt;/EndNote&gt;</w:instrText>
      </w:r>
      <w:r>
        <w:rPr>
          <w:lang w:val="en-AU"/>
        </w:rPr>
        <w:fldChar w:fldCharType="separate"/>
      </w:r>
      <w:r w:rsidR="00866CEF">
        <w:rPr>
          <w:noProof/>
          <w:lang w:val="en-AU"/>
        </w:rPr>
        <w:t>(He and Yu 2019)</w:t>
      </w:r>
      <w:r>
        <w:rPr>
          <w:lang w:val="en-AU"/>
        </w:rPr>
        <w:fldChar w:fldCharType="end"/>
      </w:r>
      <w:r w:rsidRPr="00E13DC1">
        <w:rPr>
          <w:lang w:val="en-AU"/>
        </w:rPr>
        <w:t xml:space="preserve">. Moreover, the computational </w:t>
      </w:r>
      <w:r>
        <w:rPr>
          <w:lang w:val="en-AU"/>
        </w:rPr>
        <w:t>cost</w:t>
      </w:r>
      <w:r w:rsidRPr="00E13DC1">
        <w:rPr>
          <w:lang w:val="en-AU"/>
        </w:rPr>
        <w:t xml:space="preserve"> required to calculate the consensus matrix and stability indices escalates exponentially as the sample size grows.</w:t>
      </w:r>
      <w:r>
        <w:rPr>
          <w:lang w:val="en-AU"/>
        </w:rPr>
        <w:t xml:space="preserve"> Due to the explorative nature of the study and the large sample size, the </w:t>
      </w:r>
      <w:r w:rsidRPr="00C55043">
        <w:rPr>
          <w:lang w:val="en-AU"/>
        </w:rPr>
        <w:t>best number of clusters was determined based on</w:t>
      </w:r>
      <w:r>
        <w:rPr>
          <w:lang w:val="en-AU"/>
        </w:rPr>
        <w:t xml:space="preserve"> their clinical</w:t>
      </w:r>
      <w:r w:rsidRPr="00C55043">
        <w:rPr>
          <w:lang w:val="en-AU"/>
        </w:rPr>
        <w:t xml:space="preserve"> relevance. </w:t>
      </w:r>
    </w:p>
    <w:p w14:paraId="6F44E1CA" w14:textId="638FB9D9" w:rsidR="0042504C" w:rsidRPr="00FA2146" w:rsidRDefault="0042504C" w:rsidP="0042504C">
      <w:r>
        <w:t>Differences in the characteristics of young people among identified clusters were then compared using chi-squared (</w:t>
      </w:r>
      <w:r w:rsidRPr="3D685BCD">
        <w:rPr>
          <w:rFonts w:eastAsia="Calibri" w:cs="Calibri"/>
          <w:sz w:val="22"/>
          <w:szCs w:val="22"/>
          <w:lang w:val="en-GB"/>
        </w:rPr>
        <w:t>χ</w:t>
      </w:r>
      <w:r w:rsidRPr="3D685BCD">
        <w:rPr>
          <w:rFonts w:eastAsia="Calibri" w:cs="Calibri"/>
          <w:sz w:val="22"/>
          <w:szCs w:val="22"/>
          <w:vertAlign w:val="superscript"/>
          <w:lang w:val="en-GB"/>
        </w:rPr>
        <w:t>2</w:t>
      </w:r>
      <w:r>
        <w:t xml:space="preserve">) tests for categorical variables and analyses of variance (ANOVA) for continuous variables. Multivariable multinomial logistic regression models were used to evaluate whether these factors independently contributed to variations across different clusters. Missing data were addressed using the multiple imputed data with Relative Risk Ratio (RRR) pooled using Rubin’s rules </w:t>
      </w:r>
      <w:r>
        <w:fldChar w:fldCharType="begin"/>
      </w:r>
      <w:r w:rsidR="00B400C5">
        <w:instrText xml:space="preserve"> ADDIN EN.CITE &lt;EndNote&gt;&lt;Cite&gt;&lt;Author&gt;Rubin&lt;/Author&gt;&lt;Year&gt;2004&lt;/Year&gt;&lt;RecNum&gt;69&lt;/RecNum&gt;&lt;DisplayText&gt;(Rubin 2004)&lt;/DisplayText&gt;&lt;record&gt;&lt;rec-number&gt;57&lt;/rec-number&gt;&lt;foreign-keys&gt;&lt;key app="EN" db-id="t2f2ee9ad5z50yepsexx9p9a29ra5sdatp9z" timestamp="1721092651"&gt;57&lt;/key&gt;&lt;/foreign-keys&gt;&lt;ref-type name="Book"&gt;6&lt;/ref-type&gt;&lt;contributors&gt;&lt;authors&gt;&lt;author&gt;Rubin, Donald B&lt;/author&gt;&lt;/authors&gt;&lt;/contributors&gt;&lt;titles&gt;&lt;title&gt;Multiple imputation for nonresponse in surveys&lt;/title&gt;&lt;/titles&gt;&lt;volume&gt;81&lt;/volume&gt;&lt;dates&gt;&lt;year&gt;2004&lt;/year&gt;&lt;/dates&gt;&lt;publisher&gt;John Wiley &amp;amp; Sons&lt;/publisher&gt;&lt;isbn&gt;0471655740&lt;/isbn&gt;&lt;urls&gt;&lt;/urls&gt;&lt;/record&gt;&lt;/Cite&gt;&lt;/EndNote&gt;</w:instrText>
      </w:r>
      <w:r>
        <w:fldChar w:fldCharType="separate"/>
      </w:r>
      <w:r w:rsidR="00866CEF">
        <w:rPr>
          <w:noProof/>
        </w:rPr>
        <w:t>(Rubin 2004)</w:t>
      </w:r>
      <w:r>
        <w:fldChar w:fldCharType="end"/>
      </w:r>
      <w:r>
        <w:t>.</w:t>
      </w:r>
    </w:p>
    <w:p w14:paraId="3D7C8EC9" w14:textId="77777777" w:rsidR="0042504C" w:rsidRDefault="0042504C" w:rsidP="00DC2CC8">
      <w:pPr>
        <w:pStyle w:val="Heading3"/>
        <w:numPr>
          <w:ilvl w:val="0"/>
          <w:numId w:val="0"/>
        </w:numPr>
        <w:ind w:left="720" w:hanging="720"/>
      </w:pPr>
    </w:p>
    <w:p w14:paraId="099B7FCB" w14:textId="76B1A294" w:rsidR="0042504C" w:rsidRDefault="00DC2CC8" w:rsidP="00DC2CC8">
      <w:pPr>
        <w:pStyle w:val="Heading3"/>
        <w:numPr>
          <w:ilvl w:val="0"/>
          <w:numId w:val="0"/>
        </w:numPr>
        <w:ind w:left="720" w:hanging="720"/>
      </w:pPr>
      <w:r>
        <w:t xml:space="preserve">Reference </w:t>
      </w:r>
    </w:p>
    <w:p w14:paraId="5FD16AD3" w14:textId="77777777" w:rsidR="00866CEF" w:rsidRPr="00866CEF" w:rsidRDefault="0042504C" w:rsidP="00866CEF">
      <w:pPr>
        <w:pStyle w:val="EndNoteBibliography"/>
        <w:spacing w:after="0"/>
        <w:ind w:left="720" w:hanging="720"/>
        <w:rPr>
          <w:i/>
          <w:noProof/>
        </w:rPr>
      </w:pPr>
      <w:r>
        <w:fldChar w:fldCharType="begin"/>
      </w:r>
      <w:r>
        <w:instrText xml:space="preserve"> ADDIN EN.REFLIST </w:instrText>
      </w:r>
      <w:r>
        <w:fldChar w:fldCharType="separate"/>
      </w:r>
      <w:r w:rsidR="00866CEF" w:rsidRPr="00866CEF">
        <w:rPr>
          <w:b/>
          <w:noProof/>
        </w:rPr>
        <w:t>Fred ALN and Jain AK</w:t>
      </w:r>
      <w:r w:rsidR="00866CEF" w:rsidRPr="00866CEF">
        <w:rPr>
          <w:noProof/>
        </w:rPr>
        <w:t xml:space="preserve"> (2002) Data clustering using evidence accumulation. In: </w:t>
      </w:r>
      <w:r w:rsidR="00866CEF" w:rsidRPr="00866CEF">
        <w:rPr>
          <w:i/>
          <w:noProof/>
        </w:rPr>
        <w:t>2002 International Conference on Pattern Recognition.</w:t>
      </w:r>
    </w:p>
    <w:p w14:paraId="033E45AF" w14:textId="4A39E90F" w:rsidR="00866CEF" w:rsidRPr="00866CEF" w:rsidRDefault="00866CEF" w:rsidP="00866CEF">
      <w:pPr>
        <w:pStyle w:val="EndNoteBibliography"/>
        <w:spacing w:after="0"/>
        <w:ind w:left="720" w:hanging="720"/>
        <w:rPr>
          <w:noProof/>
        </w:rPr>
      </w:pPr>
      <w:r w:rsidRPr="00866CEF">
        <w:rPr>
          <w:b/>
          <w:noProof/>
        </w:rPr>
        <w:t>Fred ALN and Jain AK</w:t>
      </w:r>
      <w:r w:rsidRPr="00866CEF">
        <w:rPr>
          <w:noProof/>
        </w:rPr>
        <w:t xml:space="preserve"> (2005) Combining multiple clusterings using evidence accumulation. </w:t>
      </w:r>
      <w:r w:rsidRPr="00866CEF">
        <w:rPr>
          <w:i/>
          <w:noProof/>
        </w:rPr>
        <w:t>IEEE Transactions on Pattern Analysis and Machine Intelligence</w:t>
      </w:r>
      <w:r w:rsidRPr="00866CEF">
        <w:rPr>
          <w:noProof/>
        </w:rPr>
        <w:t xml:space="preserve"> </w:t>
      </w:r>
      <w:r w:rsidRPr="00866CEF">
        <w:rPr>
          <w:b/>
          <w:noProof/>
        </w:rPr>
        <w:t>27</w:t>
      </w:r>
      <w:r w:rsidRPr="00866CEF">
        <w:rPr>
          <w:noProof/>
        </w:rPr>
        <w:t>(6)</w:t>
      </w:r>
      <w:r w:rsidRPr="00866CEF">
        <w:rPr>
          <w:b/>
          <w:noProof/>
        </w:rPr>
        <w:t>,</w:t>
      </w:r>
      <w:r w:rsidRPr="00866CEF">
        <w:rPr>
          <w:noProof/>
        </w:rPr>
        <w:t xml:space="preserve"> 835-850. </w:t>
      </w:r>
      <w:hyperlink r:id="rId10" w:history="1">
        <w:r w:rsidRPr="00866CEF">
          <w:rPr>
            <w:rStyle w:val="Hyperlink"/>
            <w:noProof/>
          </w:rPr>
          <w:t>https://doi.org/https://doi.org/10.1109/TPAMI.2005.113</w:t>
        </w:r>
      </w:hyperlink>
      <w:r w:rsidRPr="00866CEF">
        <w:rPr>
          <w:noProof/>
        </w:rPr>
        <w:t>.</w:t>
      </w:r>
    </w:p>
    <w:p w14:paraId="603672FE" w14:textId="665770E7" w:rsidR="00866CEF" w:rsidRPr="00866CEF" w:rsidRDefault="00866CEF" w:rsidP="00866CEF">
      <w:pPr>
        <w:pStyle w:val="EndNoteBibliography"/>
        <w:spacing w:after="0"/>
        <w:ind w:left="720" w:hanging="720"/>
        <w:rPr>
          <w:noProof/>
        </w:rPr>
      </w:pPr>
      <w:r w:rsidRPr="00866CEF">
        <w:rPr>
          <w:b/>
          <w:noProof/>
        </w:rPr>
        <w:t>Gao CX, Dwyer D, Zhu Y, Smith CL, Du L, Filia KM, Bayer J, Menssink JM, Wang T, Bergmeir C, Wood S and Cotton SM</w:t>
      </w:r>
      <w:r w:rsidRPr="00866CEF">
        <w:rPr>
          <w:noProof/>
        </w:rPr>
        <w:t xml:space="preserve"> (2023) An overview of clustering methods with guidelines for application in mental health research. </w:t>
      </w:r>
      <w:r w:rsidRPr="00866CEF">
        <w:rPr>
          <w:i/>
          <w:noProof/>
        </w:rPr>
        <w:t xml:space="preserve">Psychiatry Research </w:t>
      </w:r>
      <w:r w:rsidRPr="00866CEF">
        <w:rPr>
          <w:b/>
          <w:noProof/>
        </w:rPr>
        <w:t>327,</w:t>
      </w:r>
      <w:r w:rsidRPr="00866CEF">
        <w:rPr>
          <w:noProof/>
        </w:rPr>
        <w:t xml:space="preserve"> 115265. </w:t>
      </w:r>
      <w:hyperlink r:id="rId11" w:history="1">
        <w:r w:rsidRPr="00866CEF">
          <w:rPr>
            <w:rStyle w:val="Hyperlink"/>
            <w:noProof/>
          </w:rPr>
          <w:t>https://doi.org/10.1016/j.psychres.2023.115265</w:t>
        </w:r>
      </w:hyperlink>
      <w:r w:rsidRPr="00866CEF">
        <w:rPr>
          <w:noProof/>
        </w:rPr>
        <w:t>.</w:t>
      </w:r>
    </w:p>
    <w:p w14:paraId="44856257" w14:textId="6CCD7B77" w:rsidR="00866CEF" w:rsidRPr="00866CEF" w:rsidRDefault="00866CEF" w:rsidP="00866CEF">
      <w:pPr>
        <w:pStyle w:val="EndNoteBibliography"/>
        <w:spacing w:after="0"/>
        <w:ind w:left="720" w:hanging="720"/>
        <w:rPr>
          <w:noProof/>
        </w:rPr>
      </w:pPr>
      <w:r w:rsidRPr="00866CEF">
        <w:rPr>
          <w:b/>
          <w:noProof/>
        </w:rPr>
        <w:t>He Z and Yu C</w:t>
      </w:r>
      <w:r w:rsidRPr="00866CEF">
        <w:rPr>
          <w:noProof/>
        </w:rPr>
        <w:t xml:space="preserve"> (2019) Clustering stability-based Evolutionary K-Means. </w:t>
      </w:r>
      <w:r w:rsidRPr="00866CEF">
        <w:rPr>
          <w:i/>
          <w:noProof/>
        </w:rPr>
        <w:t>Soft Computing</w:t>
      </w:r>
      <w:r w:rsidRPr="00866CEF">
        <w:rPr>
          <w:noProof/>
        </w:rPr>
        <w:t xml:space="preserve"> </w:t>
      </w:r>
      <w:r w:rsidRPr="00866CEF">
        <w:rPr>
          <w:b/>
          <w:noProof/>
        </w:rPr>
        <w:t>23</w:t>
      </w:r>
      <w:r w:rsidRPr="00866CEF">
        <w:rPr>
          <w:noProof/>
        </w:rPr>
        <w:t>(1)</w:t>
      </w:r>
      <w:r w:rsidRPr="00866CEF">
        <w:rPr>
          <w:b/>
          <w:noProof/>
        </w:rPr>
        <w:t>,</w:t>
      </w:r>
      <w:r w:rsidRPr="00866CEF">
        <w:rPr>
          <w:noProof/>
        </w:rPr>
        <w:t xml:space="preserve"> 305-321. </w:t>
      </w:r>
      <w:hyperlink r:id="rId12" w:history="1">
        <w:r w:rsidRPr="00866CEF">
          <w:rPr>
            <w:rStyle w:val="Hyperlink"/>
            <w:noProof/>
          </w:rPr>
          <w:t>https://doi.org/10.1007/s00500-018-3280-0</w:t>
        </w:r>
      </w:hyperlink>
      <w:r w:rsidRPr="00866CEF">
        <w:rPr>
          <w:noProof/>
        </w:rPr>
        <w:t>.</w:t>
      </w:r>
    </w:p>
    <w:p w14:paraId="2D8244A6" w14:textId="57370046" w:rsidR="00866CEF" w:rsidRPr="00866CEF" w:rsidRDefault="00866CEF" w:rsidP="00866CEF">
      <w:pPr>
        <w:pStyle w:val="EndNoteBibliography"/>
        <w:spacing w:after="0"/>
        <w:ind w:left="720" w:hanging="720"/>
        <w:rPr>
          <w:noProof/>
        </w:rPr>
      </w:pPr>
      <w:r w:rsidRPr="00866CEF">
        <w:rPr>
          <w:b/>
          <w:noProof/>
        </w:rPr>
        <w:t>Jones PJ, Mair P and McNally RJ</w:t>
      </w:r>
      <w:r w:rsidRPr="00866CEF">
        <w:rPr>
          <w:noProof/>
        </w:rPr>
        <w:t xml:space="preserve"> (2018) Visualizing Psychological Networks: A Tutorial in R. </w:t>
      </w:r>
      <w:r w:rsidRPr="00866CEF">
        <w:rPr>
          <w:i/>
          <w:noProof/>
        </w:rPr>
        <w:t>Frontiers in Psychology</w:t>
      </w:r>
      <w:r w:rsidRPr="00866CEF">
        <w:rPr>
          <w:noProof/>
        </w:rPr>
        <w:t xml:space="preserve"> </w:t>
      </w:r>
      <w:r w:rsidRPr="00866CEF">
        <w:rPr>
          <w:b/>
          <w:noProof/>
        </w:rPr>
        <w:t>9</w:t>
      </w:r>
      <w:r w:rsidRPr="00866CEF">
        <w:rPr>
          <w:noProof/>
        </w:rPr>
        <w:t xml:space="preserve">(1742). </w:t>
      </w:r>
      <w:hyperlink r:id="rId13" w:history="1">
        <w:r w:rsidRPr="00866CEF">
          <w:rPr>
            <w:rStyle w:val="Hyperlink"/>
            <w:noProof/>
          </w:rPr>
          <w:t>https://doi.org/10.3389/fpsyg.2018.01742</w:t>
        </w:r>
      </w:hyperlink>
      <w:r w:rsidRPr="00866CEF">
        <w:rPr>
          <w:noProof/>
        </w:rPr>
        <w:t>.</w:t>
      </w:r>
    </w:p>
    <w:p w14:paraId="63C7D32C" w14:textId="362D1D10" w:rsidR="00866CEF" w:rsidRPr="00866CEF" w:rsidRDefault="00866CEF" w:rsidP="00866CEF">
      <w:pPr>
        <w:pStyle w:val="EndNoteBibliography"/>
        <w:spacing w:after="0"/>
        <w:ind w:left="720" w:hanging="720"/>
        <w:rPr>
          <w:noProof/>
        </w:rPr>
      </w:pPr>
      <w:r w:rsidRPr="00866CEF">
        <w:rPr>
          <w:b/>
          <w:noProof/>
        </w:rPr>
        <w:t>Mayer M</w:t>
      </w:r>
      <w:r w:rsidRPr="00866CEF">
        <w:rPr>
          <w:noProof/>
        </w:rPr>
        <w:t xml:space="preserve"> (2021) missRanger: Fast imputation of missing values. Available at </w:t>
      </w:r>
      <w:hyperlink r:id="rId14" w:history="1">
        <w:r w:rsidRPr="00866CEF">
          <w:rPr>
            <w:rStyle w:val="Hyperlink"/>
            <w:noProof/>
          </w:rPr>
          <w:t>https://cran.r-project.org/web/packages/missRanger/missRanger.pdf</w:t>
        </w:r>
      </w:hyperlink>
      <w:r w:rsidRPr="00866CEF">
        <w:rPr>
          <w:noProof/>
        </w:rPr>
        <w:t xml:space="preserve"> (accessed.</w:t>
      </w:r>
    </w:p>
    <w:p w14:paraId="24628F30" w14:textId="7E494EC7" w:rsidR="00866CEF" w:rsidRPr="00866CEF" w:rsidRDefault="00866CEF" w:rsidP="00866CEF">
      <w:pPr>
        <w:pStyle w:val="EndNoteBibliography"/>
        <w:spacing w:after="0"/>
        <w:ind w:left="720" w:hanging="720"/>
        <w:rPr>
          <w:noProof/>
        </w:rPr>
      </w:pPr>
      <w:r w:rsidRPr="00866CEF">
        <w:rPr>
          <w:b/>
          <w:noProof/>
        </w:rPr>
        <w:t>Monti S, Tamayo P, Mesirov J and Golub T</w:t>
      </w:r>
      <w:r w:rsidRPr="00866CEF">
        <w:rPr>
          <w:noProof/>
        </w:rPr>
        <w:t xml:space="preserve"> (2003) Consensus Clustering: A Resampling-Based Method for Class Discovery and Visualization of Gene Expression Microarray Data. </w:t>
      </w:r>
      <w:r w:rsidRPr="00866CEF">
        <w:rPr>
          <w:i/>
          <w:noProof/>
        </w:rPr>
        <w:t>Machine Learning</w:t>
      </w:r>
      <w:r w:rsidRPr="00866CEF">
        <w:rPr>
          <w:noProof/>
        </w:rPr>
        <w:t xml:space="preserve"> </w:t>
      </w:r>
      <w:r w:rsidRPr="00866CEF">
        <w:rPr>
          <w:b/>
          <w:noProof/>
        </w:rPr>
        <w:t>52</w:t>
      </w:r>
      <w:r w:rsidRPr="00866CEF">
        <w:rPr>
          <w:noProof/>
        </w:rPr>
        <w:t>(1)</w:t>
      </w:r>
      <w:r w:rsidRPr="00866CEF">
        <w:rPr>
          <w:b/>
          <w:noProof/>
        </w:rPr>
        <w:t>,</w:t>
      </w:r>
      <w:r w:rsidRPr="00866CEF">
        <w:rPr>
          <w:noProof/>
        </w:rPr>
        <w:t xml:space="preserve"> 91-118. </w:t>
      </w:r>
      <w:hyperlink r:id="rId15" w:history="1">
        <w:r w:rsidRPr="00866CEF">
          <w:rPr>
            <w:rStyle w:val="Hyperlink"/>
            <w:noProof/>
          </w:rPr>
          <w:t>https://doi.org/https://doi.org/10.1023/A:1023949509487</w:t>
        </w:r>
      </w:hyperlink>
      <w:r w:rsidRPr="00866CEF">
        <w:rPr>
          <w:noProof/>
        </w:rPr>
        <w:t>.</w:t>
      </w:r>
    </w:p>
    <w:p w14:paraId="6FD188A7" w14:textId="77777777" w:rsidR="00866CEF" w:rsidRPr="00866CEF" w:rsidRDefault="00866CEF" w:rsidP="00866CEF">
      <w:pPr>
        <w:pStyle w:val="EndNoteBibliography"/>
        <w:spacing w:after="0"/>
        <w:ind w:left="720" w:hanging="720"/>
        <w:rPr>
          <w:noProof/>
        </w:rPr>
      </w:pPr>
      <w:r w:rsidRPr="00866CEF">
        <w:rPr>
          <w:b/>
          <w:noProof/>
        </w:rPr>
        <w:t>Rubin DB</w:t>
      </w:r>
      <w:r w:rsidRPr="00866CEF">
        <w:rPr>
          <w:noProof/>
        </w:rPr>
        <w:t xml:space="preserve"> (2004) </w:t>
      </w:r>
      <w:r w:rsidRPr="00866CEF">
        <w:rPr>
          <w:i/>
          <w:noProof/>
        </w:rPr>
        <w:t>Multiple imputation for nonresponse in surveys</w:t>
      </w:r>
      <w:r w:rsidRPr="00866CEF">
        <w:rPr>
          <w:noProof/>
        </w:rPr>
        <w:t>. John Wiley &amp; Sons.</w:t>
      </w:r>
    </w:p>
    <w:p w14:paraId="1ECA87E6" w14:textId="2D90BDC8" w:rsidR="00866CEF" w:rsidRPr="00866CEF" w:rsidRDefault="00866CEF" w:rsidP="00866CEF">
      <w:pPr>
        <w:pStyle w:val="EndNoteBibliography"/>
        <w:spacing w:after="0"/>
        <w:ind w:left="720" w:hanging="720"/>
        <w:rPr>
          <w:noProof/>
        </w:rPr>
      </w:pPr>
      <w:r w:rsidRPr="00866CEF">
        <w:rPr>
          <w:b/>
          <w:noProof/>
        </w:rPr>
        <w:lastRenderedPageBreak/>
        <w:t>Șenbabaoğlu Y, Michailidis G and Li JZ</w:t>
      </w:r>
      <w:r w:rsidRPr="00866CEF">
        <w:rPr>
          <w:noProof/>
        </w:rPr>
        <w:t xml:space="preserve"> (2014) Critical limitations of consensus clustering in class discovery. </w:t>
      </w:r>
      <w:r w:rsidRPr="00866CEF">
        <w:rPr>
          <w:i/>
          <w:noProof/>
        </w:rPr>
        <w:t>Scientific Reports</w:t>
      </w:r>
      <w:r w:rsidRPr="00866CEF">
        <w:rPr>
          <w:noProof/>
        </w:rPr>
        <w:t xml:space="preserve"> </w:t>
      </w:r>
      <w:r w:rsidRPr="00866CEF">
        <w:rPr>
          <w:b/>
          <w:noProof/>
        </w:rPr>
        <w:t>4</w:t>
      </w:r>
      <w:r w:rsidRPr="00866CEF">
        <w:rPr>
          <w:noProof/>
        </w:rPr>
        <w:t>(1)</w:t>
      </w:r>
      <w:r w:rsidRPr="00866CEF">
        <w:rPr>
          <w:b/>
          <w:noProof/>
        </w:rPr>
        <w:t>,</w:t>
      </w:r>
      <w:r w:rsidRPr="00866CEF">
        <w:rPr>
          <w:noProof/>
        </w:rPr>
        <w:t xml:space="preserve"> 6207. </w:t>
      </w:r>
      <w:hyperlink r:id="rId16" w:history="1">
        <w:r w:rsidRPr="00866CEF">
          <w:rPr>
            <w:rStyle w:val="Hyperlink"/>
            <w:noProof/>
          </w:rPr>
          <w:t>https://doi.org/https://doi.org/10.1038/srep06207</w:t>
        </w:r>
      </w:hyperlink>
      <w:r w:rsidRPr="00866CEF">
        <w:rPr>
          <w:noProof/>
        </w:rPr>
        <w:t>.</w:t>
      </w:r>
    </w:p>
    <w:p w14:paraId="2495E372" w14:textId="1B11D3C5" w:rsidR="00866CEF" w:rsidRPr="00866CEF" w:rsidRDefault="00866CEF" w:rsidP="00866CEF">
      <w:pPr>
        <w:pStyle w:val="EndNoteBibliography"/>
        <w:spacing w:after="0"/>
        <w:ind w:left="720" w:hanging="720"/>
        <w:rPr>
          <w:noProof/>
        </w:rPr>
      </w:pPr>
      <w:r w:rsidRPr="00866CEF">
        <w:rPr>
          <w:b/>
          <w:noProof/>
        </w:rPr>
        <w:t>Strehl A and Ghosh J</w:t>
      </w:r>
      <w:r w:rsidRPr="00866CEF">
        <w:rPr>
          <w:noProof/>
        </w:rPr>
        <w:t xml:space="preserve"> (2002) Cluster ensembles - a knowledge reuse framework for combining multiple partitions. </w:t>
      </w:r>
      <w:r w:rsidRPr="00866CEF">
        <w:rPr>
          <w:i/>
          <w:noProof/>
        </w:rPr>
        <w:t>Journal of machine learning research</w:t>
      </w:r>
      <w:r w:rsidRPr="00866CEF">
        <w:rPr>
          <w:noProof/>
        </w:rPr>
        <w:t xml:space="preserve"> </w:t>
      </w:r>
      <w:r w:rsidRPr="00866CEF">
        <w:rPr>
          <w:b/>
          <w:noProof/>
        </w:rPr>
        <w:t>3</w:t>
      </w:r>
      <w:r w:rsidRPr="00866CEF">
        <w:rPr>
          <w:noProof/>
        </w:rPr>
        <w:t>(Dec)</w:t>
      </w:r>
      <w:r w:rsidRPr="00866CEF">
        <w:rPr>
          <w:b/>
          <w:noProof/>
        </w:rPr>
        <w:t>,</w:t>
      </w:r>
      <w:r w:rsidRPr="00866CEF">
        <w:rPr>
          <w:noProof/>
        </w:rPr>
        <w:t xml:space="preserve"> 583-617. </w:t>
      </w:r>
      <w:hyperlink r:id="rId17" w:history="1">
        <w:r w:rsidRPr="00866CEF">
          <w:rPr>
            <w:rStyle w:val="Hyperlink"/>
            <w:noProof/>
          </w:rPr>
          <w:t>https://doi.org/https://doi.org/10.1162/153244303321897735</w:t>
        </w:r>
      </w:hyperlink>
      <w:r w:rsidRPr="00866CEF">
        <w:rPr>
          <w:noProof/>
        </w:rPr>
        <w:t>.</w:t>
      </w:r>
    </w:p>
    <w:p w14:paraId="2191ED02" w14:textId="77777777" w:rsidR="00866CEF" w:rsidRPr="00866CEF" w:rsidRDefault="00866CEF" w:rsidP="00866CEF">
      <w:pPr>
        <w:pStyle w:val="EndNoteBibliography"/>
        <w:spacing w:after="0"/>
        <w:ind w:left="720" w:hanging="720"/>
        <w:rPr>
          <w:noProof/>
        </w:rPr>
      </w:pPr>
      <w:r w:rsidRPr="00866CEF">
        <w:rPr>
          <w:b/>
          <w:noProof/>
        </w:rPr>
        <w:t>Topchy A, Jain AK and Punch W</w:t>
      </w:r>
      <w:r w:rsidRPr="00866CEF">
        <w:rPr>
          <w:noProof/>
        </w:rPr>
        <w:t xml:space="preserve"> (2004) A mixture model for clustering ensembles. In: </w:t>
      </w:r>
      <w:r w:rsidRPr="00866CEF">
        <w:rPr>
          <w:i/>
          <w:noProof/>
        </w:rPr>
        <w:t>Proceedings of the 2004 SIAM international conference on data mining.</w:t>
      </w:r>
      <w:r w:rsidRPr="00866CEF">
        <w:rPr>
          <w:noProof/>
        </w:rPr>
        <w:t xml:space="preserve"> SIAM.</w:t>
      </w:r>
    </w:p>
    <w:p w14:paraId="1D4881AF" w14:textId="0DE9A543" w:rsidR="00866CEF" w:rsidRPr="00866CEF" w:rsidRDefault="00866CEF" w:rsidP="00866CEF">
      <w:pPr>
        <w:pStyle w:val="EndNoteBibliography"/>
        <w:ind w:left="720" w:hanging="720"/>
        <w:rPr>
          <w:noProof/>
        </w:rPr>
      </w:pPr>
      <w:r w:rsidRPr="00866CEF">
        <w:rPr>
          <w:b/>
          <w:noProof/>
        </w:rPr>
        <w:t>Wu J, Liu H, Xiong H, Cao J and Chen J</w:t>
      </w:r>
      <w:r w:rsidRPr="00866CEF">
        <w:rPr>
          <w:noProof/>
        </w:rPr>
        <w:t xml:space="preserve"> (2015) K-Means-Based Consensus Clustering: A Unified View. </w:t>
      </w:r>
      <w:r w:rsidRPr="00866CEF">
        <w:rPr>
          <w:i/>
          <w:noProof/>
        </w:rPr>
        <w:t>IEEE Transactions on Knowledge and Data Engineering</w:t>
      </w:r>
      <w:r w:rsidRPr="00866CEF">
        <w:rPr>
          <w:noProof/>
        </w:rPr>
        <w:t xml:space="preserve"> </w:t>
      </w:r>
      <w:r w:rsidRPr="00866CEF">
        <w:rPr>
          <w:b/>
          <w:noProof/>
        </w:rPr>
        <w:t>27</w:t>
      </w:r>
      <w:r w:rsidRPr="00866CEF">
        <w:rPr>
          <w:noProof/>
        </w:rPr>
        <w:t>(1)</w:t>
      </w:r>
      <w:r w:rsidRPr="00866CEF">
        <w:rPr>
          <w:b/>
          <w:noProof/>
        </w:rPr>
        <w:t>,</w:t>
      </w:r>
      <w:r w:rsidRPr="00866CEF">
        <w:rPr>
          <w:noProof/>
        </w:rPr>
        <w:t xml:space="preserve"> 155-169. </w:t>
      </w:r>
      <w:hyperlink r:id="rId18" w:history="1">
        <w:r w:rsidRPr="00866CEF">
          <w:rPr>
            <w:rStyle w:val="Hyperlink"/>
            <w:noProof/>
          </w:rPr>
          <w:t>https://doi.org/https://doi.org/10.1109/TKDE.2014.2316512</w:t>
        </w:r>
      </w:hyperlink>
      <w:r w:rsidRPr="00866CEF">
        <w:rPr>
          <w:noProof/>
        </w:rPr>
        <w:t>.</w:t>
      </w:r>
    </w:p>
    <w:p w14:paraId="40CEF13C" w14:textId="4AF4680C" w:rsidR="00090E05" w:rsidRDefault="0042504C">
      <w:r>
        <w:fldChar w:fldCharType="end"/>
      </w:r>
    </w:p>
    <w:sectPr w:rsidR="00090E05" w:rsidSect="00DC2CC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8D8A" w14:textId="77777777" w:rsidR="003B4545" w:rsidRDefault="003B4545" w:rsidP="00DC2CC8">
      <w:pPr>
        <w:spacing w:before="0" w:after="0" w:line="240" w:lineRule="auto"/>
      </w:pPr>
      <w:r>
        <w:separator/>
      </w:r>
    </w:p>
  </w:endnote>
  <w:endnote w:type="continuationSeparator" w:id="0">
    <w:p w14:paraId="7C12870B" w14:textId="77777777" w:rsidR="003B4545" w:rsidRDefault="003B4545" w:rsidP="00DC2C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1D4B" w14:textId="77777777" w:rsidR="003B4545" w:rsidRDefault="003B4545" w:rsidP="00DC2CC8">
      <w:pPr>
        <w:spacing w:before="0" w:after="0" w:line="240" w:lineRule="auto"/>
      </w:pPr>
      <w:r>
        <w:separator/>
      </w:r>
    </w:p>
  </w:footnote>
  <w:footnote w:type="continuationSeparator" w:id="0">
    <w:p w14:paraId="5452B9EE" w14:textId="77777777" w:rsidR="003B4545" w:rsidRDefault="003B4545" w:rsidP="00DC2CC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755BF"/>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75993010">
    <w:abstractNumId w:val="0"/>
  </w:num>
  <w:num w:numId="2" w16cid:durableId="708601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Epidemiol Psychiatr Sci&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2f2ee9ad5z50yepsexx9p9a29ra5sdatp9z&quot;&gt;Ref_Complexity&lt;record-ids&gt;&lt;item&gt;29&lt;/item&gt;&lt;item&gt;30&lt;/item&gt;&lt;item&gt;48&lt;/item&gt;&lt;item&gt;49&lt;/item&gt;&lt;item&gt;50&lt;/item&gt;&lt;item&gt;51&lt;/item&gt;&lt;item&gt;52&lt;/item&gt;&lt;item&gt;53&lt;/item&gt;&lt;item&gt;54&lt;/item&gt;&lt;item&gt;55&lt;/item&gt;&lt;item&gt;56&lt;/item&gt;&lt;item&gt;57&lt;/item&gt;&lt;/record-ids&gt;&lt;/item&gt;&lt;/Libraries&gt;"/>
  </w:docVars>
  <w:rsids>
    <w:rsidRoot w:val="0042504C"/>
    <w:rsid w:val="00004D5C"/>
    <w:rsid w:val="00006AD9"/>
    <w:rsid w:val="00090E05"/>
    <w:rsid w:val="0009650F"/>
    <w:rsid w:val="000B4B1B"/>
    <w:rsid w:val="000E1503"/>
    <w:rsid w:val="00167D92"/>
    <w:rsid w:val="001858E8"/>
    <w:rsid w:val="002651E6"/>
    <w:rsid w:val="002765C2"/>
    <w:rsid w:val="0029012B"/>
    <w:rsid w:val="002C52A1"/>
    <w:rsid w:val="002F459F"/>
    <w:rsid w:val="003468F7"/>
    <w:rsid w:val="00372E5E"/>
    <w:rsid w:val="003A459B"/>
    <w:rsid w:val="003B4545"/>
    <w:rsid w:val="003D4339"/>
    <w:rsid w:val="003F3E52"/>
    <w:rsid w:val="003F48E8"/>
    <w:rsid w:val="00406463"/>
    <w:rsid w:val="00413B3B"/>
    <w:rsid w:val="0042504C"/>
    <w:rsid w:val="004624FC"/>
    <w:rsid w:val="004B4864"/>
    <w:rsid w:val="004C6141"/>
    <w:rsid w:val="00516A47"/>
    <w:rsid w:val="00571E13"/>
    <w:rsid w:val="005A00CC"/>
    <w:rsid w:val="005C7044"/>
    <w:rsid w:val="005D151C"/>
    <w:rsid w:val="005D53F7"/>
    <w:rsid w:val="005D6472"/>
    <w:rsid w:val="00601310"/>
    <w:rsid w:val="00601DFE"/>
    <w:rsid w:val="00623632"/>
    <w:rsid w:val="00652407"/>
    <w:rsid w:val="006A2800"/>
    <w:rsid w:val="006D0AC3"/>
    <w:rsid w:val="0073005E"/>
    <w:rsid w:val="00764799"/>
    <w:rsid w:val="00775880"/>
    <w:rsid w:val="007A3B9A"/>
    <w:rsid w:val="007D1759"/>
    <w:rsid w:val="007F4E7E"/>
    <w:rsid w:val="00857F27"/>
    <w:rsid w:val="00866CEF"/>
    <w:rsid w:val="008A34A3"/>
    <w:rsid w:val="008B3B4C"/>
    <w:rsid w:val="00900D6F"/>
    <w:rsid w:val="009265CB"/>
    <w:rsid w:val="00943A03"/>
    <w:rsid w:val="00972FAD"/>
    <w:rsid w:val="00A14F7E"/>
    <w:rsid w:val="00A3630D"/>
    <w:rsid w:val="00A7373E"/>
    <w:rsid w:val="00A97CC1"/>
    <w:rsid w:val="00AA1C54"/>
    <w:rsid w:val="00AB66FC"/>
    <w:rsid w:val="00AD5053"/>
    <w:rsid w:val="00B261E1"/>
    <w:rsid w:val="00B400C5"/>
    <w:rsid w:val="00B43EAD"/>
    <w:rsid w:val="00BE5539"/>
    <w:rsid w:val="00BE7D05"/>
    <w:rsid w:val="00BE7F45"/>
    <w:rsid w:val="00C11C41"/>
    <w:rsid w:val="00C714E1"/>
    <w:rsid w:val="00C76DEF"/>
    <w:rsid w:val="00CE679D"/>
    <w:rsid w:val="00CF4EF2"/>
    <w:rsid w:val="00D4284C"/>
    <w:rsid w:val="00DC2CC8"/>
    <w:rsid w:val="00DF2408"/>
    <w:rsid w:val="00E0077F"/>
    <w:rsid w:val="00E129A7"/>
    <w:rsid w:val="00EF2AA9"/>
    <w:rsid w:val="00F0291B"/>
    <w:rsid w:val="00F47A42"/>
    <w:rsid w:val="00FE50D4"/>
  </w:rsids>
  <m:mathPr>
    <m:mathFont m:val="Cambria Math"/>
    <m:brkBin m:val="before"/>
    <m:brkBinSub m:val="--"/>
    <m:smallFrac m:val="0"/>
    <m:dispDef/>
    <m:lMargin m:val="0"/>
    <m:rMargin m:val="0"/>
    <m:defJc m:val="centerGroup"/>
    <m:wrapIndent m:val="1440"/>
    <m:intLim m:val="subSup"/>
    <m:naryLim m:val="undOvr"/>
  </m:mathPr>
  <w:themeFontLang w:val="en-CH"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9776C83"/>
  <w15:chartTrackingRefBased/>
  <w15:docId w15:val="{57226A6B-B3EB-734D-AF68-1418DCA4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H"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4C"/>
    <w:pPr>
      <w:spacing w:before="120" w:after="120" w:line="360" w:lineRule="auto"/>
      <w:jc w:val="both"/>
    </w:pPr>
    <w:rPr>
      <w:rFonts w:ascii="Calibri" w:eastAsia="Times New Roman" w:hAnsi="Calibri" w:cs="Times New Roman"/>
      <w:kern w:val="0"/>
      <w:lang w:val="en-AU"/>
      <w14:ligatures w14:val="none"/>
    </w:rPr>
  </w:style>
  <w:style w:type="paragraph" w:styleId="Heading1">
    <w:name w:val="heading 1"/>
    <w:basedOn w:val="Normal"/>
    <w:next w:val="Normal"/>
    <w:link w:val="Heading1Char"/>
    <w:uiPriority w:val="9"/>
    <w:qFormat/>
    <w:rsid w:val="0042504C"/>
    <w:pPr>
      <w:keepNext/>
      <w:numPr>
        <w:numId w:val="1"/>
      </w:numPr>
      <w:outlineLvl w:val="0"/>
    </w:pPr>
    <w:rPr>
      <w:rFonts w:ascii="Cambria" w:eastAsia="Cambria" w:hAnsi="Cambria" w:cs="Cambria"/>
      <w:b/>
      <w:bCs/>
      <w:sz w:val="26"/>
      <w:szCs w:val="26"/>
      <w:lang w:val="en-US" w:eastAsia="de-CH"/>
    </w:rPr>
  </w:style>
  <w:style w:type="paragraph" w:styleId="Heading2">
    <w:name w:val="heading 2"/>
    <w:basedOn w:val="Text"/>
    <w:next w:val="Normal"/>
    <w:link w:val="Heading2Char"/>
    <w:uiPriority w:val="9"/>
    <w:unhideWhenUsed/>
    <w:qFormat/>
    <w:rsid w:val="0042504C"/>
    <w:pPr>
      <w:numPr>
        <w:ilvl w:val="1"/>
        <w:numId w:val="1"/>
      </w:numPr>
      <w:outlineLvl w:val="1"/>
    </w:pPr>
    <w:rPr>
      <w:b/>
      <w:bCs/>
      <w:i/>
      <w:iCs/>
      <w:lang w:eastAsia="en-GB"/>
    </w:rPr>
  </w:style>
  <w:style w:type="paragraph" w:styleId="Heading3">
    <w:name w:val="heading 3"/>
    <w:basedOn w:val="Normal"/>
    <w:next w:val="Normal"/>
    <w:link w:val="Heading3Char"/>
    <w:uiPriority w:val="9"/>
    <w:unhideWhenUsed/>
    <w:qFormat/>
    <w:rsid w:val="0042504C"/>
    <w:pPr>
      <w:numPr>
        <w:ilvl w:val="2"/>
        <w:numId w:val="1"/>
      </w:numPr>
      <w:spacing w:line="300" w:lineRule="auto"/>
      <w:outlineLvl w:val="2"/>
    </w:pPr>
    <w:rPr>
      <w:rFonts w:eastAsiaTheme="minorHAnsi" w:cstheme="minorBidi"/>
      <w:b/>
      <w:bCs/>
      <w:i/>
      <w:iCs/>
      <w:lang w:eastAsia="en-US"/>
    </w:rPr>
  </w:style>
  <w:style w:type="paragraph" w:styleId="Heading4">
    <w:name w:val="heading 4"/>
    <w:basedOn w:val="Normal"/>
    <w:next w:val="Normal"/>
    <w:link w:val="Heading4Char"/>
    <w:uiPriority w:val="9"/>
    <w:semiHidden/>
    <w:unhideWhenUsed/>
    <w:qFormat/>
    <w:rsid w:val="0042504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2504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2504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2504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2504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504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04C"/>
    <w:rPr>
      <w:rFonts w:ascii="Cambria" w:eastAsia="Cambria" w:hAnsi="Cambria" w:cs="Cambria"/>
      <w:b/>
      <w:bCs/>
      <w:kern w:val="0"/>
      <w:sz w:val="26"/>
      <w:szCs w:val="26"/>
      <w:lang w:val="en-US" w:eastAsia="de-CH"/>
      <w14:ligatures w14:val="none"/>
    </w:rPr>
  </w:style>
  <w:style w:type="character" w:customStyle="1" w:styleId="Heading2Char">
    <w:name w:val="Heading 2 Char"/>
    <w:basedOn w:val="DefaultParagraphFont"/>
    <w:link w:val="Heading2"/>
    <w:uiPriority w:val="9"/>
    <w:rsid w:val="0042504C"/>
    <w:rPr>
      <w:rFonts w:eastAsia="Times New Roman"/>
      <w:b/>
      <w:bCs/>
      <w:i/>
      <w:iCs/>
      <w:kern w:val="0"/>
      <w:lang w:val="en-US" w:eastAsia="en-GB"/>
      <w14:ligatures w14:val="none"/>
    </w:rPr>
  </w:style>
  <w:style w:type="character" w:customStyle="1" w:styleId="Heading3Char">
    <w:name w:val="Heading 3 Char"/>
    <w:basedOn w:val="DefaultParagraphFont"/>
    <w:link w:val="Heading3"/>
    <w:uiPriority w:val="9"/>
    <w:rsid w:val="0042504C"/>
    <w:rPr>
      <w:rFonts w:ascii="Calibri" w:eastAsiaTheme="minorHAnsi" w:hAnsi="Calibri"/>
      <w:b/>
      <w:bCs/>
      <w:i/>
      <w:iCs/>
      <w:kern w:val="0"/>
      <w:lang w:val="en-AU" w:eastAsia="en-US"/>
      <w14:ligatures w14:val="none"/>
    </w:rPr>
  </w:style>
  <w:style w:type="character" w:customStyle="1" w:styleId="Heading4Char">
    <w:name w:val="Heading 4 Char"/>
    <w:basedOn w:val="DefaultParagraphFont"/>
    <w:link w:val="Heading4"/>
    <w:uiPriority w:val="9"/>
    <w:semiHidden/>
    <w:rsid w:val="0042504C"/>
    <w:rPr>
      <w:rFonts w:asciiTheme="majorHAnsi" w:eastAsiaTheme="majorEastAsia" w:hAnsiTheme="majorHAnsi" w:cstheme="majorBidi"/>
      <w:i/>
      <w:iCs/>
      <w:color w:val="2F5496" w:themeColor="accent1" w:themeShade="BF"/>
      <w:kern w:val="0"/>
      <w:lang w:val="en-AU"/>
      <w14:ligatures w14:val="none"/>
    </w:rPr>
  </w:style>
  <w:style w:type="character" w:customStyle="1" w:styleId="Heading5Char">
    <w:name w:val="Heading 5 Char"/>
    <w:basedOn w:val="DefaultParagraphFont"/>
    <w:link w:val="Heading5"/>
    <w:uiPriority w:val="9"/>
    <w:semiHidden/>
    <w:rsid w:val="0042504C"/>
    <w:rPr>
      <w:rFonts w:asciiTheme="majorHAnsi" w:eastAsiaTheme="majorEastAsia" w:hAnsiTheme="majorHAnsi" w:cstheme="majorBidi"/>
      <w:color w:val="2F5496" w:themeColor="accent1" w:themeShade="BF"/>
      <w:kern w:val="0"/>
      <w:lang w:val="en-AU"/>
      <w14:ligatures w14:val="none"/>
    </w:rPr>
  </w:style>
  <w:style w:type="character" w:customStyle="1" w:styleId="Heading6Char">
    <w:name w:val="Heading 6 Char"/>
    <w:basedOn w:val="DefaultParagraphFont"/>
    <w:link w:val="Heading6"/>
    <w:uiPriority w:val="9"/>
    <w:semiHidden/>
    <w:rsid w:val="0042504C"/>
    <w:rPr>
      <w:rFonts w:asciiTheme="majorHAnsi" w:eastAsiaTheme="majorEastAsia" w:hAnsiTheme="majorHAnsi" w:cstheme="majorBidi"/>
      <w:color w:val="1F3763" w:themeColor="accent1" w:themeShade="7F"/>
      <w:kern w:val="0"/>
      <w:lang w:val="en-AU"/>
      <w14:ligatures w14:val="none"/>
    </w:rPr>
  </w:style>
  <w:style w:type="character" w:customStyle="1" w:styleId="Heading7Char">
    <w:name w:val="Heading 7 Char"/>
    <w:basedOn w:val="DefaultParagraphFont"/>
    <w:link w:val="Heading7"/>
    <w:uiPriority w:val="9"/>
    <w:semiHidden/>
    <w:rsid w:val="0042504C"/>
    <w:rPr>
      <w:rFonts w:asciiTheme="majorHAnsi" w:eastAsiaTheme="majorEastAsia" w:hAnsiTheme="majorHAnsi" w:cstheme="majorBidi"/>
      <w:i/>
      <w:iCs/>
      <w:color w:val="1F3763" w:themeColor="accent1" w:themeShade="7F"/>
      <w:kern w:val="0"/>
      <w:lang w:val="en-AU"/>
      <w14:ligatures w14:val="none"/>
    </w:rPr>
  </w:style>
  <w:style w:type="character" w:customStyle="1" w:styleId="Heading8Char">
    <w:name w:val="Heading 8 Char"/>
    <w:basedOn w:val="DefaultParagraphFont"/>
    <w:link w:val="Heading8"/>
    <w:uiPriority w:val="9"/>
    <w:semiHidden/>
    <w:rsid w:val="0042504C"/>
    <w:rPr>
      <w:rFonts w:asciiTheme="majorHAnsi" w:eastAsiaTheme="majorEastAsia" w:hAnsiTheme="majorHAnsi" w:cstheme="majorBidi"/>
      <w:color w:val="272727" w:themeColor="text1" w:themeTint="D8"/>
      <w:kern w:val="0"/>
      <w:sz w:val="21"/>
      <w:szCs w:val="21"/>
      <w:lang w:val="en-AU"/>
      <w14:ligatures w14:val="none"/>
    </w:rPr>
  </w:style>
  <w:style w:type="character" w:customStyle="1" w:styleId="Heading9Char">
    <w:name w:val="Heading 9 Char"/>
    <w:basedOn w:val="DefaultParagraphFont"/>
    <w:link w:val="Heading9"/>
    <w:uiPriority w:val="9"/>
    <w:semiHidden/>
    <w:rsid w:val="0042504C"/>
    <w:rPr>
      <w:rFonts w:asciiTheme="majorHAnsi" w:eastAsiaTheme="majorEastAsia" w:hAnsiTheme="majorHAnsi" w:cstheme="majorBidi"/>
      <w:i/>
      <w:iCs/>
      <w:color w:val="272727" w:themeColor="text1" w:themeTint="D8"/>
      <w:kern w:val="0"/>
      <w:sz w:val="21"/>
      <w:szCs w:val="21"/>
      <w:lang w:val="en-AU"/>
      <w14:ligatures w14:val="none"/>
    </w:rPr>
  </w:style>
  <w:style w:type="table" w:customStyle="1" w:styleId="Mytable">
    <w:name w:val="My table"/>
    <w:basedOn w:val="TableNormal"/>
    <w:uiPriority w:val="99"/>
    <w:rsid w:val="0042504C"/>
    <w:rPr>
      <w:rFonts w:eastAsiaTheme="minorHAnsi"/>
      <w:kern w:val="0"/>
      <w:lang w:val="en-AU" w:eastAsia="en-US"/>
      <w14:ligatures w14:val="none"/>
    </w:rPr>
    <w:tblPr>
      <w:tblBorders>
        <w:top w:val="single" w:sz="4" w:space="0" w:color="auto"/>
        <w:bottom w:val="single" w:sz="4" w:space="0" w:color="auto"/>
      </w:tblBorders>
    </w:tblPr>
    <w:tblStylePr w:type="firstRow">
      <w:rPr>
        <w:b/>
      </w:rPr>
      <w:tblPr/>
      <w:tcPr>
        <w:tcBorders>
          <w:bottom w:val="single" w:sz="4" w:space="0" w:color="auto"/>
        </w:tcBorders>
      </w:tcPr>
    </w:tblStylePr>
  </w:style>
  <w:style w:type="paragraph" w:styleId="NoSpacing">
    <w:name w:val="No Spacing"/>
    <w:uiPriority w:val="1"/>
    <w:qFormat/>
    <w:rsid w:val="0042504C"/>
    <w:rPr>
      <w:rFonts w:eastAsiaTheme="minorHAnsi"/>
      <w:kern w:val="0"/>
      <w:lang w:val="en-AU" w:eastAsia="en-US"/>
      <w14:ligatures w14:val="none"/>
    </w:rPr>
  </w:style>
  <w:style w:type="character" w:styleId="Strong">
    <w:name w:val="Strong"/>
    <w:basedOn w:val="DefaultParagraphFont"/>
    <w:uiPriority w:val="22"/>
    <w:qFormat/>
    <w:rsid w:val="0042504C"/>
    <w:rPr>
      <w:b/>
      <w:bCs/>
    </w:rPr>
  </w:style>
  <w:style w:type="paragraph" w:customStyle="1" w:styleId="Text">
    <w:name w:val="Text"/>
    <w:basedOn w:val="Normal"/>
    <w:qFormat/>
    <w:rsid w:val="0042504C"/>
    <w:rPr>
      <w:rFonts w:asciiTheme="minorHAnsi" w:hAnsiTheme="minorHAnsi" w:cstheme="minorBidi"/>
      <w:lang w:val="en-US"/>
    </w:rPr>
  </w:style>
  <w:style w:type="paragraph" w:customStyle="1" w:styleId="EndNoteBibliographyTitle">
    <w:name w:val="EndNote Bibliography Title"/>
    <w:basedOn w:val="Normal"/>
    <w:link w:val="EndNoteBibliographyTitleChar"/>
    <w:rsid w:val="0042504C"/>
    <w:pPr>
      <w:spacing w:after="0"/>
      <w:jc w:val="center"/>
    </w:pPr>
    <w:rPr>
      <w:rFonts w:cs="Calibri"/>
    </w:rPr>
  </w:style>
  <w:style w:type="character" w:customStyle="1" w:styleId="EndNoteBibliographyTitleChar">
    <w:name w:val="EndNote Bibliography Title Char"/>
    <w:basedOn w:val="DefaultParagraphFont"/>
    <w:link w:val="EndNoteBibliographyTitle"/>
    <w:rsid w:val="0042504C"/>
    <w:rPr>
      <w:rFonts w:ascii="Calibri" w:eastAsia="Times New Roman" w:hAnsi="Calibri" w:cs="Calibri"/>
      <w:kern w:val="0"/>
      <w:lang w:val="en-AU"/>
      <w14:ligatures w14:val="none"/>
    </w:rPr>
  </w:style>
  <w:style w:type="paragraph" w:customStyle="1" w:styleId="EndNoteBibliography">
    <w:name w:val="EndNote Bibliography"/>
    <w:basedOn w:val="Normal"/>
    <w:link w:val="EndNoteBibliographyChar"/>
    <w:rsid w:val="0042504C"/>
    <w:pPr>
      <w:spacing w:line="240" w:lineRule="auto"/>
    </w:pPr>
    <w:rPr>
      <w:rFonts w:cs="Calibri"/>
    </w:rPr>
  </w:style>
  <w:style w:type="character" w:customStyle="1" w:styleId="EndNoteBibliographyChar">
    <w:name w:val="EndNote Bibliography Char"/>
    <w:basedOn w:val="DefaultParagraphFont"/>
    <w:link w:val="EndNoteBibliography"/>
    <w:rsid w:val="0042504C"/>
    <w:rPr>
      <w:rFonts w:ascii="Calibri" w:eastAsia="Times New Roman" w:hAnsi="Calibri" w:cs="Calibri"/>
      <w:kern w:val="0"/>
      <w:lang w:val="en-AU"/>
      <w14:ligatures w14:val="none"/>
    </w:rPr>
  </w:style>
  <w:style w:type="character" w:styleId="Hyperlink">
    <w:name w:val="Hyperlink"/>
    <w:basedOn w:val="DefaultParagraphFont"/>
    <w:uiPriority w:val="99"/>
    <w:unhideWhenUsed/>
    <w:rsid w:val="0042504C"/>
    <w:rPr>
      <w:color w:val="0563C1" w:themeColor="hyperlink"/>
      <w:u w:val="single"/>
    </w:rPr>
  </w:style>
  <w:style w:type="character" w:styleId="UnresolvedMention">
    <w:name w:val="Unresolved Mention"/>
    <w:basedOn w:val="DefaultParagraphFont"/>
    <w:uiPriority w:val="99"/>
    <w:semiHidden/>
    <w:unhideWhenUsed/>
    <w:rsid w:val="0042504C"/>
    <w:rPr>
      <w:color w:val="605E5C"/>
      <w:shd w:val="clear" w:color="auto" w:fill="E1DFDD"/>
    </w:rPr>
  </w:style>
  <w:style w:type="paragraph" w:styleId="Header">
    <w:name w:val="header"/>
    <w:basedOn w:val="Normal"/>
    <w:link w:val="HeaderChar"/>
    <w:uiPriority w:val="99"/>
    <w:unhideWhenUsed/>
    <w:rsid w:val="00DC2CC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C2CC8"/>
    <w:rPr>
      <w:rFonts w:ascii="Calibri" w:eastAsia="Times New Roman" w:hAnsi="Calibri" w:cs="Times New Roman"/>
      <w:kern w:val="0"/>
      <w:lang w:val="en-AU"/>
      <w14:ligatures w14:val="none"/>
    </w:rPr>
  </w:style>
  <w:style w:type="paragraph" w:styleId="Footer">
    <w:name w:val="footer"/>
    <w:basedOn w:val="Normal"/>
    <w:link w:val="FooterChar"/>
    <w:uiPriority w:val="99"/>
    <w:unhideWhenUsed/>
    <w:rsid w:val="00DC2CC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C2CC8"/>
    <w:rPr>
      <w:rFonts w:ascii="Calibri" w:eastAsia="Times New Roman" w:hAnsi="Calibri" w:cs="Times New Roman"/>
      <w:kern w:val="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18275">
      <w:bodyDiv w:val="1"/>
      <w:marLeft w:val="0"/>
      <w:marRight w:val="0"/>
      <w:marTop w:val="0"/>
      <w:marBottom w:val="0"/>
      <w:divBdr>
        <w:top w:val="none" w:sz="0" w:space="0" w:color="auto"/>
        <w:left w:val="none" w:sz="0" w:space="0" w:color="auto"/>
        <w:bottom w:val="none" w:sz="0" w:space="0" w:color="auto"/>
        <w:right w:val="none" w:sz="0" w:space="0" w:color="auto"/>
      </w:divBdr>
    </w:div>
    <w:div w:id="1945768486">
      <w:bodyDiv w:val="1"/>
      <w:marLeft w:val="0"/>
      <w:marRight w:val="0"/>
      <w:marTop w:val="0"/>
      <w:marBottom w:val="0"/>
      <w:divBdr>
        <w:top w:val="none" w:sz="0" w:space="0" w:color="auto"/>
        <w:left w:val="none" w:sz="0" w:space="0" w:color="auto"/>
        <w:bottom w:val="none" w:sz="0" w:space="0" w:color="auto"/>
        <w:right w:val="none" w:sz="0" w:space="0" w:color="auto"/>
      </w:divBdr>
      <w:divsChild>
        <w:div w:id="1683120982">
          <w:marLeft w:val="0"/>
          <w:marRight w:val="0"/>
          <w:marTop w:val="0"/>
          <w:marBottom w:val="0"/>
          <w:divBdr>
            <w:top w:val="single" w:sz="2" w:space="0" w:color="D9D9E3"/>
            <w:left w:val="single" w:sz="2" w:space="0" w:color="D9D9E3"/>
            <w:bottom w:val="single" w:sz="2" w:space="0" w:color="D9D9E3"/>
            <w:right w:val="single" w:sz="2" w:space="0" w:color="D9D9E3"/>
          </w:divBdr>
          <w:divsChild>
            <w:div w:id="1725369724">
              <w:marLeft w:val="0"/>
              <w:marRight w:val="0"/>
              <w:marTop w:val="0"/>
              <w:marBottom w:val="0"/>
              <w:divBdr>
                <w:top w:val="single" w:sz="2" w:space="0" w:color="D9D9E3"/>
                <w:left w:val="single" w:sz="2" w:space="0" w:color="D9D9E3"/>
                <w:bottom w:val="single" w:sz="2" w:space="0" w:color="D9D9E3"/>
                <w:right w:val="single" w:sz="2" w:space="0" w:color="D9D9E3"/>
              </w:divBdr>
              <w:divsChild>
                <w:div w:id="1706175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07031035">
          <w:marLeft w:val="0"/>
          <w:marRight w:val="0"/>
          <w:marTop w:val="0"/>
          <w:marBottom w:val="0"/>
          <w:divBdr>
            <w:top w:val="single" w:sz="2" w:space="0" w:color="D9D9E3"/>
            <w:left w:val="single" w:sz="2" w:space="0" w:color="D9D9E3"/>
            <w:bottom w:val="single" w:sz="2" w:space="0" w:color="D9D9E3"/>
            <w:right w:val="single" w:sz="2" w:space="0" w:color="D9D9E3"/>
          </w:divBdr>
          <w:divsChild>
            <w:div w:id="202131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3389/fpsyg.2018.01742" TargetMode="External"/><Relationship Id="rId18" Type="http://schemas.openxmlformats.org/officeDocument/2006/relationships/hyperlink" Target="https://doi.org/https://doi.org/10.1109/TKDE.2014.2316512"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doi.org/10.1007/s00500-018-3280-0" TargetMode="External"/><Relationship Id="rId17" Type="http://schemas.openxmlformats.org/officeDocument/2006/relationships/hyperlink" Target="https://doi.org/https://doi.org/10.1162/153244303321897735" TargetMode="External"/><Relationship Id="rId2" Type="http://schemas.openxmlformats.org/officeDocument/2006/relationships/styles" Target="styles.xml"/><Relationship Id="rId16" Type="http://schemas.openxmlformats.org/officeDocument/2006/relationships/hyperlink" Target="https://doi.org/https://doi.org/10.1038/srep0620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psychres.2023.115265" TargetMode="External"/><Relationship Id="rId5" Type="http://schemas.openxmlformats.org/officeDocument/2006/relationships/footnotes" Target="footnotes.xml"/><Relationship Id="rId15" Type="http://schemas.openxmlformats.org/officeDocument/2006/relationships/hyperlink" Target="https://doi.org/https://doi.org/10.1023/A:1023949509487" TargetMode="External"/><Relationship Id="rId10" Type="http://schemas.openxmlformats.org/officeDocument/2006/relationships/hyperlink" Target="https://doi.org/https://doi.org/10.1109/TPAMI.2005.11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ran.r-project.org/web/packages/missRanger/missRang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.~WRD0004</Template>
  <TotalTime>9</TotalTime>
  <Pages>13</Pages>
  <Words>3148</Words>
  <Characters>17946</Characters>
  <Application>Microsoft Office Word</Application>
  <DocSecurity>0</DocSecurity>
  <Lines>149</Lines>
  <Paragraphs>42</Paragraphs>
  <ScaleCrop>false</ScaleCrop>
  <Company>Monash University</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Gao</dc:creator>
  <cp:keywords/>
  <dc:description/>
  <cp:lastModifiedBy>Caroline Gao</cp:lastModifiedBy>
  <cp:revision>16</cp:revision>
  <dcterms:created xsi:type="dcterms:W3CDTF">2024-01-22T08:35:00Z</dcterms:created>
  <dcterms:modified xsi:type="dcterms:W3CDTF">2024-07-20T04:13:00Z</dcterms:modified>
</cp:coreProperties>
</file>