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0384" w14:textId="77777777" w:rsidR="00506C34" w:rsidRPr="00E56620" w:rsidRDefault="00506C34" w:rsidP="00506C34">
      <w:pPr>
        <w:spacing w:before="120" w:after="120"/>
        <w:jc w:val="center"/>
        <w:rPr>
          <w:b/>
          <w:bCs/>
          <w:sz w:val="21"/>
          <w:szCs w:val="21"/>
        </w:rPr>
      </w:pPr>
      <w:bookmarkStart w:id="0" w:name="_Hlk112676731"/>
      <w:r w:rsidRPr="00E56620">
        <w:rPr>
          <w:b/>
          <w:bCs/>
          <w:sz w:val="21"/>
          <w:szCs w:val="21"/>
        </w:rPr>
        <w:t>Supplementary table S1 The number and percentage of missing data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228"/>
      </w:tblGrid>
      <w:tr w:rsidR="00D10770" w:rsidRPr="004D3C92" w14:paraId="5337C581" w14:textId="77777777" w:rsidTr="00D10770">
        <w:trPr>
          <w:jc w:val="center"/>
        </w:trPr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5261C" w14:textId="6B614599" w:rsidR="00D10770" w:rsidRPr="00521D75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521D75">
              <w:rPr>
                <w:b/>
                <w:bCs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3D179" w14:textId="0DB7FFB0" w:rsidR="00D10770" w:rsidRPr="009D060C" w:rsidRDefault="00D10770" w:rsidP="00D10770">
            <w:pPr>
              <w:jc w:val="center"/>
              <w:textAlignment w:val="center"/>
            </w:pPr>
            <w:r w:rsidRPr="00521D75">
              <w:rPr>
                <w:b/>
                <w:bCs/>
                <w:color w:val="000000"/>
                <w:sz w:val="21"/>
                <w:szCs w:val="21"/>
              </w:rPr>
              <w:t>Missing [n (%)]</w:t>
            </w:r>
          </w:p>
        </w:tc>
      </w:tr>
      <w:tr w:rsidR="00D10770" w:rsidRPr="004D3C92" w14:paraId="2629D38C" w14:textId="77777777" w:rsidTr="00D10770">
        <w:trPr>
          <w:jc w:val="center"/>
        </w:trPr>
        <w:tc>
          <w:tcPr>
            <w:tcW w:w="2308" w:type="dxa"/>
            <w:tcBorders>
              <w:top w:val="single" w:sz="12" w:space="0" w:color="auto"/>
            </w:tcBorders>
            <w:vAlign w:val="center"/>
          </w:tcPr>
          <w:p w14:paraId="3EED64CA" w14:textId="472752DD" w:rsidR="00D10770" w:rsidRPr="00521D75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E</w:t>
            </w:r>
            <w:r w:rsidRPr="004D3C92">
              <w:rPr>
                <w:color w:val="000000"/>
                <w:sz w:val="21"/>
                <w:szCs w:val="21"/>
                <w:lang w:bidi="ar"/>
              </w:rPr>
              <w:t>ducation</w:t>
            </w:r>
            <w:r>
              <w:rPr>
                <w:color w:val="000000"/>
                <w:sz w:val="21"/>
                <w:szCs w:val="21"/>
                <w:lang w:bidi="ar"/>
              </w:rPr>
              <w:t xml:space="preserve"> level</w:t>
            </w:r>
          </w:p>
        </w:tc>
        <w:tc>
          <w:tcPr>
            <w:tcW w:w="2228" w:type="dxa"/>
            <w:tcBorders>
              <w:top w:val="single" w:sz="12" w:space="0" w:color="auto"/>
            </w:tcBorders>
          </w:tcPr>
          <w:p w14:paraId="344069DB" w14:textId="4AA2C01A" w:rsidR="00D10770" w:rsidRPr="009D060C" w:rsidRDefault="00D10770" w:rsidP="00D10770">
            <w:pPr>
              <w:jc w:val="center"/>
              <w:textAlignment w:val="center"/>
            </w:pPr>
            <w:r w:rsidRPr="009D060C">
              <w:t>3 (0.05%)</w:t>
            </w:r>
          </w:p>
        </w:tc>
      </w:tr>
      <w:tr w:rsidR="00D10770" w:rsidRPr="004D3C92" w14:paraId="036CB83C" w14:textId="77777777" w:rsidTr="00506C34">
        <w:trPr>
          <w:jc w:val="center"/>
        </w:trPr>
        <w:tc>
          <w:tcPr>
            <w:tcW w:w="2308" w:type="dxa"/>
            <w:vAlign w:val="center"/>
          </w:tcPr>
          <w:p w14:paraId="44D9D406" w14:textId="60B07AC9" w:rsidR="00D10770" w:rsidRPr="00521D75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521D75">
              <w:rPr>
                <w:color w:val="000000"/>
                <w:sz w:val="21"/>
                <w:szCs w:val="21"/>
                <w:lang w:bidi="ar"/>
              </w:rPr>
              <w:t>PIR</w:t>
            </w:r>
          </w:p>
        </w:tc>
        <w:tc>
          <w:tcPr>
            <w:tcW w:w="2228" w:type="dxa"/>
          </w:tcPr>
          <w:p w14:paraId="73A7B236" w14:textId="6D636CF3" w:rsidR="00D10770" w:rsidRPr="009D060C" w:rsidRDefault="00D10770" w:rsidP="00D10770">
            <w:pPr>
              <w:jc w:val="center"/>
              <w:textAlignment w:val="center"/>
            </w:pPr>
            <w:r w:rsidRPr="009D060C">
              <w:t>680 (11.38%)</w:t>
            </w:r>
          </w:p>
        </w:tc>
      </w:tr>
      <w:tr w:rsidR="00D10770" w:rsidRPr="004D3C92" w14:paraId="38C2AF31" w14:textId="77777777" w:rsidTr="00506C34">
        <w:trPr>
          <w:jc w:val="center"/>
        </w:trPr>
        <w:tc>
          <w:tcPr>
            <w:tcW w:w="2308" w:type="dxa"/>
            <w:vAlign w:val="center"/>
          </w:tcPr>
          <w:p w14:paraId="6823C284" w14:textId="3BA7B6F1" w:rsidR="00D10770" w:rsidRPr="00383204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561372">
              <w:rPr>
                <w:sz w:val="21"/>
                <w:szCs w:val="21"/>
              </w:rPr>
              <w:t>ALT</w:t>
            </w:r>
          </w:p>
        </w:tc>
        <w:tc>
          <w:tcPr>
            <w:tcW w:w="2228" w:type="dxa"/>
          </w:tcPr>
          <w:p w14:paraId="3EEA2CBA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369 (6.17%)</w:t>
            </w:r>
          </w:p>
        </w:tc>
      </w:tr>
      <w:tr w:rsidR="00D10770" w:rsidRPr="004D3C92" w14:paraId="6F81CDD2" w14:textId="77777777" w:rsidTr="00506C34">
        <w:trPr>
          <w:jc w:val="center"/>
        </w:trPr>
        <w:tc>
          <w:tcPr>
            <w:tcW w:w="2308" w:type="dxa"/>
            <w:vAlign w:val="center"/>
          </w:tcPr>
          <w:p w14:paraId="1FC7B98D" w14:textId="33BAE212" w:rsidR="00D10770" w:rsidRPr="004D3C92" w:rsidRDefault="00D10770" w:rsidP="00D10770">
            <w:pPr>
              <w:textAlignment w:val="center"/>
              <w:rPr>
                <w:bCs/>
                <w:sz w:val="21"/>
                <w:szCs w:val="21"/>
              </w:rPr>
            </w:pPr>
            <w:r w:rsidRPr="00561372">
              <w:rPr>
                <w:sz w:val="21"/>
                <w:szCs w:val="21"/>
              </w:rPr>
              <w:t>ALP</w:t>
            </w:r>
          </w:p>
        </w:tc>
        <w:tc>
          <w:tcPr>
            <w:tcW w:w="2228" w:type="dxa"/>
          </w:tcPr>
          <w:p w14:paraId="4C262C64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369 (6.17%)</w:t>
            </w:r>
          </w:p>
        </w:tc>
      </w:tr>
      <w:tr w:rsidR="00D10770" w:rsidRPr="004D3C92" w14:paraId="6E0EC2AD" w14:textId="77777777" w:rsidTr="00506C34">
        <w:trPr>
          <w:jc w:val="center"/>
        </w:trPr>
        <w:tc>
          <w:tcPr>
            <w:tcW w:w="2308" w:type="dxa"/>
            <w:vAlign w:val="center"/>
          </w:tcPr>
          <w:p w14:paraId="61C1D4CB" w14:textId="6EC91AD4" w:rsidR="00D10770" w:rsidRPr="004D3C92" w:rsidRDefault="00D10770" w:rsidP="00D10770">
            <w:pPr>
              <w:textAlignment w:val="center"/>
              <w:rPr>
                <w:bCs/>
                <w:sz w:val="21"/>
                <w:szCs w:val="21"/>
              </w:rPr>
            </w:pPr>
            <w:r w:rsidRPr="00561372">
              <w:rPr>
                <w:sz w:val="21"/>
                <w:szCs w:val="21"/>
              </w:rPr>
              <w:t>AST</w:t>
            </w:r>
          </w:p>
        </w:tc>
        <w:tc>
          <w:tcPr>
            <w:tcW w:w="2228" w:type="dxa"/>
          </w:tcPr>
          <w:p w14:paraId="640D51FA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394 (6.59%)</w:t>
            </w:r>
          </w:p>
        </w:tc>
      </w:tr>
      <w:tr w:rsidR="00D10770" w:rsidRPr="004D3C92" w14:paraId="1BE9D55C" w14:textId="77777777" w:rsidTr="00506C34">
        <w:trPr>
          <w:jc w:val="center"/>
        </w:trPr>
        <w:tc>
          <w:tcPr>
            <w:tcW w:w="2308" w:type="dxa"/>
            <w:vAlign w:val="center"/>
          </w:tcPr>
          <w:p w14:paraId="474F6567" w14:textId="7689554C" w:rsidR="00D10770" w:rsidRPr="00383204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561372">
              <w:rPr>
                <w:sz w:val="21"/>
                <w:szCs w:val="21"/>
              </w:rPr>
              <w:t>BUN</w:t>
            </w:r>
          </w:p>
        </w:tc>
        <w:tc>
          <w:tcPr>
            <w:tcW w:w="2228" w:type="dxa"/>
          </w:tcPr>
          <w:p w14:paraId="4BF1F250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369 (6.17%)</w:t>
            </w:r>
          </w:p>
        </w:tc>
      </w:tr>
      <w:tr w:rsidR="00D10770" w:rsidRPr="004D3C92" w14:paraId="5738FF9E" w14:textId="77777777" w:rsidTr="00506C34">
        <w:trPr>
          <w:jc w:val="center"/>
        </w:trPr>
        <w:tc>
          <w:tcPr>
            <w:tcW w:w="2308" w:type="dxa"/>
            <w:vAlign w:val="center"/>
          </w:tcPr>
          <w:p w14:paraId="74AAEC48" w14:textId="73BBC0F5" w:rsidR="00D10770" w:rsidRPr="00383204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561372">
              <w:rPr>
                <w:sz w:val="21"/>
                <w:szCs w:val="21"/>
              </w:rPr>
              <w:t>GGT</w:t>
            </w:r>
          </w:p>
        </w:tc>
        <w:tc>
          <w:tcPr>
            <w:tcW w:w="2228" w:type="dxa"/>
          </w:tcPr>
          <w:p w14:paraId="5C377965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369 (6.17%)</w:t>
            </w:r>
          </w:p>
        </w:tc>
      </w:tr>
      <w:tr w:rsidR="00D10770" w:rsidRPr="004D3C92" w14:paraId="661F1960" w14:textId="77777777" w:rsidTr="00506C34">
        <w:trPr>
          <w:jc w:val="center"/>
        </w:trPr>
        <w:tc>
          <w:tcPr>
            <w:tcW w:w="2308" w:type="dxa"/>
            <w:vAlign w:val="center"/>
          </w:tcPr>
          <w:p w14:paraId="40B327C4" w14:textId="16CBB159" w:rsidR="00D10770" w:rsidRPr="00383204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561372">
              <w:rPr>
                <w:sz w:val="21"/>
                <w:szCs w:val="21"/>
              </w:rPr>
              <w:t>LDH</w:t>
            </w:r>
          </w:p>
        </w:tc>
        <w:tc>
          <w:tcPr>
            <w:tcW w:w="2228" w:type="dxa"/>
          </w:tcPr>
          <w:p w14:paraId="34095C1A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498 (8.33%)</w:t>
            </w:r>
          </w:p>
        </w:tc>
      </w:tr>
      <w:tr w:rsidR="00D10770" w:rsidRPr="004D3C92" w14:paraId="33863B91" w14:textId="77777777" w:rsidTr="00506C34">
        <w:trPr>
          <w:jc w:val="center"/>
        </w:trPr>
        <w:tc>
          <w:tcPr>
            <w:tcW w:w="2308" w:type="dxa"/>
            <w:vAlign w:val="center"/>
          </w:tcPr>
          <w:p w14:paraId="521D6019" w14:textId="29A01D35" w:rsidR="00D10770" w:rsidRPr="004D3C92" w:rsidRDefault="00D10770" w:rsidP="00D10770">
            <w:pPr>
              <w:textAlignment w:val="center"/>
              <w:rPr>
                <w:bCs/>
                <w:sz w:val="21"/>
                <w:szCs w:val="21"/>
              </w:rPr>
            </w:pPr>
            <w:r w:rsidRPr="00383204">
              <w:rPr>
                <w:color w:val="000000"/>
                <w:sz w:val="21"/>
                <w:szCs w:val="21"/>
                <w:lang w:bidi="ar"/>
              </w:rPr>
              <w:t xml:space="preserve">Uric </w:t>
            </w:r>
            <w:r>
              <w:rPr>
                <w:color w:val="000000"/>
                <w:sz w:val="21"/>
                <w:szCs w:val="21"/>
                <w:lang w:bidi="ar"/>
              </w:rPr>
              <w:t>a</w:t>
            </w:r>
            <w:r w:rsidRPr="00383204">
              <w:rPr>
                <w:color w:val="000000"/>
                <w:sz w:val="21"/>
                <w:szCs w:val="21"/>
                <w:lang w:bidi="ar"/>
              </w:rPr>
              <w:t>cid</w:t>
            </w:r>
          </w:p>
        </w:tc>
        <w:tc>
          <w:tcPr>
            <w:tcW w:w="2228" w:type="dxa"/>
          </w:tcPr>
          <w:p w14:paraId="4BFC9252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369 (6.17%)</w:t>
            </w:r>
          </w:p>
        </w:tc>
      </w:tr>
      <w:tr w:rsidR="00D10770" w:rsidRPr="004D3C92" w14:paraId="38972D76" w14:textId="77777777" w:rsidTr="00506C34">
        <w:trPr>
          <w:jc w:val="center"/>
        </w:trPr>
        <w:tc>
          <w:tcPr>
            <w:tcW w:w="2308" w:type="dxa"/>
            <w:vAlign w:val="center"/>
          </w:tcPr>
          <w:p w14:paraId="3FA7F31B" w14:textId="77777777" w:rsidR="00D10770" w:rsidRPr="004D3C92" w:rsidRDefault="00D10770" w:rsidP="00D10770">
            <w:pPr>
              <w:textAlignment w:val="center"/>
              <w:rPr>
                <w:bCs/>
                <w:sz w:val="21"/>
                <w:szCs w:val="21"/>
              </w:rPr>
            </w:pPr>
            <w:r w:rsidRPr="00383204">
              <w:rPr>
                <w:color w:val="000000"/>
                <w:sz w:val="21"/>
                <w:szCs w:val="21"/>
                <w:lang w:bidi="ar"/>
              </w:rPr>
              <w:t>Total bilirubin</w:t>
            </w:r>
          </w:p>
        </w:tc>
        <w:tc>
          <w:tcPr>
            <w:tcW w:w="2228" w:type="dxa"/>
          </w:tcPr>
          <w:p w14:paraId="29262CF3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367 (6.14%)</w:t>
            </w:r>
          </w:p>
        </w:tc>
      </w:tr>
      <w:tr w:rsidR="00D10770" w:rsidRPr="004D3C92" w14:paraId="26B8E9B3" w14:textId="77777777" w:rsidTr="00506C34">
        <w:trPr>
          <w:jc w:val="center"/>
        </w:trPr>
        <w:tc>
          <w:tcPr>
            <w:tcW w:w="2308" w:type="dxa"/>
            <w:vAlign w:val="center"/>
          </w:tcPr>
          <w:p w14:paraId="1AB7D0C6" w14:textId="77777777" w:rsidR="00D10770" w:rsidRPr="004D3C92" w:rsidRDefault="00D10770" w:rsidP="00D10770">
            <w:pPr>
              <w:textAlignment w:val="center"/>
              <w:rPr>
                <w:bCs/>
                <w:sz w:val="21"/>
                <w:szCs w:val="21"/>
              </w:rPr>
            </w:pPr>
            <w:r w:rsidRPr="00383204">
              <w:rPr>
                <w:color w:val="000000"/>
                <w:sz w:val="21"/>
                <w:szCs w:val="21"/>
                <w:lang w:bidi="ar"/>
              </w:rPr>
              <w:t>Platelet</w:t>
            </w:r>
          </w:p>
        </w:tc>
        <w:tc>
          <w:tcPr>
            <w:tcW w:w="2228" w:type="dxa"/>
          </w:tcPr>
          <w:p w14:paraId="18D10BA8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202 (3.38%)</w:t>
            </w:r>
          </w:p>
        </w:tc>
      </w:tr>
      <w:tr w:rsidR="00D10770" w:rsidRPr="004D3C92" w14:paraId="1717C4B8" w14:textId="77777777" w:rsidTr="00506C34">
        <w:trPr>
          <w:jc w:val="center"/>
        </w:trPr>
        <w:tc>
          <w:tcPr>
            <w:tcW w:w="2308" w:type="dxa"/>
            <w:vAlign w:val="center"/>
          </w:tcPr>
          <w:p w14:paraId="1EEA3E50" w14:textId="77777777" w:rsidR="00D10770" w:rsidRPr="004D3C92" w:rsidRDefault="00D10770" w:rsidP="00D10770">
            <w:pPr>
              <w:textAlignment w:val="center"/>
              <w:rPr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P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hysical</w:t>
            </w:r>
            <w:r>
              <w:rPr>
                <w:color w:val="000000"/>
                <w:sz w:val="21"/>
                <w:szCs w:val="21"/>
                <w:lang w:bidi="ar"/>
              </w:rPr>
              <w:t xml:space="preserve"> </w:t>
            </w:r>
            <w:r w:rsidRPr="004D3C92">
              <w:rPr>
                <w:color w:val="000000"/>
                <w:sz w:val="21"/>
                <w:szCs w:val="21"/>
                <w:lang w:bidi="ar"/>
              </w:rPr>
              <w:t>activity</w:t>
            </w:r>
          </w:p>
        </w:tc>
        <w:tc>
          <w:tcPr>
            <w:tcW w:w="2228" w:type="dxa"/>
          </w:tcPr>
          <w:p w14:paraId="1B654514" w14:textId="77777777" w:rsidR="00D10770" w:rsidRPr="004D3C92" w:rsidRDefault="00D10770" w:rsidP="00D10770">
            <w:pPr>
              <w:jc w:val="center"/>
              <w:textAlignment w:val="center"/>
              <w:rPr>
                <w:bCs/>
                <w:sz w:val="21"/>
                <w:szCs w:val="21"/>
              </w:rPr>
            </w:pPr>
            <w:r w:rsidRPr="009D060C">
              <w:t>1413 (23.64%)</w:t>
            </w:r>
          </w:p>
        </w:tc>
      </w:tr>
      <w:tr w:rsidR="00D10770" w:rsidRPr="004D3C92" w14:paraId="430A90F2" w14:textId="77777777" w:rsidTr="00506C34">
        <w:trPr>
          <w:jc w:val="center"/>
        </w:trPr>
        <w:tc>
          <w:tcPr>
            <w:tcW w:w="2308" w:type="dxa"/>
          </w:tcPr>
          <w:p w14:paraId="05E28005" w14:textId="7E8D3A64" w:rsidR="00D10770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B87D29">
              <w:t>Copper</w:t>
            </w:r>
            <w:r>
              <w:t xml:space="preserve"> </w:t>
            </w:r>
            <w:r>
              <w:rPr>
                <w:rFonts w:hint="eastAsia"/>
              </w:rPr>
              <w:t>supplement</w:t>
            </w:r>
          </w:p>
        </w:tc>
        <w:tc>
          <w:tcPr>
            <w:tcW w:w="2228" w:type="dxa"/>
          </w:tcPr>
          <w:p w14:paraId="5D55E3A1" w14:textId="77777777" w:rsidR="00D10770" w:rsidRPr="004D3C92" w:rsidRDefault="00D10770" w:rsidP="00D10770">
            <w:pPr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9D060C">
              <w:t>4764 (79.72%)</w:t>
            </w:r>
          </w:p>
        </w:tc>
      </w:tr>
      <w:tr w:rsidR="00D10770" w:rsidRPr="004D3C92" w14:paraId="15F347D0" w14:textId="77777777" w:rsidTr="00506C34">
        <w:trPr>
          <w:jc w:val="center"/>
        </w:trPr>
        <w:tc>
          <w:tcPr>
            <w:tcW w:w="2308" w:type="dxa"/>
          </w:tcPr>
          <w:p w14:paraId="07677E9E" w14:textId="0B05FAC1" w:rsidR="00D10770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B87D29">
              <w:t>Zinc</w:t>
            </w:r>
            <w:r>
              <w:t xml:space="preserve"> </w:t>
            </w:r>
            <w:r>
              <w:rPr>
                <w:rFonts w:hint="eastAsia"/>
              </w:rPr>
              <w:t>supplement</w:t>
            </w:r>
          </w:p>
        </w:tc>
        <w:tc>
          <w:tcPr>
            <w:tcW w:w="2228" w:type="dxa"/>
          </w:tcPr>
          <w:p w14:paraId="287119B0" w14:textId="77777777" w:rsidR="00D10770" w:rsidRPr="004D3C92" w:rsidRDefault="00D10770" w:rsidP="00D10770">
            <w:pPr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9D060C">
              <w:t>4451 (74.48%)</w:t>
            </w:r>
          </w:p>
        </w:tc>
      </w:tr>
      <w:tr w:rsidR="00D10770" w:rsidRPr="004D3C92" w14:paraId="68C51AA1" w14:textId="77777777" w:rsidTr="00D10770">
        <w:trPr>
          <w:jc w:val="center"/>
        </w:trPr>
        <w:tc>
          <w:tcPr>
            <w:tcW w:w="2308" w:type="dxa"/>
            <w:tcBorders>
              <w:bottom w:val="nil"/>
            </w:tcBorders>
          </w:tcPr>
          <w:p w14:paraId="3116A5FE" w14:textId="7F716B4B" w:rsidR="00D10770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B87D29">
              <w:t>Iron</w:t>
            </w:r>
            <w:r>
              <w:t xml:space="preserve"> </w:t>
            </w:r>
            <w:r>
              <w:rPr>
                <w:rFonts w:hint="eastAsia"/>
              </w:rPr>
              <w:t>supplement</w:t>
            </w:r>
          </w:p>
        </w:tc>
        <w:tc>
          <w:tcPr>
            <w:tcW w:w="2228" w:type="dxa"/>
            <w:tcBorders>
              <w:bottom w:val="nil"/>
            </w:tcBorders>
          </w:tcPr>
          <w:p w14:paraId="4CEADA4A" w14:textId="77777777" w:rsidR="00D10770" w:rsidRPr="004D3C92" w:rsidRDefault="00D10770" w:rsidP="00D10770">
            <w:pPr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9D060C">
              <w:t>5090 (85.17%)</w:t>
            </w:r>
          </w:p>
        </w:tc>
      </w:tr>
      <w:tr w:rsidR="00D10770" w:rsidRPr="004D3C92" w14:paraId="4B709B64" w14:textId="77777777" w:rsidTr="00D10770">
        <w:trPr>
          <w:jc w:val="center"/>
        </w:trPr>
        <w:tc>
          <w:tcPr>
            <w:tcW w:w="2308" w:type="dxa"/>
            <w:tcBorders>
              <w:top w:val="nil"/>
              <w:bottom w:val="single" w:sz="12" w:space="0" w:color="auto"/>
            </w:tcBorders>
          </w:tcPr>
          <w:p w14:paraId="6C9B72D8" w14:textId="3D2E0A64" w:rsidR="00D10770" w:rsidRDefault="00D10770" w:rsidP="00D10770">
            <w:pPr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B87D29">
              <w:t>Selenium</w:t>
            </w:r>
            <w:r>
              <w:t xml:space="preserve"> </w:t>
            </w:r>
            <w:r>
              <w:rPr>
                <w:rFonts w:hint="eastAsia"/>
              </w:rPr>
              <w:t>supplement</w:t>
            </w:r>
          </w:p>
        </w:tc>
        <w:tc>
          <w:tcPr>
            <w:tcW w:w="2228" w:type="dxa"/>
            <w:tcBorders>
              <w:top w:val="nil"/>
              <w:bottom w:val="single" w:sz="12" w:space="0" w:color="auto"/>
            </w:tcBorders>
          </w:tcPr>
          <w:p w14:paraId="2291B8F0" w14:textId="77777777" w:rsidR="00D10770" w:rsidRPr="004D3C92" w:rsidRDefault="00D10770" w:rsidP="00D10770">
            <w:pPr>
              <w:jc w:val="center"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 w:rsidRPr="009D060C">
              <w:t>4790 (80.15%)</w:t>
            </w:r>
          </w:p>
        </w:tc>
      </w:tr>
    </w:tbl>
    <w:p w14:paraId="16C15380" w14:textId="1292DA43" w:rsidR="00CE3DBB" w:rsidRDefault="00506C34" w:rsidP="00181B00">
      <w:pPr>
        <w:jc w:val="both"/>
        <w:rPr>
          <w:sz w:val="21"/>
          <w:szCs w:val="21"/>
        </w:rPr>
      </w:pPr>
      <w:bookmarkStart w:id="1" w:name="_Hlk136441750"/>
      <w:bookmarkEnd w:id="0"/>
      <w:r>
        <w:rPr>
          <w:color w:val="000000"/>
          <w:sz w:val="21"/>
          <w:szCs w:val="21"/>
          <w:lang w:bidi="ar"/>
        </w:rPr>
        <w:t xml:space="preserve">Abbreviation: </w:t>
      </w:r>
      <w:r w:rsidRPr="00521D75">
        <w:rPr>
          <w:color w:val="000000"/>
          <w:sz w:val="21"/>
          <w:szCs w:val="21"/>
          <w:lang w:bidi="ar"/>
        </w:rPr>
        <w:t>PIR, Poverty-to-income ratio</w:t>
      </w:r>
      <w:r>
        <w:rPr>
          <w:sz w:val="21"/>
          <w:szCs w:val="21"/>
        </w:rPr>
        <w:t xml:space="preserve">; </w:t>
      </w:r>
      <w:bookmarkEnd w:id="1"/>
      <w:r w:rsidRPr="00561372">
        <w:rPr>
          <w:sz w:val="21"/>
          <w:szCs w:val="21"/>
        </w:rPr>
        <w:t xml:space="preserve">ALT, alanine aminotransferase; ALP, </w:t>
      </w:r>
      <w:r w:rsidRPr="00561372">
        <w:rPr>
          <w:color w:val="000000"/>
          <w:sz w:val="21"/>
          <w:szCs w:val="21"/>
        </w:rPr>
        <w:t>alkaline phosphatase</w:t>
      </w:r>
      <w:r w:rsidRPr="00561372">
        <w:rPr>
          <w:sz w:val="21"/>
          <w:szCs w:val="21"/>
        </w:rPr>
        <w:t>; AST, aspartate aminotransferase;</w:t>
      </w:r>
      <w:r w:rsidRPr="00867E59">
        <w:rPr>
          <w:sz w:val="21"/>
          <w:szCs w:val="21"/>
        </w:rPr>
        <w:t xml:space="preserve"> </w:t>
      </w:r>
      <w:r w:rsidRPr="00561372">
        <w:rPr>
          <w:sz w:val="21"/>
          <w:szCs w:val="21"/>
        </w:rPr>
        <w:t>BUN, blood urea nitrogen; GGT, gamma-glutamyl transaminase; LDH, lactate dehydrogenase</w:t>
      </w:r>
      <w:r>
        <w:rPr>
          <w:sz w:val="21"/>
          <w:szCs w:val="21"/>
        </w:rPr>
        <w:t>.</w:t>
      </w:r>
    </w:p>
    <w:p w14:paraId="05CB3F6B" w14:textId="02719FE3" w:rsidR="00181B00" w:rsidRDefault="00181B00">
      <w:pPr>
        <w:autoSpaceDE/>
        <w:autoSpaceDN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971EA73" w14:textId="77777777" w:rsidR="00181B00" w:rsidRPr="003B6941" w:rsidRDefault="00181B00" w:rsidP="00181B00">
      <w:pPr>
        <w:pStyle w:val="a7"/>
        <w:jc w:val="center"/>
        <w:rPr>
          <w:rFonts w:ascii="Times New Roman" w:eastAsia="宋体" w:hAnsi="Times New Roman"/>
          <w:b/>
          <w:bCs/>
          <w:sz w:val="21"/>
          <w:szCs w:val="21"/>
        </w:rPr>
      </w:pPr>
      <w:r w:rsidRPr="003B6941">
        <w:rPr>
          <w:rFonts w:ascii="Times New Roman" w:eastAsia="宋体" w:hAnsi="Times New Roman"/>
          <w:b/>
          <w:bCs/>
          <w:sz w:val="21"/>
          <w:szCs w:val="21"/>
        </w:rPr>
        <w:lastRenderedPageBreak/>
        <w:t>Supplementary table S2 Sensitivity analysis for the multiple imputation</w:t>
      </w:r>
    </w:p>
    <w:tbl>
      <w:tblPr>
        <w:tblW w:w="106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1845"/>
        <w:gridCol w:w="1134"/>
        <w:gridCol w:w="850"/>
      </w:tblGrid>
      <w:tr w:rsidR="00181B00" w:rsidRPr="0075510F" w14:paraId="6213A674" w14:textId="77777777" w:rsidTr="00181B00">
        <w:trPr>
          <w:cantSplit/>
          <w:jc w:val="center"/>
        </w:trPr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142278AE" w14:textId="0D961D9D" w:rsidR="00181B00" w:rsidRPr="0075510F" w:rsidRDefault="00181B00" w:rsidP="00181B00">
            <w:pPr>
              <w:keepNext/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bookmarkStart w:id="2" w:name="IDX"/>
            <w:bookmarkEnd w:id="2"/>
            <w:r w:rsidRPr="003B6941">
              <w:rPr>
                <w:b/>
                <w:bCs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097C753E" w14:textId="7A8CDA5A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B6941">
              <w:rPr>
                <w:b/>
                <w:bCs/>
                <w:sz w:val="21"/>
                <w:szCs w:val="21"/>
              </w:rPr>
              <w:t>Before imputation</w:t>
            </w: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06AA90B0" w14:textId="3C74EE19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B6941">
              <w:rPr>
                <w:b/>
                <w:bCs/>
                <w:sz w:val="21"/>
                <w:szCs w:val="21"/>
              </w:rPr>
              <w:t>After imputation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587D5626" w14:textId="46434EC6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3B6941">
              <w:rPr>
                <w:b/>
                <w:bCs/>
                <w:color w:val="000000"/>
                <w:sz w:val="21"/>
                <w:szCs w:val="21"/>
              </w:rPr>
              <w:t>Statistics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5B5EE212" w14:textId="57E29990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3B6941">
              <w:rPr>
                <w:b/>
                <w:bCs/>
                <w:i/>
                <w:iCs/>
                <w:color w:val="000000"/>
                <w:sz w:val="21"/>
                <w:szCs w:val="21"/>
              </w:rPr>
              <w:t>P</w:t>
            </w:r>
          </w:p>
        </w:tc>
      </w:tr>
      <w:tr w:rsidR="00181B00" w:rsidRPr="0075510F" w14:paraId="6E66D7DF" w14:textId="77777777" w:rsidTr="00181B00">
        <w:trPr>
          <w:cantSplit/>
          <w:jc w:val="center"/>
        </w:trPr>
        <w:tc>
          <w:tcPr>
            <w:tcW w:w="45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E588C8" w14:textId="2F384ABE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>Education</w:t>
            </w:r>
            <w:r>
              <w:rPr>
                <w:color w:val="000000"/>
                <w:sz w:val="21"/>
                <w:szCs w:val="21"/>
              </w:rPr>
              <w:t xml:space="preserve"> level</w:t>
            </w:r>
            <w:r w:rsidRPr="003B6941">
              <w:rPr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EBD35ED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BCA93B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910242" w14:textId="3CF2D0B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χ</w:t>
            </w:r>
            <w:r w:rsidRPr="0075510F">
              <w:rPr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1.55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107BB7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0.818</w:t>
            </w:r>
          </w:p>
        </w:tc>
      </w:tr>
      <w:tr w:rsidR="00181B00" w:rsidRPr="0075510F" w14:paraId="7DDFC832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746F48" w14:textId="3CAD0EAC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 xml:space="preserve">  Less than 9th grade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DE254D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339 (2.69)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49D675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339 (2.69)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53E63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74DC9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81B00" w:rsidRPr="0075510F" w14:paraId="1EB0BF98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101E81" w14:textId="0A5CDF41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 xml:space="preserve">  9-11th grade-includes 12th grade with no diploma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6EE38D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595 (6.40)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1C63E7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595 (6.40)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159ED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3BE19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81B00" w:rsidRPr="0075510F" w14:paraId="6F71E0E9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B2DD04" w14:textId="5C1281F3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 xml:space="preserve">  High school graduate/GED or equivalent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D5E880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1407 (26.58)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454EB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1408 (26.58)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8AE1F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CC297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81B00" w:rsidRPr="0075510F" w14:paraId="406663CB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CE4479" w14:textId="7E7A3193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 xml:space="preserve">  Some college or AA degree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25E3A5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2052 (30.65)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9B1D5D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2053 (30.65)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24C4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440CB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81B00" w:rsidRPr="0075510F" w14:paraId="5BBF6E3C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0F377E" w14:textId="3ED99B0D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 xml:space="preserve">  College graduate or above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0A0F5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1580 (33.69)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BBBC16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1581 (33.69)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B4CBE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BEA1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81B00" w:rsidRPr="0075510F" w14:paraId="47D5BD75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F4C864" w14:textId="462B5F76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sz w:val="21"/>
                <w:szCs w:val="21"/>
              </w:rPr>
              <w:t>ALT</w:t>
            </w:r>
            <w:r w:rsidRPr="003B6941">
              <w:rPr>
                <w:color w:val="000000"/>
                <w:sz w:val="21"/>
                <w:szCs w:val="21"/>
              </w:rPr>
              <w:t>,</w:t>
            </w:r>
            <w:r w:rsidRPr="003B6941">
              <w:rPr>
                <w:sz w:val="21"/>
                <w:szCs w:val="21"/>
              </w:rPr>
              <w:t xml:space="preserve"> </w:t>
            </w:r>
            <w:r w:rsidRPr="003B6941">
              <w:rPr>
                <w:color w:val="000000"/>
                <w:sz w:val="21"/>
                <w:szCs w:val="21"/>
              </w:rPr>
              <w:t>U/L,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B880F1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22.82 (0.34)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37648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22.83 (0.34)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17A998" w14:textId="41B874EF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-0.22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D1E1F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0.831</w:t>
            </w:r>
          </w:p>
        </w:tc>
      </w:tr>
      <w:tr w:rsidR="00181B00" w:rsidRPr="0075510F" w14:paraId="6D9E591B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D20259" w14:textId="79D6E4FC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sz w:val="21"/>
                <w:szCs w:val="21"/>
              </w:rPr>
              <w:t>ALP</w:t>
            </w:r>
            <w:r w:rsidRPr="003B6941">
              <w:rPr>
                <w:color w:val="000000"/>
                <w:sz w:val="21"/>
                <w:szCs w:val="21"/>
              </w:rPr>
              <w:t>,</w:t>
            </w:r>
            <w:r w:rsidRPr="003B6941">
              <w:rPr>
                <w:sz w:val="21"/>
                <w:szCs w:val="21"/>
              </w:rPr>
              <w:t xml:space="preserve"> </w:t>
            </w:r>
            <w:r w:rsidRPr="003B6941">
              <w:rPr>
                <w:color w:val="000000"/>
                <w:sz w:val="21"/>
                <w:szCs w:val="21"/>
              </w:rPr>
              <w:t>IU/L,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B11029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74.74 (0.62)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C5CA3D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74.81 (0.61)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EC5BBB" w14:textId="09D7724D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-0.68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87D90B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0.504</w:t>
            </w:r>
          </w:p>
        </w:tc>
      </w:tr>
      <w:tr w:rsidR="00181B00" w:rsidRPr="0075510F" w14:paraId="6B34352A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CD570B" w14:textId="71FE0E0B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sz w:val="21"/>
                <w:szCs w:val="21"/>
              </w:rPr>
              <w:t>AST</w:t>
            </w:r>
            <w:r w:rsidRPr="003B6941">
              <w:rPr>
                <w:color w:val="000000"/>
                <w:sz w:val="21"/>
                <w:szCs w:val="21"/>
              </w:rPr>
              <w:t>,</w:t>
            </w:r>
            <w:r w:rsidRPr="003B6941">
              <w:rPr>
                <w:sz w:val="21"/>
                <w:szCs w:val="21"/>
              </w:rPr>
              <w:t xml:space="preserve"> </w:t>
            </w:r>
            <w:r w:rsidRPr="003B6941">
              <w:rPr>
                <w:color w:val="000000"/>
                <w:sz w:val="21"/>
                <w:szCs w:val="21"/>
              </w:rPr>
              <w:t>U/L,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91331C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22.04 (0.29)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62AB97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22.08 (0.28)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5D8158" w14:textId="65B6BCA4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-1.14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37DD5E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0.264</w:t>
            </w:r>
          </w:p>
        </w:tc>
      </w:tr>
      <w:tr w:rsidR="00181B00" w:rsidRPr="0075510F" w14:paraId="4B29B872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E87A2D" w14:textId="1C80FD61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sz w:val="21"/>
                <w:szCs w:val="21"/>
              </w:rPr>
              <w:t>BUN</w:t>
            </w:r>
            <w:r w:rsidRPr="003B6941">
              <w:rPr>
                <w:color w:val="000000"/>
                <w:sz w:val="21"/>
                <w:szCs w:val="21"/>
              </w:rPr>
              <w:t>,</w:t>
            </w:r>
            <w:r w:rsidRPr="003B6941">
              <w:rPr>
                <w:sz w:val="21"/>
                <w:szCs w:val="21"/>
              </w:rPr>
              <w:t xml:space="preserve"> </w:t>
            </w:r>
            <w:r w:rsidRPr="003B6941">
              <w:rPr>
                <w:color w:val="000000"/>
                <w:sz w:val="21"/>
                <w:szCs w:val="21"/>
              </w:rPr>
              <w:t>mg/dL,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A3FC2C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14.92 (0.16)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DE61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14.91 (0.16)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402253" w14:textId="144AB472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717F35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0.854</w:t>
            </w:r>
          </w:p>
        </w:tc>
      </w:tr>
      <w:tr w:rsidR="00181B00" w:rsidRPr="0075510F" w14:paraId="28CD5A00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95BCFE" w14:textId="62A219FF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sz w:val="21"/>
                <w:szCs w:val="21"/>
              </w:rPr>
              <w:t>GGT</w:t>
            </w:r>
            <w:r w:rsidRPr="003B6941">
              <w:rPr>
                <w:color w:val="000000"/>
                <w:sz w:val="21"/>
                <w:szCs w:val="21"/>
              </w:rPr>
              <w:t>, IU/L,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800C00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29.16 (0.60)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5950E4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29.27 (0.60)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80FC17" w14:textId="41A39F5B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-0.87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53E037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0.391</w:t>
            </w:r>
          </w:p>
        </w:tc>
      </w:tr>
      <w:tr w:rsidR="00181B00" w:rsidRPr="0075510F" w14:paraId="57159E47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02786E" w14:textId="5A97B383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sz w:val="21"/>
                <w:szCs w:val="21"/>
              </w:rPr>
              <w:t>LDH</w:t>
            </w:r>
            <w:r w:rsidRPr="003B6941">
              <w:rPr>
                <w:color w:val="000000"/>
                <w:sz w:val="21"/>
                <w:szCs w:val="21"/>
              </w:rPr>
              <w:t>, IU/L,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D30A46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155.16 (1.26)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3DF201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155.37 (1.19)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79CA48" w14:textId="573CA14E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-1.32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5215A8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0.197</w:t>
            </w:r>
          </w:p>
        </w:tc>
      </w:tr>
      <w:tr w:rsidR="00181B00" w:rsidRPr="0075510F" w14:paraId="291CD988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65F83C" w14:textId="74E48DD6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>Uric acid, mg/dL, Mean (S.E)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F10BF6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5.37 (0.03)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64A114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5.37 (0.03)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844565" w14:textId="7ACE1A0A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671852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0.888</w:t>
            </w:r>
          </w:p>
        </w:tc>
      </w:tr>
      <w:tr w:rsidR="00181B00" w:rsidRPr="0075510F" w14:paraId="127746CC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52D204C8" w14:textId="6276AE17" w:rsidR="00181B00" w:rsidRPr="0075510F" w:rsidRDefault="00181B00" w:rsidP="00181B00">
            <w:pPr>
              <w:keepNext/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>Total bilirubin, mg/dL, Mean (S.E)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5E0E4658" w14:textId="77777777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0.47 (0.01)</w:t>
            </w: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64AD8811" w14:textId="77777777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0.48 (0.01)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7049D5CE" w14:textId="0EFC6B30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-0.87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5B9C33AC" w14:textId="77777777" w:rsidR="00181B00" w:rsidRPr="0075510F" w:rsidRDefault="00181B00" w:rsidP="00181B00">
            <w:pPr>
              <w:keepNext/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0.391</w:t>
            </w:r>
          </w:p>
        </w:tc>
      </w:tr>
      <w:tr w:rsidR="00181B00" w:rsidRPr="0075510F" w14:paraId="49967018" w14:textId="77777777" w:rsidTr="00181B00">
        <w:trPr>
          <w:cantSplit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4E3B683" w14:textId="1C343B18" w:rsidR="00181B00" w:rsidRPr="0075510F" w:rsidRDefault="00181B00" w:rsidP="00181B00">
            <w:pPr>
              <w:widowControl w:val="0"/>
              <w:adjustRightInd w:val="0"/>
              <w:rPr>
                <w:color w:val="000000"/>
                <w:sz w:val="21"/>
                <w:szCs w:val="21"/>
              </w:rPr>
            </w:pPr>
            <w:r w:rsidRPr="003B6941">
              <w:rPr>
                <w:color w:val="000000"/>
                <w:sz w:val="21"/>
                <w:szCs w:val="21"/>
              </w:rPr>
              <w:t>Platelet, 1000 cells/</w:t>
            </w:r>
            <w:proofErr w:type="spellStart"/>
            <w:r w:rsidRPr="003B6941">
              <w:rPr>
                <w:color w:val="000000"/>
                <w:sz w:val="21"/>
                <w:szCs w:val="21"/>
              </w:rPr>
              <w:t>uL</w:t>
            </w:r>
            <w:proofErr w:type="spellEnd"/>
            <w:r w:rsidRPr="003B6941">
              <w:rPr>
                <w:color w:val="000000"/>
                <w:sz w:val="21"/>
                <w:szCs w:val="21"/>
              </w:rPr>
              <w:t>, Mean (S.E)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EDD6E1F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245.88 (1.99)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FD66D61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245.53 (1.90)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02F2570" w14:textId="5ABB4ACE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t</w:t>
            </w:r>
            <w:r>
              <w:rPr>
                <w:color w:val="000000"/>
                <w:sz w:val="21"/>
                <w:szCs w:val="21"/>
              </w:rPr>
              <w:t xml:space="preserve"> = </w:t>
            </w:r>
            <w:r w:rsidRPr="0075510F">
              <w:rPr>
                <w:color w:val="000000"/>
                <w:sz w:val="21"/>
                <w:szCs w:val="21"/>
              </w:rPr>
              <w:t>1.79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BBC15A1" w14:textId="77777777" w:rsidR="00181B00" w:rsidRPr="0075510F" w:rsidRDefault="00181B00" w:rsidP="00181B00">
            <w:pPr>
              <w:widowControl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5510F">
              <w:rPr>
                <w:color w:val="000000"/>
                <w:sz w:val="21"/>
                <w:szCs w:val="21"/>
              </w:rPr>
              <w:t>0.086</w:t>
            </w:r>
          </w:p>
        </w:tc>
      </w:tr>
    </w:tbl>
    <w:p w14:paraId="56F19DD3" w14:textId="77777777" w:rsidR="00181B00" w:rsidRPr="003B6941" w:rsidRDefault="00181B00" w:rsidP="00181B00">
      <w:pPr>
        <w:autoSpaceDE/>
        <w:autoSpaceDN/>
        <w:jc w:val="both"/>
        <w:rPr>
          <w:sz w:val="21"/>
          <w:szCs w:val="21"/>
        </w:rPr>
      </w:pPr>
      <w:r w:rsidRPr="003B6941">
        <w:rPr>
          <w:color w:val="000000"/>
          <w:sz w:val="21"/>
          <w:szCs w:val="21"/>
          <w:lang w:bidi="ar"/>
        </w:rPr>
        <w:t xml:space="preserve">Abbreviation: </w:t>
      </w:r>
      <w:r w:rsidRPr="003B6941">
        <w:rPr>
          <w:color w:val="000000"/>
          <w:sz w:val="21"/>
          <w:szCs w:val="21"/>
        </w:rPr>
        <w:t>GED, General Educational Development;</w:t>
      </w:r>
      <w:r w:rsidRPr="003B6941">
        <w:rPr>
          <w:sz w:val="21"/>
          <w:szCs w:val="21"/>
        </w:rPr>
        <w:t xml:space="preserve"> AA, associate of arts; ALT, alanine aminotransferase; ALP, </w:t>
      </w:r>
      <w:r w:rsidRPr="003B6941">
        <w:rPr>
          <w:color w:val="000000"/>
          <w:sz w:val="21"/>
          <w:szCs w:val="21"/>
        </w:rPr>
        <w:t>alkaline phosphatase</w:t>
      </w:r>
      <w:r w:rsidRPr="003B6941">
        <w:rPr>
          <w:sz w:val="21"/>
          <w:szCs w:val="21"/>
        </w:rPr>
        <w:t xml:space="preserve">; AST, aspartate aminotransferase; BUN, blood urea nitrogen; GGT, gamma-glutamyl transaminase; LDH, lactate dehydrogenase. </w:t>
      </w:r>
    </w:p>
    <w:p w14:paraId="5C0F7BEA" w14:textId="77777777" w:rsidR="00181B00" w:rsidRPr="00181B00" w:rsidRDefault="00181B00"/>
    <w:sectPr w:rsidR="00181B00" w:rsidRPr="0018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5056" w14:textId="77777777" w:rsidR="00B51384" w:rsidRDefault="00B51384" w:rsidP="00506C34">
      <w:r>
        <w:separator/>
      </w:r>
    </w:p>
  </w:endnote>
  <w:endnote w:type="continuationSeparator" w:id="0">
    <w:p w14:paraId="4E4D9BC1" w14:textId="77777777" w:rsidR="00B51384" w:rsidRDefault="00B51384" w:rsidP="005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68C1" w14:textId="77777777" w:rsidR="00B51384" w:rsidRDefault="00B51384" w:rsidP="00506C34">
      <w:r>
        <w:separator/>
      </w:r>
    </w:p>
  </w:footnote>
  <w:footnote w:type="continuationSeparator" w:id="0">
    <w:p w14:paraId="5936262D" w14:textId="77777777" w:rsidR="00B51384" w:rsidRDefault="00B51384" w:rsidP="0050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74"/>
    <w:rsid w:val="00181B00"/>
    <w:rsid w:val="00506C34"/>
    <w:rsid w:val="00AC3774"/>
    <w:rsid w:val="00B51384"/>
    <w:rsid w:val="00CE3DBB"/>
    <w:rsid w:val="00D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89A34"/>
  <w15:chartTrackingRefBased/>
  <w15:docId w15:val="{789CEEAD-F919-45D1-9F82-C97EA642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34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C34"/>
    <w:pPr>
      <w:widowControl w:val="0"/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C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C34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C34"/>
    <w:rPr>
      <w:sz w:val="18"/>
      <w:szCs w:val="18"/>
    </w:rPr>
  </w:style>
  <w:style w:type="paragraph" w:styleId="a7">
    <w:name w:val="caption"/>
    <w:basedOn w:val="a"/>
    <w:next w:val="a"/>
    <w:uiPriority w:val="99"/>
    <w:qFormat/>
    <w:rsid w:val="00506C34"/>
    <w:pPr>
      <w:widowControl w:val="0"/>
      <w:autoSpaceDE/>
      <w:autoSpaceDN/>
      <w:jc w:val="both"/>
    </w:pPr>
    <w:rPr>
      <w:rFonts w:ascii="等线 Light" w:eastAsia="黑体" w:hAnsi="等线 Light"/>
      <w:kern w:val="2"/>
    </w:rPr>
  </w:style>
  <w:style w:type="table" w:styleId="a8">
    <w:name w:val="Table Grid"/>
    <w:basedOn w:val="a1"/>
    <w:uiPriority w:val="99"/>
    <w:qFormat/>
    <w:rsid w:val="00506C3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2023-09-25T07:53:00Z</dcterms:created>
  <dcterms:modified xsi:type="dcterms:W3CDTF">2023-09-25T08:02:00Z</dcterms:modified>
</cp:coreProperties>
</file>