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581DD" w14:textId="77777777" w:rsidR="00CC7DB3" w:rsidRDefault="007D3C06" w:rsidP="007D3C06">
      <w:pPr>
        <w:rPr>
          <w:b/>
          <w:bCs/>
          <w:sz w:val="32"/>
          <w:szCs w:val="32"/>
        </w:rPr>
      </w:pPr>
      <w:r>
        <w:rPr>
          <w:b/>
          <w:bCs/>
          <w:sz w:val="32"/>
          <w:szCs w:val="32"/>
        </w:rPr>
        <w:t>Online Appen</w:t>
      </w:r>
      <w:r w:rsidR="00CC7DB3">
        <w:rPr>
          <w:b/>
          <w:bCs/>
          <w:sz w:val="32"/>
          <w:szCs w:val="32"/>
        </w:rPr>
        <w:t>dix</w:t>
      </w:r>
    </w:p>
    <w:p w14:paraId="023DC22E" w14:textId="77777777" w:rsidR="00CC7DB3" w:rsidRDefault="00CC7DB3" w:rsidP="007D3C06">
      <w:pPr>
        <w:rPr>
          <w:b/>
          <w:bCs/>
          <w:sz w:val="32"/>
          <w:szCs w:val="32"/>
        </w:rPr>
      </w:pPr>
    </w:p>
    <w:p w14:paraId="73AFFF24" w14:textId="77777777" w:rsidR="00CC7DB3" w:rsidRDefault="00CC7DB3" w:rsidP="007D3C06">
      <w:pPr>
        <w:rPr>
          <w:b/>
          <w:bCs/>
          <w:sz w:val="32"/>
          <w:szCs w:val="32"/>
        </w:rPr>
      </w:pPr>
    </w:p>
    <w:p w14:paraId="4736008A" w14:textId="164F1A48" w:rsidR="007D3C06" w:rsidRPr="00AF7478" w:rsidRDefault="007D3C06" w:rsidP="007D3C06">
      <w:pPr>
        <w:rPr>
          <w:b/>
          <w:bCs/>
          <w:sz w:val="32"/>
          <w:szCs w:val="32"/>
          <w:lang w:val="en-US"/>
        </w:rPr>
      </w:pPr>
      <w:r w:rsidRPr="00AF7478">
        <w:rPr>
          <w:b/>
          <w:bCs/>
          <w:sz w:val="32"/>
          <w:szCs w:val="32"/>
        </w:rPr>
        <w:t>Spend it, save it, or transfer it?</w:t>
      </w:r>
    </w:p>
    <w:p w14:paraId="7DBF7D1B" w14:textId="77777777" w:rsidR="007D3C06" w:rsidRPr="00AF7478" w:rsidRDefault="007D3C06" w:rsidP="007D3C06">
      <w:pPr>
        <w:rPr>
          <w:lang w:val="en-US"/>
        </w:rPr>
      </w:pPr>
    </w:p>
    <w:p w14:paraId="362F5FE2" w14:textId="77777777" w:rsidR="007D3C06" w:rsidRPr="00AF7478" w:rsidRDefault="007D3C06" w:rsidP="007D3C06">
      <w:pPr>
        <w:rPr>
          <w:color w:val="000000" w:themeColor="text1"/>
          <w:lang w:val="en-US"/>
        </w:rPr>
      </w:pPr>
    </w:p>
    <w:p w14:paraId="527E2A4E" w14:textId="77777777" w:rsidR="007D3C06" w:rsidRPr="00AF7478" w:rsidRDefault="007D3C06" w:rsidP="007D3C06">
      <w:pPr>
        <w:spacing w:line="480" w:lineRule="auto"/>
        <w:rPr>
          <w:vertAlign w:val="superscript"/>
          <w:lang w:val="en-US"/>
        </w:rPr>
      </w:pPr>
      <w:r w:rsidRPr="00AF7478">
        <w:rPr>
          <w:lang w:val="en-US"/>
        </w:rPr>
        <w:t xml:space="preserve">Yanan Zhang </w:t>
      </w:r>
      <w:r w:rsidRPr="00AF7478">
        <w:rPr>
          <w:vertAlign w:val="superscript"/>
          <w:lang w:val="en-US"/>
        </w:rPr>
        <w:t>1</w:t>
      </w:r>
      <w:r w:rsidRPr="00AF7478">
        <w:rPr>
          <w:lang w:val="en-US"/>
        </w:rPr>
        <w:t xml:space="preserve"> and Alessandra Guariglia</w:t>
      </w:r>
      <w:r w:rsidRPr="00AF7478">
        <w:rPr>
          <w:vertAlign w:val="superscript"/>
          <w:lang w:val="en-US"/>
        </w:rPr>
        <w:t>2</w:t>
      </w:r>
    </w:p>
    <w:p w14:paraId="4D29DDEF" w14:textId="77777777" w:rsidR="007D3C06" w:rsidRPr="00AF7478" w:rsidRDefault="007D3C06" w:rsidP="007D3C06">
      <w:pPr>
        <w:jc w:val="both"/>
        <w:rPr>
          <w:sz w:val="20"/>
          <w:szCs w:val="20"/>
          <w:lang w:val="en-US"/>
        </w:rPr>
      </w:pPr>
      <w:r w:rsidRPr="00AF7478">
        <w:rPr>
          <w:sz w:val="20"/>
          <w:szCs w:val="20"/>
          <w:vertAlign w:val="superscript"/>
          <w:lang w:val="en-US"/>
        </w:rPr>
        <w:t xml:space="preserve">1 </w:t>
      </w:r>
      <w:r w:rsidRPr="00AF7478">
        <w:rPr>
          <w:sz w:val="20"/>
          <w:szCs w:val="20"/>
          <w:lang w:val="en-US"/>
        </w:rPr>
        <w:t xml:space="preserve">Oxford Institute of Population Ageing, University of Oxford, 66 Banbury Road, Oxford, OX2 6PR, </w:t>
      </w:r>
      <w:r w:rsidRPr="00AF7478">
        <w:rPr>
          <w:color w:val="000000" w:themeColor="text1"/>
          <w:sz w:val="20"/>
          <w:szCs w:val="20"/>
          <w:lang w:val="en-US"/>
        </w:rPr>
        <w:t>United Kingdom</w:t>
      </w:r>
      <w:r w:rsidRPr="00AF7478">
        <w:rPr>
          <w:sz w:val="20"/>
          <w:szCs w:val="20"/>
          <w:lang w:val="en-US"/>
        </w:rPr>
        <w:t xml:space="preserve">. </w:t>
      </w:r>
    </w:p>
    <w:p w14:paraId="5A33ED5E" w14:textId="77777777" w:rsidR="007D3C06" w:rsidRPr="00AF7478" w:rsidRDefault="007D3C06" w:rsidP="007D3C06">
      <w:pPr>
        <w:rPr>
          <w:rStyle w:val="Hyperlink"/>
          <w:rFonts w:eastAsiaTheme="majorEastAsia"/>
          <w:color w:val="000000" w:themeColor="text1"/>
          <w:sz w:val="20"/>
          <w:szCs w:val="20"/>
          <w:u w:val="none"/>
          <w:shd w:val="clear" w:color="auto" w:fill="FFFFFF"/>
          <w:lang w:val="en-US"/>
        </w:rPr>
      </w:pPr>
      <w:r w:rsidRPr="00AF7478">
        <w:rPr>
          <w:sz w:val="20"/>
          <w:szCs w:val="20"/>
          <w:lang w:val="it-IT"/>
        </w:rPr>
        <w:t>E-mail</w:t>
      </w:r>
      <w:r w:rsidRPr="00AF7478">
        <w:rPr>
          <w:color w:val="000000" w:themeColor="text1"/>
          <w:sz w:val="20"/>
          <w:szCs w:val="20"/>
          <w:lang w:val="it-IT"/>
        </w:rPr>
        <w:t xml:space="preserve">: </w:t>
      </w:r>
      <w:hyperlink r:id="rId8" w:history="1">
        <w:r w:rsidRPr="00AF7478">
          <w:rPr>
            <w:rStyle w:val="Hyperlink"/>
            <w:rFonts w:eastAsiaTheme="majorEastAsia"/>
            <w:color w:val="000000" w:themeColor="text1"/>
            <w:sz w:val="20"/>
            <w:szCs w:val="20"/>
            <w:u w:val="none"/>
            <w:lang w:val="it-IT"/>
          </w:rPr>
          <w:t>yanan.zhang@ageing.ox.ac.uk</w:t>
        </w:r>
      </w:hyperlink>
      <w:r w:rsidRPr="00AF7478">
        <w:rPr>
          <w:color w:val="000000" w:themeColor="text1"/>
          <w:sz w:val="20"/>
          <w:szCs w:val="20"/>
          <w:lang w:val="it-IT"/>
        </w:rPr>
        <w:t xml:space="preserve">. </w:t>
      </w:r>
      <w:r w:rsidRPr="00AF7478">
        <w:rPr>
          <w:color w:val="000000" w:themeColor="text1"/>
          <w:sz w:val="20"/>
          <w:szCs w:val="20"/>
          <w:lang w:val="en-US"/>
        </w:rPr>
        <w:t xml:space="preserve">ORCID: </w:t>
      </w:r>
      <w:r w:rsidRPr="00AF7478">
        <w:rPr>
          <w:color w:val="000000" w:themeColor="text1"/>
          <w:sz w:val="20"/>
          <w:szCs w:val="20"/>
          <w:shd w:val="clear" w:color="auto" w:fill="FFFFFF"/>
          <w:lang w:val="en-US"/>
        </w:rPr>
        <w:t> </w:t>
      </w:r>
      <w:hyperlink r:id="rId9" w:tgtFrame="_blank" w:history="1">
        <w:r w:rsidRPr="00AF7478">
          <w:rPr>
            <w:rStyle w:val="Hyperlink"/>
            <w:rFonts w:eastAsiaTheme="majorEastAsia"/>
            <w:color w:val="000000" w:themeColor="text1"/>
            <w:sz w:val="20"/>
            <w:szCs w:val="20"/>
            <w:u w:val="none"/>
            <w:shd w:val="clear" w:color="auto" w:fill="FFFFFF"/>
            <w:lang w:val="en-US"/>
          </w:rPr>
          <w:t>0000-0003-3836-4232</w:t>
        </w:r>
      </w:hyperlink>
    </w:p>
    <w:p w14:paraId="15261D4C" w14:textId="77777777" w:rsidR="007D3C06" w:rsidRPr="00AF7478" w:rsidRDefault="007D3C06" w:rsidP="007D3C06">
      <w:pPr>
        <w:rPr>
          <w:color w:val="000000" w:themeColor="text1"/>
          <w:sz w:val="20"/>
          <w:szCs w:val="20"/>
          <w:shd w:val="clear" w:color="auto" w:fill="FFFFFF"/>
          <w:lang w:val="en-US"/>
        </w:rPr>
      </w:pPr>
    </w:p>
    <w:p w14:paraId="723EA088" w14:textId="77777777" w:rsidR="007D3C06" w:rsidRPr="00AF7478" w:rsidRDefault="007D3C06" w:rsidP="007D3C06">
      <w:pPr>
        <w:jc w:val="both"/>
        <w:rPr>
          <w:color w:val="000000" w:themeColor="text1"/>
          <w:sz w:val="20"/>
          <w:szCs w:val="20"/>
          <w:lang w:val="en-US"/>
        </w:rPr>
      </w:pPr>
      <w:r w:rsidRPr="00AF7478">
        <w:rPr>
          <w:color w:val="000000" w:themeColor="text1"/>
          <w:sz w:val="20"/>
          <w:szCs w:val="20"/>
          <w:vertAlign w:val="superscript"/>
          <w:lang w:val="en-US"/>
        </w:rPr>
        <w:t xml:space="preserve">2 </w:t>
      </w:r>
      <w:r w:rsidRPr="00AF7478">
        <w:rPr>
          <w:color w:val="000000" w:themeColor="text1"/>
          <w:sz w:val="20"/>
          <w:szCs w:val="20"/>
          <w:lang w:val="en-US"/>
        </w:rPr>
        <w:t xml:space="preserve">Corresponding author. Department of Economics, University of Birmingham, University House, Edgbaston, Birmingham B15 2TY, United Kingdom. </w:t>
      </w:r>
    </w:p>
    <w:p w14:paraId="67A17CE3" w14:textId="77777777" w:rsidR="007D3C06" w:rsidRPr="00AF7478" w:rsidRDefault="007D3C06" w:rsidP="007D3C06">
      <w:pPr>
        <w:rPr>
          <w:color w:val="000000" w:themeColor="text1"/>
          <w:sz w:val="20"/>
          <w:szCs w:val="20"/>
          <w:lang w:val="en-US"/>
        </w:rPr>
      </w:pPr>
      <w:r w:rsidRPr="00AF7478">
        <w:rPr>
          <w:color w:val="000000" w:themeColor="text1"/>
          <w:sz w:val="20"/>
          <w:szCs w:val="20"/>
          <w:lang w:val="it-IT"/>
        </w:rPr>
        <w:t xml:space="preserve">E-mail: </w:t>
      </w:r>
      <w:hyperlink r:id="rId10" w:history="1">
        <w:r w:rsidRPr="00AF7478">
          <w:rPr>
            <w:rStyle w:val="Hyperlink"/>
            <w:rFonts w:eastAsiaTheme="majorEastAsia"/>
            <w:color w:val="000000" w:themeColor="text1"/>
            <w:sz w:val="20"/>
            <w:szCs w:val="20"/>
            <w:u w:val="none"/>
            <w:lang w:val="it-IT"/>
          </w:rPr>
          <w:t>a.guariglia@bham.ac.uk</w:t>
        </w:r>
      </w:hyperlink>
      <w:r w:rsidRPr="00AF7478">
        <w:rPr>
          <w:color w:val="000000" w:themeColor="text1"/>
          <w:sz w:val="20"/>
          <w:szCs w:val="20"/>
          <w:lang w:val="it-IT"/>
        </w:rPr>
        <w:t xml:space="preserve">. </w:t>
      </w:r>
      <w:r w:rsidRPr="00AF7478">
        <w:rPr>
          <w:color w:val="000000" w:themeColor="text1"/>
          <w:sz w:val="20"/>
          <w:szCs w:val="20"/>
          <w:lang w:val="en-US"/>
        </w:rPr>
        <w:t>ORCID: 0000-0001-5417-2615</w:t>
      </w:r>
    </w:p>
    <w:p w14:paraId="7EE5B76F" w14:textId="77777777" w:rsidR="007D3C06" w:rsidRDefault="007D3C06" w:rsidP="007D3C06">
      <w:pPr>
        <w:spacing w:line="360" w:lineRule="auto"/>
        <w:rPr>
          <w:b/>
          <w:bCs/>
        </w:rPr>
      </w:pPr>
    </w:p>
    <w:p w14:paraId="4C506C72" w14:textId="050A01B7" w:rsidR="007D3C06" w:rsidRDefault="007D3C06">
      <w:pPr>
        <w:spacing w:after="160" w:line="259" w:lineRule="auto"/>
        <w:rPr>
          <w:rFonts w:eastAsia="SimSun"/>
          <w:b/>
          <w:bCs/>
          <w:lang w:eastAsia="en-US"/>
        </w:rPr>
      </w:pPr>
      <w:r>
        <w:rPr>
          <w:rFonts w:eastAsia="SimSun"/>
          <w:b/>
          <w:bCs/>
          <w:lang w:eastAsia="en-US"/>
        </w:rPr>
        <w:br w:type="page"/>
      </w:r>
    </w:p>
    <w:p w14:paraId="69091FBE" w14:textId="4DBB1835" w:rsidR="00B41534" w:rsidRPr="00A85D54" w:rsidRDefault="00B41534" w:rsidP="00B41534">
      <w:pPr>
        <w:spacing w:line="360" w:lineRule="auto"/>
        <w:jc w:val="both"/>
        <w:rPr>
          <w:b/>
          <w:bCs/>
          <w:iCs/>
          <w:lang w:val="en-US"/>
        </w:rPr>
      </w:pPr>
      <w:r w:rsidRPr="00A85D54">
        <w:rPr>
          <w:b/>
          <w:bCs/>
          <w:iCs/>
          <w:lang w:val="en-US"/>
        </w:rPr>
        <w:lastRenderedPageBreak/>
        <w:t>Appendix A</w:t>
      </w:r>
      <w:r w:rsidR="002E6777">
        <w:rPr>
          <w:b/>
          <w:bCs/>
          <w:iCs/>
          <w:lang w:val="en-US"/>
        </w:rPr>
        <w:t>.</w:t>
      </w:r>
      <w:r w:rsidRPr="00A85D54">
        <w:rPr>
          <w:b/>
          <w:bCs/>
          <w:iCs/>
          <w:lang w:val="en-US"/>
        </w:rPr>
        <w:t xml:space="preserve"> </w:t>
      </w:r>
      <w:r w:rsidR="009E599F">
        <w:rPr>
          <w:b/>
          <w:bCs/>
          <w:iCs/>
          <w:lang w:val="en-US"/>
        </w:rPr>
        <w:t>D</w:t>
      </w:r>
      <w:r w:rsidRPr="00A85D54">
        <w:rPr>
          <w:b/>
          <w:bCs/>
          <w:iCs/>
          <w:lang w:val="en-US"/>
        </w:rPr>
        <w:t xml:space="preserve">efinitions of all variables </w:t>
      </w:r>
    </w:p>
    <w:p w14:paraId="1E13AD3E" w14:textId="29077F9C" w:rsidR="00B41534" w:rsidRPr="00A85D54" w:rsidRDefault="00B41534" w:rsidP="00B41534">
      <w:pPr>
        <w:spacing w:line="360" w:lineRule="auto"/>
        <w:jc w:val="both"/>
        <w:rPr>
          <w:lang w:val="en-US"/>
        </w:rPr>
      </w:pPr>
      <w:r w:rsidRPr="00A85D54">
        <w:rPr>
          <w:lang w:val="en-US"/>
        </w:rPr>
        <w:t>Table A</w:t>
      </w:r>
      <w:r w:rsidR="009E599F">
        <w:rPr>
          <w:lang w:val="en-US"/>
        </w:rPr>
        <w:t>1</w:t>
      </w:r>
      <w:r w:rsidRPr="00A85D54">
        <w:rPr>
          <w:lang w:val="en-US"/>
        </w:rPr>
        <w:t xml:space="preserve"> presents definitions of all variables used in our models. </w:t>
      </w:r>
    </w:p>
    <w:p w14:paraId="73E9E89B" w14:textId="43EB1104" w:rsidR="00B41534" w:rsidRDefault="00B41534" w:rsidP="00B41534">
      <w:pPr>
        <w:spacing w:line="360" w:lineRule="auto"/>
        <w:jc w:val="both"/>
        <w:rPr>
          <w:lang w:val="en-US"/>
        </w:rPr>
      </w:pPr>
    </w:p>
    <w:p w14:paraId="6F8D6E47" w14:textId="4A0108D7" w:rsidR="00B41534" w:rsidRPr="00A85D54" w:rsidRDefault="00B41534" w:rsidP="00B41534">
      <w:pPr>
        <w:spacing w:line="360" w:lineRule="auto"/>
        <w:jc w:val="both"/>
        <w:rPr>
          <w:b/>
          <w:bCs/>
          <w:lang w:val="en-US"/>
        </w:rPr>
      </w:pPr>
      <w:r w:rsidRPr="00A85D54">
        <w:rPr>
          <w:b/>
          <w:bCs/>
          <w:lang w:val="en-US"/>
        </w:rPr>
        <w:t xml:space="preserve">Appendix </w:t>
      </w:r>
      <w:r w:rsidR="007D3C06">
        <w:rPr>
          <w:b/>
          <w:bCs/>
          <w:lang w:val="en-US"/>
        </w:rPr>
        <w:t>B</w:t>
      </w:r>
      <w:r w:rsidR="002E6777">
        <w:rPr>
          <w:b/>
          <w:bCs/>
          <w:lang w:val="en-US"/>
        </w:rPr>
        <w:t>.</w:t>
      </w:r>
      <w:r w:rsidRPr="00A85D54">
        <w:rPr>
          <w:b/>
          <w:bCs/>
          <w:lang w:val="en-US"/>
        </w:rPr>
        <w:t xml:space="preserve"> Descriptive statistics</w:t>
      </w:r>
    </w:p>
    <w:p w14:paraId="1FCC9042" w14:textId="5926B62D" w:rsidR="00B41534" w:rsidRPr="00A85D54" w:rsidRDefault="00B41534" w:rsidP="00B41534">
      <w:pPr>
        <w:spacing w:line="360" w:lineRule="auto"/>
        <w:jc w:val="both"/>
        <w:rPr>
          <w:lang w:val="en-US"/>
        </w:rPr>
      </w:pPr>
      <w:r w:rsidRPr="00A85D54">
        <w:rPr>
          <w:lang w:val="en-US"/>
        </w:rPr>
        <w:t xml:space="preserve">Table </w:t>
      </w:r>
      <w:r w:rsidR="002959CC">
        <w:rPr>
          <w:lang w:val="en-US"/>
        </w:rPr>
        <w:t>A</w:t>
      </w:r>
      <w:r w:rsidR="009E599F">
        <w:rPr>
          <w:lang w:val="en-US"/>
        </w:rPr>
        <w:t>2</w:t>
      </w:r>
      <w:r w:rsidRPr="00A85D54">
        <w:rPr>
          <w:lang w:val="en-US"/>
        </w:rPr>
        <w:t xml:space="preserve"> </w:t>
      </w:r>
      <w:r w:rsidR="006B10C5">
        <w:rPr>
          <w:lang w:val="en-US"/>
        </w:rPr>
        <w:t>displays</w:t>
      </w:r>
      <w:r w:rsidRPr="00A85D54">
        <w:rPr>
          <w:lang w:val="en-US"/>
        </w:rPr>
        <w:t xml:space="preserve"> </w:t>
      </w:r>
      <w:r w:rsidR="006B10C5">
        <w:rPr>
          <w:lang w:val="en-US"/>
        </w:rPr>
        <w:t xml:space="preserve">descriptive statistics for </w:t>
      </w:r>
      <w:r w:rsidRPr="00A85D54">
        <w:rPr>
          <w:lang w:val="en-US"/>
        </w:rPr>
        <w:t xml:space="preserve">different categories of consumer expenditure, namely home expenditure, food, durables, medical (out-of-pocket), recreation, clothing, </w:t>
      </w:r>
      <w:proofErr w:type="gramStart"/>
      <w:r w:rsidRPr="00A85D54">
        <w:rPr>
          <w:lang w:val="en-US"/>
        </w:rPr>
        <w:t>education</w:t>
      </w:r>
      <w:proofErr w:type="gramEnd"/>
      <w:r w:rsidRPr="00A85D54">
        <w:rPr>
          <w:lang w:val="en-US"/>
        </w:rPr>
        <w:t xml:space="preserve"> and others.</w:t>
      </w:r>
      <w:r w:rsidRPr="00A85D54">
        <w:rPr>
          <w:rStyle w:val="FootnoteReference"/>
          <w:lang w:val="en-US"/>
        </w:rPr>
        <w:footnoteReference w:id="1"/>
      </w:r>
      <w:r w:rsidRPr="00A85D54">
        <w:rPr>
          <w:lang w:val="en-US"/>
        </w:rPr>
        <w:t xml:space="preserve"> The table shows that expenditure on food is the largest consumption category, covering 53.76</w:t>
      </w:r>
      <w:r w:rsidR="00677E7F">
        <w:rPr>
          <w:lang w:val="en-US"/>
        </w:rPr>
        <w:t xml:space="preserve"> percent </w:t>
      </w:r>
      <w:r w:rsidRPr="00A85D54">
        <w:rPr>
          <w:lang w:val="en-US"/>
        </w:rPr>
        <w:t>of the total consumption. Medical (out-of-pocket) expenditure is the second largest category, which accounts for around 13.44</w:t>
      </w:r>
      <w:r w:rsidR="00677E7F">
        <w:rPr>
          <w:lang w:val="en-US"/>
        </w:rPr>
        <w:t xml:space="preserve"> percent</w:t>
      </w:r>
      <w:r w:rsidRPr="00A85D54">
        <w:rPr>
          <w:lang w:val="en-US"/>
        </w:rPr>
        <w:t xml:space="preserve"> of the aggregate expenditure. The third largest consumption component is home expenditures, with a share of 11.86</w:t>
      </w:r>
      <w:r w:rsidR="00677E7F">
        <w:rPr>
          <w:lang w:val="en-US"/>
        </w:rPr>
        <w:t xml:space="preserve"> percent</w:t>
      </w:r>
      <w:r w:rsidRPr="00A85D54">
        <w:rPr>
          <w:lang w:val="en-US"/>
        </w:rPr>
        <w:t>.</w:t>
      </w:r>
    </w:p>
    <w:p w14:paraId="05C6EE33" w14:textId="75147ABF" w:rsidR="00B41534" w:rsidRPr="00A85D54" w:rsidRDefault="00B41534" w:rsidP="00B41534">
      <w:pPr>
        <w:spacing w:line="360" w:lineRule="auto"/>
        <w:ind w:firstLine="720"/>
        <w:jc w:val="both"/>
        <w:rPr>
          <w:lang w:val="en-US"/>
        </w:rPr>
      </w:pPr>
      <w:r w:rsidRPr="00A85D54">
        <w:rPr>
          <w:lang w:val="en-US"/>
        </w:rPr>
        <w:t xml:space="preserve">Table </w:t>
      </w:r>
      <w:r w:rsidR="002959CC">
        <w:rPr>
          <w:lang w:val="en-US"/>
        </w:rPr>
        <w:t>A</w:t>
      </w:r>
      <w:r w:rsidR="009E599F">
        <w:rPr>
          <w:lang w:val="en-US"/>
        </w:rPr>
        <w:t>3</w:t>
      </w:r>
      <w:r w:rsidRPr="00A85D54">
        <w:rPr>
          <w:lang w:val="en-US"/>
        </w:rPr>
        <w:t xml:space="preserve"> </w:t>
      </w:r>
      <w:r w:rsidR="006B10C5">
        <w:rPr>
          <w:lang w:val="en-US"/>
        </w:rPr>
        <w:t>show</w:t>
      </w:r>
      <w:r w:rsidRPr="00A85D54">
        <w:rPr>
          <w:lang w:val="en-US"/>
        </w:rPr>
        <w:t xml:space="preserve">s </w:t>
      </w:r>
      <w:r w:rsidR="006B10C5">
        <w:rPr>
          <w:lang w:val="en-US"/>
        </w:rPr>
        <w:t>how</w:t>
      </w:r>
      <w:r w:rsidRPr="00A85D54">
        <w:rPr>
          <w:lang w:val="en-US"/>
        </w:rPr>
        <w:t xml:space="preserve"> consumption change</w:t>
      </w:r>
      <w:r w:rsidR="006B10C5">
        <w:rPr>
          <w:lang w:val="en-US"/>
        </w:rPr>
        <w:t>s</w:t>
      </w:r>
      <w:r w:rsidRPr="00A85D54">
        <w:rPr>
          <w:lang w:val="en-US"/>
        </w:rPr>
        <w:t xml:space="preserve"> </w:t>
      </w:r>
      <w:r w:rsidR="006B10C5">
        <w:rPr>
          <w:lang w:val="en-US"/>
        </w:rPr>
        <w:t>for</w:t>
      </w:r>
      <w:r w:rsidRPr="00A85D54">
        <w:rPr>
          <w:lang w:val="en-US"/>
        </w:rPr>
        <w:t xml:space="preserve"> households with leavers between 2011 and 2013. We observe a significant increase in food consumption, and recreation, along with a slight and insignificant decrease in annual total consumption over those years. The average annual food consumption (inflation adjusted) increased by around 1,886 yuan between the two years. During the periods between the civil war and the reform and opening-up of the Chinese economy, </w:t>
      </w:r>
      <w:proofErr w:type="gramStart"/>
      <w:r w:rsidRPr="00A85D54">
        <w:rPr>
          <w:lang w:val="en-US"/>
        </w:rPr>
        <w:t>the majority of</w:t>
      </w:r>
      <w:proofErr w:type="gramEnd"/>
      <w:r w:rsidRPr="00A85D54">
        <w:rPr>
          <w:lang w:val="en-US"/>
        </w:rPr>
        <w:t xml:space="preserve"> Chinese residents were living in poverty and barely able to meet their basic needs. Following the rapid growth of the economy, residents’ income has been increasing steadily, and, as a result, food consumption has also been rising gradually. At the same time, people have been improving the quality of their food, which largely increased the expenditure on food </w:t>
      </w:r>
      <w:r w:rsidRPr="00A85D54">
        <w:rPr>
          <w:rFonts w:eastAsia="SimSun"/>
          <w:lang w:val="en-US" w:eastAsia="en-US"/>
        </w:rPr>
        <w:t xml:space="preserve">(Gu </w:t>
      </w:r>
      <w:r w:rsidRPr="00A85D54">
        <w:rPr>
          <w:rFonts w:eastAsia="SimSun"/>
          <w:i/>
          <w:iCs/>
          <w:lang w:val="en-US" w:eastAsia="en-US"/>
        </w:rPr>
        <w:t>et al.</w:t>
      </w:r>
      <w:r w:rsidRPr="00A85D54">
        <w:rPr>
          <w:rFonts w:eastAsia="SimSun"/>
          <w:i/>
          <w:lang w:val="en-US" w:eastAsia="en-US"/>
        </w:rPr>
        <w:t>,</w:t>
      </w:r>
      <w:r w:rsidRPr="00A85D54">
        <w:rPr>
          <w:rFonts w:eastAsia="SimSun"/>
          <w:lang w:val="en-US" w:eastAsia="en-US"/>
        </w:rPr>
        <w:t xml:space="preserve"> 2015)</w:t>
      </w:r>
      <w:r w:rsidRPr="00A85D54">
        <w:rPr>
          <w:lang w:val="en-US"/>
        </w:rPr>
        <w:t xml:space="preserve">. This rise in food expenditure over time may </w:t>
      </w:r>
      <w:proofErr w:type="gramStart"/>
      <w:r w:rsidRPr="00A85D54">
        <w:rPr>
          <w:lang w:val="en-US"/>
        </w:rPr>
        <w:t>compensate</w:t>
      </w:r>
      <w:proofErr w:type="gramEnd"/>
      <w:r w:rsidRPr="00A85D54">
        <w:rPr>
          <w:lang w:val="en-US"/>
        </w:rPr>
        <w:t xml:space="preserve"> the decline following the departure of household members. Furthermore, parents whose children or grandchildren moved out have more time to enjoy themselves and, consequently, spend a greater amount of money on recreation. Table </w:t>
      </w:r>
      <w:r w:rsidR="009235CB">
        <w:rPr>
          <w:lang w:val="en-US"/>
        </w:rPr>
        <w:t>A</w:t>
      </w:r>
      <w:r w:rsidR="006B10C5">
        <w:rPr>
          <w:lang w:val="en-US"/>
        </w:rPr>
        <w:t>3</w:t>
      </w:r>
      <w:r w:rsidRPr="00A85D54">
        <w:rPr>
          <w:lang w:val="en-US"/>
        </w:rPr>
        <w:t xml:space="preserve"> also shows that household </w:t>
      </w:r>
      <w:proofErr w:type="gramStart"/>
      <w:r w:rsidRPr="00A85D54">
        <w:rPr>
          <w:lang w:val="en-US"/>
        </w:rPr>
        <w:t>home</w:t>
      </w:r>
      <w:proofErr w:type="gramEnd"/>
      <w:r w:rsidRPr="00A85D54">
        <w:rPr>
          <w:lang w:val="en-US"/>
        </w:rPr>
        <w:t xml:space="preserve">, clothing, and especially education expenditures significantly decline </w:t>
      </w:r>
      <w:proofErr w:type="gramStart"/>
      <w:r w:rsidRPr="00A85D54">
        <w:rPr>
          <w:lang w:val="en-US"/>
        </w:rPr>
        <w:t>as a result of</w:t>
      </w:r>
      <w:proofErr w:type="gramEnd"/>
      <w:r w:rsidRPr="00A85D54">
        <w:rPr>
          <w:lang w:val="en-US"/>
        </w:rPr>
        <w:t xml:space="preserve"> the decreased household size. It is common for children to move out of their parents’ houses to somewhere near their workplace as soon as they finish education and find a job, which can explain the significant decline in education expenditure.</w:t>
      </w:r>
    </w:p>
    <w:p w14:paraId="3BACD32C" w14:textId="5B003C2A" w:rsidR="00B41534" w:rsidRPr="00A85D54" w:rsidRDefault="00B41534" w:rsidP="00B41534">
      <w:pPr>
        <w:spacing w:line="360" w:lineRule="auto"/>
        <w:ind w:firstLine="720"/>
        <w:jc w:val="both"/>
        <w:rPr>
          <w:lang w:val="en-US"/>
        </w:rPr>
      </w:pPr>
      <w:r w:rsidRPr="00A85D54">
        <w:rPr>
          <w:lang w:val="en-US"/>
        </w:rPr>
        <w:t xml:space="preserve">Table </w:t>
      </w:r>
      <w:r w:rsidR="002959CC">
        <w:rPr>
          <w:lang w:val="en-US"/>
        </w:rPr>
        <w:t>A</w:t>
      </w:r>
      <w:r w:rsidR="009E599F">
        <w:rPr>
          <w:lang w:val="en-US"/>
        </w:rPr>
        <w:t>4</w:t>
      </w:r>
      <w:r w:rsidRPr="00A85D54">
        <w:rPr>
          <w:lang w:val="en-US"/>
        </w:rPr>
        <w:t xml:space="preserve"> provides means and standard deviations of other variables used in our models for the two waves of the CHARLS pooled together. </w:t>
      </w:r>
      <w:bookmarkStart w:id="0" w:name="_Hlk108190249"/>
      <w:r w:rsidRPr="00A85D54">
        <w:rPr>
          <w:lang w:val="en-US"/>
        </w:rPr>
        <w:t>We observe that the average household size in our sample is 3.4, with a maximum household size of 13, and 37.47</w:t>
      </w:r>
      <w:r w:rsidR="00E900B6">
        <w:rPr>
          <w:lang w:val="en-US"/>
        </w:rPr>
        <w:t xml:space="preserve"> percent</w:t>
      </w:r>
      <w:r w:rsidRPr="00A85D54">
        <w:rPr>
          <w:lang w:val="en-US"/>
        </w:rPr>
        <w:t xml:space="preserve"> of households are from</w:t>
      </w:r>
      <w:r w:rsidRPr="00A85D54" w:rsidDel="00C42EFE">
        <w:rPr>
          <w:lang w:val="en-US"/>
        </w:rPr>
        <w:t xml:space="preserve"> </w:t>
      </w:r>
      <w:r w:rsidRPr="00A85D54">
        <w:rPr>
          <w:lang w:val="en-US"/>
        </w:rPr>
        <w:t xml:space="preserve">urban areas. In addition, the average age of the main respondents in our </w:t>
      </w:r>
      <w:r w:rsidRPr="00A85D54">
        <w:rPr>
          <w:lang w:val="en-US"/>
        </w:rPr>
        <w:lastRenderedPageBreak/>
        <w:t>sample is 61.34 and 78.75</w:t>
      </w:r>
      <w:r w:rsidR="00E900B6">
        <w:rPr>
          <w:lang w:val="en-US"/>
        </w:rPr>
        <w:t xml:space="preserve"> percent</w:t>
      </w:r>
      <w:r w:rsidRPr="00A85D54">
        <w:rPr>
          <w:lang w:val="en-US"/>
        </w:rPr>
        <w:t xml:space="preserve"> of them are married. We use the attainment of primary education as an education indicator, because the average education level of the main respondents in our sample is low. Only 51.30</w:t>
      </w:r>
      <w:r w:rsidR="00E56400">
        <w:rPr>
          <w:lang w:val="en-US"/>
        </w:rPr>
        <w:t xml:space="preserve"> percent</w:t>
      </w:r>
      <w:r w:rsidRPr="00A85D54">
        <w:rPr>
          <w:lang w:val="en-US"/>
        </w:rPr>
        <w:t xml:space="preserve"> of main respondents completed primary school.</w:t>
      </w:r>
      <w:r w:rsidR="00D917F6">
        <w:rPr>
          <w:rStyle w:val="FootnoteReference"/>
          <w:lang w:val="en-US"/>
        </w:rPr>
        <w:footnoteReference w:id="2"/>
      </w:r>
      <w:r w:rsidR="00416A11">
        <w:rPr>
          <w:lang w:val="en-US"/>
        </w:rPr>
        <w:t xml:space="preserve"> Finally, 89.02</w:t>
      </w:r>
      <w:r w:rsidR="00E56400">
        <w:rPr>
          <w:lang w:val="en-US"/>
        </w:rPr>
        <w:t xml:space="preserve"> percent</w:t>
      </w:r>
      <w:r w:rsidR="00416A11">
        <w:rPr>
          <w:lang w:val="en-US"/>
        </w:rPr>
        <w:t xml:space="preserve"> of respondents own their house.</w:t>
      </w:r>
    </w:p>
    <w:bookmarkEnd w:id="0"/>
    <w:p w14:paraId="126E6D54" w14:textId="77777777" w:rsidR="009E599F" w:rsidRDefault="009E599F" w:rsidP="00DD4614">
      <w:pPr>
        <w:spacing w:line="360" w:lineRule="auto"/>
        <w:jc w:val="both"/>
        <w:rPr>
          <w:b/>
          <w:bCs/>
          <w:lang w:val="en-US"/>
        </w:rPr>
      </w:pPr>
    </w:p>
    <w:p w14:paraId="32E45B6B" w14:textId="13784F77" w:rsidR="00415576" w:rsidRPr="007A2E80" w:rsidRDefault="00CD57EE" w:rsidP="00CD57EE">
      <w:pPr>
        <w:spacing w:line="360" w:lineRule="auto"/>
        <w:jc w:val="both"/>
        <w:rPr>
          <w:b/>
          <w:bCs/>
          <w:lang w:val="en-US"/>
        </w:rPr>
      </w:pPr>
      <w:r w:rsidRPr="007A2E80">
        <w:rPr>
          <w:b/>
          <w:bCs/>
          <w:lang w:val="en-US"/>
        </w:rPr>
        <w:t xml:space="preserve">Appendix </w:t>
      </w:r>
      <w:r w:rsidR="007D3C06">
        <w:rPr>
          <w:b/>
          <w:bCs/>
          <w:lang w:val="en-US"/>
        </w:rPr>
        <w:t>C</w:t>
      </w:r>
      <w:r w:rsidRPr="007A2E80">
        <w:rPr>
          <w:b/>
          <w:bCs/>
          <w:lang w:val="en-US"/>
        </w:rPr>
        <w:t xml:space="preserve">. </w:t>
      </w:r>
      <w:r w:rsidR="00415576" w:rsidRPr="007A2E80">
        <w:rPr>
          <w:b/>
          <w:bCs/>
          <w:lang w:val="en-US"/>
        </w:rPr>
        <w:t xml:space="preserve">Ensuring that our results are not affected by </w:t>
      </w:r>
      <w:proofErr w:type="gramStart"/>
      <w:r w:rsidR="00415576" w:rsidRPr="007A2E80">
        <w:rPr>
          <w:b/>
          <w:bCs/>
          <w:lang w:val="en-US"/>
        </w:rPr>
        <w:t>attrition</w:t>
      </w:r>
      <w:proofErr w:type="gramEnd"/>
    </w:p>
    <w:p w14:paraId="24289870" w14:textId="41BFA423" w:rsidR="007A2E80" w:rsidRPr="007A2E80" w:rsidRDefault="007A2E80" w:rsidP="007A2E80">
      <w:pPr>
        <w:spacing w:line="360" w:lineRule="auto"/>
        <w:jc w:val="both"/>
        <w:rPr>
          <w:color w:val="000000" w:themeColor="text1"/>
          <w:shd w:val="clear" w:color="auto" w:fill="FFFFFF"/>
        </w:rPr>
      </w:pPr>
      <w:r w:rsidRPr="007A2E80">
        <w:rPr>
          <w:color w:val="000000" w:themeColor="text1"/>
          <w:shd w:val="clear" w:color="auto" w:fill="FFFFFF"/>
        </w:rPr>
        <w:t xml:space="preserve">Attrition can introduce bias into longitudinal studies because the individuals who remain in the study may be systematically different from those who drop out. We acknowledge that attrition and non-response are inherent challenges in panel data like </w:t>
      </w:r>
      <w:r w:rsidR="00990FC9">
        <w:rPr>
          <w:color w:val="000000" w:themeColor="text1"/>
          <w:shd w:val="clear" w:color="auto" w:fill="FFFFFF"/>
        </w:rPr>
        <w:t xml:space="preserve">the </w:t>
      </w:r>
      <w:r w:rsidRPr="007A2E80">
        <w:rPr>
          <w:color w:val="000000" w:themeColor="text1"/>
          <w:shd w:val="clear" w:color="auto" w:fill="FFFFFF"/>
        </w:rPr>
        <w:t xml:space="preserve">CHARLS. There is in fact a possibility that older adults may be more likely to drop out from the survey if their offspring, who assisted with questionnaires, moved out of the family home. Yet, our analysis employs a two-wave panel dataset, where the departure of a household member can only be observed in the second wave. As such, </w:t>
      </w:r>
      <w:r w:rsidR="00990FC9">
        <w:rPr>
          <w:color w:val="000000" w:themeColor="text1"/>
          <w:shd w:val="clear" w:color="auto" w:fill="FFFFFF"/>
        </w:rPr>
        <w:t xml:space="preserve">we are unable </w:t>
      </w:r>
      <w:r w:rsidRPr="007A2E80">
        <w:rPr>
          <w:color w:val="000000" w:themeColor="text1"/>
          <w:shd w:val="clear" w:color="auto" w:fill="FFFFFF"/>
        </w:rPr>
        <w:t xml:space="preserve">to test the association between household attrition and the probability of a member leaving the household using our data. </w:t>
      </w:r>
    </w:p>
    <w:p w14:paraId="446CB836" w14:textId="77302F79" w:rsidR="007A2E80" w:rsidRPr="007A2E80" w:rsidRDefault="007A2E80" w:rsidP="007A2E80">
      <w:pPr>
        <w:spacing w:line="360" w:lineRule="auto"/>
        <w:ind w:firstLine="720"/>
        <w:jc w:val="both"/>
        <w:rPr>
          <w:color w:val="000000" w:themeColor="text1"/>
          <w:shd w:val="clear" w:color="auto" w:fill="FFFFFF"/>
        </w:rPr>
      </w:pPr>
      <w:r>
        <w:rPr>
          <w:color w:val="000000" w:themeColor="text1"/>
          <w:shd w:val="clear" w:color="auto" w:fill="FFFFFF"/>
        </w:rPr>
        <w:t xml:space="preserve">We therefore </w:t>
      </w:r>
      <w:r w:rsidR="006B10C5">
        <w:rPr>
          <w:color w:val="000000" w:themeColor="text1"/>
          <w:shd w:val="clear" w:color="auto" w:fill="FFFFFF"/>
        </w:rPr>
        <w:t>verify whether our baseline results are robust to empl</w:t>
      </w:r>
      <w:r w:rsidRPr="007A2E80">
        <w:rPr>
          <w:color w:val="000000" w:themeColor="text1"/>
          <w:shd w:val="clear" w:color="auto" w:fill="FFFFFF"/>
        </w:rPr>
        <w:t xml:space="preserve">oying a weighted fixed-effects </w:t>
      </w:r>
      <w:r w:rsidR="00E16C0E">
        <w:rPr>
          <w:color w:val="000000" w:themeColor="text1"/>
          <w:shd w:val="clear" w:color="auto" w:fill="FFFFFF"/>
        </w:rPr>
        <w:t xml:space="preserve">estimator </w:t>
      </w:r>
      <w:r w:rsidRPr="007A2E80">
        <w:rPr>
          <w:color w:val="000000" w:themeColor="text1"/>
          <w:shd w:val="clear" w:color="auto" w:fill="FFFFFF"/>
        </w:rPr>
        <w:t xml:space="preserve">to adjust for potential sample </w:t>
      </w:r>
      <w:r w:rsidR="002A3E79">
        <w:rPr>
          <w:color w:val="000000" w:themeColor="text1"/>
          <w:shd w:val="clear" w:color="auto" w:fill="FFFFFF"/>
        </w:rPr>
        <w:t xml:space="preserve">selection </w:t>
      </w:r>
      <w:r w:rsidRPr="007A2E80">
        <w:rPr>
          <w:color w:val="000000" w:themeColor="text1"/>
          <w:shd w:val="clear" w:color="auto" w:fill="FFFFFF"/>
        </w:rPr>
        <w:t>bias. Weighting is a common technique used in survey analys</w:t>
      </w:r>
      <w:r w:rsidR="002A3E79">
        <w:rPr>
          <w:color w:val="000000" w:themeColor="text1"/>
          <w:shd w:val="clear" w:color="auto" w:fill="FFFFFF"/>
        </w:rPr>
        <w:t>e</w:t>
      </w:r>
      <w:r w:rsidRPr="007A2E80">
        <w:rPr>
          <w:color w:val="000000" w:themeColor="text1"/>
          <w:shd w:val="clear" w:color="auto" w:fill="FFFFFF"/>
        </w:rPr>
        <w:t xml:space="preserve">s to adjust for various forms of bias and to ensure the sample is representative of the population (Fitzgerald et al., 1998). In the context of longitudinal studies, weights can be used to adjust for attrition, which happens when participants drop out of the sample over time. Attrition weights are typically calculated by modelling the probability of remaining in the study, given a set of observed characteristics. This is often done using a logistic regression with "staying in the study" as the outcome and various demographic, socioeconomic, and health characteristics as predictors. Once these probabilities are calculated, the inverse of the probability is used as the weight. That is, individuals who were less likely to stay in the study (based on their characteristics) are given higher weights, while those who were more likely to stay are given lower weights. By applying these weights in the analysis, the sample used in estimation is made more representative of the original sample, reducing the bias introduced by attrition. Thus, the estimates derived from the weighted data are more likely to reflect the true values of the population. </w:t>
      </w:r>
    </w:p>
    <w:p w14:paraId="19E3B9F3" w14:textId="2A2A2519" w:rsidR="007A2E80" w:rsidRPr="007A2E80" w:rsidRDefault="007A2E80" w:rsidP="007A2E80">
      <w:pPr>
        <w:spacing w:line="360" w:lineRule="auto"/>
        <w:ind w:firstLine="720"/>
        <w:jc w:val="both"/>
        <w:rPr>
          <w:color w:val="000000" w:themeColor="text1"/>
          <w:shd w:val="clear" w:color="auto" w:fill="FFFFFF"/>
        </w:rPr>
      </w:pPr>
      <w:r w:rsidRPr="007A2E80">
        <w:rPr>
          <w:color w:val="000000" w:themeColor="text1"/>
          <w:shd w:val="clear" w:color="auto" w:fill="FFFFFF"/>
        </w:rPr>
        <w:t xml:space="preserve">The longitudinal weights which we use are provided within the CHARLS. They are based on the baseline weights adjusted for non-response biases. Specifically, an inverse </w:t>
      </w:r>
      <w:r w:rsidRPr="007A2E80">
        <w:rPr>
          <w:color w:val="000000" w:themeColor="text1"/>
          <w:shd w:val="clear" w:color="auto" w:fill="FFFFFF"/>
        </w:rPr>
        <w:lastRenderedPageBreak/>
        <w:t xml:space="preserve">probability weighting factor is constructed from a </w:t>
      </w:r>
      <w:r w:rsidR="00A172C2">
        <w:rPr>
          <w:color w:val="000000" w:themeColor="text1"/>
          <w:shd w:val="clear" w:color="auto" w:fill="FFFFFF"/>
        </w:rPr>
        <w:t>L</w:t>
      </w:r>
      <w:r w:rsidRPr="007A2E80">
        <w:rPr>
          <w:color w:val="000000" w:themeColor="text1"/>
          <w:shd w:val="clear" w:color="auto" w:fill="FFFFFF"/>
        </w:rPr>
        <w:t xml:space="preserve">ogit regression of whether a respondent participates in the </w:t>
      </w:r>
      <w:r w:rsidR="006B10C5">
        <w:rPr>
          <w:color w:val="000000" w:themeColor="text1"/>
          <w:shd w:val="clear" w:color="auto" w:fill="FFFFFF"/>
        </w:rPr>
        <w:t>2013</w:t>
      </w:r>
      <w:r w:rsidRPr="007A2E80">
        <w:rPr>
          <w:color w:val="000000" w:themeColor="text1"/>
          <w:shd w:val="clear" w:color="auto" w:fill="FFFFFF"/>
        </w:rPr>
        <w:t xml:space="preserve"> wave conditional on the participation in the </w:t>
      </w:r>
      <w:r w:rsidR="006B10C5">
        <w:rPr>
          <w:color w:val="000000" w:themeColor="text1"/>
          <w:shd w:val="clear" w:color="auto" w:fill="FFFFFF"/>
        </w:rPr>
        <w:t>2011</w:t>
      </w:r>
      <w:r w:rsidRPr="007A2E80">
        <w:rPr>
          <w:color w:val="000000" w:themeColor="text1"/>
          <w:shd w:val="clear" w:color="auto" w:fill="FFFFFF"/>
        </w:rPr>
        <w:t xml:space="preserve"> wave.</w:t>
      </w:r>
    </w:p>
    <w:p w14:paraId="1585DF02" w14:textId="791D5099" w:rsidR="00FC3B0E" w:rsidRDefault="007A2E80" w:rsidP="00FC3B0E">
      <w:pPr>
        <w:spacing w:line="360" w:lineRule="auto"/>
        <w:ind w:firstLine="720"/>
        <w:jc w:val="both"/>
        <w:rPr>
          <w:color w:val="000000" w:themeColor="text1"/>
          <w:shd w:val="clear" w:color="auto" w:fill="FFFFFF"/>
        </w:rPr>
      </w:pPr>
      <w:r w:rsidRPr="007A2E80">
        <w:rPr>
          <w:color w:val="000000" w:themeColor="text1"/>
          <w:shd w:val="clear" w:color="auto" w:fill="FFFFFF"/>
        </w:rPr>
        <w:t xml:space="preserve">The results obtained using the weighted fixed-effects model are presented in </w:t>
      </w:r>
      <w:r w:rsidR="00FC3B0E">
        <w:rPr>
          <w:color w:val="000000" w:themeColor="text1"/>
          <w:shd w:val="clear" w:color="auto" w:fill="FFFFFF"/>
        </w:rPr>
        <w:t xml:space="preserve">Table </w:t>
      </w:r>
      <w:r>
        <w:rPr>
          <w:color w:val="000000" w:themeColor="text1"/>
          <w:shd w:val="clear" w:color="auto" w:fill="FFFFFF"/>
        </w:rPr>
        <w:t>A</w:t>
      </w:r>
      <w:r w:rsidR="00FC3B0E">
        <w:rPr>
          <w:color w:val="000000" w:themeColor="text1"/>
          <w:shd w:val="clear" w:color="auto" w:fill="FFFFFF"/>
        </w:rPr>
        <w:t>5</w:t>
      </w:r>
      <w:r w:rsidRPr="007A2E80">
        <w:rPr>
          <w:color w:val="000000" w:themeColor="text1"/>
          <w:shd w:val="clear" w:color="auto" w:fill="FFFFFF"/>
        </w:rPr>
        <w:t>. The dependent variables in columns 1-3 are the logarithm</w:t>
      </w:r>
      <w:r w:rsidR="00052911">
        <w:rPr>
          <w:color w:val="000000" w:themeColor="text1"/>
          <w:shd w:val="clear" w:color="auto" w:fill="FFFFFF"/>
        </w:rPr>
        <w:t>s</w:t>
      </w:r>
      <w:r w:rsidRPr="007A2E80">
        <w:rPr>
          <w:color w:val="000000" w:themeColor="text1"/>
          <w:shd w:val="clear" w:color="auto" w:fill="FFFFFF"/>
        </w:rPr>
        <w:t xml:space="preserve"> of total household consumption, non-durable consumption, and non-education consumption, respectively. The dependent variables in columns </w:t>
      </w:r>
      <w:r w:rsidR="006B10C5">
        <w:rPr>
          <w:color w:val="000000" w:themeColor="text1"/>
          <w:shd w:val="clear" w:color="auto" w:fill="FFFFFF"/>
        </w:rPr>
        <w:t>4</w:t>
      </w:r>
      <w:r w:rsidRPr="007A2E80">
        <w:rPr>
          <w:color w:val="000000" w:themeColor="text1"/>
          <w:shd w:val="clear" w:color="auto" w:fill="FFFFFF"/>
        </w:rPr>
        <w:t xml:space="preserve"> to </w:t>
      </w:r>
      <w:r w:rsidR="006B10C5">
        <w:rPr>
          <w:color w:val="000000" w:themeColor="text1"/>
          <w:shd w:val="clear" w:color="auto" w:fill="FFFFFF"/>
        </w:rPr>
        <w:t>6</w:t>
      </w:r>
      <w:r w:rsidRPr="007A2E80">
        <w:rPr>
          <w:color w:val="000000" w:themeColor="text1"/>
          <w:shd w:val="clear" w:color="auto" w:fill="FFFFFF"/>
        </w:rPr>
        <w:t xml:space="preserve"> are the logarithms of total, non-durable and non-education adult-equivalent consumption. We can see that the results are broadly consistent with our main findings, which suggests that our baseline results were not driven by attrition. Only one difference is observed: in column 6, the coefficient associated with the leavers aged 17 to 24 is now positive and marginally significant. Coupled with the negative coefficient on the same variable in column 3, this suggests that when we focus on non-education consumption, the remaining household members only save part of the resources freed-up by the leaver and consume the rest. </w:t>
      </w:r>
      <w:r>
        <w:rPr>
          <w:color w:val="000000" w:themeColor="text1"/>
          <w:shd w:val="clear" w:color="auto" w:fill="FFFFFF"/>
        </w:rPr>
        <w:t>T</w:t>
      </w:r>
      <w:r w:rsidRPr="007A2E80">
        <w:rPr>
          <w:color w:val="000000" w:themeColor="text1"/>
          <w:shd w:val="clear" w:color="auto" w:fill="FFFFFF"/>
        </w:rPr>
        <w:t xml:space="preserve">his can be explained considering that the 17-24 age group comprises both people who just finished their education and people who are now financially independent and have secure jobs. The former would induce the remaining household members to save the resourced freed up by their departure </w:t>
      </w:r>
      <w:proofErr w:type="gramStart"/>
      <w:r w:rsidRPr="007A2E80">
        <w:rPr>
          <w:color w:val="000000" w:themeColor="text1"/>
          <w:shd w:val="clear" w:color="auto" w:fill="FFFFFF"/>
        </w:rPr>
        <w:t>so as to</w:t>
      </w:r>
      <w:proofErr w:type="gramEnd"/>
      <w:r w:rsidRPr="007A2E80">
        <w:rPr>
          <w:color w:val="000000" w:themeColor="text1"/>
          <w:shd w:val="clear" w:color="auto" w:fill="FFFFFF"/>
        </w:rPr>
        <w:t xml:space="preserve"> smooth consumption. The latter can be seen as an “insurance” by their parents, who would then consume the freed-up resources. </w:t>
      </w:r>
      <w:r w:rsidR="007F2480" w:rsidRPr="007F2480">
        <w:rPr>
          <w:color w:val="000000" w:themeColor="text1"/>
          <w:shd w:val="clear" w:color="auto" w:fill="FFFFFF"/>
        </w:rPr>
        <w:t>The mix of these two effects determines whether the freed-up resources are saved or consumed. In Table A5, the “insurance” effect exerts a stronger weight than in Table 5</w:t>
      </w:r>
      <w:r w:rsidR="007F2480">
        <w:rPr>
          <w:color w:val="000000" w:themeColor="text1"/>
          <w:shd w:val="clear" w:color="auto" w:fill="FFFFFF"/>
        </w:rPr>
        <w:t xml:space="preserve"> in the paper</w:t>
      </w:r>
      <w:r w:rsidR="007F2480" w:rsidRPr="007F2480">
        <w:rPr>
          <w:color w:val="000000" w:themeColor="text1"/>
          <w:shd w:val="clear" w:color="auto" w:fill="FFFFFF"/>
        </w:rPr>
        <w:t>.</w:t>
      </w:r>
    </w:p>
    <w:p w14:paraId="20EE0352" w14:textId="28B2192B" w:rsidR="00415576" w:rsidRDefault="00AF3AD1" w:rsidP="00FC3B0E">
      <w:pPr>
        <w:spacing w:line="360" w:lineRule="auto"/>
        <w:ind w:firstLine="720"/>
        <w:jc w:val="both"/>
        <w:rPr>
          <w:color w:val="000000" w:themeColor="text1"/>
          <w:shd w:val="clear" w:color="auto" w:fill="FFFFFF"/>
        </w:rPr>
      </w:pPr>
      <w:r>
        <w:rPr>
          <w:color w:val="000000" w:themeColor="text1"/>
          <w:shd w:val="clear" w:color="auto" w:fill="FFFFFF"/>
        </w:rPr>
        <w:t>Next</w:t>
      </w:r>
      <w:r w:rsidR="007A2E80" w:rsidRPr="007A2E80">
        <w:rPr>
          <w:color w:val="000000" w:themeColor="text1"/>
          <w:shd w:val="clear" w:color="auto" w:fill="FFFFFF"/>
        </w:rPr>
        <w:t xml:space="preserve">, Banks et al. (2010) argue that using a balanced panel ensures that different trajectories observed between groups are not due to differential attrition. Similarly, Gröger and Zylberberg (2016) estimate their model both on the balanced and unbalanced panel. They see the fact that the two sets of estimates are very similar as evidence that their results are not driven by attrition. </w:t>
      </w:r>
      <w:r w:rsidR="00FC3B0E">
        <w:rPr>
          <w:color w:val="000000" w:themeColor="text1"/>
          <w:shd w:val="clear" w:color="auto" w:fill="FFFFFF"/>
          <w:lang w:val="en-US"/>
        </w:rPr>
        <w:t xml:space="preserve">It is noteworthy that </w:t>
      </w:r>
      <w:r w:rsidR="00FC3B0E" w:rsidRPr="00B6059B">
        <w:rPr>
          <w:color w:val="000000" w:themeColor="text1"/>
          <w:shd w:val="clear" w:color="auto" w:fill="FFFFFF"/>
          <w:lang w:val="en-US"/>
        </w:rPr>
        <w:t xml:space="preserve">given that our data only spans two waves, the estimates generated </w:t>
      </w:r>
      <w:r w:rsidR="00FC3B0E">
        <w:rPr>
          <w:color w:val="000000" w:themeColor="text1"/>
          <w:shd w:val="clear" w:color="auto" w:fill="FFFFFF"/>
          <w:lang w:val="en-US"/>
        </w:rPr>
        <w:t>using</w:t>
      </w:r>
      <w:r w:rsidR="00FC3B0E" w:rsidRPr="00B6059B">
        <w:rPr>
          <w:color w:val="000000" w:themeColor="text1"/>
          <w:shd w:val="clear" w:color="auto" w:fill="FFFFFF"/>
          <w:lang w:val="en-US"/>
        </w:rPr>
        <w:t xml:space="preserve"> the fixed</w:t>
      </w:r>
      <w:r w:rsidR="00FC3B0E">
        <w:rPr>
          <w:color w:val="000000" w:themeColor="text1"/>
          <w:shd w:val="clear" w:color="auto" w:fill="FFFFFF"/>
          <w:lang w:val="en-US"/>
        </w:rPr>
        <w:t>-</w:t>
      </w:r>
      <w:r w:rsidR="00FC3B0E" w:rsidRPr="00B6059B">
        <w:rPr>
          <w:color w:val="000000" w:themeColor="text1"/>
          <w:shd w:val="clear" w:color="auto" w:fill="FFFFFF"/>
          <w:lang w:val="en-US"/>
        </w:rPr>
        <w:t xml:space="preserve">effects </w:t>
      </w:r>
      <w:r w:rsidR="00E16C0E">
        <w:rPr>
          <w:color w:val="000000" w:themeColor="text1"/>
          <w:shd w:val="clear" w:color="auto" w:fill="FFFFFF"/>
          <w:lang w:val="en-US"/>
        </w:rPr>
        <w:t>estimator</w:t>
      </w:r>
      <w:r w:rsidR="00FC3B0E" w:rsidRPr="00B6059B">
        <w:rPr>
          <w:color w:val="000000" w:themeColor="text1"/>
          <w:shd w:val="clear" w:color="auto" w:fill="FFFFFF"/>
          <w:lang w:val="en-US"/>
        </w:rPr>
        <w:t xml:space="preserve"> do not differ between </w:t>
      </w:r>
      <w:r w:rsidR="00FC3B0E">
        <w:rPr>
          <w:color w:val="000000" w:themeColor="text1"/>
          <w:shd w:val="clear" w:color="auto" w:fill="FFFFFF"/>
          <w:lang w:val="en-US"/>
        </w:rPr>
        <w:t xml:space="preserve">a </w:t>
      </w:r>
      <w:r w:rsidR="00FC3B0E" w:rsidRPr="00B6059B">
        <w:rPr>
          <w:color w:val="000000" w:themeColor="text1"/>
          <w:shd w:val="clear" w:color="auto" w:fill="FFFFFF"/>
          <w:lang w:val="en-US"/>
        </w:rPr>
        <w:t xml:space="preserve">balanced and </w:t>
      </w:r>
      <w:r w:rsidR="00FC3B0E">
        <w:rPr>
          <w:color w:val="000000" w:themeColor="text1"/>
          <w:shd w:val="clear" w:color="auto" w:fill="FFFFFF"/>
          <w:lang w:val="en-US"/>
        </w:rPr>
        <w:t xml:space="preserve">an </w:t>
      </w:r>
      <w:r w:rsidR="00FC3B0E" w:rsidRPr="00B6059B">
        <w:rPr>
          <w:color w:val="000000" w:themeColor="text1"/>
          <w:shd w:val="clear" w:color="auto" w:fill="FFFFFF"/>
          <w:lang w:val="en-US"/>
        </w:rPr>
        <w:t xml:space="preserve">unbalanced </w:t>
      </w:r>
      <w:r w:rsidR="00FC3B0E">
        <w:rPr>
          <w:color w:val="000000" w:themeColor="text1"/>
          <w:shd w:val="clear" w:color="auto" w:fill="FFFFFF"/>
          <w:lang w:val="en-US"/>
        </w:rPr>
        <w:t>panel</w:t>
      </w:r>
      <w:r w:rsidR="00FC3B0E" w:rsidRPr="00B6059B">
        <w:rPr>
          <w:color w:val="000000" w:themeColor="text1"/>
          <w:shd w:val="clear" w:color="auto" w:fill="FFFFFF"/>
          <w:lang w:val="en-US"/>
        </w:rPr>
        <w:t xml:space="preserve">. This is because the </w:t>
      </w:r>
      <w:r w:rsidR="00FC3B0E">
        <w:rPr>
          <w:color w:val="000000" w:themeColor="text1"/>
          <w:shd w:val="clear" w:color="auto" w:fill="FFFFFF"/>
          <w:lang w:val="en-US"/>
        </w:rPr>
        <w:t xml:space="preserve">fixed-effects </w:t>
      </w:r>
      <w:r w:rsidR="00E16C0E">
        <w:rPr>
          <w:color w:val="000000" w:themeColor="text1"/>
          <w:shd w:val="clear" w:color="auto" w:fill="FFFFFF"/>
          <w:lang w:val="en-US"/>
        </w:rPr>
        <w:t>estimator</w:t>
      </w:r>
      <w:r w:rsidR="00FC3B0E" w:rsidRPr="00B6059B">
        <w:rPr>
          <w:color w:val="000000" w:themeColor="text1"/>
          <w:shd w:val="clear" w:color="auto" w:fill="FFFFFF"/>
          <w:lang w:val="en-US"/>
        </w:rPr>
        <w:t xml:space="preserve"> demeans all variables, causing single-wave participants to be dropped due to the resulting zero variance (i.e., x - mean(x) = 0).</w:t>
      </w:r>
      <w:r w:rsidR="00FC3B0E">
        <w:rPr>
          <w:color w:val="000000" w:themeColor="text1"/>
          <w:shd w:val="clear" w:color="auto" w:fill="FFFFFF"/>
          <w:lang w:val="en-US"/>
        </w:rPr>
        <w:t xml:space="preserve"> </w:t>
      </w:r>
      <w:r w:rsidR="00FC3B0E">
        <w:rPr>
          <w:color w:val="000000" w:themeColor="text1"/>
          <w:shd w:val="clear" w:color="auto" w:fill="FFFFFF"/>
        </w:rPr>
        <w:t>In Table A</w:t>
      </w:r>
      <w:r w:rsidR="00BF75A9">
        <w:rPr>
          <w:color w:val="000000" w:themeColor="text1"/>
          <w:shd w:val="clear" w:color="auto" w:fill="FFFFFF"/>
        </w:rPr>
        <w:t>6</w:t>
      </w:r>
      <w:r w:rsidR="00FC3B0E">
        <w:rPr>
          <w:color w:val="000000" w:themeColor="text1"/>
          <w:shd w:val="clear" w:color="auto" w:fill="FFFFFF"/>
        </w:rPr>
        <w:t xml:space="preserve">, we present estimates of our baseline model carried out on a balanced panel. </w:t>
      </w:r>
      <w:r w:rsidR="00FC3B0E" w:rsidRPr="006C3E2E">
        <w:rPr>
          <w:color w:val="000000" w:themeColor="text1"/>
          <w:shd w:val="clear" w:color="auto" w:fill="FFFFFF"/>
        </w:rPr>
        <w:t>This balanced sample accounts for 10,112 observations across 5,056 households</w:t>
      </w:r>
      <w:r w:rsidR="00FD4E06">
        <w:rPr>
          <w:rStyle w:val="FootnoteReference"/>
          <w:color w:val="000000" w:themeColor="text1"/>
          <w:shd w:val="clear" w:color="auto" w:fill="FFFFFF"/>
        </w:rPr>
        <w:footnoteReference w:id="3"/>
      </w:r>
      <w:r w:rsidR="00FC3B0E">
        <w:rPr>
          <w:color w:val="000000" w:themeColor="text1"/>
          <w:shd w:val="clear" w:color="auto" w:fill="FFFFFF"/>
        </w:rPr>
        <w:t>.</w:t>
      </w:r>
      <w:r w:rsidR="00FC3B0E" w:rsidRPr="006C3E2E">
        <w:rPr>
          <w:color w:val="000000" w:themeColor="text1"/>
          <w:shd w:val="clear" w:color="auto" w:fill="FFFFFF"/>
        </w:rPr>
        <w:t xml:space="preserve"> We can say that the coefficient estimates are identical in </w:t>
      </w:r>
      <w:r w:rsidR="00FC3B0E">
        <w:rPr>
          <w:color w:val="000000" w:themeColor="text1"/>
          <w:shd w:val="clear" w:color="auto" w:fill="FFFFFF"/>
        </w:rPr>
        <w:t xml:space="preserve">Table A6 and Table 5 in the paper. </w:t>
      </w:r>
      <w:r w:rsidR="00FC3B0E" w:rsidRPr="006C3E2E">
        <w:rPr>
          <w:color w:val="000000" w:themeColor="text1"/>
          <w:shd w:val="clear" w:color="auto" w:fill="FFFFFF"/>
        </w:rPr>
        <w:t xml:space="preserve">Nevertheless, due to </w:t>
      </w:r>
      <w:r w:rsidR="00FC3B0E" w:rsidRPr="006C3E2E">
        <w:rPr>
          <w:color w:val="000000" w:themeColor="text1"/>
          <w:shd w:val="clear" w:color="auto" w:fill="FFFFFF"/>
        </w:rPr>
        <w:lastRenderedPageBreak/>
        <w:t>differences in sample sizes, the standard errors and the constant differ slightly.</w:t>
      </w:r>
      <w:r w:rsidR="00FC3B0E">
        <w:rPr>
          <w:color w:val="000000" w:themeColor="text1"/>
          <w:shd w:val="clear" w:color="auto" w:fill="FFFFFF"/>
        </w:rPr>
        <w:t xml:space="preserve"> </w:t>
      </w:r>
      <w:r w:rsidR="007A2E80" w:rsidRPr="007A2E80">
        <w:rPr>
          <w:color w:val="000000" w:themeColor="text1"/>
          <w:shd w:val="clear" w:color="auto" w:fill="FFFFFF"/>
        </w:rPr>
        <w:t xml:space="preserve">Hence, the fact that our estimated based on the </w:t>
      </w:r>
      <w:r w:rsidR="00524C0D">
        <w:rPr>
          <w:color w:val="000000" w:themeColor="text1"/>
          <w:shd w:val="clear" w:color="auto" w:fill="FFFFFF"/>
        </w:rPr>
        <w:t>un</w:t>
      </w:r>
      <w:r w:rsidR="007A2E80" w:rsidRPr="007A2E80">
        <w:rPr>
          <w:color w:val="000000" w:themeColor="text1"/>
          <w:shd w:val="clear" w:color="auto" w:fill="FFFFFF"/>
        </w:rPr>
        <w:t xml:space="preserve">balanced panel are identical to those based on the balanced panel can be seen as a further confirmation that our baseline results are not driven by attrition. </w:t>
      </w:r>
    </w:p>
    <w:p w14:paraId="42C925D9" w14:textId="77777777" w:rsidR="00AF3AD1" w:rsidRDefault="00AF3AD1" w:rsidP="00CD57EE">
      <w:pPr>
        <w:spacing w:line="360" w:lineRule="auto"/>
        <w:jc w:val="both"/>
        <w:rPr>
          <w:b/>
          <w:bCs/>
          <w:color w:val="000000" w:themeColor="text1"/>
          <w:shd w:val="clear" w:color="auto" w:fill="FFFFFF"/>
        </w:rPr>
      </w:pPr>
    </w:p>
    <w:p w14:paraId="12491A7A" w14:textId="468DAA23" w:rsidR="00CD57EE" w:rsidRPr="007A2E80" w:rsidRDefault="00415576" w:rsidP="00CD57EE">
      <w:pPr>
        <w:spacing w:line="360" w:lineRule="auto"/>
        <w:jc w:val="both"/>
        <w:rPr>
          <w:b/>
          <w:bCs/>
          <w:color w:val="000000" w:themeColor="text1"/>
          <w:shd w:val="clear" w:color="auto" w:fill="FFFFFF"/>
        </w:rPr>
      </w:pPr>
      <w:r w:rsidRPr="007A2E80">
        <w:rPr>
          <w:b/>
          <w:bCs/>
          <w:color w:val="000000" w:themeColor="text1"/>
          <w:shd w:val="clear" w:color="auto" w:fill="FFFFFF"/>
        </w:rPr>
        <w:t xml:space="preserve">Appendix </w:t>
      </w:r>
      <w:r w:rsidR="007D3C06">
        <w:rPr>
          <w:b/>
          <w:bCs/>
          <w:color w:val="000000" w:themeColor="text1"/>
          <w:shd w:val="clear" w:color="auto" w:fill="FFFFFF"/>
        </w:rPr>
        <w:t>D</w:t>
      </w:r>
      <w:r w:rsidRPr="007A2E80">
        <w:rPr>
          <w:b/>
          <w:bCs/>
          <w:color w:val="000000" w:themeColor="text1"/>
          <w:shd w:val="clear" w:color="auto" w:fill="FFFFFF"/>
        </w:rPr>
        <w:t xml:space="preserve">. Ensuring that our results are robust to restricting the sample to leavers who moved out of the </w:t>
      </w:r>
      <w:proofErr w:type="gramStart"/>
      <w:r w:rsidRPr="007A2E80">
        <w:rPr>
          <w:b/>
          <w:bCs/>
          <w:color w:val="000000" w:themeColor="text1"/>
          <w:shd w:val="clear" w:color="auto" w:fill="FFFFFF"/>
        </w:rPr>
        <w:t>household</w:t>
      </w:r>
      <w:proofErr w:type="gramEnd"/>
    </w:p>
    <w:p w14:paraId="0D1E6E7D" w14:textId="72C81BDA" w:rsidR="00415576" w:rsidRDefault="00415576" w:rsidP="00CD57EE">
      <w:pPr>
        <w:spacing w:line="360" w:lineRule="auto"/>
        <w:jc w:val="both"/>
        <w:rPr>
          <w:color w:val="000000" w:themeColor="text1"/>
          <w:shd w:val="clear" w:color="auto" w:fill="FFFFFF"/>
        </w:rPr>
      </w:pPr>
      <w:r w:rsidRPr="00FF02C4">
        <w:rPr>
          <w:color w:val="000000" w:themeColor="text1"/>
          <w:shd w:val="clear" w:color="auto" w:fill="FFFFFF"/>
        </w:rPr>
        <w:t>Table</w:t>
      </w:r>
      <w:r>
        <w:rPr>
          <w:color w:val="000000" w:themeColor="text1"/>
          <w:shd w:val="clear" w:color="auto" w:fill="FFFFFF"/>
        </w:rPr>
        <w:t xml:space="preserve"> </w:t>
      </w:r>
      <w:r w:rsidR="00FC3B0E">
        <w:rPr>
          <w:color w:val="000000" w:themeColor="text1"/>
          <w:shd w:val="clear" w:color="auto" w:fill="FFFFFF"/>
        </w:rPr>
        <w:t>A7</w:t>
      </w:r>
      <w:r>
        <w:rPr>
          <w:color w:val="000000" w:themeColor="text1"/>
          <w:shd w:val="clear" w:color="auto" w:fill="FFFFFF"/>
        </w:rPr>
        <w:t xml:space="preserve"> shows that our results are robust to dropping members of the younger generation who passed away or left the household for reasons other than moving out.</w:t>
      </w:r>
    </w:p>
    <w:p w14:paraId="641C6FCE" w14:textId="77777777" w:rsidR="00415576" w:rsidRDefault="00415576" w:rsidP="00CD57EE">
      <w:pPr>
        <w:spacing w:line="360" w:lineRule="auto"/>
        <w:jc w:val="both"/>
        <w:rPr>
          <w:color w:val="000000" w:themeColor="text1"/>
          <w:shd w:val="clear" w:color="auto" w:fill="FFFFFF"/>
        </w:rPr>
      </w:pPr>
    </w:p>
    <w:p w14:paraId="7D4DE107" w14:textId="75BD8A55" w:rsidR="00415576" w:rsidRPr="007A2E80" w:rsidRDefault="00415576" w:rsidP="00415576">
      <w:pPr>
        <w:spacing w:line="360" w:lineRule="auto"/>
        <w:jc w:val="both"/>
        <w:rPr>
          <w:b/>
          <w:bCs/>
          <w:color w:val="000000" w:themeColor="text1"/>
          <w:shd w:val="clear" w:color="auto" w:fill="FFFFFF"/>
        </w:rPr>
      </w:pPr>
      <w:r w:rsidRPr="007A2E80">
        <w:rPr>
          <w:b/>
          <w:bCs/>
          <w:color w:val="000000" w:themeColor="text1"/>
          <w:shd w:val="clear" w:color="auto" w:fill="FFFFFF"/>
        </w:rPr>
        <w:t xml:space="preserve">Appendix </w:t>
      </w:r>
      <w:r w:rsidR="007D3C06">
        <w:rPr>
          <w:b/>
          <w:bCs/>
          <w:color w:val="000000" w:themeColor="text1"/>
          <w:shd w:val="clear" w:color="auto" w:fill="FFFFFF"/>
        </w:rPr>
        <w:t>E</w:t>
      </w:r>
      <w:r w:rsidRPr="007A2E80">
        <w:rPr>
          <w:b/>
          <w:bCs/>
          <w:color w:val="000000" w:themeColor="text1"/>
          <w:shd w:val="clear" w:color="auto" w:fill="FFFFFF"/>
        </w:rPr>
        <w:t xml:space="preserve">. Looking at other consumption </w:t>
      </w:r>
      <w:proofErr w:type="gramStart"/>
      <w:r w:rsidRPr="007A2E80">
        <w:rPr>
          <w:b/>
          <w:bCs/>
          <w:color w:val="000000" w:themeColor="text1"/>
          <w:shd w:val="clear" w:color="auto" w:fill="FFFFFF"/>
        </w:rPr>
        <w:t>categories</w:t>
      </w:r>
      <w:proofErr w:type="gramEnd"/>
    </w:p>
    <w:p w14:paraId="76A50253" w14:textId="61D7BAA9" w:rsidR="00415576" w:rsidRDefault="00415576" w:rsidP="00415576">
      <w:pPr>
        <w:spacing w:line="360" w:lineRule="auto"/>
        <w:jc w:val="both"/>
        <w:rPr>
          <w:color w:val="000000" w:themeColor="text1"/>
          <w:shd w:val="clear" w:color="auto" w:fill="FFFFFF"/>
        </w:rPr>
      </w:pPr>
      <w:r>
        <w:rPr>
          <w:color w:val="000000" w:themeColor="text1"/>
          <w:shd w:val="clear" w:color="auto" w:fill="FFFFFF"/>
        </w:rPr>
        <w:t>So far</w:t>
      </w:r>
      <w:r w:rsidR="006C7818">
        <w:rPr>
          <w:color w:val="000000" w:themeColor="text1"/>
          <w:shd w:val="clear" w:color="auto" w:fill="FFFFFF"/>
        </w:rPr>
        <w:t>,</w:t>
      </w:r>
      <w:r>
        <w:rPr>
          <w:color w:val="000000" w:themeColor="text1"/>
          <w:shd w:val="clear" w:color="auto" w:fill="FFFFFF"/>
        </w:rPr>
        <w:t xml:space="preserve"> our results </w:t>
      </w:r>
      <w:r w:rsidR="003153CF">
        <w:rPr>
          <w:color w:val="000000" w:themeColor="text1"/>
          <w:shd w:val="clear" w:color="auto" w:fill="FFFFFF"/>
        </w:rPr>
        <w:t>focused on</w:t>
      </w:r>
      <w:r>
        <w:rPr>
          <w:color w:val="000000" w:themeColor="text1"/>
          <w:shd w:val="clear" w:color="auto" w:fill="FFFFFF"/>
        </w:rPr>
        <w:t xml:space="preserve"> the determinants of total, non-durable, and non-education consumption. One may wonder whether the results also hold for specific consumption categories. However, as durable and education consumption are respectively characterized by 61.05</w:t>
      </w:r>
      <w:r w:rsidR="003153CF">
        <w:rPr>
          <w:color w:val="000000" w:themeColor="text1"/>
          <w:shd w:val="clear" w:color="auto" w:fill="FFFFFF"/>
        </w:rPr>
        <w:t xml:space="preserve"> percent</w:t>
      </w:r>
      <w:r>
        <w:rPr>
          <w:color w:val="000000" w:themeColor="text1"/>
          <w:shd w:val="clear" w:color="auto" w:fill="FFFFFF"/>
        </w:rPr>
        <w:t xml:space="preserve"> and 72.39</w:t>
      </w:r>
      <w:r w:rsidR="003153CF">
        <w:rPr>
          <w:color w:val="000000" w:themeColor="text1"/>
          <w:shd w:val="clear" w:color="auto" w:fill="FFFFFF"/>
        </w:rPr>
        <w:t xml:space="preserve"> percent</w:t>
      </w:r>
      <w:r>
        <w:rPr>
          <w:color w:val="000000" w:themeColor="text1"/>
          <w:shd w:val="clear" w:color="auto" w:fill="FFFFFF"/>
        </w:rPr>
        <w:t xml:space="preserve"> zero </w:t>
      </w:r>
      <w:proofErr w:type="gramStart"/>
      <w:r>
        <w:rPr>
          <w:color w:val="000000" w:themeColor="text1"/>
          <w:shd w:val="clear" w:color="auto" w:fill="FFFFFF"/>
        </w:rPr>
        <w:t>values</w:t>
      </w:r>
      <w:proofErr w:type="gramEnd"/>
      <w:r>
        <w:rPr>
          <w:color w:val="000000" w:themeColor="text1"/>
          <w:shd w:val="clear" w:color="auto" w:fill="FFFFFF"/>
        </w:rPr>
        <w:t xml:space="preserve"> we are not able to estimate their determinants using a fixed-effects linear </w:t>
      </w:r>
      <w:r w:rsidR="00707C41">
        <w:rPr>
          <w:color w:val="000000" w:themeColor="text1"/>
          <w:shd w:val="clear" w:color="auto" w:fill="FFFFFF"/>
        </w:rPr>
        <w:t>estimator</w:t>
      </w:r>
      <w:r>
        <w:rPr>
          <w:color w:val="000000" w:themeColor="text1"/>
          <w:shd w:val="clear" w:color="auto" w:fill="FFFFFF"/>
        </w:rPr>
        <w:t xml:space="preserve">. A Tobit </w:t>
      </w:r>
      <w:r w:rsidR="00707C41">
        <w:rPr>
          <w:color w:val="000000" w:themeColor="text1"/>
          <w:shd w:val="clear" w:color="auto" w:fill="FFFFFF"/>
        </w:rPr>
        <w:t>e</w:t>
      </w:r>
      <w:r w:rsidR="00381706">
        <w:rPr>
          <w:color w:val="000000" w:themeColor="text1"/>
          <w:shd w:val="clear" w:color="auto" w:fill="FFFFFF"/>
        </w:rPr>
        <w:t>s</w:t>
      </w:r>
      <w:r w:rsidR="00707C41">
        <w:rPr>
          <w:color w:val="000000" w:themeColor="text1"/>
          <w:shd w:val="clear" w:color="auto" w:fill="FFFFFF"/>
        </w:rPr>
        <w:t>timator</w:t>
      </w:r>
      <w:r>
        <w:rPr>
          <w:color w:val="000000" w:themeColor="text1"/>
          <w:shd w:val="clear" w:color="auto" w:fill="FFFFFF"/>
        </w:rPr>
        <w:t xml:space="preserve"> should be used in this case, but fixed</w:t>
      </w:r>
      <w:r w:rsidR="006C7818">
        <w:rPr>
          <w:color w:val="000000" w:themeColor="text1"/>
          <w:shd w:val="clear" w:color="auto" w:fill="FFFFFF"/>
        </w:rPr>
        <w:t xml:space="preserve"> </w:t>
      </w:r>
      <w:r>
        <w:rPr>
          <w:color w:val="000000" w:themeColor="text1"/>
          <w:shd w:val="clear" w:color="auto" w:fill="FFFFFF"/>
        </w:rPr>
        <w:t xml:space="preserve">effects cannot be accounted for due to the incidental parameter problem. </w:t>
      </w:r>
    </w:p>
    <w:p w14:paraId="7F3E6ACB" w14:textId="52880378" w:rsidR="00415576" w:rsidRDefault="00415576" w:rsidP="00415576">
      <w:pPr>
        <w:spacing w:line="360" w:lineRule="auto"/>
        <w:ind w:firstLine="720"/>
        <w:jc w:val="both"/>
        <w:rPr>
          <w:lang w:val="en-US"/>
        </w:rPr>
      </w:pPr>
      <w:r>
        <w:rPr>
          <w:color w:val="000000" w:themeColor="text1"/>
          <w:shd w:val="clear" w:color="auto" w:fill="FFFFFF"/>
        </w:rPr>
        <w:t xml:space="preserve">In </w:t>
      </w:r>
      <w:r w:rsidRPr="00FF02C4">
        <w:rPr>
          <w:color w:val="000000" w:themeColor="text1"/>
          <w:shd w:val="clear" w:color="auto" w:fill="FFFFFF"/>
        </w:rPr>
        <w:t xml:space="preserve">Table </w:t>
      </w:r>
      <w:r w:rsidR="00FC3B0E" w:rsidRPr="00FF02C4">
        <w:rPr>
          <w:color w:val="000000" w:themeColor="text1"/>
          <w:shd w:val="clear" w:color="auto" w:fill="FFFFFF"/>
        </w:rPr>
        <w:t>A8</w:t>
      </w:r>
      <w:r w:rsidRPr="00FF02C4">
        <w:rPr>
          <w:color w:val="000000" w:themeColor="text1"/>
          <w:shd w:val="clear" w:color="auto" w:fill="FFFFFF"/>
        </w:rPr>
        <w:t xml:space="preserve">, we therefore verify whether </w:t>
      </w:r>
      <w:r>
        <w:rPr>
          <w:color w:val="000000" w:themeColor="text1"/>
          <w:shd w:val="clear" w:color="auto" w:fill="FFFFFF"/>
        </w:rPr>
        <w:t xml:space="preserve">our results are robust to focusing on two other consumption aggregates, namely out-of-pocket medical </w:t>
      </w:r>
      <w:proofErr w:type="gramStart"/>
      <w:r>
        <w:rPr>
          <w:color w:val="000000" w:themeColor="text1"/>
          <w:shd w:val="clear" w:color="auto" w:fill="FFFFFF"/>
        </w:rPr>
        <w:t>expenditures</w:t>
      </w:r>
      <w:proofErr w:type="gramEnd"/>
      <w:r>
        <w:rPr>
          <w:color w:val="000000" w:themeColor="text1"/>
          <w:shd w:val="clear" w:color="auto" w:fill="FFFFFF"/>
        </w:rPr>
        <w:t xml:space="preserve"> and “other” expenditure, which either have few or no zero values. The former </w:t>
      </w:r>
      <w:r w:rsidRPr="00B57B98">
        <w:rPr>
          <w:lang w:val="en-US"/>
        </w:rPr>
        <w:t>represents an important share (13.44</w:t>
      </w:r>
      <w:r w:rsidR="003153CF">
        <w:rPr>
          <w:lang w:val="en-US"/>
        </w:rPr>
        <w:t xml:space="preserve"> percent</w:t>
      </w:r>
      <w:r w:rsidRPr="00B57B98">
        <w:rPr>
          <w:lang w:val="en-US"/>
        </w:rPr>
        <w:t>) of the total consumption of the respondents in our dataset, is essential expenditure, and closely depends on household composition</w:t>
      </w:r>
      <w:r>
        <w:rPr>
          <w:lang w:val="en-US"/>
        </w:rPr>
        <w:t>. The latter is a miscellaneous category which includes diverse items such as l</w:t>
      </w:r>
      <w:r w:rsidRPr="007E1070">
        <w:rPr>
          <w:lang w:val="en-US"/>
        </w:rPr>
        <w:t>ocal transportation</w:t>
      </w:r>
      <w:r>
        <w:rPr>
          <w:lang w:val="en-US"/>
        </w:rPr>
        <w:t>; f</w:t>
      </w:r>
      <w:r w:rsidRPr="007E1070">
        <w:rPr>
          <w:lang w:val="en-US"/>
        </w:rPr>
        <w:t xml:space="preserve">ees for matrons, </w:t>
      </w:r>
      <w:proofErr w:type="gramStart"/>
      <w:r w:rsidRPr="007E1070">
        <w:rPr>
          <w:lang w:val="en-US"/>
        </w:rPr>
        <w:t>housekeepers</w:t>
      </w:r>
      <w:proofErr w:type="gramEnd"/>
      <w:r w:rsidRPr="007E1070">
        <w:rPr>
          <w:lang w:val="en-US"/>
        </w:rPr>
        <w:t xml:space="preserve"> and servants</w:t>
      </w:r>
      <w:r>
        <w:rPr>
          <w:lang w:val="en-US"/>
        </w:rPr>
        <w:t>; t</w:t>
      </w:r>
      <w:r w:rsidRPr="007E1070">
        <w:rPr>
          <w:lang w:val="en-US"/>
        </w:rPr>
        <w:t>axes and fees turned over to the government</w:t>
      </w:r>
      <w:r>
        <w:rPr>
          <w:lang w:val="en-US"/>
        </w:rPr>
        <w:t>; d</w:t>
      </w:r>
      <w:r w:rsidRPr="007E1070">
        <w:rPr>
          <w:lang w:val="en-US"/>
        </w:rPr>
        <w:t xml:space="preserve">onations </w:t>
      </w:r>
      <w:r>
        <w:rPr>
          <w:lang w:val="en-US"/>
        </w:rPr>
        <w:t xml:space="preserve">and so on. We can see that our main results hold for these two sub-categories of consumption, with one exception: neither total nor per capita out-of-pocket medical expenditure are affected by movers aged 25 to 30. This can be explained bearing in mind that respondents in this age group are generally healthy and </w:t>
      </w:r>
      <w:r w:rsidR="003153CF">
        <w:rPr>
          <w:lang w:val="en-US"/>
        </w:rPr>
        <w:t>thus</w:t>
      </w:r>
      <w:r>
        <w:rPr>
          <w:lang w:val="en-US"/>
        </w:rPr>
        <w:t xml:space="preserve"> only free up a small </w:t>
      </w:r>
      <w:proofErr w:type="gramStart"/>
      <w:r>
        <w:rPr>
          <w:lang w:val="en-US"/>
        </w:rPr>
        <w:t>amount</w:t>
      </w:r>
      <w:proofErr w:type="gramEnd"/>
      <w:r>
        <w:rPr>
          <w:lang w:val="en-US"/>
        </w:rPr>
        <w:t xml:space="preserve"> of resources.</w:t>
      </w:r>
    </w:p>
    <w:p w14:paraId="64B7EE50" w14:textId="77777777" w:rsidR="00415576" w:rsidRDefault="00415576" w:rsidP="00CD57EE">
      <w:pPr>
        <w:spacing w:line="360" w:lineRule="auto"/>
        <w:jc w:val="both"/>
        <w:rPr>
          <w:color w:val="000000" w:themeColor="text1"/>
          <w:shd w:val="clear" w:color="auto" w:fill="FFFFFF"/>
          <w:lang w:val="en-US"/>
        </w:rPr>
      </w:pPr>
    </w:p>
    <w:p w14:paraId="7B41955E" w14:textId="5ECC08E6" w:rsidR="00415576" w:rsidRDefault="00AF3AD1" w:rsidP="007606D0">
      <w:pPr>
        <w:spacing w:line="360" w:lineRule="auto"/>
        <w:ind w:hanging="6"/>
        <w:jc w:val="both"/>
        <w:rPr>
          <w:b/>
          <w:bCs/>
          <w:color w:val="000000" w:themeColor="text1"/>
          <w:shd w:val="clear" w:color="auto" w:fill="FFFFFF"/>
          <w:lang w:val="en-US"/>
        </w:rPr>
      </w:pPr>
      <w:r>
        <w:rPr>
          <w:b/>
          <w:bCs/>
          <w:color w:val="000000" w:themeColor="text1"/>
          <w:shd w:val="clear" w:color="auto" w:fill="FFFFFF"/>
          <w:lang w:val="en-US"/>
        </w:rPr>
        <w:t xml:space="preserve"> </w:t>
      </w:r>
      <w:r w:rsidR="00415576" w:rsidRPr="00415576">
        <w:rPr>
          <w:b/>
          <w:bCs/>
          <w:color w:val="000000" w:themeColor="text1"/>
          <w:shd w:val="clear" w:color="auto" w:fill="FFFFFF"/>
          <w:lang w:val="en-US"/>
        </w:rPr>
        <w:t xml:space="preserve">References not included in the </w:t>
      </w:r>
      <w:proofErr w:type="gramStart"/>
      <w:r w:rsidR="00415576" w:rsidRPr="00415576">
        <w:rPr>
          <w:b/>
          <w:bCs/>
          <w:color w:val="000000" w:themeColor="text1"/>
          <w:shd w:val="clear" w:color="auto" w:fill="FFFFFF"/>
          <w:lang w:val="en-US"/>
        </w:rPr>
        <w:t>paper</w:t>
      </w:r>
      <w:proofErr w:type="gramEnd"/>
    </w:p>
    <w:p w14:paraId="18934E69" w14:textId="6651FCE2" w:rsidR="00415576" w:rsidRDefault="00415576" w:rsidP="007606D0">
      <w:pPr>
        <w:pStyle w:val="xmsonormal"/>
        <w:shd w:val="clear" w:color="auto" w:fill="FFFFFF"/>
        <w:spacing w:line="360" w:lineRule="auto"/>
        <w:ind w:left="714" w:hanging="720"/>
        <w:jc w:val="both"/>
        <w:rPr>
          <w:rFonts w:ascii="Times New Roman" w:hAnsi="Times New Roman" w:cs="Times New Roman"/>
          <w:sz w:val="24"/>
          <w:szCs w:val="24"/>
        </w:rPr>
      </w:pPr>
      <w:r w:rsidRPr="00744BB5">
        <w:rPr>
          <w:rFonts w:ascii="Times New Roman" w:hAnsi="Times New Roman" w:cs="Times New Roman"/>
          <w:sz w:val="24"/>
          <w:szCs w:val="24"/>
        </w:rPr>
        <w:t xml:space="preserve">Banks, J., </w:t>
      </w:r>
      <w:r w:rsidR="006B10C5">
        <w:rPr>
          <w:rFonts w:ascii="Times New Roman" w:hAnsi="Times New Roman" w:cs="Times New Roman"/>
          <w:sz w:val="24"/>
          <w:szCs w:val="24"/>
        </w:rPr>
        <w:t xml:space="preserve">C. </w:t>
      </w:r>
      <w:r w:rsidRPr="00744BB5">
        <w:rPr>
          <w:rFonts w:ascii="Times New Roman" w:hAnsi="Times New Roman" w:cs="Times New Roman"/>
          <w:sz w:val="24"/>
          <w:szCs w:val="24"/>
        </w:rPr>
        <w:t>O’Dea</w:t>
      </w:r>
      <w:r w:rsidR="006B10C5">
        <w:rPr>
          <w:rFonts w:ascii="Times New Roman" w:hAnsi="Times New Roman" w:cs="Times New Roman"/>
          <w:sz w:val="24"/>
          <w:szCs w:val="24"/>
        </w:rPr>
        <w:t>,</w:t>
      </w:r>
      <w:r w:rsidRPr="00744BB5">
        <w:rPr>
          <w:rFonts w:ascii="Times New Roman" w:hAnsi="Times New Roman" w:cs="Times New Roman"/>
          <w:sz w:val="24"/>
          <w:szCs w:val="24"/>
        </w:rPr>
        <w:t xml:space="preserve"> </w:t>
      </w:r>
      <w:r w:rsidR="006B10C5">
        <w:rPr>
          <w:rFonts w:ascii="Times New Roman" w:hAnsi="Times New Roman" w:cs="Times New Roman"/>
          <w:sz w:val="24"/>
          <w:szCs w:val="24"/>
        </w:rPr>
        <w:t xml:space="preserve">and Z. </w:t>
      </w:r>
      <w:r w:rsidRPr="00744BB5">
        <w:rPr>
          <w:rFonts w:ascii="Times New Roman" w:hAnsi="Times New Roman" w:cs="Times New Roman"/>
          <w:sz w:val="24"/>
          <w:szCs w:val="24"/>
        </w:rPr>
        <w:t xml:space="preserve">Oldfield </w:t>
      </w:r>
      <w:r w:rsidR="006B10C5">
        <w:rPr>
          <w:rFonts w:ascii="Times New Roman" w:hAnsi="Times New Roman" w:cs="Times New Roman"/>
          <w:sz w:val="24"/>
          <w:szCs w:val="24"/>
        </w:rPr>
        <w:t>(</w:t>
      </w:r>
      <w:r w:rsidRPr="00744BB5">
        <w:rPr>
          <w:rFonts w:ascii="Times New Roman" w:hAnsi="Times New Roman" w:cs="Times New Roman"/>
          <w:sz w:val="24"/>
          <w:szCs w:val="24"/>
        </w:rPr>
        <w:t>2010</w:t>
      </w:r>
      <w:r w:rsidR="006B10C5">
        <w:rPr>
          <w:rFonts w:ascii="Times New Roman" w:hAnsi="Times New Roman" w:cs="Times New Roman"/>
          <w:sz w:val="24"/>
          <w:szCs w:val="24"/>
        </w:rPr>
        <w:t>)</w:t>
      </w:r>
      <w:r w:rsidRPr="00744BB5">
        <w:rPr>
          <w:rFonts w:ascii="Times New Roman" w:hAnsi="Times New Roman" w:cs="Times New Roman"/>
          <w:sz w:val="24"/>
          <w:szCs w:val="24"/>
        </w:rPr>
        <w:t xml:space="preserve">. Cognitive function, numeracy and retirement saving trajectories. </w:t>
      </w:r>
      <w:r w:rsidRPr="006B10C5">
        <w:rPr>
          <w:rFonts w:ascii="Times New Roman" w:hAnsi="Times New Roman" w:cs="Times New Roman"/>
          <w:i/>
          <w:iCs/>
          <w:sz w:val="24"/>
          <w:szCs w:val="24"/>
        </w:rPr>
        <w:t>Economic Journal</w:t>
      </w:r>
      <w:r w:rsidRPr="00744BB5">
        <w:rPr>
          <w:rFonts w:ascii="Times New Roman" w:hAnsi="Times New Roman" w:cs="Times New Roman"/>
          <w:sz w:val="24"/>
          <w:szCs w:val="24"/>
        </w:rPr>
        <w:t>, 120 (548), F381–F410</w:t>
      </w:r>
      <w:r>
        <w:rPr>
          <w:rFonts w:ascii="Times New Roman" w:hAnsi="Times New Roman" w:cs="Times New Roman"/>
          <w:sz w:val="24"/>
          <w:szCs w:val="24"/>
        </w:rPr>
        <w:t>.</w:t>
      </w:r>
    </w:p>
    <w:p w14:paraId="342FD73E" w14:textId="2FD193AD" w:rsidR="00800001" w:rsidRDefault="00415576" w:rsidP="00800001">
      <w:pPr>
        <w:pStyle w:val="xmsonormal"/>
        <w:shd w:val="clear" w:color="auto" w:fill="FFFFFF"/>
        <w:spacing w:line="360" w:lineRule="auto"/>
        <w:ind w:left="714" w:hanging="720"/>
        <w:jc w:val="both"/>
        <w:rPr>
          <w:rFonts w:ascii="Times New Roman" w:hAnsi="Times New Roman" w:cs="Times New Roman"/>
          <w:sz w:val="24"/>
          <w:szCs w:val="24"/>
        </w:rPr>
      </w:pPr>
      <w:r>
        <w:rPr>
          <w:rFonts w:ascii="Times New Roman" w:hAnsi="Times New Roman" w:cs="Times New Roman"/>
          <w:sz w:val="24"/>
          <w:szCs w:val="24"/>
        </w:rPr>
        <w:t>Fitzgerald, J</w:t>
      </w:r>
      <w:r w:rsidR="006B10C5">
        <w:rPr>
          <w:rFonts w:ascii="Times New Roman" w:hAnsi="Times New Roman" w:cs="Times New Roman"/>
          <w:sz w:val="24"/>
          <w:szCs w:val="24"/>
        </w:rPr>
        <w:t>.</w:t>
      </w:r>
      <w:r>
        <w:rPr>
          <w:rFonts w:ascii="Times New Roman" w:hAnsi="Times New Roman" w:cs="Times New Roman"/>
          <w:sz w:val="24"/>
          <w:szCs w:val="24"/>
        </w:rPr>
        <w:t xml:space="preserve">, </w:t>
      </w:r>
      <w:r w:rsidR="006B10C5">
        <w:rPr>
          <w:rFonts w:ascii="Times New Roman" w:hAnsi="Times New Roman" w:cs="Times New Roman"/>
          <w:sz w:val="24"/>
          <w:szCs w:val="24"/>
        </w:rPr>
        <w:t xml:space="preserve">P. </w:t>
      </w:r>
      <w:proofErr w:type="gramStart"/>
      <w:r>
        <w:rPr>
          <w:rFonts w:ascii="Times New Roman" w:hAnsi="Times New Roman" w:cs="Times New Roman"/>
          <w:sz w:val="24"/>
          <w:szCs w:val="24"/>
        </w:rPr>
        <w:t>Gottschalk</w:t>
      </w:r>
      <w:proofErr w:type="gramEnd"/>
      <w:r>
        <w:rPr>
          <w:rFonts w:ascii="Times New Roman" w:hAnsi="Times New Roman" w:cs="Times New Roman"/>
          <w:sz w:val="24"/>
          <w:szCs w:val="24"/>
        </w:rPr>
        <w:t xml:space="preserve"> </w:t>
      </w:r>
      <w:r w:rsidR="006B10C5">
        <w:rPr>
          <w:rFonts w:ascii="Times New Roman" w:hAnsi="Times New Roman" w:cs="Times New Roman"/>
          <w:sz w:val="24"/>
          <w:szCs w:val="24"/>
        </w:rPr>
        <w:t xml:space="preserve">and </w:t>
      </w:r>
      <w:r>
        <w:rPr>
          <w:rFonts w:ascii="Times New Roman" w:hAnsi="Times New Roman" w:cs="Times New Roman"/>
          <w:sz w:val="24"/>
          <w:szCs w:val="24"/>
        </w:rPr>
        <w:t xml:space="preserve">P. R. Moffit </w:t>
      </w:r>
      <w:r w:rsidR="006B10C5">
        <w:rPr>
          <w:rFonts w:ascii="Times New Roman" w:hAnsi="Times New Roman" w:cs="Times New Roman"/>
          <w:sz w:val="24"/>
          <w:szCs w:val="24"/>
        </w:rPr>
        <w:t>(</w:t>
      </w:r>
      <w:r>
        <w:rPr>
          <w:rFonts w:ascii="Times New Roman" w:hAnsi="Times New Roman" w:cs="Times New Roman"/>
          <w:sz w:val="24"/>
          <w:szCs w:val="24"/>
        </w:rPr>
        <w:t>1998</w:t>
      </w:r>
      <w:r w:rsidR="006B10C5">
        <w:rPr>
          <w:rFonts w:ascii="Times New Roman" w:hAnsi="Times New Roman" w:cs="Times New Roman"/>
          <w:sz w:val="24"/>
          <w:szCs w:val="24"/>
        </w:rPr>
        <w:t>).</w:t>
      </w:r>
      <w:r>
        <w:rPr>
          <w:rFonts w:ascii="Times New Roman" w:hAnsi="Times New Roman" w:cs="Times New Roman"/>
          <w:sz w:val="24"/>
          <w:szCs w:val="24"/>
        </w:rPr>
        <w:t xml:space="preserve"> An analysis of sample attrition in panel data: the Michigan panel study of income dynamics. National Bureau of Economic Research Technical Working Paper No. 0220.</w:t>
      </w:r>
    </w:p>
    <w:p w14:paraId="77F5B89E" w14:textId="2A70606C" w:rsidR="00AF3AD1" w:rsidRDefault="00AF3AD1" w:rsidP="00800001">
      <w:pPr>
        <w:pStyle w:val="xmsonormal"/>
        <w:shd w:val="clear" w:color="auto" w:fill="FFFFFF"/>
        <w:spacing w:line="360" w:lineRule="auto"/>
        <w:ind w:left="714" w:hanging="720"/>
        <w:jc w:val="both"/>
        <w:rPr>
          <w:rFonts w:ascii="Times New Roman" w:hAnsi="Times New Roman" w:cs="Times New Roman"/>
          <w:sz w:val="24"/>
          <w:szCs w:val="24"/>
        </w:rPr>
      </w:pPr>
      <w:r w:rsidRPr="00A00DAB">
        <w:rPr>
          <w:rFonts w:ascii="Times New Roman" w:hAnsi="Times New Roman" w:cs="Times New Roman"/>
          <w:sz w:val="24"/>
          <w:szCs w:val="24"/>
        </w:rPr>
        <w:lastRenderedPageBreak/>
        <w:t xml:space="preserve">Gröger, A. and </w:t>
      </w:r>
      <w:r w:rsidR="006B10C5">
        <w:rPr>
          <w:rFonts w:ascii="Times New Roman" w:hAnsi="Times New Roman" w:cs="Times New Roman"/>
          <w:sz w:val="24"/>
          <w:szCs w:val="24"/>
        </w:rPr>
        <w:t xml:space="preserve">Y. </w:t>
      </w:r>
      <w:r w:rsidRPr="00A00DAB">
        <w:rPr>
          <w:rFonts w:ascii="Times New Roman" w:hAnsi="Times New Roman" w:cs="Times New Roman"/>
          <w:sz w:val="24"/>
          <w:szCs w:val="24"/>
        </w:rPr>
        <w:t>Zylberberg</w:t>
      </w:r>
      <w:r>
        <w:rPr>
          <w:rFonts w:ascii="Times New Roman" w:hAnsi="Times New Roman" w:cs="Times New Roman"/>
          <w:sz w:val="24"/>
          <w:szCs w:val="24"/>
        </w:rPr>
        <w:t xml:space="preserve"> (</w:t>
      </w:r>
      <w:r w:rsidRPr="00060F1B">
        <w:rPr>
          <w:rFonts w:ascii="Times New Roman" w:hAnsi="Times New Roman" w:cs="Times New Roman"/>
          <w:sz w:val="24"/>
          <w:szCs w:val="24"/>
        </w:rPr>
        <w:t>2016</w:t>
      </w:r>
      <w:r>
        <w:rPr>
          <w:rFonts w:ascii="Times New Roman" w:hAnsi="Times New Roman" w:cs="Times New Roman"/>
          <w:sz w:val="24"/>
          <w:szCs w:val="24"/>
        </w:rPr>
        <w:t>)</w:t>
      </w:r>
      <w:r w:rsidRPr="00060F1B">
        <w:rPr>
          <w:rFonts w:ascii="Times New Roman" w:hAnsi="Times New Roman" w:cs="Times New Roman"/>
          <w:sz w:val="24"/>
          <w:szCs w:val="24"/>
        </w:rPr>
        <w:t xml:space="preserve">. Internal </w:t>
      </w:r>
      <w:proofErr w:type="spellStart"/>
      <w:r w:rsidR="006B10C5">
        <w:rPr>
          <w:rFonts w:ascii="Times New Roman" w:hAnsi="Times New Roman" w:cs="Times New Roman"/>
          <w:sz w:val="24"/>
          <w:szCs w:val="24"/>
        </w:rPr>
        <w:t>l</w:t>
      </w:r>
      <w:r w:rsidRPr="00060F1B">
        <w:rPr>
          <w:rFonts w:ascii="Times New Roman" w:hAnsi="Times New Roman" w:cs="Times New Roman"/>
          <w:sz w:val="24"/>
          <w:szCs w:val="24"/>
        </w:rPr>
        <w:t>abor</w:t>
      </w:r>
      <w:proofErr w:type="spellEnd"/>
      <w:r w:rsidRPr="00060F1B">
        <w:rPr>
          <w:rFonts w:ascii="Times New Roman" w:hAnsi="Times New Roman" w:cs="Times New Roman"/>
          <w:sz w:val="24"/>
          <w:szCs w:val="24"/>
        </w:rPr>
        <w:t xml:space="preserve"> </w:t>
      </w:r>
      <w:r w:rsidR="006B10C5">
        <w:rPr>
          <w:rFonts w:ascii="Times New Roman" w:hAnsi="Times New Roman" w:cs="Times New Roman"/>
          <w:sz w:val="24"/>
          <w:szCs w:val="24"/>
        </w:rPr>
        <w:t>m</w:t>
      </w:r>
      <w:r w:rsidRPr="00060F1B">
        <w:rPr>
          <w:rFonts w:ascii="Times New Roman" w:hAnsi="Times New Roman" w:cs="Times New Roman"/>
          <w:sz w:val="24"/>
          <w:szCs w:val="24"/>
        </w:rPr>
        <w:t xml:space="preserve">igration as a </w:t>
      </w:r>
      <w:r w:rsidR="006B10C5">
        <w:rPr>
          <w:rFonts w:ascii="Times New Roman" w:hAnsi="Times New Roman" w:cs="Times New Roman"/>
          <w:sz w:val="24"/>
          <w:szCs w:val="24"/>
        </w:rPr>
        <w:t>s</w:t>
      </w:r>
      <w:r w:rsidRPr="00060F1B">
        <w:rPr>
          <w:rFonts w:ascii="Times New Roman" w:hAnsi="Times New Roman" w:cs="Times New Roman"/>
          <w:sz w:val="24"/>
          <w:szCs w:val="24"/>
        </w:rPr>
        <w:t xml:space="preserve">hock </w:t>
      </w:r>
      <w:r w:rsidR="006B10C5">
        <w:rPr>
          <w:rFonts w:ascii="Times New Roman" w:hAnsi="Times New Roman" w:cs="Times New Roman"/>
          <w:sz w:val="24"/>
          <w:szCs w:val="24"/>
        </w:rPr>
        <w:t>c</w:t>
      </w:r>
      <w:r w:rsidRPr="00060F1B">
        <w:rPr>
          <w:rFonts w:ascii="Times New Roman" w:hAnsi="Times New Roman" w:cs="Times New Roman"/>
          <w:sz w:val="24"/>
          <w:szCs w:val="24"/>
        </w:rPr>
        <w:t xml:space="preserve">oping </w:t>
      </w:r>
      <w:r w:rsidR="006B10C5">
        <w:rPr>
          <w:rFonts w:ascii="Times New Roman" w:hAnsi="Times New Roman" w:cs="Times New Roman"/>
          <w:sz w:val="24"/>
          <w:szCs w:val="24"/>
        </w:rPr>
        <w:t>s</w:t>
      </w:r>
      <w:r w:rsidRPr="00060F1B">
        <w:rPr>
          <w:rFonts w:ascii="Times New Roman" w:hAnsi="Times New Roman" w:cs="Times New Roman"/>
          <w:sz w:val="24"/>
          <w:szCs w:val="24"/>
        </w:rPr>
        <w:t xml:space="preserve">trategy: </w:t>
      </w:r>
      <w:r w:rsidR="006B10C5">
        <w:rPr>
          <w:rFonts w:ascii="Times New Roman" w:hAnsi="Times New Roman" w:cs="Times New Roman"/>
          <w:sz w:val="24"/>
          <w:szCs w:val="24"/>
        </w:rPr>
        <w:t>e</w:t>
      </w:r>
      <w:r w:rsidRPr="00060F1B">
        <w:rPr>
          <w:rFonts w:ascii="Times New Roman" w:hAnsi="Times New Roman" w:cs="Times New Roman"/>
          <w:sz w:val="24"/>
          <w:szCs w:val="24"/>
        </w:rPr>
        <w:t xml:space="preserve">vidence from a </w:t>
      </w:r>
      <w:r w:rsidR="006B10C5">
        <w:rPr>
          <w:rFonts w:ascii="Times New Roman" w:hAnsi="Times New Roman" w:cs="Times New Roman"/>
          <w:sz w:val="24"/>
          <w:szCs w:val="24"/>
        </w:rPr>
        <w:t>t</w:t>
      </w:r>
      <w:r w:rsidRPr="00060F1B">
        <w:rPr>
          <w:rFonts w:ascii="Times New Roman" w:hAnsi="Times New Roman" w:cs="Times New Roman"/>
          <w:sz w:val="24"/>
          <w:szCs w:val="24"/>
        </w:rPr>
        <w:t xml:space="preserve">yphoon. </w:t>
      </w:r>
      <w:r w:rsidRPr="006B10C5">
        <w:rPr>
          <w:rFonts w:ascii="Times New Roman" w:hAnsi="Times New Roman" w:cs="Times New Roman"/>
          <w:i/>
          <w:iCs/>
          <w:sz w:val="24"/>
          <w:szCs w:val="24"/>
        </w:rPr>
        <w:t>American Economic Journal: Applied Economics</w:t>
      </w:r>
      <w:r w:rsidRPr="00060F1B">
        <w:rPr>
          <w:rFonts w:ascii="Times New Roman" w:hAnsi="Times New Roman" w:cs="Times New Roman"/>
          <w:sz w:val="24"/>
          <w:szCs w:val="24"/>
        </w:rPr>
        <w:t>, 8 (2)</w:t>
      </w:r>
      <w:r w:rsidR="006B10C5">
        <w:rPr>
          <w:rFonts w:ascii="Times New Roman" w:hAnsi="Times New Roman" w:cs="Times New Roman"/>
          <w:sz w:val="24"/>
          <w:szCs w:val="24"/>
        </w:rPr>
        <w:t>,</w:t>
      </w:r>
      <w:r w:rsidRPr="00060F1B">
        <w:rPr>
          <w:rFonts w:ascii="Times New Roman" w:hAnsi="Times New Roman" w:cs="Times New Roman"/>
          <w:sz w:val="24"/>
          <w:szCs w:val="24"/>
        </w:rPr>
        <w:t xml:space="preserve"> 123-53.</w:t>
      </w:r>
    </w:p>
    <w:p w14:paraId="018CB96B" w14:textId="29032904" w:rsidR="00BE7FF9" w:rsidRDefault="00BE7FF9" w:rsidP="00800001">
      <w:pPr>
        <w:pStyle w:val="xmsonormal"/>
        <w:shd w:val="clear" w:color="auto" w:fill="FFFFFF"/>
        <w:spacing w:line="360" w:lineRule="auto"/>
        <w:ind w:left="714" w:hanging="720"/>
        <w:jc w:val="both"/>
        <w:rPr>
          <w:rFonts w:ascii="Times New Roman" w:hAnsi="Times New Roman" w:cs="Times New Roman"/>
          <w:sz w:val="24"/>
          <w:szCs w:val="24"/>
        </w:rPr>
      </w:pPr>
      <w:r w:rsidRPr="00BE7FF9">
        <w:rPr>
          <w:rFonts w:ascii="Times New Roman" w:hAnsi="Times New Roman" w:cs="Times New Roman"/>
          <w:sz w:val="24"/>
          <w:szCs w:val="24"/>
        </w:rPr>
        <w:t xml:space="preserve">Gu, B., Ju, X., Chang, J., Ge, </w:t>
      </w:r>
      <w:proofErr w:type="gramStart"/>
      <w:r w:rsidRPr="00BE7FF9">
        <w:rPr>
          <w:rFonts w:ascii="Times New Roman" w:hAnsi="Times New Roman" w:cs="Times New Roman"/>
          <w:sz w:val="24"/>
          <w:szCs w:val="24"/>
        </w:rPr>
        <w:t>Y.</w:t>
      </w:r>
      <w:proofErr w:type="gramEnd"/>
      <w:r w:rsidRPr="00BE7FF9">
        <w:rPr>
          <w:rFonts w:ascii="Times New Roman" w:hAnsi="Times New Roman" w:cs="Times New Roman"/>
          <w:sz w:val="24"/>
          <w:szCs w:val="24"/>
        </w:rPr>
        <w:t xml:space="preserve"> and </w:t>
      </w:r>
      <w:r>
        <w:rPr>
          <w:rFonts w:ascii="Times New Roman" w:hAnsi="Times New Roman" w:cs="Times New Roman"/>
          <w:sz w:val="24"/>
          <w:szCs w:val="24"/>
        </w:rPr>
        <w:t xml:space="preserve">P. M. </w:t>
      </w:r>
      <w:proofErr w:type="spellStart"/>
      <w:r w:rsidRPr="00BE7FF9">
        <w:rPr>
          <w:rFonts w:ascii="Times New Roman" w:hAnsi="Times New Roman" w:cs="Times New Roman"/>
          <w:sz w:val="24"/>
          <w:szCs w:val="24"/>
        </w:rPr>
        <w:t>Vitousek</w:t>
      </w:r>
      <w:proofErr w:type="spellEnd"/>
      <w:r w:rsidRPr="00BE7FF9">
        <w:rPr>
          <w:rFonts w:ascii="Times New Roman" w:hAnsi="Times New Roman" w:cs="Times New Roman"/>
          <w:sz w:val="24"/>
          <w:szCs w:val="24"/>
        </w:rPr>
        <w:t xml:space="preserve"> (2015)</w:t>
      </w:r>
      <w:r>
        <w:rPr>
          <w:rFonts w:ascii="Times New Roman" w:hAnsi="Times New Roman" w:cs="Times New Roman"/>
          <w:sz w:val="24"/>
          <w:szCs w:val="24"/>
        </w:rPr>
        <w:t>.</w:t>
      </w:r>
      <w:r w:rsidRPr="00BE7FF9">
        <w:rPr>
          <w:rFonts w:ascii="Times New Roman" w:hAnsi="Times New Roman" w:cs="Times New Roman"/>
          <w:sz w:val="24"/>
          <w:szCs w:val="24"/>
        </w:rPr>
        <w:t xml:space="preserve"> Integrated reactive nitrogen budgets and future trends in China</w:t>
      </w:r>
      <w:r>
        <w:rPr>
          <w:rFonts w:ascii="Times New Roman" w:hAnsi="Times New Roman" w:cs="Times New Roman"/>
          <w:sz w:val="24"/>
          <w:szCs w:val="24"/>
        </w:rPr>
        <w:t>.</w:t>
      </w:r>
      <w:r w:rsidRPr="00BE7FF9">
        <w:rPr>
          <w:rFonts w:ascii="Times New Roman" w:hAnsi="Times New Roman" w:cs="Times New Roman"/>
          <w:sz w:val="24"/>
          <w:szCs w:val="24"/>
        </w:rPr>
        <w:t xml:space="preserve"> </w:t>
      </w:r>
      <w:r w:rsidRPr="00BE7FF9">
        <w:rPr>
          <w:rFonts w:ascii="Times New Roman" w:hAnsi="Times New Roman" w:cs="Times New Roman"/>
          <w:i/>
          <w:iCs/>
          <w:sz w:val="24"/>
          <w:szCs w:val="24"/>
        </w:rPr>
        <w:t>Proceedings of the National Academy of Sciences</w:t>
      </w:r>
      <w:r w:rsidRPr="00BE7FF9">
        <w:rPr>
          <w:rFonts w:ascii="Times New Roman" w:hAnsi="Times New Roman" w:cs="Times New Roman"/>
          <w:sz w:val="24"/>
          <w:szCs w:val="24"/>
        </w:rPr>
        <w:t>, 112, 8792-8797.</w:t>
      </w:r>
    </w:p>
    <w:p w14:paraId="33EA8607" w14:textId="481589A3" w:rsidR="00967E8D" w:rsidRDefault="00967E8D">
      <w:pPr>
        <w:spacing w:after="160" w:line="259" w:lineRule="auto"/>
        <w:rPr>
          <w:b/>
          <w:iCs/>
          <w:color w:val="000000" w:themeColor="text1"/>
          <w:sz w:val="20"/>
          <w:szCs w:val="20"/>
          <w:lang w:val="en-US"/>
        </w:rPr>
      </w:pPr>
      <w:r>
        <w:rPr>
          <w:b/>
          <w:iCs/>
          <w:color w:val="000000" w:themeColor="text1"/>
          <w:sz w:val="20"/>
          <w:szCs w:val="20"/>
          <w:lang w:val="en-US"/>
        </w:rPr>
        <w:br w:type="page"/>
      </w:r>
    </w:p>
    <w:p w14:paraId="7D4E0C5A" w14:textId="77777777" w:rsidR="00B41534" w:rsidRPr="00A40E69" w:rsidRDefault="00B41534" w:rsidP="00B41534">
      <w:pPr>
        <w:spacing w:after="200"/>
        <w:rPr>
          <w:b/>
          <w:iCs/>
          <w:color w:val="000000" w:themeColor="text1"/>
          <w:sz w:val="20"/>
          <w:szCs w:val="20"/>
          <w:lang w:val="en-US"/>
        </w:rPr>
      </w:pPr>
    </w:p>
    <w:p w14:paraId="47248865" w14:textId="420C732B" w:rsidR="00B41534" w:rsidRDefault="00B41534" w:rsidP="00B41534">
      <w:pPr>
        <w:pStyle w:val="Caption"/>
        <w:rPr>
          <w:b w:val="0"/>
          <w:bCs/>
          <w:szCs w:val="24"/>
          <w:lang w:val="en-US"/>
        </w:rPr>
      </w:pPr>
      <w:r w:rsidRPr="006F437B">
        <w:rPr>
          <w:szCs w:val="24"/>
          <w:lang w:val="en-US"/>
        </w:rPr>
        <w:t>Table A</w:t>
      </w:r>
      <w:r w:rsidR="00CE2A44">
        <w:rPr>
          <w:szCs w:val="24"/>
          <w:lang w:val="en-US"/>
        </w:rPr>
        <w:t>1</w:t>
      </w:r>
      <w:r w:rsidRPr="006F437B">
        <w:rPr>
          <w:szCs w:val="24"/>
          <w:lang w:val="en-US"/>
        </w:rPr>
        <w:t xml:space="preserve">. </w:t>
      </w:r>
      <w:r w:rsidRPr="006F437B">
        <w:rPr>
          <w:b w:val="0"/>
          <w:bCs/>
          <w:szCs w:val="24"/>
          <w:lang w:val="en-US"/>
        </w:rPr>
        <w:t>Variable definitions</w:t>
      </w:r>
    </w:p>
    <w:p w14:paraId="482E5E57" w14:textId="77777777" w:rsidR="008429B5" w:rsidRPr="008429B5" w:rsidRDefault="008429B5" w:rsidP="008429B5">
      <w:pPr>
        <w:rPr>
          <w:lang w:val="en-US"/>
        </w:rPr>
      </w:pPr>
    </w:p>
    <w:tbl>
      <w:tblPr>
        <w:tblW w:w="4751" w:type="pct"/>
        <w:jc w:val="center"/>
        <w:tblCellMar>
          <w:left w:w="75" w:type="dxa"/>
          <w:right w:w="75" w:type="dxa"/>
        </w:tblCellMar>
        <w:tblLook w:val="0000" w:firstRow="0" w:lastRow="0" w:firstColumn="0" w:lastColumn="0" w:noHBand="0" w:noVBand="0"/>
      </w:tblPr>
      <w:tblGrid>
        <w:gridCol w:w="2709"/>
        <w:gridCol w:w="5868"/>
      </w:tblGrid>
      <w:tr w:rsidR="00B41534" w:rsidRPr="002B0D86" w14:paraId="22E49113" w14:textId="77777777" w:rsidTr="007160D4">
        <w:trPr>
          <w:jc w:val="center"/>
        </w:trPr>
        <w:tc>
          <w:tcPr>
            <w:tcW w:w="1579" w:type="pct"/>
            <w:tcBorders>
              <w:top w:val="single" w:sz="4" w:space="0" w:color="auto"/>
              <w:left w:val="nil"/>
              <w:bottom w:val="single" w:sz="6" w:space="0" w:color="auto"/>
              <w:right w:val="nil"/>
            </w:tcBorders>
          </w:tcPr>
          <w:p w14:paraId="5F9159F7" w14:textId="77777777" w:rsidR="00B41534" w:rsidRPr="00A40E69" w:rsidRDefault="00B41534" w:rsidP="007160D4">
            <w:pPr>
              <w:pStyle w:val="NoSpacing"/>
              <w:rPr>
                <w:rFonts w:ascii="Times New Roman" w:hAnsi="Times New Roman" w:cs="Times New Roman"/>
                <w:b/>
                <w:bCs/>
                <w:sz w:val="20"/>
                <w:szCs w:val="20"/>
                <w:lang w:val="en-US"/>
              </w:rPr>
            </w:pPr>
            <w:r w:rsidRPr="00A40E69">
              <w:rPr>
                <w:rFonts w:ascii="Times New Roman" w:hAnsi="Times New Roman" w:cs="Times New Roman"/>
                <w:b/>
                <w:bCs/>
                <w:sz w:val="20"/>
                <w:szCs w:val="20"/>
                <w:lang w:val="en-US"/>
              </w:rPr>
              <w:t>Variables</w:t>
            </w:r>
          </w:p>
        </w:tc>
        <w:tc>
          <w:tcPr>
            <w:tcW w:w="3421" w:type="pct"/>
            <w:tcBorders>
              <w:top w:val="single" w:sz="4" w:space="0" w:color="auto"/>
              <w:left w:val="nil"/>
              <w:bottom w:val="single" w:sz="6" w:space="0" w:color="auto"/>
              <w:right w:val="nil"/>
            </w:tcBorders>
          </w:tcPr>
          <w:p w14:paraId="66353950" w14:textId="77777777" w:rsidR="00B41534" w:rsidRPr="00A40E69" w:rsidRDefault="00B41534" w:rsidP="007160D4">
            <w:pPr>
              <w:pStyle w:val="NoSpacing"/>
              <w:rPr>
                <w:rFonts w:ascii="Times New Roman" w:hAnsi="Times New Roman" w:cs="Times New Roman"/>
                <w:b/>
                <w:bCs/>
                <w:sz w:val="20"/>
                <w:szCs w:val="20"/>
                <w:lang w:val="en-US"/>
              </w:rPr>
            </w:pPr>
            <w:r w:rsidRPr="00A40E69">
              <w:rPr>
                <w:rFonts w:ascii="Times New Roman" w:hAnsi="Times New Roman" w:cs="Times New Roman"/>
                <w:b/>
                <w:bCs/>
                <w:sz w:val="20"/>
                <w:szCs w:val="20"/>
                <w:lang w:val="en-US"/>
              </w:rPr>
              <w:t>Definition</w:t>
            </w:r>
          </w:p>
        </w:tc>
      </w:tr>
      <w:tr w:rsidR="00B41534" w:rsidRPr="002B0D86" w14:paraId="18E70D1B" w14:textId="77777777" w:rsidTr="007160D4">
        <w:trPr>
          <w:jc w:val="center"/>
        </w:trPr>
        <w:tc>
          <w:tcPr>
            <w:tcW w:w="1579" w:type="pct"/>
            <w:tcBorders>
              <w:top w:val="nil"/>
              <w:left w:val="nil"/>
              <w:bottom w:val="nil"/>
              <w:right w:val="nil"/>
            </w:tcBorders>
          </w:tcPr>
          <w:p w14:paraId="359E45AB" w14:textId="77777777" w:rsidR="00B41534" w:rsidRPr="00A40E69" w:rsidRDefault="00B41534" w:rsidP="007160D4">
            <w:pPr>
              <w:pStyle w:val="NoSpacing"/>
              <w:rPr>
                <w:rFonts w:ascii="Times New Roman" w:hAnsi="Times New Roman" w:cs="Times New Roman"/>
                <w:b/>
                <w:bCs/>
                <w:sz w:val="20"/>
                <w:szCs w:val="20"/>
                <w:lang w:val="en-US"/>
              </w:rPr>
            </w:pPr>
            <w:r w:rsidRPr="00A40E69">
              <w:rPr>
                <w:rFonts w:ascii="Times New Roman" w:hAnsi="Times New Roman" w:cs="Times New Roman"/>
                <w:b/>
                <w:bCs/>
                <w:sz w:val="20"/>
                <w:szCs w:val="20"/>
                <w:lang w:val="en-US"/>
              </w:rPr>
              <w:t>Total consumption</w:t>
            </w:r>
          </w:p>
        </w:tc>
        <w:tc>
          <w:tcPr>
            <w:tcW w:w="3421" w:type="pct"/>
            <w:tcBorders>
              <w:top w:val="nil"/>
              <w:left w:val="nil"/>
              <w:bottom w:val="nil"/>
              <w:right w:val="nil"/>
            </w:tcBorders>
          </w:tcPr>
          <w:p w14:paraId="13E37AB4" w14:textId="14CAD521" w:rsidR="00B41534" w:rsidRPr="00A40E69" w:rsidRDefault="00B41534" w:rsidP="000B6BE0">
            <w:pPr>
              <w:pStyle w:val="NoSpacing"/>
              <w:jc w:val="both"/>
              <w:rPr>
                <w:rFonts w:ascii="Times New Roman" w:hAnsi="Times New Roman" w:cs="Times New Roman"/>
                <w:sz w:val="20"/>
                <w:szCs w:val="20"/>
                <w:lang w:val="en-US"/>
              </w:rPr>
            </w:pPr>
            <w:r w:rsidRPr="00A40E69">
              <w:rPr>
                <w:rFonts w:ascii="Times New Roman" w:hAnsi="Times New Roman" w:cs="Times New Roman"/>
                <w:sz w:val="20"/>
                <w:szCs w:val="20"/>
                <w:lang w:val="en-US"/>
              </w:rPr>
              <w:t>Aggregate consumption of all categories</w:t>
            </w:r>
            <w:r w:rsidR="00102EBC">
              <w:rPr>
                <w:rFonts w:ascii="Times New Roman" w:hAnsi="Times New Roman" w:cs="Times New Roman"/>
                <w:sz w:val="20"/>
                <w:szCs w:val="20"/>
                <w:lang w:val="en-US"/>
              </w:rPr>
              <w:t>.</w:t>
            </w:r>
          </w:p>
        </w:tc>
      </w:tr>
      <w:tr w:rsidR="00B41534" w:rsidRPr="002B0D86" w14:paraId="356B2C8A" w14:textId="77777777" w:rsidTr="007160D4">
        <w:trPr>
          <w:jc w:val="center"/>
        </w:trPr>
        <w:tc>
          <w:tcPr>
            <w:tcW w:w="1579" w:type="pct"/>
            <w:tcBorders>
              <w:top w:val="nil"/>
              <w:left w:val="nil"/>
              <w:bottom w:val="nil"/>
              <w:right w:val="nil"/>
            </w:tcBorders>
          </w:tcPr>
          <w:p w14:paraId="72EE83BF" w14:textId="77777777" w:rsidR="00B41534" w:rsidRPr="00A40E69" w:rsidRDefault="00B41534" w:rsidP="007160D4">
            <w:pPr>
              <w:pStyle w:val="NoSpacing"/>
              <w:rPr>
                <w:rFonts w:ascii="Times New Roman" w:hAnsi="Times New Roman" w:cs="Times New Roman"/>
                <w:b/>
                <w:bCs/>
                <w:sz w:val="20"/>
                <w:szCs w:val="20"/>
                <w:lang w:val="en-US"/>
              </w:rPr>
            </w:pPr>
            <w:r w:rsidRPr="00A40E69">
              <w:rPr>
                <w:rFonts w:ascii="Times New Roman" w:hAnsi="Times New Roman" w:cs="Times New Roman"/>
                <w:b/>
                <w:bCs/>
                <w:sz w:val="20"/>
                <w:szCs w:val="20"/>
                <w:lang w:val="en-US"/>
              </w:rPr>
              <w:t>Non-durable consumption</w:t>
            </w:r>
          </w:p>
        </w:tc>
        <w:tc>
          <w:tcPr>
            <w:tcW w:w="3421" w:type="pct"/>
            <w:tcBorders>
              <w:top w:val="nil"/>
              <w:left w:val="nil"/>
              <w:bottom w:val="nil"/>
              <w:right w:val="nil"/>
            </w:tcBorders>
          </w:tcPr>
          <w:p w14:paraId="43412668" w14:textId="445F0D35" w:rsidR="00B41534" w:rsidRPr="00A40E69" w:rsidRDefault="00B41534" w:rsidP="000B6BE0">
            <w:pPr>
              <w:pStyle w:val="NoSpacing"/>
              <w:jc w:val="both"/>
              <w:rPr>
                <w:rFonts w:ascii="Times New Roman" w:hAnsi="Times New Roman" w:cs="Times New Roman"/>
                <w:sz w:val="20"/>
                <w:szCs w:val="20"/>
                <w:lang w:val="en-US"/>
              </w:rPr>
            </w:pPr>
            <w:r w:rsidRPr="00A40E69">
              <w:rPr>
                <w:rFonts w:ascii="Times New Roman" w:hAnsi="Times New Roman" w:cs="Times New Roman"/>
                <w:sz w:val="20"/>
                <w:szCs w:val="20"/>
                <w:lang w:val="en-US"/>
              </w:rPr>
              <w:t>Aggregate consumption of all categories except for durables</w:t>
            </w:r>
            <w:r w:rsidR="00102EBC">
              <w:rPr>
                <w:rFonts w:ascii="Times New Roman" w:hAnsi="Times New Roman" w:cs="Times New Roman"/>
                <w:sz w:val="20"/>
                <w:szCs w:val="20"/>
                <w:lang w:val="en-US"/>
              </w:rPr>
              <w:t>.</w:t>
            </w:r>
          </w:p>
        </w:tc>
      </w:tr>
      <w:tr w:rsidR="00B41534" w:rsidRPr="002B0D86" w14:paraId="777F398C" w14:textId="77777777" w:rsidTr="007160D4">
        <w:trPr>
          <w:jc w:val="center"/>
        </w:trPr>
        <w:tc>
          <w:tcPr>
            <w:tcW w:w="1579" w:type="pct"/>
            <w:tcBorders>
              <w:top w:val="nil"/>
              <w:left w:val="nil"/>
              <w:bottom w:val="nil"/>
              <w:right w:val="nil"/>
            </w:tcBorders>
          </w:tcPr>
          <w:p w14:paraId="6B986BEB" w14:textId="77777777" w:rsidR="00B41534" w:rsidRPr="00A40E69" w:rsidRDefault="00B41534" w:rsidP="007160D4">
            <w:pPr>
              <w:pStyle w:val="NoSpacing"/>
              <w:rPr>
                <w:rFonts w:ascii="Times New Roman" w:hAnsi="Times New Roman" w:cs="Times New Roman"/>
                <w:b/>
                <w:bCs/>
                <w:sz w:val="20"/>
                <w:szCs w:val="20"/>
                <w:lang w:val="en-US"/>
              </w:rPr>
            </w:pPr>
            <w:r w:rsidRPr="00A40E69">
              <w:rPr>
                <w:rFonts w:ascii="Times New Roman" w:hAnsi="Times New Roman" w:cs="Times New Roman"/>
                <w:b/>
                <w:bCs/>
                <w:sz w:val="20"/>
                <w:szCs w:val="20"/>
                <w:lang w:val="en-US"/>
              </w:rPr>
              <w:t>Non-education consumption</w:t>
            </w:r>
          </w:p>
        </w:tc>
        <w:tc>
          <w:tcPr>
            <w:tcW w:w="3421" w:type="pct"/>
            <w:tcBorders>
              <w:top w:val="nil"/>
              <w:left w:val="nil"/>
              <w:bottom w:val="nil"/>
              <w:right w:val="nil"/>
            </w:tcBorders>
          </w:tcPr>
          <w:p w14:paraId="517102A4" w14:textId="0D8A8944" w:rsidR="00B41534" w:rsidRPr="00A40E69" w:rsidRDefault="00B41534" w:rsidP="000B6BE0">
            <w:pPr>
              <w:pStyle w:val="NoSpacing"/>
              <w:jc w:val="both"/>
              <w:rPr>
                <w:rFonts w:ascii="Times New Roman" w:hAnsi="Times New Roman" w:cs="Times New Roman"/>
                <w:sz w:val="20"/>
                <w:szCs w:val="20"/>
                <w:lang w:val="en-US"/>
              </w:rPr>
            </w:pPr>
            <w:r w:rsidRPr="00A40E69">
              <w:rPr>
                <w:rFonts w:ascii="Times New Roman" w:hAnsi="Times New Roman" w:cs="Times New Roman"/>
                <w:sz w:val="20"/>
                <w:szCs w:val="20"/>
                <w:lang w:val="en-US"/>
              </w:rPr>
              <w:t>Aggregate consumption of all categories except for education</w:t>
            </w:r>
            <w:r w:rsidR="00102EBC">
              <w:rPr>
                <w:rFonts w:ascii="Times New Roman" w:hAnsi="Times New Roman" w:cs="Times New Roman"/>
                <w:sz w:val="20"/>
                <w:szCs w:val="20"/>
                <w:lang w:val="en-US"/>
              </w:rPr>
              <w:t>.</w:t>
            </w:r>
          </w:p>
        </w:tc>
      </w:tr>
      <w:tr w:rsidR="00B41534" w:rsidRPr="002B0D86" w14:paraId="21C969C3" w14:textId="77777777" w:rsidTr="007160D4">
        <w:trPr>
          <w:jc w:val="center"/>
        </w:trPr>
        <w:tc>
          <w:tcPr>
            <w:tcW w:w="1579" w:type="pct"/>
            <w:tcBorders>
              <w:top w:val="nil"/>
              <w:left w:val="nil"/>
              <w:bottom w:val="nil"/>
              <w:right w:val="nil"/>
            </w:tcBorders>
          </w:tcPr>
          <w:p w14:paraId="66CFA63E" w14:textId="77777777" w:rsidR="00B41534" w:rsidRPr="00A40E69" w:rsidRDefault="00B41534" w:rsidP="007160D4">
            <w:pPr>
              <w:pStyle w:val="NoSpacing"/>
              <w:rPr>
                <w:rFonts w:ascii="Times New Roman" w:hAnsi="Times New Roman" w:cs="Times New Roman"/>
                <w:b/>
                <w:bCs/>
                <w:sz w:val="20"/>
                <w:szCs w:val="20"/>
                <w:lang w:val="en-US"/>
              </w:rPr>
            </w:pPr>
            <w:r w:rsidRPr="00A40E69">
              <w:rPr>
                <w:rFonts w:ascii="Times New Roman" w:hAnsi="Times New Roman" w:cs="Times New Roman"/>
                <w:b/>
                <w:bCs/>
                <w:sz w:val="20"/>
                <w:szCs w:val="20"/>
                <w:lang w:val="en-US"/>
              </w:rPr>
              <w:t>Non-medical consumption</w:t>
            </w:r>
          </w:p>
        </w:tc>
        <w:tc>
          <w:tcPr>
            <w:tcW w:w="3421" w:type="pct"/>
            <w:tcBorders>
              <w:top w:val="nil"/>
              <w:left w:val="nil"/>
              <w:bottom w:val="nil"/>
              <w:right w:val="nil"/>
            </w:tcBorders>
          </w:tcPr>
          <w:p w14:paraId="4729986D" w14:textId="16C0B578" w:rsidR="00B41534" w:rsidRPr="00A40E69" w:rsidRDefault="00B41534" w:rsidP="000B6BE0">
            <w:pPr>
              <w:pStyle w:val="NoSpacing"/>
              <w:jc w:val="both"/>
              <w:rPr>
                <w:rFonts w:ascii="Times New Roman" w:hAnsi="Times New Roman" w:cs="Times New Roman"/>
                <w:sz w:val="20"/>
                <w:szCs w:val="20"/>
                <w:lang w:val="en-US"/>
              </w:rPr>
            </w:pPr>
            <w:r w:rsidRPr="00A40E69">
              <w:rPr>
                <w:rFonts w:ascii="Times New Roman" w:hAnsi="Times New Roman" w:cs="Times New Roman"/>
                <w:sz w:val="20"/>
                <w:szCs w:val="20"/>
                <w:lang w:val="en-US"/>
              </w:rPr>
              <w:t>Aggregate consumption of all categories except for medical</w:t>
            </w:r>
            <w:r w:rsidR="00102EBC">
              <w:rPr>
                <w:rFonts w:ascii="Times New Roman" w:hAnsi="Times New Roman" w:cs="Times New Roman"/>
                <w:sz w:val="20"/>
                <w:szCs w:val="20"/>
                <w:lang w:val="en-US"/>
              </w:rPr>
              <w:t>.</w:t>
            </w:r>
          </w:p>
        </w:tc>
      </w:tr>
      <w:tr w:rsidR="00B41534" w:rsidRPr="002B0D86" w14:paraId="3F797713" w14:textId="77777777" w:rsidTr="007160D4">
        <w:trPr>
          <w:jc w:val="center"/>
        </w:trPr>
        <w:tc>
          <w:tcPr>
            <w:tcW w:w="1579" w:type="pct"/>
            <w:tcBorders>
              <w:top w:val="nil"/>
              <w:left w:val="nil"/>
              <w:bottom w:val="nil"/>
              <w:right w:val="nil"/>
            </w:tcBorders>
          </w:tcPr>
          <w:p w14:paraId="46EB215A" w14:textId="77777777" w:rsidR="00B41534" w:rsidRPr="00A40E69" w:rsidRDefault="00B41534" w:rsidP="007160D4">
            <w:pPr>
              <w:pStyle w:val="NoSpacing"/>
              <w:rPr>
                <w:rFonts w:ascii="Times New Roman" w:hAnsi="Times New Roman" w:cs="Times New Roman"/>
                <w:b/>
                <w:bCs/>
                <w:sz w:val="20"/>
                <w:szCs w:val="20"/>
                <w:lang w:val="en-US"/>
              </w:rPr>
            </w:pPr>
            <w:r w:rsidRPr="00A40E69">
              <w:rPr>
                <w:rFonts w:ascii="Times New Roman" w:hAnsi="Times New Roman" w:cs="Times New Roman"/>
                <w:b/>
                <w:bCs/>
                <w:sz w:val="20"/>
                <w:szCs w:val="20"/>
                <w:lang w:val="en-US"/>
              </w:rPr>
              <w:t>Age</w:t>
            </w:r>
          </w:p>
        </w:tc>
        <w:tc>
          <w:tcPr>
            <w:tcW w:w="3421" w:type="pct"/>
            <w:tcBorders>
              <w:top w:val="nil"/>
              <w:left w:val="nil"/>
              <w:bottom w:val="nil"/>
              <w:right w:val="nil"/>
            </w:tcBorders>
          </w:tcPr>
          <w:p w14:paraId="456B466C" w14:textId="79FE862C" w:rsidR="00B41534" w:rsidRPr="00A40E69" w:rsidRDefault="00B41534" w:rsidP="000B6BE0">
            <w:pPr>
              <w:pStyle w:val="NoSpacing"/>
              <w:jc w:val="both"/>
              <w:rPr>
                <w:rFonts w:ascii="Times New Roman" w:hAnsi="Times New Roman" w:cs="Times New Roman"/>
                <w:sz w:val="20"/>
                <w:szCs w:val="20"/>
                <w:lang w:val="en-US"/>
              </w:rPr>
            </w:pPr>
            <w:r w:rsidRPr="00A40E69">
              <w:rPr>
                <w:rFonts w:ascii="Times New Roman" w:hAnsi="Times New Roman" w:cs="Times New Roman"/>
                <w:sz w:val="20"/>
                <w:szCs w:val="20"/>
                <w:lang w:val="en-US"/>
              </w:rPr>
              <w:t xml:space="preserve">Age of </w:t>
            </w:r>
            <w:r w:rsidRPr="00A40E69">
              <w:rPr>
                <w:rFonts w:ascii="Times New Roman" w:hAnsi="Times New Roman" w:cs="Times New Roman"/>
                <w:color w:val="000000" w:themeColor="text1"/>
                <w:sz w:val="20"/>
                <w:szCs w:val="20"/>
                <w:lang w:val="en-US"/>
              </w:rPr>
              <w:t>respondent</w:t>
            </w:r>
            <w:r w:rsidR="00102EBC">
              <w:rPr>
                <w:rFonts w:ascii="Times New Roman" w:hAnsi="Times New Roman" w:cs="Times New Roman"/>
                <w:color w:val="000000" w:themeColor="text1"/>
                <w:sz w:val="20"/>
                <w:szCs w:val="20"/>
                <w:lang w:val="en-US"/>
              </w:rPr>
              <w:t>.</w:t>
            </w:r>
            <w:r w:rsidRPr="00A40E69" w:rsidDel="002458FC">
              <w:rPr>
                <w:rFonts w:ascii="Times New Roman" w:hAnsi="Times New Roman" w:cs="Times New Roman"/>
                <w:sz w:val="20"/>
                <w:szCs w:val="20"/>
                <w:lang w:val="en-US"/>
              </w:rPr>
              <w:t xml:space="preserve"> </w:t>
            </w:r>
          </w:p>
        </w:tc>
      </w:tr>
      <w:tr w:rsidR="00B41534" w:rsidRPr="002B0D86" w14:paraId="013C66FA" w14:textId="77777777" w:rsidTr="007160D4">
        <w:trPr>
          <w:jc w:val="center"/>
        </w:trPr>
        <w:tc>
          <w:tcPr>
            <w:tcW w:w="1579" w:type="pct"/>
            <w:tcBorders>
              <w:top w:val="nil"/>
              <w:left w:val="nil"/>
              <w:bottom w:val="nil"/>
              <w:right w:val="nil"/>
            </w:tcBorders>
          </w:tcPr>
          <w:p w14:paraId="31D9E593" w14:textId="77777777" w:rsidR="00B41534" w:rsidRPr="00A40E69" w:rsidRDefault="00B41534" w:rsidP="007160D4">
            <w:pPr>
              <w:pStyle w:val="NoSpacing"/>
              <w:rPr>
                <w:rFonts w:ascii="Times New Roman" w:hAnsi="Times New Roman" w:cs="Times New Roman"/>
                <w:b/>
                <w:bCs/>
                <w:sz w:val="20"/>
                <w:szCs w:val="20"/>
                <w:lang w:val="en-US"/>
              </w:rPr>
            </w:pPr>
            <w:r w:rsidRPr="00A40E69">
              <w:rPr>
                <w:rFonts w:ascii="Times New Roman" w:hAnsi="Times New Roman" w:cs="Times New Roman"/>
                <w:b/>
                <w:bCs/>
                <w:sz w:val="20"/>
                <w:szCs w:val="20"/>
                <w:lang w:val="en-US"/>
              </w:rPr>
              <w:t>Male</w:t>
            </w:r>
          </w:p>
        </w:tc>
        <w:tc>
          <w:tcPr>
            <w:tcW w:w="3421" w:type="pct"/>
            <w:tcBorders>
              <w:top w:val="nil"/>
              <w:left w:val="nil"/>
              <w:bottom w:val="nil"/>
              <w:right w:val="nil"/>
            </w:tcBorders>
          </w:tcPr>
          <w:p w14:paraId="0F4911CC" w14:textId="346E2E10" w:rsidR="00B41534" w:rsidRPr="00A40E69" w:rsidRDefault="00B41534" w:rsidP="000B6BE0">
            <w:pPr>
              <w:pStyle w:val="NoSpacing"/>
              <w:jc w:val="both"/>
              <w:rPr>
                <w:rFonts w:ascii="Times New Roman" w:hAnsi="Times New Roman" w:cs="Times New Roman"/>
                <w:sz w:val="20"/>
                <w:szCs w:val="20"/>
                <w:lang w:val="en-US"/>
              </w:rPr>
            </w:pPr>
            <w:r w:rsidRPr="00A40E69">
              <w:rPr>
                <w:rFonts w:ascii="Times New Roman" w:hAnsi="Times New Roman" w:cs="Times New Roman"/>
                <w:sz w:val="20"/>
                <w:szCs w:val="20"/>
                <w:lang w:val="en-US"/>
              </w:rPr>
              <w:t xml:space="preserve">Gender of </w:t>
            </w:r>
            <w:r w:rsidRPr="00A40E69">
              <w:rPr>
                <w:rFonts w:ascii="Times New Roman" w:hAnsi="Times New Roman" w:cs="Times New Roman"/>
                <w:color w:val="000000" w:themeColor="text1"/>
                <w:sz w:val="20"/>
                <w:szCs w:val="20"/>
                <w:lang w:val="en-US"/>
              </w:rPr>
              <w:t>respondent</w:t>
            </w:r>
            <w:r w:rsidR="00102EBC">
              <w:rPr>
                <w:rFonts w:ascii="Times New Roman" w:hAnsi="Times New Roman" w:cs="Times New Roman"/>
                <w:color w:val="000000" w:themeColor="text1"/>
                <w:sz w:val="20"/>
                <w:szCs w:val="20"/>
                <w:lang w:val="en-US"/>
              </w:rPr>
              <w:t>.</w:t>
            </w:r>
          </w:p>
        </w:tc>
      </w:tr>
      <w:tr w:rsidR="00B41534" w:rsidRPr="002B0D86" w14:paraId="104E249A" w14:textId="77777777" w:rsidTr="007160D4">
        <w:trPr>
          <w:jc w:val="center"/>
        </w:trPr>
        <w:tc>
          <w:tcPr>
            <w:tcW w:w="1579" w:type="pct"/>
            <w:tcBorders>
              <w:top w:val="nil"/>
              <w:left w:val="nil"/>
              <w:bottom w:val="nil"/>
              <w:right w:val="nil"/>
            </w:tcBorders>
          </w:tcPr>
          <w:p w14:paraId="05472A37" w14:textId="77777777" w:rsidR="00B41534" w:rsidRPr="00A40E69" w:rsidRDefault="00B41534" w:rsidP="007160D4">
            <w:pPr>
              <w:pStyle w:val="NoSpacing"/>
              <w:rPr>
                <w:rFonts w:ascii="Times New Roman" w:hAnsi="Times New Roman" w:cs="Times New Roman"/>
                <w:b/>
                <w:bCs/>
                <w:sz w:val="20"/>
                <w:szCs w:val="20"/>
                <w:lang w:val="en-US"/>
              </w:rPr>
            </w:pPr>
            <w:r w:rsidRPr="00A40E69">
              <w:rPr>
                <w:rFonts w:ascii="Times New Roman" w:hAnsi="Times New Roman" w:cs="Times New Roman"/>
                <w:b/>
                <w:bCs/>
                <w:sz w:val="20"/>
                <w:szCs w:val="20"/>
                <w:lang w:val="en-US"/>
              </w:rPr>
              <w:t xml:space="preserve">Primary </w:t>
            </w:r>
            <w:r>
              <w:rPr>
                <w:rFonts w:ascii="Times New Roman" w:hAnsi="Times New Roman" w:cs="Times New Roman"/>
                <w:b/>
                <w:bCs/>
                <w:sz w:val="20"/>
                <w:szCs w:val="20"/>
                <w:lang w:val="en-US"/>
              </w:rPr>
              <w:t>e</w:t>
            </w:r>
            <w:r w:rsidRPr="00A40E69">
              <w:rPr>
                <w:rFonts w:ascii="Times New Roman" w:hAnsi="Times New Roman" w:cs="Times New Roman"/>
                <w:b/>
                <w:bCs/>
                <w:sz w:val="20"/>
                <w:szCs w:val="20"/>
                <w:lang w:val="en-US"/>
              </w:rPr>
              <w:t>d.</w:t>
            </w:r>
          </w:p>
        </w:tc>
        <w:tc>
          <w:tcPr>
            <w:tcW w:w="3421" w:type="pct"/>
            <w:tcBorders>
              <w:top w:val="nil"/>
              <w:left w:val="nil"/>
              <w:bottom w:val="nil"/>
              <w:right w:val="nil"/>
            </w:tcBorders>
          </w:tcPr>
          <w:p w14:paraId="162B2599" w14:textId="01E9DAD5" w:rsidR="00B41534" w:rsidRPr="00A40E69" w:rsidRDefault="00B41534" w:rsidP="000B6BE0">
            <w:pPr>
              <w:pStyle w:val="NoSpacing"/>
              <w:jc w:val="both"/>
              <w:rPr>
                <w:rFonts w:ascii="Times New Roman" w:hAnsi="Times New Roman" w:cs="Times New Roman"/>
                <w:sz w:val="20"/>
                <w:szCs w:val="20"/>
                <w:lang w:val="en-US"/>
              </w:rPr>
            </w:pPr>
            <w:r w:rsidRPr="00A40E69">
              <w:rPr>
                <w:rFonts w:ascii="Times New Roman" w:hAnsi="Times New Roman" w:cs="Times New Roman"/>
                <w:sz w:val="20"/>
                <w:szCs w:val="20"/>
                <w:lang w:val="en-US"/>
              </w:rPr>
              <w:t xml:space="preserve">Dummy variable equal to 1 if the </w:t>
            </w:r>
            <w:r w:rsidRPr="00A40E69">
              <w:rPr>
                <w:rFonts w:ascii="Times New Roman" w:hAnsi="Times New Roman" w:cs="Times New Roman"/>
                <w:color w:val="000000" w:themeColor="text1"/>
                <w:sz w:val="20"/>
                <w:szCs w:val="20"/>
                <w:lang w:val="en-US"/>
              </w:rPr>
              <w:t>respondent</w:t>
            </w:r>
            <w:r w:rsidRPr="00A40E69">
              <w:rPr>
                <w:rFonts w:ascii="Times New Roman" w:hAnsi="Times New Roman" w:cs="Times New Roman"/>
                <w:sz w:val="20"/>
                <w:szCs w:val="20"/>
                <w:lang w:val="en-US"/>
              </w:rPr>
              <w:t xml:space="preserve"> attained primary education, and zero otherwise</w:t>
            </w:r>
            <w:r w:rsidR="00102EBC">
              <w:rPr>
                <w:rFonts w:ascii="Times New Roman" w:hAnsi="Times New Roman" w:cs="Times New Roman"/>
                <w:sz w:val="20"/>
                <w:szCs w:val="20"/>
                <w:lang w:val="en-US"/>
              </w:rPr>
              <w:t>.</w:t>
            </w:r>
          </w:p>
        </w:tc>
      </w:tr>
      <w:tr w:rsidR="00B41534" w:rsidRPr="002B0D86" w14:paraId="4B2379B4" w14:textId="77777777" w:rsidTr="007160D4">
        <w:trPr>
          <w:jc w:val="center"/>
        </w:trPr>
        <w:tc>
          <w:tcPr>
            <w:tcW w:w="1579" w:type="pct"/>
            <w:tcBorders>
              <w:top w:val="nil"/>
              <w:left w:val="nil"/>
              <w:bottom w:val="nil"/>
              <w:right w:val="nil"/>
            </w:tcBorders>
            <w:vAlign w:val="center"/>
          </w:tcPr>
          <w:p w14:paraId="20DEDD21" w14:textId="77777777" w:rsidR="00B41534" w:rsidRPr="00A40E69" w:rsidRDefault="00B41534" w:rsidP="007160D4">
            <w:pPr>
              <w:pStyle w:val="NoSpacing"/>
              <w:rPr>
                <w:rFonts w:ascii="Times New Roman" w:hAnsi="Times New Roman" w:cs="Times New Roman"/>
                <w:b/>
                <w:bCs/>
                <w:sz w:val="20"/>
                <w:szCs w:val="20"/>
                <w:lang w:val="en-US"/>
              </w:rPr>
            </w:pPr>
            <w:r w:rsidRPr="00A40E69">
              <w:rPr>
                <w:rFonts w:ascii="Times New Roman" w:hAnsi="Times New Roman" w:cs="Times New Roman"/>
                <w:b/>
                <w:bCs/>
                <w:color w:val="000000" w:themeColor="text1"/>
                <w:sz w:val="20"/>
                <w:szCs w:val="20"/>
                <w:lang w:val="en-US"/>
              </w:rPr>
              <w:t>Married</w:t>
            </w:r>
          </w:p>
        </w:tc>
        <w:tc>
          <w:tcPr>
            <w:tcW w:w="3421" w:type="pct"/>
            <w:tcBorders>
              <w:top w:val="nil"/>
              <w:left w:val="nil"/>
              <w:bottom w:val="nil"/>
              <w:right w:val="nil"/>
            </w:tcBorders>
            <w:vAlign w:val="center"/>
          </w:tcPr>
          <w:p w14:paraId="20D5F4F7" w14:textId="77777777" w:rsidR="00B41534" w:rsidRPr="00A40E69" w:rsidRDefault="00B41534" w:rsidP="000B6BE0">
            <w:pPr>
              <w:pStyle w:val="NoSpacing"/>
              <w:jc w:val="both"/>
              <w:rPr>
                <w:rFonts w:ascii="Times New Roman" w:hAnsi="Times New Roman" w:cs="Times New Roman"/>
                <w:sz w:val="20"/>
                <w:szCs w:val="20"/>
                <w:lang w:val="en-US"/>
              </w:rPr>
            </w:pPr>
            <w:r w:rsidRPr="00A40E69">
              <w:rPr>
                <w:rFonts w:ascii="Times New Roman" w:hAnsi="Times New Roman" w:cs="Times New Roman"/>
                <w:color w:val="000000" w:themeColor="text1"/>
                <w:sz w:val="20"/>
                <w:szCs w:val="20"/>
                <w:lang w:val="en-US"/>
              </w:rPr>
              <w:t>Dummy variable equal to one if the respondent is married, and zero otherwise.</w:t>
            </w:r>
          </w:p>
        </w:tc>
      </w:tr>
      <w:tr w:rsidR="00B41534" w:rsidRPr="002B0D86" w14:paraId="5421EE29" w14:textId="77777777" w:rsidTr="007160D4">
        <w:trPr>
          <w:jc w:val="center"/>
        </w:trPr>
        <w:tc>
          <w:tcPr>
            <w:tcW w:w="1579" w:type="pct"/>
            <w:tcBorders>
              <w:top w:val="nil"/>
              <w:left w:val="nil"/>
              <w:bottom w:val="nil"/>
              <w:right w:val="nil"/>
            </w:tcBorders>
            <w:vAlign w:val="center"/>
          </w:tcPr>
          <w:p w14:paraId="2B00BD4B" w14:textId="77777777" w:rsidR="00B41534" w:rsidRPr="00A40E69" w:rsidRDefault="00B41534" w:rsidP="007160D4">
            <w:pPr>
              <w:pStyle w:val="NoSpacing"/>
              <w:rPr>
                <w:rFonts w:ascii="Times New Roman" w:hAnsi="Times New Roman" w:cs="Times New Roman"/>
                <w:b/>
                <w:bCs/>
                <w:sz w:val="20"/>
                <w:szCs w:val="20"/>
                <w:lang w:val="en-US"/>
              </w:rPr>
            </w:pPr>
            <w:r w:rsidRPr="00A40E69">
              <w:rPr>
                <w:rFonts w:ascii="Times New Roman" w:hAnsi="Times New Roman" w:cs="Times New Roman"/>
                <w:b/>
                <w:bCs/>
                <w:color w:val="000000" w:themeColor="text1"/>
                <w:sz w:val="20"/>
                <w:szCs w:val="20"/>
                <w:lang w:val="en-US"/>
              </w:rPr>
              <w:t>Widowed</w:t>
            </w:r>
          </w:p>
        </w:tc>
        <w:tc>
          <w:tcPr>
            <w:tcW w:w="3421" w:type="pct"/>
            <w:tcBorders>
              <w:top w:val="nil"/>
              <w:left w:val="nil"/>
              <w:bottom w:val="nil"/>
              <w:right w:val="nil"/>
            </w:tcBorders>
            <w:vAlign w:val="center"/>
          </w:tcPr>
          <w:p w14:paraId="566AA3FC" w14:textId="77777777" w:rsidR="00B41534" w:rsidRPr="00A40E69" w:rsidRDefault="00B41534" w:rsidP="000B6BE0">
            <w:pPr>
              <w:pStyle w:val="NoSpacing"/>
              <w:jc w:val="both"/>
              <w:rPr>
                <w:rFonts w:ascii="Times New Roman" w:hAnsi="Times New Roman" w:cs="Times New Roman"/>
                <w:sz w:val="20"/>
                <w:szCs w:val="20"/>
                <w:lang w:val="en-US"/>
              </w:rPr>
            </w:pPr>
            <w:r w:rsidRPr="00A40E69">
              <w:rPr>
                <w:rFonts w:ascii="Times New Roman" w:hAnsi="Times New Roman" w:cs="Times New Roman"/>
                <w:color w:val="000000" w:themeColor="text1"/>
                <w:sz w:val="20"/>
                <w:szCs w:val="20"/>
                <w:lang w:val="en-US"/>
              </w:rPr>
              <w:t>Dummy variable equal to one if the respondent is widowed, and zero otherwise.</w:t>
            </w:r>
          </w:p>
        </w:tc>
      </w:tr>
      <w:tr w:rsidR="00B41534" w:rsidRPr="002B0D86" w14:paraId="08E87F4A" w14:textId="77777777" w:rsidTr="007160D4">
        <w:trPr>
          <w:jc w:val="center"/>
        </w:trPr>
        <w:tc>
          <w:tcPr>
            <w:tcW w:w="1579" w:type="pct"/>
            <w:tcBorders>
              <w:top w:val="nil"/>
              <w:left w:val="nil"/>
              <w:bottom w:val="nil"/>
              <w:right w:val="nil"/>
            </w:tcBorders>
          </w:tcPr>
          <w:p w14:paraId="34BA7F26" w14:textId="77777777" w:rsidR="00B41534" w:rsidRPr="00A40E69" w:rsidRDefault="00B41534" w:rsidP="007160D4">
            <w:pPr>
              <w:pStyle w:val="NoSpacing"/>
              <w:rPr>
                <w:rFonts w:ascii="Times New Roman" w:hAnsi="Times New Roman" w:cs="Times New Roman"/>
                <w:b/>
                <w:bCs/>
                <w:sz w:val="20"/>
                <w:szCs w:val="20"/>
                <w:lang w:val="en-US"/>
              </w:rPr>
            </w:pPr>
            <w:r w:rsidRPr="00A40E69">
              <w:rPr>
                <w:rFonts w:ascii="Times New Roman" w:hAnsi="Times New Roman" w:cs="Times New Roman"/>
                <w:b/>
                <w:bCs/>
                <w:sz w:val="20"/>
                <w:szCs w:val="20"/>
                <w:lang w:val="en-US"/>
              </w:rPr>
              <w:t>Urban</w:t>
            </w:r>
          </w:p>
        </w:tc>
        <w:tc>
          <w:tcPr>
            <w:tcW w:w="3421" w:type="pct"/>
            <w:tcBorders>
              <w:top w:val="nil"/>
              <w:left w:val="nil"/>
              <w:bottom w:val="nil"/>
              <w:right w:val="nil"/>
            </w:tcBorders>
          </w:tcPr>
          <w:p w14:paraId="71ACAFFD" w14:textId="16D8C9BE" w:rsidR="00B41534" w:rsidRPr="00A40E69" w:rsidRDefault="00B41534" w:rsidP="000B6BE0">
            <w:pPr>
              <w:pStyle w:val="NoSpacing"/>
              <w:jc w:val="both"/>
              <w:rPr>
                <w:rFonts w:ascii="Times New Roman" w:hAnsi="Times New Roman" w:cs="Times New Roman"/>
                <w:sz w:val="20"/>
                <w:szCs w:val="20"/>
                <w:lang w:val="en-US"/>
              </w:rPr>
            </w:pPr>
            <w:r w:rsidRPr="00A40E69">
              <w:rPr>
                <w:rFonts w:ascii="Times New Roman" w:hAnsi="Times New Roman" w:cs="Times New Roman"/>
                <w:sz w:val="20"/>
                <w:szCs w:val="20"/>
                <w:lang w:val="en-US"/>
              </w:rPr>
              <w:t xml:space="preserve">Dummy equal to 1 if the </w:t>
            </w:r>
            <w:r w:rsidRPr="00A40E69">
              <w:rPr>
                <w:rFonts w:ascii="Times New Roman" w:hAnsi="Times New Roman" w:cs="Times New Roman"/>
                <w:color w:val="000000" w:themeColor="text1"/>
                <w:sz w:val="20"/>
                <w:szCs w:val="20"/>
                <w:lang w:val="en-US"/>
              </w:rPr>
              <w:t>respondent</w:t>
            </w:r>
            <w:r w:rsidRPr="00A40E69">
              <w:rPr>
                <w:rFonts w:ascii="Times New Roman" w:hAnsi="Times New Roman" w:cs="Times New Roman"/>
                <w:sz w:val="20"/>
                <w:szCs w:val="20"/>
                <w:lang w:val="en-US"/>
              </w:rPr>
              <w:t xml:space="preserve"> lives in an urban area, and zero otherwise</w:t>
            </w:r>
            <w:r w:rsidR="00102EBC">
              <w:rPr>
                <w:rFonts w:ascii="Times New Roman" w:hAnsi="Times New Roman" w:cs="Times New Roman"/>
                <w:sz w:val="20"/>
                <w:szCs w:val="20"/>
                <w:lang w:val="en-US"/>
              </w:rPr>
              <w:t>.</w:t>
            </w:r>
          </w:p>
        </w:tc>
      </w:tr>
      <w:tr w:rsidR="00B41534" w:rsidRPr="002B0D86" w14:paraId="7F026B0B" w14:textId="77777777" w:rsidTr="007160D4">
        <w:trPr>
          <w:jc w:val="center"/>
        </w:trPr>
        <w:tc>
          <w:tcPr>
            <w:tcW w:w="1579" w:type="pct"/>
            <w:tcBorders>
              <w:top w:val="nil"/>
              <w:left w:val="nil"/>
              <w:bottom w:val="nil"/>
              <w:right w:val="nil"/>
            </w:tcBorders>
          </w:tcPr>
          <w:p w14:paraId="5A67EF75" w14:textId="77777777" w:rsidR="00B41534" w:rsidRPr="00A40E69" w:rsidRDefault="00B41534" w:rsidP="007160D4">
            <w:pPr>
              <w:pStyle w:val="NoSpacing"/>
              <w:rPr>
                <w:rFonts w:ascii="Times New Roman" w:hAnsi="Times New Roman" w:cs="Times New Roman"/>
                <w:b/>
                <w:bCs/>
                <w:sz w:val="20"/>
                <w:szCs w:val="20"/>
                <w:lang w:val="en-US"/>
              </w:rPr>
            </w:pPr>
            <w:r w:rsidRPr="00A40E69">
              <w:rPr>
                <w:rFonts w:ascii="Times New Roman" w:hAnsi="Times New Roman" w:cs="Times New Roman"/>
                <w:b/>
                <w:bCs/>
                <w:sz w:val="20"/>
                <w:szCs w:val="20"/>
                <w:lang w:val="en-US"/>
              </w:rPr>
              <w:t>Wealth</w:t>
            </w:r>
          </w:p>
        </w:tc>
        <w:tc>
          <w:tcPr>
            <w:tcW w:w="3421" w:type="pct"/>
            <w:tcBorders>
              <w:top w:val="nil"/>
              <w:left w:val="nil"/>
              <w:bottom w:val="nil"/>
              <w:right w:val="nil"/>
            </w:tcBorders>
          </w:tcPr>
          <w:p w14:paraId="605A3079" w14:textId="1A8FB9D4" w:rsidR="00B41534" w:rsidRPr="00A40E69" w:rsidRDefault="00B41534" w:rsidP="000B6BE0">
            <w:pPr>
              <w:pStyle w:val="NoSpacing"/>
              <w:jc w:val="both"/>
              <w:rPr>
                <w:rFonts w:ascii="Times New Roman" w:hAnsi="Times New Roman" w:cs="Times New Roman"/>
                <w:sz w:val="20"/>
                <w:szCs w:val="20"/>
                <w:lang w:val="en-US"/>
              </w:rPr>
            </w:pPr>
            <w:r w:rsidRPr="00A40E69">
              <w:rPr>
                <w:rFonts w:ascii="Times New Roman" w:hAnsi="Times New Roman" w:cs="Times New Roman"/>
                <w:sz w:val="20"/>
                <w:szCs w:val="20"/>
                <w:lang w:val="en-US"/>
              </w:rPr>
              <w:t xml:space="preserve">Logarithm of total household </w:t>
            </w:r>
            <w:r w:rsidR="00102EBC">
              <w:rPr>
                <w:rFonts w:ascii="Times New Roman" w:hAnsi="Times New Roman" w:cs="Times New Roman"/>
                <w:sz w:val="20"/>
                <w:szCs w:val="20"/>
                <w:lang w:val="en-US"/>
              </w:rPr>
              <w:t xml:space="preserve">financial </w:t>
            </w:r>
            <w:r w:rsidRPr="00A40E69">
              <w:rPr>
                <w:rFonts w:ascii="Times New Roman" w:hAnsi="Times New Roman" w:cs="Times New Roman"/>
                <w:sz w:val="20"/>
                <w:szCs w:val="20"/>
                <w:lang w:val="en-US"/>
              </w:rPr>
              <w:t>wealth</w:t>
            </w:r>
            <w:r w:rsidR="00102EBC">
              <w:rPr>
                <w:rFonts w:ascii="Times New Roman" w:hAnsi="Times New Roman" w:cs="Times New Roman"/>
                <w:sz w:val="20"/>
                <w:szCs w:val="20"/>
                <w:lang w:val="en-US"/>
              </w:rPr>
              <w:t>.</w:t>
            </w:r>
            <w:r w:rsidRPr="00A40E69">
              <w:rPr>
                <w:rFonts w:ascii="Times New Roman" w:hAnsi="Times New Roman" w:cs="Times New Roman"/>
                <w:sz w:val="20"/>
                <w:szCs w:val="20"/>
                <w:lang w:val="en-US"/>
              </w:rPr>
              <w:t xml:space="preserve"> </w:t>
            </w:r>
          </w:p>
        </w:tc>
      </w:tr>
      <w:tr w:rsidR="00B41534" w:rsidRPr="002B0D86" w14:paraId="7D99948E" w14:textId="77777777" w:rsidTr="007160D4">
        <w:trPr>
          <w:jc w:val="center"/>
        </w:trPr>
        <w:tc>
          <w:tcPr>
            <w:tcW w:w="1579" w:type="pct"/>
            <w:tcBorders>
              <w:top w:val="nil"/>
              <w:left w:val="nil"/>
              <w:bottom w:val="nil"/>
              <w:right w:val="nil"/>
            </w:tcBorders>
          </w:tcPr>
          <w:p w14:paraId="1AD18414" w14:textId="77777777" w:rsidR="00B41534" w:rsidRPr="00A40E69" w:rsidRDefault="00B41534" w:rsidP="007160D4">
            <w:pPr>
              <w:pStyle w:val="NoSpacing"/>
              <w:rPr>
                <w:rFonts w:ascii="Times New Roman" w:hAnsi="Times New Roman" w:cs="Times New Roman"/>
                <w:b/>
                <w:bCs/>
                <w:sz w:val="20"/>
                <w:szCs w:val="20"/>
                <w:lang w:val="en-US"/>
              </w:rPr>
            </w:pPr>
            <w:r w:rsidRPr="00A40E69">
              <w:rPr>
                <w:rFonts w:ascii="Times New Roman" w:hAnsi="Times New Roman" w:cs="Times New Roman"/>
                <w:b/>
                <w:bCs/>
                <w:sz w:val="20"/>
                <w:szCs w:val="20"/>
                <w:lang w:val="en-US"/>
              </w:rPr>
              <w:t>Income</w:t>
            </w:r>
          </w:p>
        </w:tc>
        <w:tc>
          <w:tcPr>
            <w:tcW w:w="3421" w:type="pct"/>
            <w:tcBorders>
              <w:top w:val="nil"/>
              <w:left w:val="nil"/>
              <w:bottom w:val="nil"/>
              <w:right w:val="nil"/>
            </w:tcBorders>
          </w:tcPr>
          <w:p w14:paraId="72C4A923" w14:textId="77777777" w:rsidR="00B41534" w:rsidRPr="00A40E69" w:rsidRDefault="00B41534" w:rsidP="000B6BE0">
            <w:pPr>
              <w:pStyle w:val="NoSpacing"/>
              <w:jc w:val="both"/>
              <w:rPr>
                <w:rFonts w:ascii="Times New Roman" w:hAnsi="Times New Roman" w:cs="Times New Roman"/>
                <w:sz w:val="20"/>
                <w:szCs w:val="20"/>
                <w:lang w:val="en-US"/>
              </w:rPr>
            </w:pPr>
            <w:r w:rsidRPr="00A40E69">
              <w:rPr>
                <w:rFonts w:ascii="Times New Roman" w:hAnsi="Times New Roman" w:cs="Times New Roman"/>
                <w:sz w:val="20"/>
                <w:szCs w:val="20"/>
                <w:lang w:val="en-US"/>
              </w:rPr>
              <w:t>Logarithm of total household income</w:t>
            </w:r>
            <w:r>
              <w:rPr>
                <w:rFonts w:ascii="Times New Roman" w:hAnsi="Times New Roman" w:cs="Times New Roman"/>
                <w:sz w:val="20"/>
                <w:szCs w:val="20"/>
                <w:lang w:val="en-US"/>
              </w:rPr>
              <w:t>. Household income includes the salary, pension, benefits, remittance payment and remittances of all household members.</w:t>
            </w:r>
          </w:p>
        </w:tc>
      </w:tr>
      <w:tr w:rsidR="00B41534" w:rsidRPr="002B0D86" w14:paraId="29618147" w14:textId="77777777" w:rsidTr="007160D4">
        <w:trPr>
          <w:jc w:val="center"/>
        </w:trPr>
        <w:tc>
          <w:tcPr>
            <w:tcW w:w="1579" w:type="pct"/>
            <w:tcBorders>
              <w:top w:val="nil"/>
              <w:left w:val="nil"/>
              <w:bottom w:val="nil"/>
              <w:right w:val="nil"/>
            </w:tcBorders>
          </w:tcPr>
          <w:p w14:paraId="07E4FAB5" w14:textId="77777777" w:rsidR="00B41534" w:rsidRPr="00A40E69" w:rsidRDefault="00B41534" w:rsidP="007160D4">
            <w:pPr>
              <w:pStyle w:val="NoSpacing"/>
              <w:rPr>
                <w:rFonts w:ascii="Times New Roman" w:hAnsi="Times New Roman" w:cs="Times New Roman"/>
                <w:b/>
                <w:bCs/>
                <w:sz w:val="20"/>
                <w:szCs w:val="20"/>
                <w:lang w:val="en-US"/>
              </w:rPr>
            </w:pPr>
            <w:r>
              <w:rPr>
                <w:rFonts w:ascii="Times New Roman" w:hAnsi="Times New Roman" w:cs="Times New Roman"/>
                <w:b/>
                <w:bCs/>
                <w:sz w:val="20"/>
                <w:szCs w:val="20"/>
                <w:lang w:val="en-US"/>
              </w:rPr>
              <w:t>Home ownership</w:t>
            </w:r>
          </w:p>
        </w:tc>
        <w:tc>
          <w:tcPr>
            <w:tcW w:w="3421" w:type="pct"/>
            <w:tcBorders>
              <w:top w:val="nil"/>
              <w:left w:val="nil"/>
              <w:bottom w:val="nil"/>
              <w:right w:val="nil"/>
            </w:tcBorders>
          </w:tcPr>
          <w:p w14:paraId="7672B39D" w14:textId="15C03BB1" w:rsidR="00B41534" w:rsidRPr="00A40E69" w:rsidRDefault="00B41534" w:rsidP="000B6BE0">
            <w:pPr>
              <w:pStyle w:val="NoSpacing"/>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Dummy variable equal to 1 if the respondent owns a house, and zero otherwise</w:t>
            </w:r>
            <w:r w:rsidR="00102EBC">
              <w:rPr>
                <w:rFonts w:ascii="Times New Roman" w:hAnsi="Times New Roman" w:cs="Times New Roman"/>
                <w:color w:val="000000" w:themeColor="text1"/>
                <w:sz w:val="20"/>
                <w:szCs w:val="20"/>
                <w:lang w:val="en-US"/>
              </w:rPr>
              <w:t>.</w:t>
            </w:r>
          </w:p>
        </w:tc>
      </w:tr>
      <w:tr w:rsidR="00B41534" w:rsidRPr="002B0D86" w14:paraId="16764B7F" w14:textId="77777777" w:rsidTr="007160D4">
        <w:trPr>
          <w:jc w:val="center"/>
        </w:trPr>
        <w:tc>
          <w:tcPr>
            <w:tcW w:w="1579" w:type="pct"/>
            <w:tcBorders>
              <w:top w:val="nil"/>
              <w:left w:val="nil"/>
              <w:bottom w:val="nil"/>
              <w:right w:val="nil"/>
            </w:tcBorders>
          </w:tcPr>
          <w:p w14:paraId="1CA9425C" w14:textId="77777777" w:rsidR="00B41534" w:rsidRPr="00A40E69" w:rsidRDefault="00B41534" w:rsidP="007160D4">
            <w:pPr>
              <w:pStyle w:val="NoSpacing"/>
              <w:rPr>
                <w:rFonts w:ascii="Times New Roman" w:hAnsi="Times New Roman" w:cs="Times New Roman"/>
                <w:b/>
                <w:bCs/>
                <w:sz w:val="20"/>
                <w:szCs w:val="20"/>
                <w:lang w:val="en-US"/>
              </w:rPr>
            </w:pPr>
            <w:r w:rsidRPr="00A40E69">
              <w:rPr>
                <w:rFonts w:ascii="Times New Roman" w:hAnsi="Times New Roman" w:cs="Times New Roman"/>
                <w:b/>
                <w:bCs/>
                <w:sz w:val="20"/>
                <w:szCs w:val="20"/>
                <w:lang w:val="en-US"/>
              </w:rPr>
              <w:t>Good health</w:t>
            </w:r>
          </w:p>
        </w:tc>
        <w:tc>
          <w:tcPr>
            <w:tcW w:w="3421" w:type="pct"/>
            <w:tcBorders>
              <w:top w:val="nil"/>
              <w:left w:val="nil"/>
              <w:bottom w:val="nil"/>
              <w:right w:val="nil"/>
            </w:tcBorders>
          </w:tcPr>
          <w:p w14:paraId="2463746D" w14:textId="0ABEBB96" w:rsidR="00B41534" w:rsidRPr="00A40E69" w:rsidRDefault="00B41534" w:rsidP="000B6BE0">
            <w:pPr>
              <w:pStyle w:val="NoSpacing"/>
              <w:jc w:val="both"/>
              <w:rPr>
                <w:rFonts w:ascii="Times New Roman" w:hAnsi="Times New Roman" w:cs="Times New Roman"/>
                <w:sz w:val="20"/>
                <w:szCs w:val="20"/>
                <w:lang w:val="en-US"/>
              </w:rPr>
            </w:pPr>
            <w:r w:rsidRPr="00A40E69">
              <w:rPr>
                <w:rFonts w:ascii="Times New Roman" w:hAnsi="Times New Roman" w:cs="Times New Roman"/>
                <w:color w:val="000000" w:themeColor="text1"/>
                <w:sz w:val="20"/>
                <w:szCs w:val="20"/>
                <w:lang w:val="en-US"/>
              </w:rPr>
              <w:t>Dummy variable equal to one if the respondent is in good health, and zero otherwise</w:t>
            </w:r>
            <w:r w:rsidR="00102EBC">
              <w:rPr>
                <w:rFonts w:ascii="Times New Roman" w:hAnsi="Times New Roman" w:cs="Times New Roman"/>
                <w:color w:val="000000" w:themeColor="text1"/>
                <w:sz w:val="20"/>
                <w:szCs w:val="20"/>
                <w:lang w:val="en-US"/>
              </w:rPr>
              <w:t>.</w:t>
            </w:r>
          </w:p>
        </w:tc>
      </w:tr>
      <w:tr w:rsidR="00B41534" w:rsidRPr="002B0D86" w14:paraId="5F63274B" w14:textId="77777777" w:rsidTr="007160D4">
        <w:trPr>
          <w:jc w:val="center"/>
        </w:trPr>
        <w:tc>
          <w:tcPr>
            <w:tcW w:w="1579" w:type="pct"/>
            <w:tcBorders>
              <w:top w:val="nil"/>
              <w:left w:val="nil"/>
              <w:bottom w:val="nil"/>
              <w:right w:val="nil"/>
            </w:tcBorders>
          </w:tcPr>
          <w:p w14:paraId="533B0F11" w14:textId="77777777" w:rsidR="00B41534" w:rsidRPr="00A40E69" w:rsidRDefault="00B41534" w:rsidP="007160D4">
            <w:pPr>
              <w:pStyle w:val="NoSpacing"/>
              <w:rPr>
                <w:rFonts w:ascii="Times New Roman" w:hAnsi="Times New Roman" w:cs="Times New Roman"/>
                <w:b/>
                <w:bCs/>
                <w:sz w:val="20"/>
                <w:szCs w:val="20"/>
                <w:lang w:val="en-US"/>
              </w:rPr>
            </w:pPr>
            <w:r w:rsidRPr="00A40E69">
              <w:rPr>
                <w:rFonts w:ascii="Times New Roman" w:hAnsi="Times New Roman" w:cs="Times New Roman"/>
                <w:b/>
                <w:bCs/>
                <w:sz w:val="20"/>
                <w:szCs w:val="20"/>
                <w:lang w:val="en-US"/>
              </w:rPr>
              <w:t>Fair health</w:t>
            </w:r>
          </w:p>
        </w:tc>
        <w:tc>
          <w:tcPr>
            <w:tcW w:w="3421" w:type="pct"/>
            <w:tcBorders>
              <w:top w:val="nil"/>
              <w:left w:val="nil"/>
              <w:bottom w:val="nil"/>
              <w:right w:val="nil"/>
            </w:tcBorders>
          </w:tcPr>
          <w:p w14:paraId="1BBDE767" w14:textId="522F2B81" w:rsidR="00B41534" w:rsidRPr="00A40E69" w:rsidRDefault="00B41534" w:rsidP="000B6BE0">
            <w:pPr>
              <w:pStyle w:val="NoSpacing"/>
              <w:jc w:val="both"/>
              <w:rPr>
                <w:rFonts w:ascii="Times New Roman" w:hAnsi="Times New Roman" w:cs="Times New Roman"/>
                <w:sz w:val="20"/>
                <w:szCs w:val="20"/>
                <w:lang w:val="en-US"/>
              </w:rPr>
            </w:pPr>
            <w:r w:rsidRPr="00A40E69">
              <w:rPr>
                <w:rFonts w:ascii="Times New Roman" w:hAnsi="Times New Roman" w:cs="Times New Roman"/>
                <w:color w:val="000000" w:themeColor="text1"/>
                <w:sz w:val="20"/>
                <w:szCs w:val="20"/>
                <w:lang w:val="en-US"/>
              </w:rPr>
              <w:t>Dummy variable equal to one if the respondent is in fair health, and zero otherwise</w:t>
            </w:r>
            <w:r w:rsidR="00102EBC">
              <w:rPr>
                <w:rFonts w:ascii="Times New Roman" w:hAnsi="Times New Roman" w:cs="Times New Roman"/>
                <w:color w:val="000000" w:themeColor="text1"/>
                <w:sz w:val="20"/>
                <w:szCs w:val="20"/>
                <w:lang w:val="en-US"/>
              </w:rPr>
              <w:t>.</w:t>
            </w:r>
          </w:p>
        </w:tc>
      </w:tr>
      <w:tr w:rsidR="00B41534" w:rsidRPr="002B0D86" w14:paraId="23C49DD0" w14:textId="77777777" w:rsidTr="007160D4">
        <w:trPr>
          <w:jc w:val="center"/>
        </w:trPr>
        <w:tc>
          <w:tcPr>
            <w:tcW w:w="1579" w:type="pct"/>
            <w:tcBorders>
              <w:top w:val="nil"/>
              <w:left w:val="nil"/>
              <w:bottom w:val="nil"/>
              <w:right w:val="nil"/>
            </w:tcBorders>
          </w:tcPr>
          <w:p w14:paraId="79E75005" w14:textId="77777777" w:rsidR="00B41534" w:rsidRPr="00A40E69" w:rsidRDefault="00B41534" w:rsidP="007160D4">
            <w:pPr>
              <w:pStyle w:val="NoSpacing"/>
              <w:rPr>
                <w:rFonts w:ascii="Times New Roman" w:hAnsi="Times New Roman" w:cs="Times New Roman"/>
                <w:b/>
                <w:bCs/>
                <w:sz w:val="20"/>
                <w:szCs w:val="20"/>
                <w:lang w:val="en-US"/>
              </w:rPr>
            </w:pPr>
            <w:r>
              <w:rPr>
                <w:rFonts w:ascii="Times New Roman" w:hAnsi="Times New Roman" w:cs="Times New Roman"/>
                <w:b/>
                <w:bCs/>
                <w:sz w:val="20"/>
                <w:szCs w:val="20"/>
                <w:lang w:val="en-US"/>
              </w:rPr>
              <w:t>Remittance</w:t>
            </w:r>
            <w:r w:rsidRPr="00A40E69">
              <w:rPr>
                <w:rFonts w:ascii="Times New Roman" w:hAnsi="Times New Roman" w:cs="Times New Roman"/>
                <w:b/>
                <w:bCs/>
                <w:sz w:val="20"/>
                <w:szCs w:val="20"/>
                <w:lang w:val="en-US"/>
              </w:rPr>
              <w:t>s to members of younger generations</w:t>
            </w:r>
          </w:p>
        </w:tc>
        <w:tc>
          <w:tcPr>
            <w:tcW w:w="3421" w:type="pct"/>
            <w:tcBorders>
              <w:top w:val="nil"/>
              <w:left w:val="nil"/>
              <w:bottom w:val="nil"/>
              <w:right w:val="nil"/>
            </w:tcBorders>
          </w:tcPr>
          <w:p w14:paraId="39F5BF9C" w14:textId="676F5177" w:rsidR="00B41534" w:rsidRPr="00A40E69" w:rsidRDefault="00B41534" w:rsidP="000B6BE0">
            <w:pPr>
              <w:pStyle w:val="NoSpacing"/>
              <w:jc w:val="both"/>
              <w:rPr>
                <w:rFonts w:ascii="Times New Roman" w:hAnsi="Times New Roman" w:cs="Times New Roman"/>
                <w:sz w:val="20"/>
                <w:szCs w:val="20"/>
                <w:lang w:val="en-US"/>
              </w:rPr>
            </w:pPr>
            <w:r w:rsidRPr="00A40E69">
              <w:rPr>
                <w:rFonts w:ascii="Times New Roman" w:hAnsi="Times New Roman" w:cs="Times New Roman"/>
                <w:sz w:val="20"/>
                <w:szCs w:val="20"/>
                <w:lang w:val="en-US"/>
              </w:rPr>
              <w:t xml:space="preserve">Logarithm of household </w:t>
            </w:r>
            <w:r>
              <w:rPr>
                <w:rFonts w:ascii="Times New Roman" w:hAnsi="Times New Roman" w:cs="Times New Roman"/>
                <w:sz w:val="20"/>
                <w:szCs w:val="20"/>
                <w:lang w:val="en-US"/>
              </w:rPr>
              <w:t>remittance</w:t>
            </w:r>
            <w:r w:rsidRPr="00A40E69">
              <w:rPr>
                <w:rFonts w:ascii="Times New Roman" w:hAnsi="Times New Roman" w:cs="Times New Roman"/>
                <w:sz w:val="20"/>
                <w:szCs w:val="20"/>
                <w:lang w:val="en-US"/>
              </w:rPr>
              <w:t xml:space="preserve">s to non-resident </w:t>
            </w:r>
            <w:r w:rsidR="00D31244">
              <w:rPr>
                <w:rFonts w:ascii="Times New Roman" w:hAnsi="Times New Roman" w:cs="Times New Roman"/>
                <w:sz w:val="20"/>
                <w:szCs w:val="20"/>
                <w:lang w:val="en-US"/>
              </w:rPr>
              <w:t xml:space="preserve">members of the </w:t>
            </w:r>
            <w:r w:rsidRPr="00A40E69">
              <w:rPr>
                <w:rFonts w:ascii="Times New Roman" w:hAnsi="Times New Roman" w:cs="Times New Roman"/>
                <w:sz w:val="20"/>
                <w:szCs w:val="20"/>
                <w:lang w:val="en-US"/>
              </w:rPr>
              <w:t>younger generation</w:t>
            </w:r>
            <w:r w:rsidR="00102EBC">
              <w:rPr>
                <w:rFonts w:ascii="Times New Roman" w:hAnsi="Times New Roman" w:cs="Times New Roman"/>
                <w:sz w:val="20"/>
                <w:szCs w:val="20"/>
                <w:lang w:val="en-US"/>
              </w:rPr>
              <w:t>.</w:t>
            </w:r>
            <w:r w:rsidR="00285EC6">
              <w:rPr>
                <w:rFonts w:ascii="Times New Roman" w:hAnsi="Times New Roman" w:cs="Times New Roman"/>
                <w:sz w:val="20"/>
                <w:szCs w:val="20"/>
                <w:lang w:val="en-US"/>
              </w:rPr>
              <w:t xml:space="preserve"> These encompass </w:t>
            </w:r>
            <w:r w:rsidR="00285EC6" w:rsidRPr="00285EC6">
              <w:rPr>
                <w:rFonts w:ascii="Times New Roman" w:hAnsi="Times New Roman" w:cs="Times New Roman"/>
                <w:sz w:val="20"/>
                <w:szCs w:val="20"/>
                <w:lang w:val="en-US"/>
              </w:rPr>
              <w:t>both monetary (e.g., support with living expenses, support in paying bills and so on) and in-kind support (e.g., providing food, clothes, vegetables and so on).</w:t>
            </w:r>
          </w:p>
        </w:tc>
      </w:tr>
      <w:tr w:rsidR="00B41534" w:rsidRPr="002B0D86" w14:paraId="283CE7F9" w14:textId="77777777" w:rsidTr="007160D4">
        <w:trPr>
          <w:jc w:val="center"/>
        </w:trPr>
        <w:tc>
          <w:tcPr>
            <w:tcW w:w="1579" w:type="pct"/>
            <w:tcBorders>
              <w:top w:val="nil"/>
              <w:left w:val="nil"/>
              <w:bottom w:val="nil"/>
              <w:right w:val="nil"/>
            </w:tcBorders>
            <w:vAlign w:val="center"/>
          </w:tcPr>
          <w:p w14:paraId="48E6FBBF" w14:textId="77777777" w:rsidR="00B41534" w:rsidRPr="00A40E69" w:rsidRDefault="00B41534" w:rsidP="007160D4">
            <w:pPr>
              <w:pStyle w:val="NoSpacing"/>
              <w:rPr>
                <w:rFonts w:ascii="Times New Roman" w:hAnsi="Times New Roman" w:cs="Times New Roman"/>
                <w:b/>
                <w:bCs/>
                <w:sz w:val="20"/>
                <w:szCs w:val="20"/>
                <w:lang w:val="en-US"/>
              </w:rPr>
            </w:pPr>
            <w:r w:rsidRPr="00A40E69">
              <w:rPr>
                <w:rFonts w:ascii="Times New Roman" w:hAnsi="Times New Roman" w:cs="Times New Roman"/>
                <w:b/>
                <w:bCs/>
                <w:sz w:val="20"/>
                <w:szCs w:val="20"/>
                <w:lang w:val="en-US"/>
              </w:rPr>
              <w:t>YoungDemo2011</w:t>
            </w:r>
          </w:p>
        </w:tc>
        <w:tc>
          <w:tcPr>
            <w:tcW w:w="3421" w:type="pct"/>
            <w:tcBorders>
              <w:top w:val="nil"/>
              <w:left w:val="nil"/>
              <w:bottom w:val="nil"/>
              <w:right w:val="nil"/>
            </w:tcBorders>
          </w:tcPr>
          <w:p w14:paraId="6054974A" w14:textId="3404C17A" w:rsidR="00B41534" w:rsidRPr="00A40E69" w:rsidRDefault="00B41534" w:rsidP="000B6BE0">
            <w:pPr>
              <w:pStyle w:val="NoSpacing"/>
              <w:jc w:val="both"/>
              <w:rPr>
                <w:rFonts w:ascii="Times New Roman" w:hAnsi="Times New Roman" w:cs="Times New Roman"/>
                <w:sz w:val="20"/>
                <w:szCs w:val="20"/>
                <w:lang w:val="en-US"/>
              </w:rPr>
            </w:pPr>
            <w:r w:rsidRPr="00A40E69">
              <w:rPr>
                <w:rFonts w:ascii="Times New Roman" w:hAnsi="Times New Roman" w:cs="Times New Roman"/>
                <w:sz w:val="20"/>
                <w:szCs w:val="20"/>
                <w:lang w:val="en-US"/>
              </w:rPr>
              <w:t xml:space="preserve">Total number of members </w:t>
            </w:r>
            <w:r w:rsidR="00D31244">
              <w:rPr>
                <w:rFonts w:ascii="Times New Roman" w:hAnsi="Times New Roman" w:cs="Times New Roman"/>
                <w:sz w:val="20"/>
                <w:szCs w:val="20"/>
                <w:lang w:val="en-US"/>
              </w:rPr>
              <w:t xml:space="preserve">of the younger generation </w:t>
            </w:r>
            <w:r w:rsidRPr="00A40E69">
              <w:rPr>
                <w:rFonts w:ascii="Times New Roman" w:hAnsi="Times New Roman" w:cs="Times New Roman"/>
                <w:sz w:val="20"/>
                <w:szCs w:val="20"/>
                <w:lang w:val="en-US"/>
              </w:rPr>
              <w:t>in 2011</w:t>
            </w:r>
            <w:r w:rsidR="00102EBC">
              <w:rPr>
                <w:rFonts w:ascii="Times New Roman" w:hAnsi="Times New Roman" w:cs="Times New Roman"/>
                <w:sz w:val="20"/>
                <w:szCs w:val="20"/>
                <w:lang w:val="en-US"/>
              </w:rPr>
              <w:t>.</w:t>
            </w:r>
          </w:p>
        </w:tc>
      </w:tr>
      <w:tr w:rsidR="00B41534" w:rsidRPr="002B0D86" w14:paraId="0F62DAA9" w14:textId="77777777" w:rsidTr="007160D4">
        <w:trPr>
          <w:jc w:val="center"/>
        </w:trPr>
        <w:tc>
          <w:tcPr>
            <w:tcW w:w="1579" w:type="pct"/>
            <w:tcBorders>
              <w:top w:val="nil"/>
              <w:left w:val="nil"/>
              <w:bottom w:val="nil"/>
              <w:right w:val="nil"/>
            </w:tcBorders>
            <w:vAlign w:val="center"/>
          </w:tcPr>
          <w:p w14:paraId="439BF920" w14:textId="77777777" w:rsidR="00B41534" w:rsidRPr="00A40E69" w:rsidRDefault="00B41534" w:rsidP="007160D4">
            <w:pPr>
              <w:pStyle w:val="NoSpacing"/>
              <w:rPr>
                <w:rFonts w:ascii="Times New Roman" w:hAnsi="Times New Roman" w:cs="Times New Roman"/>
                <w:b/>
                <w:bCs/>
                <w:sz w:val="20"/>
                <w:szCs w:val="20"/>
                <w:lang w:val="en-US"/>
              </w:rPr>
            </w:pPr>
            <w:proofErr w:type="spellStart"/>
            <w:r w:rsidRPr="00A40E69">
              <w:rPr>
                <w:rFonts w:ascii="Times New Roman" w:hAnsi="Times New Roman" w:cs="Times New Roman"/>
                <w:b/>
                <w:bCs/>
                <w:sz w:val="20"/>
                <w:szCs w:val="20"/>
                <w:lang w:val="en-US"/>
              </w:rPr>
              <w:t>YoungMove</w:t>
            </w:r>
            <w:proofErr w:type="spellEnd"/>
          </w:p>
        </w:tc>
        <w:tc>
          <w:tcPr>
            <w:tcW w:w="3421" w:type="pct"/>
            <w:tcBorders>
              <w:top w:val="nil"/>
              <w:left w:val="nil"/>
              <w:bottom w:val="nil"/>
              <w:right w:val="nil"/>
            </w:tcBorders>
          </w:tcPr>
          <w:p w14:paraId="51B106E8" w14:textId="4BA23AA0" w:rsidR="00B41534" w:rsidRPr="00A40E69" w:rsidRDefault="00B41534" w:rsidP="000B6BE0">
            <w:pPr>
              <w:pStyle w:val="NoSpacing"/>
              <w:jc w:val="both"/>
              <w:rPr>
                <w:rFonts w:ascii="Times New Roman" w:hAnsi="Times New Roman" w:cs="Times New Roman"/>
                <w:sz w:val="20"/>
                <w:szCs w:val="20"/>
                <w:lang w:val="en-US"/>
              </w:rPr>
            </w:pPr>
            <w:r w:rsidRPr="00A40E69">
              <w:rPr>
                <w:rFonts w:ascii="Times New Roman" w:hAnsi="Times New Roman" w:cs="Times New Roman"/>
                <w:sz w:val="20"/>
                <w:szCs w:val="20"/>
                <w:lang w:val="en-US"/>
              </w:rPr>
              <w:t xml:space="preserve">Total number of </w:t>
            </w:r>
            <w:r w:rsidR="00D31244">
              <w:rPr>
                <w:rFonts w:ascii="Times New Roman" w:hAnsi="Times New Roman" w:cs="Times New Roman"/>
                <w:sz w:val="20"/>
                <w:szCs w:val="20"/>
                <w:lang w:val="en-US"/>
              </w:rPr>
              <w:t xml:space="preserve">members of the </w:t>
            </w:r>
            <w:r>
              <w:rPr>
                <w:rFonts w:ascii="Times New Roman" w:hAnsi="Times New Roman" w:cs="Times New Roman"/>
                <w:sz w:val="20"/>
                <w:szCs w:val="20"/>
                <w:lang w:val="en-US"/>
              </w:rPr>
              <w:t xml:space="preserve">younger generation </w:t>
            </w:r>
            <w:r w:rsidRPr="00A40E69">
              <w:rPr>
                <w:rFonts w:ascii="Times New Roman" w:hAnsi="Times New Roman" w:cs="Times New Roman"/>
                <w:sz w:val="20"/>
                <w:szCs w:val="20"/>
                <w:lang w:val="en-US"/>
              </w:rPr>
              <w:t>who moved out during the period 2011 – 2013</w:t>
            </w:r>
            <w:r w:rsidR="00102EBC">
              <w:rPr>
                <w:rFonts w:ascii="Times New Roman" w:hAnsi="Times New Roman" w:cs="Times New Roman"/>
                <w:sz w:val="20"/>
                <w:szCs w:val="20"/>
                <w:lang w:val="en-US"/>
              </w:rPr>
              <w:t>.</w:t>
            </w:r>
          </w:p>
        </w:tc>
      </w:tr>
      <w:tr w:rsidR="00B41534" w:rsidRPr="002B0D86" w14:paraId="03F5378C" w14:textId="77777777" w:rsidTr="007160D4">
        <w:trPr>
          <w:jc w:val="center"/>
        </w:trPr>
        <w:tc>
          <w:tcPr>
            <w:tcW w:w="1579" w:type="pct"/>
            <w:tcBorders>
              <w:top w:val="nil"/>
              <w:left w:val="nil"/>
              <w:bottom w:val="nil"/>
              <w:right w:val="nil"/>
            </w:tcBorders>
          </w:tcPr>
          <w:p w14:paraId="5E6B39D8" w14:textId="77777777" w:rsidR="00B41534" w:rsidRPr="00A40E69" w:rsidRDefault="00B41534" w:rsidP="007160D4">
            <w:pPr>
              <w:pStyle w:val="NoSpacing"/>
              <w:rPr>
                <w:rFonts w:ascii="Times New Roman" w:hAnsi="Times New Roman" w:cs="Times New Roman"/>
                <w:b/>
                <w:bCs/>
                <w:sz w:val="20"/>
                <w:szCs w:val="20"/>
                <w:lang w:val="en-US"/>
              </w:rPr>
            </w:pPr>
            <w:r w:rsidRPr="00A40E69">
              <w:rPr>
                <w:rFonts w:ascii="Times New Roman" w:hAnsi="Times New Roman" w:cs="Times New Roman"/>
                <w:b/>
                <w:bCs/>
                <w:sz w:val="20"/>
                <w:szCs w:val="20"/>
                <w:lang w:val="en-US"/>
              </w:rPr>
              <w:t>Household size</w:t>
            </w:r>
          </w:p>
        </w:tc>
        <w:tc>
          <w:tcPr>
            <w:tcW w:w="3421" w:type="pct"/>
            <w:tcBorders>
              <w:top w:val="nil"/>
              <w:left w:val="nil"/>
              <w:bottom w:val="nil"/>
              <w:right w:val="nil"/>
            </w:tcBorders>
          </w:tcPr>
          <w:p w14:paraId="5296F300" w14:textId="00950458" w:rsidR="00B41534" w:rsidRPr="00A40E69" w:rsidRDefault="00B41534" w:rsidP="000B6BE0">
            <w:pPr>
              <w:pStyle w:val="NoSpacing"/>
              <w:jc w:val="both"/>
              <w:rPr>
                <w:rFonts w:ascii="Times New Roman" w:hAnsi="Times New Roman" w:cs="Times New Roman"/>
                <w:sz w:val="20"/>
                <w:szCs w:val="20"/>
                <w:lang w:val="en-US"/>
              </w:rPr>
            </w:pPr>
            <w:r w:rsidRPr="00A40E69">
              <w:rPr>
                <w:rFonts w:ascii="Times New Roman" w:hAnsi="Times New Roman" w:cs="Times New Roman"/>
                <w:sz w:val="20"/>
                <w:szCs w:val="20"/>
                <w:lang w:val="en-US"/>
              </w:rPr>
              <w:t>Total number of household members</w:t>
            </w:r>
            <w:r w:rsidR="00102EBC">
              <w:rPr>
                <w:rFonts w:ascii="Times New Roman" w:hAnsi="Times New Roman" w:cs="Times New Roman"/>
                <w:sz w:val="20"/>
                <w:szCs w:val="20"/>
                <w:lang w:val="en-US"/>
              </w:rPr>
              <w:t>.</w:t>
            </w:r>
          </w:p>
        </w:tc>
      </w:tr>
      <w:tr w:rsidR="00B41534" w:rsidRPr="002B0D86" w14:paraId="7826C53C" w14:textId="77777777" w:rsidTr="007160D4">
        <w:trPr>
          <w:jc w:val="center"/>
        </w:trPr>
        <w:tc>
          <w:tcPr>
            <w:tcW w:w="1579" w:type="pct"/>
            <w:tcBorders>
              <w:top w:val="nil"/>
              <w:left w:val="nil"/>
              <w:bottom w:val="nil"/>
              <w:right w:val="nil"/>
            </w:tcBorders>
          </w:tcPr>
          <w:p w14:paraId="7160A297" w14:textId="77777777" w:rsidR="00B41534" w:rsidRPr="00A40E69" w:rsidRDefault="00B41534" w:rsidP="007160D4">
            <w:pPr>
              <w:pStyle w:val="NoSpacing"/>
              <w:rPr>
                <w:rFonts w:ascii="Times New Roman" w:hAnsi="Times New Roman" w:cs="Times New Roman"/>
                <w:b/>
                <w:bCs/>
                <w:sz w:val="20"/>
                <w:szCs w:val="20"/>
                <w:lang w:val="en-US"/>
              </w:rPr>
            </w:pPr>
            <w:r w:rsidRPr="00A40E69">
              <w:rPr>
                <w:rFonts w:ascii="Times New Roman" w:hAnsi="Times New Roman" w:cs="Times New Roman"/>
                <w:b/>
                <w:bCs/>
                <w:sz w:val="20"/>
                <w:szCs w:val="20"/>
                <w:lang w:val="en-US"/>
              </w:rPr>
              <w:t>No. of non-offspring members</w:t>
            </w:r>
          </w:p>
        </w:tc>
        <w:tc>
          <w:tcPr>
            <w:tcW w:w="3421" w:type="pct"/>
            <w:tcBorders>
              <w:top w:val="nil"/>
              <w:left w:val="nil"/>
              <w:bottom w:val="nil"/>
              <w:right w:val="nil"/>
            </w:tcBorders>
          </w:tcPr>
          <w:p w14:paraId="234A658E" w14:textId="72FF9E49" w:rsidR="00B41534" w:rsidRPr="00A40E69" w:rsidRDefault="00B41534" w:rsidP="000B6BE0">
            <w:pPr>
              <w:pStyle w:val="NoSpacing"/>
              <w:jc w:val="both"/>
              <w:rPr>
                <w:rFonts w:ascii="Times New Roman" w:hAnsi="Times New Roman" w:cs="Times New Roman"/>
                <w:sz w:val="20"/>
                <w:szCs w:val="20"/>
                <w:lang w:val="en-US"/>
              </w:rPr>
            </w:pPr>
            <w:r w:rsidRPr="00A40E69">
              <w:rPr>
                <w:rFonts w:ascii="Times New Roman" w:hAnsi="Times New Roman" w:cs="Times New Roman"/>
                <w:sz w:val="20"/>
                <w:szCs w:val="20"/>
                <w:lang w:val="en-US"/>
              </w:rPr>
              <w:t xml:space="preserve">Total number of household members </w:t>
            </w:r>
            <w:r w:rsidR="00D31244">
              <w:rPr>
                <w:rFonts w:ascii="Times New Roman" w:hAnsi="Times New Roman" w:cs="Times New Roman"/>
                <w:sz w:val="20"/>
                <w:szCs w:val="20"/>
                <w:lang w:val="en-US"/>
              </w:rPr>
              <w:t xml:space="preserve">excluding the members of the younger generation </w:t>
            </w:r>
            <w:r w:rsidRPr="00A40E69">
              <w:rPr>
                <w:rFonts w:ascii="Times New Roman" w:hAnsi="Times New Roman" w:cs="Times New Roman"/>
                <w:sz w:val="20"/>
                <w:szCs w:val="20"/>
                <w:lang w:val="en-US"/>
              </w:rPr>
              <w:t>in 2011</w:t>
            </w:r>
            <w:r w:rsidR="00102EBC">
              <w:rPr>
                <w:rFonts w:ascii="Times New Roman" w:hAnsi="Times New Roman" w:cs="Times New Roman"/>
                <w:sz w:val="20"/>
                <w:szCs w:val="20"/>
                <w:lang w:val="en-US"/>
              </w:rPr>
              <w:t>.</w:t>
            </w:r>
          </w:p>
        </w:tc>
      </w:tr>
      <w:tr w:rsidR="00B41534" w:rsidRPr="002B0D86" w14:paraId="424947AE" w14:textId="77777777" w:rsidTr="007160D4">
        <w:trPr>
          <w:jc w:val="center"/>
        </w:trPr>
        <w:tc>
          <w:tcPr>
            <w:tcW w:w="1579" w:type="pct"/>
            <w:tcBorders>
              <w:top w:val="nil"/>
              <w:left w:val="nil"/>
              <w:bottom w:val="nil"/>
              <w:right w:val="nil"/>
            </w:tcBorders>
          </w:tcPr>
          <w:p w14:paraId="15B0A16A" w14:textId="77777777" w:rsidR="00B41534" w:rsidRPr="00A40E69" w:rsidRDefault="00B41534" w:rsidP="007160D4">
            <w:pPr>
              <w:pStyle w:val="NoSpacing"/>
              <w:rPr>
                <w:rFonts w:ascii="Times New Roman" w:hAnsi="Times New Roman" w:cs="Times New Roman"/>
                <w:b/>
                <w:bCs/>
                <w:sz w:val="20"/>
                <w:szCs w:val="20"/>
                <w:lang w:val="en-US"/>
              </w:rPr>
            </w:pPr>
            <w:r w:rsidRPr="00A40E69">
              <w:rPr>
                <w:rFonts w:ascii="Times New Roman" w:hAnsi="Times New Roman" w:cs="Times New Roman"/>
                <w:b/>
                <w:bCs/>
                <w:sz w:val="20"/>
                <w:szCs w:val="20"/>
                <w:lang w:val="en-US"/>
              </w:rPr>
              <w:t>YoungMove0_16</w:t>
            </w:r>
          </w:p>
        </w:tc>
        <w:tc>
          <w:tcPr>
            <w:tcW w:w="3421" w:type="pct"/>
            <w:tcBorders>
              <w:top w:val="nil"/>
              <w:left w:val="nil"/>
              <w:bottom w:val="nil"/>
              <w:right w:val="nil"/>
            </w:tcBorders>
          </w:tcPr>
          <w:p w14:paraId="342D209F" w14:textId="4412DA46" w:rsidR="00B41534" w:rsidRPr="00A40E69" w:rsidRDefault="00B41534" w:rsidP="000B6BE0">
            <w:pPr>
              <w:pStyle w:val="NoSpacing"/>
              <w:jc w:val="both"/>
              <w:rPr>
                <w:rFonts w:ascii="Times New Roman" w:hAnsi="Times New Roman" w:cs="Times New Roman"/>
                <w:sz w:val="20"/>
                <w:szCs w:val="20"/>
                <w:lang w:val="en-US"/>
              </w:rPr>
            </w:pPr>
            <w:r w:rsidRPr="00A40E69">
              <w:rPr>
                <w:rFonts w:ascii="Times New Roman" w:hAnsi="Times New Roman" w:cs="Times New Roman"/>
                <w:sz w:val="20"/>
                <w:szCs w:val="20"/>
                <w:lang w:val="en-US"/>
              </w:rPr>
              <w:t xml:space="preserve">Total number of </w:t>
            </w:r>
            <w:r w:rsidR="00D31244">
              <w:rPr>
                <w:rFonts w:ascii="Times New Roman" w:hAnsi="Times New Roman" w:cs="Times New Roman"/>
                <w:sz w:val="20"/>
                <w:szCs w:val="20"/>
                <w:lang w:val="en-US"/>
              </w:rPr>
              <w:t xml:space="preserve">members of the </w:t>
            </w:r>
            <w:r>
              <w:rPr>
                <w:rFonts w:ascii="Times New Roman" w:hAnsi="Times New Roman" w:cs="Times New Roman"/>
                <w:sz w:val="20"/>
                <w:szCs w:val="20"/>
                <w:lang w:val="en-US"/>
              </w:rPr>
              <w:t xml:space="preserve">younger generation </w:t>
            </w:r>
            <w:r w:rsidRPr="00A40E69">
              <w:rPr>
                <w:rFonts w:ascii="Times New Roman" w:hAnsi="Times New Roman" w:cs="Times New Roman"/>
                <w:sz w:val="20"/>
                <w:szCs w:val="20"/>
                <w:lang w:val="en-US"/>
              </w:rPr>
              <w:t>aged between 0 and 16 who moved out of the household between 2011 and 2013</w:t>
            </w:r>
            <w:r w:rsidR="00102EBC">
              <w:rPr>
                <w:rFonts w:ascii="Times New Roman" w:hAnsi="Times New Roman" w:cs="Times New Roman"/>
                <w:sz w:val="20"/>
                <w:szCs w:val="20"/>
                <w:lang w:val="en-US"/>
              </w:rPr>
              <w:t>.</w:t>
            </w:r>
            <w:r w:rsidRPr="00A40E69">
              <w:rPr>
                <w:rFonts w:ascii="Times New Roman" w:hAnsi="Times New Roman" w:cs="Times New Roman"/>
                <w:sz w:val="20"/>
                <w:szCs w:val="20"/>
                <w:lang w:val="en-US"/>
              </w:rPr>
              <w:t xml:space="preserve"> </w:t>
            </w:r>
          </w:p>
        </w:tc>
      </w:tr>
      <w:tr w:rsidR="00B41534" w:rsidRPr="002B0D86" w14:paraId="0F9D4F98" w14:textId="77777777" w:rsidTr="007160D4">
        <w:trPr>
          <w:jc w:val="center"/>
        </w:trPr>
        <w:tc>
          <w:tcPr>
            <w:tcW w:w="1579" w:type="pct"/>
            <w:tcBorders>
              <w:top w:val="nil"/>
              <w:left w:val="nil"/>
              <w:bottom w:val="nil"/>
              <w:right w:val="nil"/>
            </w:tcBorders>
          </w:tcPr>
          <w:p w14:paraId="104FC8D6" w14:textId="77777777" w:rsidR="00B41534" w:rsidRPr="00A40E69" w:rsidRDefault="00B41534" w:rsidP="007160D4">
            <w:pPr>
              <w:pStyle w:val="NoSpacing"/>
              <w:rPr>
                <w:rFonts w:ascii="Times New Roman" w:hAnsi="Times New Roman" w:cs="Times New Roman"/>
                <w:b/>
                <w:bCs/>
                <w:sz w:val="20"/>
                <w:szCs w:val="20"/>
                <w:lang w:val="en-US"/>
              </w:rPr>
            </w:pPr>
            <w:r w:rsidRPr="00A40E69">
              <w:rPr>
                <w:rFonts w:ascii="Times New Roman" w:hAnsi="Times New Roman" w:cs="Times New Roman"/>
                <w:b/>
                <w:bCs/>
                <w:sz w:val="20"/>
                <w:szCs w:val="20"/>
                <w:lang w:val="en-US"/>
              </w:rPr>
              <w:t>YoungMove17_24</w:t>
            </w:r>
          </w:p>
        </w:tc>
        <w:tc>
          <w:tcPr>
            <w:tcW w:w="3421" w:type="pct"/>
            <w:tcBorders>
              <w:top w:val="nil"/>
              <w:left w:val="nil"/>
              <w:bottom w:val="nil"/>
              <w:right w:val="nil"/>
            </w:tcBorders>
          </w:tcPr>
          <w:p w14:paraId="5FD87F6D" w14:textId="224C7BC9" w:rsidR="00B41534" w:rsidRPr="00A40E69" w:rsidRDefault="00B41534" w:rsidP="000B6BE0">
            <w:pPr>
              <w:pStyle w:val="NoSpacing"/>
              <w:jc w:val="both"/>
              <w:rPr>
                <w:rFonts w:ascii="Times New Roman" w:hAnsi="Times New Roman" w:cs="Times New Roman"/>
                <w:sz w:val="20"/>
                <w:szCs w:val="20"/>
                <w:lang w:val="en-US"/>
              </w:rPr>
            </w:pPr>
            <w:r w:rsidRPr="00A40E69">
              <w:rPr>
                <w:rFonts w:ascii="Times New Roman" w:hAnsi="Times New Roman" w:cs="Times New Roman"/>
                <w:sz w:val="20"/>
                <w:szCs w:val="20"/>
                <w:lang w:val="en-US"/>
              </w:rPr>
              <w:t xml:space="preserve">Total number of </w:t>
            </w:r>
            <w:r w:rsidR="00D31244">
              <w:rPr>
                <w:rFonts w:ascii="Times New Roman" w:hAnsi="Times New Roman" w:cs="Times New Roman"/>
                <w:sz w:val="20"/>
                <w:szCs w:val="20"/>
                <w:lang w:val="en-US"/>
              </w:rPr>
              <w:t xml:space="preserve">members of the </w:t>
            </w:r>
            <w:r>
              <w:rPr>
                <w:rFonts w:ascii="Times New Roman" w:hAnsi="Times New Roman" w:cs="Times New Roman"/>
                <w:sz w:val="20"/>
                <w:szCs w:val="20"/>
                <w:lang w:val="en-US"/>
              </w:rPr>
              <w:t xml:space="preserve">younger generation </w:t>
            </w:r>
            <w:r w:rsidRPr="00A40E69">
              <w:rPr>
                <w:rFonts w:ascii="Times New Roman" w:hAnsi="Times New Roman" w:cs="Times New Roman"/>
                <w:sz w:val="20"/>
                <w:szCs w:val="20"/>
                <w:lang w:val="en-US"/>
              </w:rPr>
              <w:t>aged between 17 and 24 who moved out of the household between 2011 and 2013</w:t>
            </w:r>
            <w:r w:rsidR="00102EBC">
              <w:rPr>
                <w:rFonts w:ascii="Times New Roman" w:hAnsi="Times New Roman" w:cs="Times New Roman"/>
                <w:sz w:val="20"/>
                <w:szCs w:val="20"/>
                <w:lang w:val="en-US"/>
              </w:rPr>
              <w:t>.</w:t>
            </w:r>
          </w:p>
        </w:tc>
      </w:tr>
      <w:tr w:rsidR="00B41534" w:rsidRPr="002B0D86" w14:paraId="41A37015" w14:textId="77777777" w:rsidTr="007160D4">
        <w:trPr>
          <w:jc w:val="center"/>
        </w:trPr>
        <w:tc>
          <w:tcPr>
            <w:tcW w:w="1579" w:type="pct"/>
            <w:tcBorders>
              <w:top w:val="nil"/>
              <w:left w:val="nil"/>
              <w:right w:val="nil"/>
            </w:tcBorders>
          </w:tcPr>
          <w:p w14:paraId="21032947" w14:textId="77777777" w:rsidR="00B41534" w:rsidRPr="00A40E69" w:rsidRDefault="00B41534" w:rsidP="007160D4">
            <w:pPr>
              <w:pStyle w:val="NoSpacing"/>
              <w:rPr>
                <w:rFonts w:ascii="Times New Roman" w:hAnsi="Times New Roman" w:cs="Times New Roman"/>
                <w:b/>
                <w:bCs/>
                <w:sz w:val="20"/>
                <w:szCs w:val="20"/>
                <w:lang w:val="en-US"/>
              </w:rPr>
            </w:pPr>
            <w:r w:rsidRPr="00A40E69">
              <w:rPr>
                <w:rFonts w:ascii="Times New Roman" w:hAnsi="Times New Roman" w:cs="Times New Roman"/>
                <w:b/>
                <w:bCs/>
                <w:sz w:val="20"/>
                <w:szCs w:val="20"/>
                <w:lang w:val="en-US"/>
              </w:rPr>
              <w:t>YoungMove25_30</w:t>
            </w:r>
          </w:p>
        </w:tc>
        <w:tc>
          <w:tcPr>
            <w:tcW w:w="3421" w:type="pct"/>
            <w:tcBorders>
              <w:top w:val="nil"/>
              <w:left w:val="nil"/>
              <w:right w:val="nil"/>
            </w:tcBorders>
          </w:tcPr>
          <w:p w14:paraId="11533EF8" w14:textId="6B358504" w:rsidR="00B41534" w:rsidRPr="00A40E69" w:rsidRDefault="00B41534" w:rsidP="000B6BE0">
            <w:pPr>
              <w:pStyle w:val="NoSpacing"/>
              <w:jc w:val="both"/>
              <w:rPr>
                <w:rFonts w:ascii="Times New Roman" w:hAnsi="Times New Roman" w:cs="Times New Roman"/>
                <w:sz w:val="20"/>
                <w:szCs w:val="20"/>
                <w:lang w:val="en-US"/>
              </w:rPr>
            </w:pPr>
            <w:r w:rsidRPr="00A40E69">
              <w:rPr>
                <w:rFonts w:ascii="Times New Roman" w:hAnsi="Times New Roman" w:cs="Times New Roman"/>
                <w:sz w:val="20"/>
                <w:szCs w:val="20"/>
                <w:lang w:val="en-US"/>
              </w:rPr>
              <w:t xml:space="preserve">Total number of </w:t>
            </w:r>
            <w:r w:rsidR="00D31244">
              <w:rPr>
                <w:rFonts w:ascii="Times New Roman" w:hAnsi="Times New Roman" w:cs="Times New Roman"/>
                <w:sz w:val="20"/>
                <w:szCs w:val="20"/>
                <w:lang w:val="en-US"/>
              </w:rPr>
              <w:t xml:space="preserve">members of the </w:t>
            </w:r>
            <w:r>
              <w:rPr>
                <w:rFonts w:ascii="Times New Roman" w:hAnsi="Times New Roman" w:cs="Times New Roman"/>
                <w:sz w:val="20"/>
                <w:szCs w:val="20"/>
                <w:lang w:val="en-US"/>
              </w:rPr>
              <w:t xml:space="preserve">younger generation </w:t>
            </w:r>
            <w:r w:rsidRPr="00A40E69">
              <w:rPr>
                <w:rFonts w:ascii="Times New Roman" w:hAnsi="Times New Roman" w:cs="Times New Roman"/>
                <w:sz w:val="20"/>
                <w:szCs w:val="20"/>
                <w:lang w:val="en-US"/>
              </w:rPr>
              <w:t>aged between 25 and 30 who moved out of the household between 2011 and 2013</w:t>
            </w:r>
            <w:r w:rsidR="00102EBC">
              <w:rPr>
                <w:rFonts w:ascii="Times New Roman" w:hAnsi="Times New Roman" w:cs="Times New Roman"/>
                <w:sz w:val="20"/>
                <w:szCs w:val="20"/>
                <w:lang w:val="en-US"/>
              </w:rPr>
              <w:t>.</w:t>
            </w:r>
          </w:p>
        </w:tc>
      </w:tr>
      <w:tr w:rsidR="00B41534" w:rsidRPr="002B0D86" w14:paraId="54468F50" w14:textId="77777777" w:rsidTr="007160D4">
        <w:trPr>
          <w:jc w:val="center"/>
        </w:trPr>
        <w:tc>
          <w:tcPr>
            <w:tcW w:w="1579" w:type="pct"/>
            <w:tcBorders>
              <w:top w:val="nil"/>
              <w:left w:val="nil"/>
              <w:bottom w:val="single" w:sz="4" w:space="0" w:color="auto"/>
              <w:right w:val="nil"/>
            </w:tcBorders>
          </w:tcPr>
          <w:p w14:paraId="360FB41D" w14:textId="77777777" w:rsidR="00B41534" w:rsidRPr="00A40E69" w:rsidRDefault="00B41534" w:rsidP="007160D4">
            <w:pPr>
              <w:pStyle w:val="NoSpacing"/>
              <w:rPr>
                <w:rFonts w:ascii="Times New Roman" w:hAnsi="Times New Roman" w:cs="Times New Roman"/>
                <w:b/>
                <w:bCs/>
                <w:sz w:val="20"/>
                <w:szCs w:val="20"/>
                <w:lang w:val="en-US"/>
              </w:rPr>
            </w:pPr>
            <w:r>
              <w:rPr>
                <w:rFonts w:ascii="Times New Roman" w:hAnsi="Times New Roman" w:cs="Times New Roman"/>
                <w:b/>
                <w:bCs/>
                <w:sz w:val="20"/>
                <w:szCs w:val="20"/>
                <w:lang w:val="en-US"/>
              </w:rPr>
              <w:t>YoungMove31+</w:t>
            </w:r>
          </w:p>
        </w:tc>
        <w:tc>
          <w:tcPr>
            <w:tcW w:w="3421" w:type="pct"/>
            <w:tcBorders>
              <w:top w:val="nil"/>
              <w:left w:val="nil"/>
              <w:bottom w:val="single" w:sz="4" w:space="0" w:color="auto"/>
              <w:right w:val="nil"/>
            </w:tcBorders>
          </w:tcPr>
          <w:p w14:paraId="137D9840" w14:textId="7F3CD0BA" w:rsidR="00B41534" w:rsidRPr="00A40E69" w:rsidRDefault="00B41534" w:rsidP="000B6BE0">
            <w:pPr>
              <w:pStyle w:val="NoSpacing"/>
              <w:jc w:val="both"/>
              <w:rPr>
                <w:rFonts w:ascii="Times New Roman" w:hAnsi="Times New Roman" w:cs="Times New Roman"/>
                <w:sz w:val="20"/>
                <w:szCs w:val="20"/>
                <w:lang w:val="en-US"/>
              </w:rPr>
            </w:pPr>
            <w:r w:rsidRPr="00A40E69">
              <w:rPr>
                <w:rFonts w:ascii="Times New Roman" w:hAnsi="Times New Roman" w:cs="Times New Roman"/>
                <w:sz w:val="20"/>
                <w:szCs w:val="20"/>
                <w:lang w:val="en-US"/>
              </w:rPr>
              <w:t xml:space="preserve">Total number of </w:t>
            </w:r>
            <w:r w:rsidR="00D31244">
              <w:rPr>
                <w:rFonts w:ascii="Times New Roman" w:hAnsi="Times New Roman" w:cs="Times New Roman"/>
                <w:sz w:val="20"/>
                <w:szCs w:val="20"/>
                <w:lang w:val="en-US"/>
              </w:rPr>
              <w:t xml:space="preserve">members of the </w:t>
            </w:r>
            <w:r>
              <w:rPr>
                <w:rFonts w:ascii="Times New Roman" w:hAnsi="Times New Roman" w:cs="Times New Roman"/>
                <w:sz w:val="20"/>
                <w:szCs w:val="20"/>
                <w:lang w:val="en-US"/>
              </w:rPr>
              <w:t xml:space="preserve">younger generation </w:t>
            </w:r>
            <w:r w:rsidRPr="00A40E69">
              <w:rPr>
                <w:rFonts w:ascii="Times New Roman" w:hAnsi="Times New Roman" w:cs="Times New Roman"/>
                <w:sz w:val="20"/>
                <w:szCs w:val="20"/>
                <w:lang w:val="en-US"/>
              </w:rPr>
              <w:t xml:space="preserve">aged 31 and </w:t>
            </w:r>
            <w:r>
              <w:rPr>
                <w:rFonts w:ascii="Times New Roman" w:hAnsi="Times New Roman" w:cs="Times New Roman"/>
                <w:sz w:val="20"/>
                <w:szCs w:val="20"/>
                <w:lang w:val="en-US"/>
              </w:rPr>
              <w:t>over</w:t>
            </w:r>
            <w:r w:rsidRPr="00A40E69">
              <w:rPr>
                <w:rFonts w:ascii="Times New Roman" w:hAnsi="Times New Roman" w:cs="Times New Roman"/>
                <w:sz w:val="20"/>
                <w:szCs w:val="20"/>
                <w:lang w:val="en-US"/>
              </w:rPr>
              <w:t xml:space="preserve"> who moved out of the household between 2011 and 2013</w:t>
            </w:r>
            <w:r w:rsidR="00102EBC">
              <w:rPr>
                <w:rFonts w:ascii="Times New Roman" w:hAnsi="Times New Roman" w:cs="Times New Roman"/>
                <w:sz w:val="20"/>
                <w:szCs w:val="20"/>
                <w:lang w:val="en-US"/>
              </w:rPr>
              <w:t>.</w:t>
            </w:r>
          </w:p>
        </w:tc>
      </w:tr>
    </w:tbl>
    <w:p w14:paraId="31F4D584" w14:textId="77777777" w:rsidR="00B41534" w:rsidRPr="00D31244" w:rsidRDefault="00B41534" w:rsidP="00B41534"/>
    <w:p w14:paraId="18B0008C" w14:textId="194BB3BB" w:rsidR="00B41534" w:rsidRPr="00E5069C" w:rsidRDefault="00E5069C" w:rsidP="00B41534">
      <w:pPr>
        <w:rPr>
          <w:b/>
          <w:sz w:val="20"/>
          <w:szCs w:val="20"/>
          <w:lang w:val="en-US"/>
        </w:rPr>
      </w:pPr>
      <w:r w:rsidRPr="00E5069C">
        <w:rPr>
          <w:i/>
          <w:iCs/>
          <w:sz w:val="20"/>
          <w:szCs w:val="20"/>
          <w:lang w:val="en-US"/>
        </w:rPr>
        <w:t xml:space="preserve">    </w:t>
      </w:r>
      <w:r w:rsidR="00F47C90">
        <w:rPr>
          <w:i/>
          <w:iCs/>
          <w:sz w:val="20"/>
          <w:szCs w:val="20"/>
          <w:lang w:val="en-US"/>
        </w:rPr>
        <w:t xml:space="preserve"> </w:t>
      </w:r>
      <w:r w:rsidR="00B41534" w:rsidRPr="00E5069C">
        <w:rPr>
          <w:sz w:val="20"/>
          <w:szCs w:val="20"/>
          <w:lang w:val="en-US"/>
        </w:rPr>
        <w:br w:type="page"/>
      </w:r>
    </w:p>
    <w:p w14:paraId="3311BB4C" w14:textId="24CE0E9F" w:rsidR="00B41534" w:rsidRPr="00A40E69" w:rsidRDefault="00B41534" w:rsidP="00B41534">
      <w:pPr>
        <w:pStyle w:val="Caption"/>
        <w:rPr>
          <w:b w:val="0"/>
          <w:bCs/>
          <w:iCs w:val="0"/>
          <w:lang w:val="en-US"/>
        </w:rPr>
      </w:pPr>
      <w:r w:rsidRPr="00A40E69">
        <w:rPr>
          <w:lang w:val="en-US"/>
        </w:rPr>
        <w:lastRenderedPageBreak/>
        <w:t xml:space="preserve">Table </w:t>
      </w:r>
      <w:r w:rsidR="005F0798">
        <w:rPr>
          <w:lang w:val="en-US"/>
        </w:rPr>
        <w:t>A</w:t>
      </w:r>
      <w:r w:rsidR="00CE2A44">
        <w:rPr>
          <w:lang w:val="en-US"/>
        </w:rPr>
        <w:t>2</w:t>
      </w:r>
      <w:r w:rsidRPr="00A40E69">
        <w:rPr>
          <w:lang w:val="en-US"/>
        </w:rPr>
        <w:t xml:space="preserve">. </w:t>
      </w:r>
      <w:r w:rsidRPr="00A40E69">
        <w:rPr>
          <w:b w:val="0"/>
          <w:bCs/>
          <w:iCs w:val="0"/>
          <w:lang w:val="en-US"/>
        </w:rPr>
        <w:t>Consumption in the two waves of the CHARLS</w:t>
      </w:r>
    </w:p>
    <w:p w14:paraId="4A4B348A" w14:textId="77777777" w:rsidR="00B41534" w:rsidRPr="00A40E69" w:rsidRDefault="00B41534" w:rsidP="00B41534">
      <w:pPr>
        <w:rPr>
          <w:lang w:val="en-US"/>
        </w:rPr>
      </w:pPr>
    </w:p>
    <w:tbl>
      <w:tblPr>
        <w:tblW w:w="8789" w:type="dxa"/>
        <w:jc w:val="center"/>
        <w:tblLayout w:type="fixed"/>
        <w:tblLook w:val="04A0" w:firstRow="1" w:lastRow="0" w:firstColumn="1" w:lastColumn="0" w:noHBand="0" w:noVBand="1"/>
      </w:tblPr>
      <w:tblGrid>
        <w:gridCol w:w="2127"/>
        <w:gridCol w:w="1275"/>
        <w:gridCol w:w="851"/>
        <w:gridCol w:w="283"/>
        <w:gridCol w:w="851"/>
        <w:gridCol w:w="709"/>
        <w:gridCol w:w="283"/>
        <w:gridCol w:w="851"/>
        <w:gridCol w:w="711"/>
        <w:gridCol w:w="848"/>
      </w:tblGrid>
      <w:tr w:rsidR="00B41534" w:rsidRPr="002B0D86" w14:paraId="404B031E" w14:textId="77777777" w:rsidTr="007160D4">
        <w:trPr>
          <w:trHeight w:val="320"/>
          <w:jc w:val="center"/>
        </w:trPr>
        <w:tc>
          <w:tcPr>
            <w:tcW w:w="2127" w:type="dxa"/>
            <w:tcBorders>
              <w:top w:val="single" w:sz="8" w:space="0" w:color="auto"/>
              <w:left w:val="nil"/>
              <w:bottom w:val="nil"/>
              <w:right w:val="nil"/>
            </w:tcBorders>
            <w:shd w:val="clear" w:color="auto" w:fill="auto"/>
            <w:vAlign w:val="center"/>
            <w:hideMark/>
          </w:tcPr>
          <w:p w14:paraId="422B7B7B" w14:textId="77777777" w:rsidR="00B41534" w:rsidRPr="00A40E69" w:rsidRDefault="00B41534" w:rsidP="007160D4">
            <w:pPr>
              <w:pStyle w:val="NoSpacing"/>
              <w:spacing w:line="480" w:lineRule="auto"/>
              <w:rPr>
                <w:rFonts w:ascii="Times New Roman" w:hAnsi="Times New Roman" w:cs="Times New Roman"/>
                <w:sz w:val="16"/>
                <w:szCs w:val="16"/>
                <w:lang w:val="en-US"/>
              </w:rPr>
            </w:pPr>
          </w:p>
        </w:tc>
        <w:tc>
          <w:tcPr>
            <w:tcW w:w="2126" w:type="dxa"/>
            <w:gridSpan w:val="2"/>
            <w:tcBorders>
              <w:top w:val="single" w:sz="8" w:space="0" w:color="auto"/>
              <w:left w:val="nil"/>
              <w:bottom w:val="nil"/>
              <w:right w:val="nil"/>
            </w:tcBorders>
            <w:shd w:val="clear" w:color="auto" w:fill="auto"/>
            <w:vAlign w:val="center"/>
            <w:hideMark/>
          </w:tcPr>
          <w:p w14:paraId="192D065C" w14:textId="77777777" w:rsidR="00B41534" w:rsidRPr="00A40E69" w:rsidRDefault="00B41534" w:rsidP="007160D4">
            <w:pPr>
              <w:pStyle w:val="NoSpacing"/>
              <w:spacing w:line="480" w:lineRule="auto"/>
              <w:jc w:val="center"/>
              <w:rPr>
                <w:rFonts w:ascii="Times New Roman" w:hAnsi="Times New Roman" w:cs="Times New Roman"/>
                <w:b/>
                <w:bCs/>
                <w:sz w:val="16"/>
                <w:szCs w:val="16"/>
                <w:lang w:val="en-US"/>
              </w:rPr>
            </w:pPr>
            <w:r w:rsidRPr="00A40E69">
              <w:rPr>
                <w:rFonts w:ascii="Times New Roman" w:hAnsi="Times New Roman" w:cs="Times New Roman"/>
                <w:b/>
                <w:bCs/>
                <w:sz w:val="16"/>
                <w:szCs w:val="16"/>
                <w:lang w:val="en-US"/>
              </w:rPr>
              <w:t>Absolute</w:t>
            </w:r>
          </w:p>
        </w:tc>
        <w:tc>
          <w:tcPr>
            <w:tcW w:w="283" w:type="dxa"/>
            <w:tcBorders>
              <w:top w:val="single" w:sz="8" w:space="0" w:color="auto"/>
              <w:left w:val="nil"/>
              <w:bottom w:val="nil"/>
              <w:right w:val="nil"/>
            </w:tcBorders>
            <w:shd w:val="clear" w:color="auto" w:fill="auto"/>
            <w:vAlign w:val="center"/>
            <w:hideMark/>
          </w:tcPr>
          <w:p w14:paraId="6F59C7BE" w14:textId="77777777" w:rsidR="00B41534" w:rsidRPr="00A40E69" w:rsidRDefault="00B41534" w:rsidP="007160D4">
            <w:pPr>
              <w:pStyle w:val="NoSpacing"/>
              <w:spacing w:line="480" w:lineRule="auto"/>
              <w:jc w:val="center"/>
              <w:rPr>
                <w:rFonts w:ascii="Times New Roman" w:hAnsi="Times New Roman" w:cs="Times New Roman"/>
                <w:b/>
                <w:bCs/>
                <w:sz w:val="16"/>
                <w:szCs w:val="16"/>
                <w:lang w:val="en-US"/>
              </w:rPr>
            </w:pPr>
          </w:p>
        </w:tc>
        <w:tc>
          <w:tcPr>
            <w:tcW w:w="1560" w:type="dxa"/>
            <w:gridSpan w:val="2"/>
            <w:tcBorders>
              <w:top w:val="single" w:sz="8" w:space="0" w:color="auto"/>
              <w:left w:val="nil"/>
              <w:bottom w:val="nil"/>
              <w:right w:val="nil"/>
            </w:tcBorders>
            <w:shd w:val="clear" w:color="auto" w:fill="auto"/>
            <w:vAlign w:val="center"/>
            <w:hideMark/>
          </w:tcPr>
          <w:p w14:paraId="6250B96F" w14:textId="77777777" w:rsidR="00B41534" w:rsidRPr="00A40E69" w:rsidRDefault="00B41534" w:rsidP="007160D4">
            <w:pPr>
              <w:pStyle w:val="NoSpacing"/>
              <w:spacing w:line="480" w:lineRule="auto"/>
              <w:jc w:val="center"/>
              <w:rPr>
                <w:rFonts w:ascii="Times New Roman" w:hAnsi="Times New Roman" w:cs="Times New Roman"/>
                <w:b/>
                <w:bCs/>
                <w:sz w:val="16"/>
                <w:szCs w:val="16"/>
                <w:lang w:val="en-US"/>
              </w:rPr>
            </w:pPr>
            <w:r w:rsidRPr="00A40E69">
              <w:rPr>
                <w:rFonts w:ascii="Times New Roman" w:hAnsi="Times New Roman" w:cs="Times New Roman"/>
                <w:b/>
                <w:bCs/>
                <w:sz w:val="16"/>
                <w:szCs w:val="16"/>
                <w:lang w:val="en-US"/>
              </w:rPr>
              <w:t>Relative share</w:t>
            </w:r>
          </w:p>
        </w:tc>
        <w:tc>
          <w:tcPr>
            <w:tcW w:w="283" w:type="dxa"/>
            <w:tcBorders>
              <w:top w:val="single" w:sz="8" w:space="0" w:color="auto"/>
              <w:left w:val="nil"/>
              <w:bottom w:val="nil"/>
              <w:right w:val="nil"/>
            </w:tcBorders>
            <w:shd w:val="clear" w:color="auto" w:fill="auto"/>
            <w:vAlign w:val="center"/>
            <w:hideMark/>
          </w:tcPr>
          <w:p w14:paraId="4DE6C971" w14:textId="77777777" w:rsidR="00B41534" w:rsidRPr="00A40E69" w:rsidRDefault="00B41534" w:rsidP="007160D4">
            <w:pPr>
              <w:pStyle w:val="NoSpacing"/>
              <w:spacing w:line="480" w:lineRule="auto"/>
              <w:jc w:val="center"/>
              <w:rPr>
                <w:rFonts w:ascii="Times New Roman" w:hAnsi="Times New Roman" w:cs="Times New Roman"/>
                <w:b/>
                <w:bCs/>
                <w:sz w:val="16"/>
                <w:szCs w:val="16"/>
                <w:lang w:val="en-US"/>
              </w:rPr>
            </w:pPr>
          </w:p>
        </w:tc>
        <w:tc>
          <w:tcPr>
            <w:tcW w:w="1562" w:type="dxa"/>
            <w:gridSpan w:val="2"/>
            <w:tcBorders>
              <w:top w:val="single" w:sz="8" w:space="0" w:color="auto"/>
              <w:left w:val="nil"/>
              <w:bottom w:val="nil"/>
              <w:right w:val="nil"/>
            </w:tcBorders>
            <w:shd w:val="clear" w:color="auto" w:fill="auto"/>
            <w:vAlign w:val="center"/>
            <w:hideMark/>
          </w:tcPr>
          <w:p w14:paraId="29CAC008" w14:textId="77777777" w:rsidR="00B41534" w:rsidRPr="00A40E69" w:rsidRDefault="00B41534" w:rsidP="007160D4">
            <w:pPr>
              <w:pStyle w:val="NoSpacing"/>
              <w:spacing w:line="480" w:lineRule="auto"/>
              <w:jc w:val="center"/>
              <w:rPr>
                <w:rFonts w:ascii="Times New Roman" w:hAnsi="Times New Roman" w:cs="Times New Roman"/>
                <w:b/>
                <w:bCs/>
                <w:sz w:val="16"/>
                <w:szCs w:val="16"/>
                <w:lang w:val="en-US"/>
              </w:rPr>
            </w:pPr>
            <w:r w:rsidRPr="00A40E69">
              <w:rPr>
                <w:rFonts w:ascii="Times New Roman" w:hAnsi="Times New Roman" w:cs="Times New Roman"/>
                <w:b/>
                <w:bCs/>
                <w:sz w:val="16"/>
                <w:szCs w:val="16"/>
                <w:lang w:val="en-US"/>
              </w:rPr>
              <w:t>Logarithm</w:t>
            </w:r>
          </w:p>
        </w:tc>
        <w:tc>
          <w:tcPr>
            <w:tcW w:w="848" w:type="dxa"/>
            <w:tcBorders>
              <w:top w:val="single" w:sz="8" w:space="0" w:color="auto"/>
              <w:left w:val="nil"/>
              <w:bottom w:val="nil"/>
              <w:right w:val="nil"/>
            </w:tcBorders>
            <w:shd w:val="clear" w:color="auto" w:fill="auto"/>
            <w:vAlign w:val="center"/>
            <w:hideMark/>
          </w:tcPr>
          <w:p w14:paraId="6235AD6C"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p>
        </w:tc>
      </w:tr>
      <w:tr w:rsidR="00B41534" w:rsidRPr="002B0D86" w14:paraId="348B3C0D" w14:textId="77777777" w:rsidTr="007160D4">
        <w:trPr>
          <w:trHeight w:val="340"/>
          <w:jc w:val="center"/>
        </w:trPr>
        <w:tc>
          <w:tcPr>
            <w:tcW w:w="2127" w:type="dxa"/>
            <w:tcBorders>
              <w:top w:val="nil"/>
              <w:left w:val="nil"/>
              <w:bottom w:val="single" w:sz="8" w:space="0" w:color="auto"/>
              <w:right w:val="nil"/>
            </w:tcBorders>
            <w:shd w:val="clear" w:color="auto" w:fill="auto"/>
            <w:vAlign w:val="center"/>
            <w:hideMark/>
          </w:tcPr>
          <w:p w14:paraId="18C36B8B" w14:textId="77777777" w:rsidR="00B41534" w:rsidRPr="00A40E69" w:rsidRDefault="00B41534" w:rsidP="007160D4">
            <w:pPr>
              <w:pStyle w:val="NoSpacing"/>
              <w:spacing w:line="480" w:lineRule="auto"/>
              <w:rPr>
                <w:rFonts w:ascii="Times New Roman" w:hAnsi="Times New Roman" w:cs="Times New Roman"/>
                <w:b/>
                <w:bCs/>
                <w:sz w:val="16"/>
                <w:szCs w:val="16"/>
                <w:lang w:val="en-US"/>
              </w:rPr>
            </w:pPr>
            <w:r w:rsidRPr="00A40E69">
              <w:rPr>
                <w:rFonts w:ascii="Times New Roman" w:hAnsi="Times New Roman" w:cs="Times New Roman"/>
                <w:b/>
                <w:bCs/>
                <w:sz w:val="16"/>
                <w:szCs w:val="16"/>
                <w:lang w:val="en-US"/>
              </w:rPr>
              <w:t>Variables</w:t>
            </w:r>
          </w:p>
        </w:tc>
        <w:tc>
          <w:tcPr>
            <w:tcW w:w="1275" w:type="dxa"/>
            <w:tcBorders>
              <w:top w:val="nil"/>
              <w:left w:val="nil"/>
              <w:bottom w:val="single" w:sz="8" w:space="0" w:color="auto"/>
              <w:right w:val="nil"/>
            </w:tcBorders>
            <w:shd w:val="clear" w:color="auto" w:fill="auto"/>
            <w:vAlign w:val="center"/>
            <w:hideMark/>
          </w:tcPr>
          <w:p w14:paraId="1C017E94" w14:textId="77777777" w:rsidR="00B41534" w:rsidRPr="00A40E69" w:rsidRDefault="00B41534" w:rsidP="007160D4">
            <w:pPr>
              <w:pStyle w:val="NoSpacing"/>
              <w:spacing w:line="480" w:lineRule="auto"/>
              <w:jc w:val="center"/>
              <w:rPr>
                <w:rFonts w:ascii="Times New Roman" w:hAnsi="Times New Roman" w:cs="Times New Roman"/>
                <w:b/>
                <w:bCs/>
                <w:sz w:val="16"/>
                <w:szCs w:val="16"/>
                <w:lang w:val="en-US"/>
              </w:rPr>
            </w:pPr>
            <w:r w:rsidRPr="00A40E69">
              <w:rPr>
                <w:rFonts w:ascii="Times New Roman" w:hAnsi="Times New Roman" w:cs="Times New Roman"/>
                <w:b/>
                <w:bCs/>
                <w:sz w:val="16"/>
                <w:szCs w:val="16"/>
                <w:lang w:val="en-US"/>
              </w:rPr>
              <w:t>Mean (Yuan)</w:t>
            </w:r>
          </w:p>
        </w:tc>
        <w:tc>
          <w:tcPr>
            <w:tcW w:w="851" w:type="dxa"/>
            <w:tcBorders>
              <w:top w:val="nil"/>
              <w:left w:val="nil"/>
              <w:bottom w:val="single" w:sz="8" w:space="0" w:color="auto"/>
              <w:right w:val="nil"/>
            </w:tcBorders>
            <w:shd w:val="clear" w:color="auto" w:fill="auto"/>
            <w:vAlign w:val="center"/>
            <w:hideMark/>
          </w:tcPr>
          <w:p w14:paraId="0061A765" w14:textId="77777777" w:rsidR="00B41534" w:rsidRPr="00A40E69" w:rsidRDefault="00B41534" w:rsidP="007160D4">
            <w:pPr>
              <w:pStyle w:val="NoSpacing"/>
              <w:spacing w:line="480" w:lineRule="auto"/>
              <w:jc w:val="center"/>
              <w:rPr>
                <w:rFonts w:ascii="Times New Roman" w:hAnsi="Times New Roman" w:cs="Times New Roman"/>
                <w:b/>
                <w:bCs/>
                <w:sz w:val="16"/>
                <w:szCs w:val="16"/>
                <w:lang w:val="en-US"/>
              </w:rPr>
            </w:pPr>
            <w:r w:rsidRPr="00A40E69">
              <w:rPr>
                <w:rFonts w:ascii="Times New Roman" w:hAnsi="Times New Roman" w:cs="Times New Roman"/>
                <w:b/>
                <w:bCs/>
                <w:sz w:val="16"/>
                <w:szCs w:val="16"/>
                <w:lang w:val="en-US"/>
              </w:rPr>
              <w:t>S.D.</w:t>
            </w:r>
          </w:p>
        </w:tc>
        <w:tc>
          <w:tcPr>
            <w:tcW w:w="283" w:type="dxa"/>
            <w:tcBorders>
              <w:top w:val="nil"/>
              <w:left w:val="nil"/>
              <w:bottom w:val="single" w:sz="8" w:space="0" w:color="auto"/>
              <w:right w:val="nil"/>
            </w:tcBorders>
            <w:shd w:val="clear" w:color="auto" w:fill="auto"/>
            <w:vAlign w:val="center"/>
            <w:hideMark/>
          </w:tcPr>
          <w:p w14:paraId="3D5F86F0" w14:textId="77777777" w:rsidR="00B41534" w:rsidRPr="00A40E69" w:rsidRDefault="00B41534" w:rsidP="007160D4">
            <w:pPr>
              <w:pStyle w:val="NoSpacing"/>
              <w:spacing w:line="480" w:lineRule="auto"/>
              <w:jc w:val="center"/>
              <w:rPr>
                <w:rFonts w:ascii="Times New Roman" w:hAnsi="Times New Roman" w:cs="Times New Roman"/>
                <w:b/>
                <w:bCs/>
                <w:sz w:val="16"/>
                <w:szCs w:val="16"/>
                <w:lang w:val="en-US"/>
              </w:rPr>
            </w:pPr>
          </w:p>
        </w:tc>
        <w:tc>
          <w:tcPr>
            <w:tcW w:w="851" w:type="dxa"/>
            <w:tcBorders>
              <w:top w:val="nil"/>
              <w:left w:val="nil"/>
              <w:bottom w:val="single" w:sz="8" w:space="0" w:color="auto"/>
              <w:right w:val="nil"/>
            </w:tcBorders>
            <w:shd w:val="clear" w:color="auto" w:fill="auto"/>
            <w:vAlign w:val="center"/>
            <w:hideMark/>
          </w:tcPr>
          <w:p w14:paraId="14C87657" w14:textId="77777777" w:rsidR="00B41534" w:rsidRPr="00A40E69" w:rsidRDefault="00B41534" w:rsidP="007160D4">
            <w:pPr>
              <w:pStyle w:val="NoSpacing"/>
              <w:spacing w:line="480" w:lineRule="auto"/>
              <w:jc w:val="center"/>
              <w:rPr>
                <w:rFonts w:ascii="Times New Roman" w:hAnsi="Times New Roman" w:cs="Times New Roman"/>
                <w:b/>
                <w:bCs/>
                <w:sz w:val="16"/>
                <w:szCs w:val="16"/>
                <w:lang w:val="en-US"/>
              </w:rPr>
            </w:pPr>
            <w:r w:rsidRPr="00A40E69">
              <w:rPr>
                <w:rFonts w:ascii="Times New Roman" w:hAnsi="Times New Roman" w:cs="Times New Roman"/>
                <w:b/>
                <w:bCs/>
                <w:sz w:val="16"/>
                <w:szCs w:val="16"/>
                <w:lang w:val="en-US"/>
              </w:rPr>
              <w:t>Mean.</w:t>
            </w:r>
          </w:p>
        </w:tc>
        <w:tc>
          <w:tcPr>
            <w:tcW w:w="709" w:type="dxa"/>
            <w:tcBorders>
              <w:top w:val="nil"/>
              <w:left w:val="nil"/>
              <w:bottom w:val="single" w:sz="8" w:space="0" w:color="auto"/>
              <w:right w:val="nil"/>
            </w:tcBorders>
            <w:shd w:val="clear" w:color="auto" w:fill="auto"/>
            <w:vAlign w:val="center"/>
            <w:hideMark/>
          </w:tcPr>
          <w:p w14:paraId="69709E9A" w14:textId="77777777" w:rsidR="00B41534" w:rsidRPr="00A40E69" w:rsidRDefault="00B41534" w:rsidP="007160D4">
            <w:pPr>
              <w:pStyle w:val="NoSpacing"/>
              <w:spacing w:line="480" w:lineRule="auto"/>
              <w:jc w:val="center"/>
              <w:rPr>
                <w:rFonts w:ascii="Times New Roman" w:hAnsi="Times New Roman" w:cs="Times New Roman"/>
                <w:b/>
                <w:bCs/>
                <w:sz w:val="16"/>
                <w:szCs w:val="16"/>
                <w:lang w:val="en-US"/>
              </w:rPr>
            </w:pPr>
            <w:r w:rsidRPr="00A40E69">
              <w:rPr>
                <w:rFonts w:ascii="Times New Roman" w:hAnsi="Times New Roman" w:cs="Times New Roman"/>
                <w:b/>
                <w:bCs/>
                <w:sz w:val="16"/>
                <w:szCs w:val="16"/>
                <w:lang w:val="en-US"/>
              </w:rPr>
              <w:t>S.D.</w:t>
            </w:r>
          </w:p>
        </w:tc>
        <w:tc>
          <w:tcPr>
            <w:tcW w:w="283" w:type="dxa"/>
            <w:tcBorders>
              <w:top w:val="nil"/>
              <w:left w:val="nil"/>
              <w:bottom w:val="single" w:sz="8" w:space="0" w:color="auto"/>
              <w:right w:val="nil"/>
            </w:tcBorders>
            <w:shd w:val="clear" w:color="auto" w:fill="auto"/>
            <w:vAlign w:val="center"/>
            <w:hideMark/>
          </w:tcPr>
          <w:p w14:paraId="2081603A" w14:textId="77777777" w:rsidR="00B41534" w:rsidRPr="00A40E69" w:rsidRDefault="00B41534" w:rsidP="007160D4">
            <w:pPr>
              <w:pStyle w:val="NoSpacing"/>
              <w:spacing w:line="480" w:lineRule="auto"/>
              <w:jc w:val="center"/>
              <w:rPr>
                <w:rFonts w:ascii="Times New Roman" w:hAnsi="Times New Roman" w:cs="Times New Roman"/>
                <w:b/>
                <w:bCs/>
                <w:sz w:val="16"/>
                <w:szCs w:val="16"/>
                <w:lang w:val="en-US"/>
              </w:rPr>
            </w:pPr>
          </w:p>
        </w:tc>
        <w:tc>
          <w:tcPr>
            <w:tcW w:w="851" w:type="dxa"/>
            <w:tcBorders>
              <w:top w:val="nil"/>
              <w:left w:val="nil"/>
              <w:bottom w:val="single" w:sz="8" w:space="0" w:color="auto"/>
              <w:right w:val="nil"/>
            </w:tcBorders>
            <w:shd w:val="clear" w:color="auto" w:fill="auto"/>
            <w:vAlign w:val="center"/>
            <w:hideMark/>
          </w:tcPr>
          <w:p w14:paraId="1E55423A" w14:textId="77777777" w:rsidR="00B41534" w:rsidRPr="00A40E69" w:rsidRDefault="00B41534" w:rsidP="007160D4">
            <w:pPr>
              <w:pStyle w:val="NoSpacing"/>
              <w:spacing w:line="480" w:lineRule="auto"/>
              <w:jc w:val="center"/>
              <w:rPr>
                <w:rFonts w:ascii="Times New Roman" w:hAnsi="Times New Roman" w:cs="Times New Roman"/>
                <w:b/>
                <w:bCs/>
                <w:sz w:val="16"/>
                <w:szCs w:val="16"/>
                <w:lang w:val="en-US"/>
              </w:rPr>
            </w:pPr>
            <w:r w:rsidRPr="00A40E69">
              <w:rPr>
                <w:rFonts w:ascii="Times New Roman" w:hAnsi="Times New Roman" w:cs="Times New Roman"/>
                <w:b/>
                <w:bCs/>
                <w:sz w:val="16"/>
                <w:szCs w:val="16"/>
                <w:lang w:val="en-US"/>
              </w:rPr>
              <w:t>Mean.</w:t>
            </w:r>
          </w:p>
        </w:tc>
        <w:tc>
          <w:tcPr>
            <w:tcW w:w="711" w:type="dxa"/>
            <w:tcBorders>
              <w:top w:val="nil"/>
              <w:left w:val="nil"/>
              <w:bottom w:val="single" w:sz="8" w:space="0" w:color="auto"/>
              <w:right w:val="nil"/>
            </w:tcBorders>
            <w:shd w:val="clear" w:color="auto" w:fill="auto"/>
            <w:vAlign w:val="center"/>
            <w:hideMark/>
          </w:tcPr>
          <w:p w14:paraId="47DA648A" w14:textId="77777777" w:rsidR="00B41534" w:rsidRPr="00A40E69" w:rsidRDefault="00B41534" w:rsidP="007160D4">
            <w:pPr>
              <w:pStyle w:val="NoSpacing"/>
              <w:spacing w:line="480" w:lineRule="auto"/>
              <w:jc w:val="center"/>
              <w:rPr>
                <w:rFonts w:ascii="Times New Roman" w:hAnsi="Times New Roman" w:cs="Times New Roman"/>
                <w:b/>
                <w:bCs/>
                <w:sz w:val="16"/>
                <w:szCs w:val="16"/>
                <w:lang w:val="en-US"/>
              </w:rPr>
            </w:pPr>
            <w:r w:rsidRPr="00A40E69">
              <w:rPr>
                <w:rFonts w:ascii="Times New Roman" w:hAnsi="Times New Roman" w:cs="Times New Roman"/>
                <w:b/>
                <w:bCs/>
                <w:sz w:val="16"/>
                <w:szCs w:val="16"/>
                <w:lang w:val="en-US"/>
              </w:rPr>
              <w:t>S.D.</w:t>
            </w:r>
          </w:p>
        </w:tc>
        <w:tc>
          <w:tcPr>
            <w:tcW w:w="848" w:type="dxa"/>
            <w:tcBorders>
              <w:top w:val="nil"/>
              <w:left w:val="nil"/>
              <w:bottom w:val="single" w:sz="8" w:space="0" w:color="auto"/>
              <w:right w:val="nil"/>
            </w:tcBorders>
            <w:shd w:val="clear" w:color="auto" w:fill="auto"/>
            <w:vAlign w:val="center"/>
            <w:hideMark/>
          </w:tcPr>
          <w:p w14:paraId="204FE830" w14:textId="77777777" w:rsidR="00B41534" w:rsidRPr="00A40E69" w:rsidRDefault="00B41534" w:rsidP="007160D4">
            <w:pPr>
              <w:pStyle w:val="NoSpacing"/>
              <w:spacing w:line="480" w:lineRule="auto"/>
              <w:jc w:val="center"/>
              <w:rPr>
                <w:rFonts w:ascii="Times New Roman" w:hAnsi="Times New Roman" w:cs="Times New Roman"/>
                <w:b/>
                <w:bCs/>
                <w:sz w:val="16"/>
                <w:szCs w:val="16"/>
                <w:lang w:val="en-US"/>
              </w:rPr>
            </w:pPr>
            <w:r w:rsidRPr="00A40E69">
              <w:rPr>
                <w:rFonts w:ascii="Times New Roman" w:hAnsi="Times New Roman" w:cs="Times New Roman"/>
                <w:b/>
                <w:bCs/>
                <w:sz w:val="16"/>
                <w:szCs w:val="16"/>
                <w:lang w:val="en-US"/>
              </w:rPr>
              <w:t>Obs.</w:t>
            </w:r>
          </w:p>
        </w:tc>
      </w:tr>
      <w:tr w:rsidR="00B41534" w:rsidRPr="002B0D86" w14:paraId="0CC7131C" w14:textId="77777777" w:rsidTr="007160D4">
        <w:trPr>
          <w:trHeight w:val="110"/>
          <w:jc w:val="center"/>
        </w:trPr>
        <w:tc>
          <w:tcPr>
            <w:tcW w:w="2127" w:type="dxa"/>
            <w:tcBorders>
              <w:top w:val="nil"/>
              <w:left w:val="nil"/>
              <w:bottom w:val="nil"/>
              <w:right w:val="nil"/>
            </w:tcBorders>
            <w:shd w:val="clear" w:color="auto" w:fill="auto"/>
            <w:vAlign w:val="center"/>
            <w:hideMark/>
          </w:tcPr>
          <w:p w14:paraId="5C8B848E" w14:textId="77777777" w:rsidR="00B41534" w:rsidRPr="00A40E69" w:rsidRDefault="00B41534" w:rsidP="007160D4">
            <w:pPr>
              <w:pStyle w:val="NoSpacing"/>
              <w:spacing w:line="480" w:lineRule="auto"/>
              <w:rPr>
                <w:rFonts w:ascii="Times New Roman" w:hAnsi="Times New Roman" w:cs="Times New Roman"/>
                <w:sz w:val="16"/>
                <w:szCs w:val="16"/>
                <w:lang w:val="en-US"/>
              </w:rPr>
            </w:pPr>
          </w:p>
        </w:tc>
        <w:tc>
          <w:tcPr>
            <w:tcW w:w="1275" w:type="dxa"/>
            <w:tcBorders>
              <w:top w:val="nil"/>
              <w:left w:val="nil"/>
              <w:bottom w:val="nil"/>
              <w:right w:val="nil"/>
            </w:tcBorders>
            <w:shd w:val="clear" w:color="auto" w:fill="auto"/>
            <w:vAlign w:val="center"/>
            <w:hideMark/>
          </w:tcPr>
          <w:p w14:paraId="6F692083"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p>
        </w:tc>
        <w:tc>
          <w:tcPr>
            <w:tcW w:w="851" w:type="dxa"/>
            <w:tcBorders>
              <w:top w:val="nil"/>
              <w:left w:val="nil"/>
              <w:bottom w:val="nil"/>
              <w:right w:val="nil"/>
            </w:tcBorders>
            <w:shd w:val="clear" w:color="auto" w:fill="auto"/>
            <w:vAlign w:val="center"/>
            <w:hideMark/>
          </w:tcPr>
          <w:p w14:paraId="2F113521"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p>
        </w:tc>
        <w:tc>
          <w:tcPr>
            <w:tcW w:w="283" w:type="dxa"/>
            <w:vMerge w:val="restart"/>
            <w:tcBorders>
              <w:top w:val="nil"/>
              <w:left w:val="nil"/>
              <w:bottom w:val="nil"/>
              <w:right w:val="nil"/>
            </w:tcBorders>
            <w:shd w:val="clear" w:color="auto" w:fill="auto"/>
            <w:vAlign w:val="center"/>
            <w:hideMark/>
          </w:tcPr>
          <w:p w14:paraId="4230106D"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p>
        </w:tc>
        <w:tc>
          <w:tcPr>
            <w:tcW w:w="851" w:type="dxa"/>
            <w:tcBorders>
              <w:top w:val="nil"/>
              <w:left w:val="nil"/>
              <w:bottom w:val="nil"/>
              <w:right w:val="nil"/>
            </w:tcBorders>
            <w:shd w:val="clear" w:color="auto" w:fill="auto"/>
            <w:vAlign w:val="center"/>
            <w:hideMark/>
          </w:tcPr>
          <w:p w14:paraId="48F2EC7B"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p>
        </w:tc>
        <w:tc>
          <w:tcPr>
            <w:tcW w:w="709" w:type="dxa"/>
            <w:tcBorders>
              <w:top w:val="nil"/>
              <w:left w:val="nil"/>
              <w:bottom w:val="nil"/>
              <w:right w:val="nil"/>
            </w:tcBorders>
            <w:shd w:val="clear" w:color="auto" w:fill="auto"/>
            <w:vAlign w:val="center"/>
            <w:hideMark/>
          </w:tcPr>
          <w:p w14:paraId="2A66FE15"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p>
        </w:tc>
        <w:tc>
          <w:tcPr>
            <w:tcW w:w="283" w:type="dxa"/>
            <w:vMerge w:val="restart"/>
            <w:tcBorders>
              <w:top w:val="nil"/>
              <w:left w:val="nil"/>
              <w:bottom w:val="nil"/>
              <w:right w:val="nil"/>
            </w:tcBorders>
            <w:shd w:val="clear" w:color="auto" w:fill="auto"/>
            <w:vAlign w:val="center"/>
            <w:hideMark/>
          </w:tcPr>
          <w:p w14:paraId="4C2E2579"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p>
        </w:tc>
        <w:tc>
          <w:tcPr>
            <w:tcW w:w="851" w:type="dxa"/>
            <w:tcBorders>
              <w:top w:val="nil"/>
              <w:left w:val="nil"/>
              <w:bottom w:val="nil"/>
              <w:right w:val="nil"/>
            </w:tcBorders>
            <w:shd w:val="clear" w:color="auto" w:fill="auto"/>
            <w:vAlign w:val="center"/>
            <w:hideMark/>
          </w:tcPr>
          <w:p w14:paraId="2160757D"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p>
        </w:tc>
        <w:tc>
          <w:tcPr>
            <w:tcW w:w="711" w:type="dxa"/>
            <w:tcBorders>
              <w:top w:val="nil"/>
              <w:left w:val="nil"/>
              <w:bottom w:val="nil"/>
              <w:right w:val="nil"/>
            </w:tcBorders>
            <w:shd w:val="clear" w:color="auto" w:fill="auto"/>
            <w:vAlign w:val="center"/>
            <w:hideMark/>
          </w:tcPr>
          <w:p w14:paraId="0C8810C8"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p>
        </w:tc>
        <w:tc>
          <w:tcPr>
            <w:tcW w:w="848" w:type="dxa"/>
            <w:tcBorders>
              <w:top w:val="nil"/>
              <w:left w:val="nil"/>
              <w:bottom w:val="nil"/>
              <w:right w:val="nil"/>
            </w:tcBorders>
            <w:shd w:val="clear" w:color="auto" w:fill="auto"/>
            <w:vAlign w:val="center"/>
            <w:hideMark/>
          </w:tcPr>
          <w:p w14:paraId="5AF8905C"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p>
        </w:tc>
      </w:tr>
      <w:tr w:rsidR="00B41534" w:rsidRPr="002B0D86" w14:paraId="77E847C7" w14:textId="77777777" w:rsidTr="007160D4">
        <w:trPr>
          <w:trHeight w:val="274"/>
          <w:jc w:val="center"/>
        </w:trPr>
        <w:tc>
          <w:tcPr>
            <w:tcW w:w="2127" w:type="dxa"/>
            <w:tcBorders>
              <w:top w:val="nil"/>
              <w:left w:val="nil"/>
              <w:bottom w:val="nil"/>
              <w:right w:val="nil"/>
            </w:tcBorders>
            <w:shd w:val="clear" w:color="auto" w:fill="auto"/>
            <w:vAlign w:val="center"/>
            <w:hideMark/>
          </w:tcPr>
          <w:p w14:paraId="4C34CC0C" w14:textId="77777777" w:rsidR="00B41534" w:rsidRPr="00A40E69" w:rsidRDefault="00B41534" w:rsidP="007160D4">
            <w:pPr>
              <w:pStyle w:val="NoSpacing"/>
              <w:spacing w:line="480" w:lineRule="auto"/>
              <w:rPr>
                <w:rFonts w:ascii="Times New Roman" w:hAnsi="Times New Roman" w:cs="Times New Roman"/>
                <w:b/>
                <w:bCs/>
                <w:sz w:val="16"/>
                <w:szCs w:val="16"/>
                <w:lang w:val="en-US"/>
              </w:rPr>
            </w:pPr>
            <w:r w:rsidRPr="00A40E69">
              <w:rPr>
                <w:rFonts w:ascii="Times New Roman" w:hAnsi="Times New Roman" w:cs="Times New Roman"/>
                <w:b/>
                <w:bCs/>
                <w:sz w:val="16"/>
                <w:szCs w:val="16"/>
                <w:lang w:val="en-US"/>
              </w:rPr>
              <w:t>Home expenditure</w:t>
            </w:r>
          </w:p>
        </w:tc>
        <w:tc>
          <w:tcPr>
            <w:tcW w:w="1275" w:type="dxa"/>
            <w:tcBorders>
              <w:top w:val="nil"/>
              <w:left w:val="nil"/>
              <w:bottom w:val="nil"/>
              <w:right w:val="nil"/>
            </w:tcBorders>
            <w:shd w:val="clear" w:color="auto" w:fill="auto"/>
            <w:noWrap/>
            <w:vAlign w:val="center"/>
            <w:hideMark/>
          </w:tcPr>
          <w:p w14:paraId="2084CF03"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2481.60</w:t>
            </w:r>
          </w:p>
        </w:tc>
        <w:tc>
          <w:tcPr>
            <w:tcW w:w="851" w:type="dxa"/>
            <w:tcBorders>
              <w:top w:val="nil"/>
              <w:left w:val="nil"/>
              <w:bottom w:val="nil"/>
              <w:right w:val="nil"/>
            </w:tcBorders>
            <w:shd w:val="clear" w:color="auto" w:fill="auto"/>
            <w:noWrap/>
            <w:vAlign w:val="center"/>
            <w:hideMark/>
          </w:tcPr>
          <w:p w14:paraId="22067A16"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2266.65</w:t>
            </w:r>
          </w:p>
        </w:tc>
        <w:tc>
          <w:tcPr>
            <w:tcW w:w="283" w:type="dxa"/>
            <w:vMerge/>
            <w:tcBorders>
              <w:top w:val="nil"/>
              <w:left w:val="nil"/>
              <w:bottom w:val="nil"/>
              <w:right w:val="nil"/>
            </w:tcBorders>
            <w:vAlign w:val="center"/>
            <w:hideMark/>
          </w:tcPr>
          <w:p w14:paraId="6D866938"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p>
        </w:tc>
        <w:tc>
          <w:tcPr>
            <w:tcW w:w="851" w:type="dxa"/>
            <w:tcBorders>
              <w:top w:val="nil"/>
              <w:left w:val="nil"/>
              <w:bottom w:val="nil"/>
              <w:right w:val="nil"/>
            </w:tcBorders>
            <w:shd w:val="clear" w:color="auto" w:fill="auto"/>
            <w:noWrap/>
            <w:vAlign w:val="center"/>
            <w:hideMark/>
          </w:tcPr>
          <w:p w14:paraId="587F7145"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0.1186</w:t>
            </w:r>
          </w:p>
        </w:tc>
        <w:tc>
          <w:tcPr>
            <w:tcW w:w="709" w:type="dxa"/>
            <w:tcBorders>
              <w:top w:val="nil"/>
              <w:left w:val="nil"/>
              <w:bottom w:val="nil"/>
              <w:right w:val="nil"/>
            </w:tcBorders>
            <w:shd w:val="clear" w:color="auto" w:fill="auto"/>
            <w:noWrap/>
            <w:vAlign w:val="center"/>
            <w:hideMark/>
          </w:tcPr>
          <w:p w14:paraId="2C293B82"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0.0010</w:t>
            </w:r>
          </w:p>
        </w:tc>
        <w:tc>
          <w:tcPr>
            <w:tcW w:w="283" w:type="dxa"/>
            <w:vMerge/>
            <w:tcBorders>
              <w:top w:val="nil"/>
              <w:left w:val="nil"/>
              <w:bottom w:val="nil"/>
              <w:right w:val="nil"/>
            </w:tcBorders>
            <w:vAlign w:val="center"/>
            <w:hideMark/>
          </w:tcPr>
          <w:p w14:paraId="44DCC317"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p>
        </w:tc>
        <w:tc>
          <w:tcPr>
            <w:tcW w:w="851" w:type="dxa"/>
            <w:tcBorders>
              <w:top w:val="nil"/>
              <w:left w:val="nil"/>
              <w:bottom w:val="nil"/>
              <w:right w:val="nil"/>
            </w:tcBorders>
            <w:shd w:val="clear" w:color="auto" w:fill="auto"/>
            <w:noWrap/>
            <w:vAlign w:val="center"/>
            <w:hideMark/>
          </w:tcPr>
          <w:p w14:paraId="64353387"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7.38</w:t>
            </w:r>
          </w:p>
        </w:tc>
        <w:tc>
          <w:tcPr>
            <w:tcW w:w="711" w:type="dxa"/>
            <w:tcBorders>
              <w:top w:val="nil"/>
              <w:left w:val="nil"/>
              <w:bottom w:val="nil"/>
              <w:right w:val="nil"/>
            </w:tcBorders>
            <w:shd w:val="clear" w:color="auto" w:fill="auto"/>
            <w:noWrap/>
            <w:vAlign w:val="center"/>
            <w:hideMark/>
          </w:tcPr>
          <w:p w14:paraId="6806AAA4"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1.03</w:t>
            </w:r>
          </w:p>
        </w:tc>
        <w:tc>
          <w:tcPr>
            <w:tcW w:w="848" w:type="dxa"/>
            <w:tcBorders>
              <w:top w:val="nil"/>
              <w:left w:val="nil"/>
              <w:bottom w:val="nil"/>
              <w:right w:val="nil"/>
            </w:tcBorders>
            <w:shd w:val="clear" w:color="auto" w:fill="auto"/>
            <w:noWrap/>
            <w:vAlign w:val="center"/>
            <w:hideMark/>
          </w:tcPr>
          <w:p w14:paraId="62CD454B"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11,245</w:t>
            </w:r>
          </w:p>
        </w:tc>
      </w:tr>
      <w:tr w:rsidR="00B41534" w:rsidRPr="002B0D86" w14:paraId="56905006" w14:textId="77777777" w:rsidTr="007160D4">
        <w:trPr>
          <w:trHeight w:val="320"/>
          <w:jc w:val="center"/>
        </w:trPr>
        <w:tc>
          <w:tcPr>
            <w:tcW w:w="2127" w:type="dxa"/>
            <w:tcBorders>
              <w:top w:val="nil"/>
              <w:left w:val="nil"/>
              <w:bottom w:val="nil"/>
              <w:right w:val="nil"/>
            </w:tcBorders>
            <w:shd w:val="clear" w:color="auto" w:fill="auto"/>
            <w:vAlign w:val="center"/>
            <w:hideMark/>
          </w:tcPr>
          <w:p w14:paraId="25168EF6" w14:textId="77777777" w:rsidR="00B41534" w:rsidRPr="00A40E69" w:rsidRDefault="00B41534" w:rsidP="007160D4">
            <w:pPr>
              <w:pStyle w:val="NoSpacing"/>
              <w:spacing w:line="480" w:lineRule="auto"/>
              <w:rPr>
                <w:rFonts w:ascii="Times New Roman" w:hAnsi="Times New Roman" w:cs="Times New Roman"/>
                <w:b/>
                <w:bCs/>
                <w:sz w:val="16"/>
                <w:szCs w:val="16"/>
                <w:lang w:val="en-US"/>
              </w:rPr>
            </w:pPr>
            <w:r w:rsidRPr="00A40E69">
              <w:rPr>
                <w:rFonts w:ascii="Times New Roman" w:hAnsi="Times New Roman" w:cs="Times New Roman"/>
                <w:b/>
                <w:bCs/>
                <w:sz w:val="16"/>
                <w:szCs w:val="16"/>
                <w:lang w:val="en-US"/>
              </w:rPr>
              <w:t>Food</w:t>
            </w:r>
          </w:p>
        </w:tc>
        <w:tc>
          <w:tcPr>
            <w:tcW w:w="1275" w:type="dxa"/>
            <w:tcBorders>
              <w:top w:val="nil"/>
              <w:left w:val="nil"/>
              <w:bottom w:val="nil"/>
              <w:right w:val="nil"/>
            </w:tcBorders>
            <w:shd w:val="clear" w:color="auto" w:fill="auto"/>
            <w:noWrap/>
            <w:vAlign w:val="center"/>
            <w:hideMark/>
          </w:tcPr>
          <w:p w14:paraId="6D773BF8"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11086.60</w:t>
            </w:r>
          </w:p>
        </w:tc>
        <w:tc>
          <w:tcPr>
            <w:tcW w:w="851" w:type="dxa"/>
            <w:tcBorders>
              <w:top w:val="nil"/>
              <w:left w:val="nil"/>
              <w:bottom w:val="nil"/>
              <w:right w:val="nil"/>
            </w:tcBorders>
            <w:shd w:val="clear" w:color="auto" w:fill="auto"/>
            <w:noWrap/>
            <w:vAlign w:val="center"/>
            <w:hideMark/>
          </w:tcPr>
          <w:p w14:paraId="124499AC"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10330.47</w:t>
            </w:r>
          </w:p>
        </w:tc>
        <w:tc>
          <w:tcPr>
            <w:tcW w:w="283" w:type="dxa"/>
            <w:tcBorders>
              <w:top w:val="nil"/>
              <w:left w:val="nil"/>
              <w:bottom w:val="nil"/>
              <w:right w:val="nil"/>
            </w:tcBorders>
            <w:shd w:val="clear" w:color="auto" w:fill="auto"/>
            <w:vAlign w:val="center"/>
            <w:hideMark/>
          </w:tcPr>
          <w:p w14:paraId="6CC829A2"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p>
        </w:tc>
        <w:tc>
          <w:tcPr>
            <w:tcW w:w="851" w:type="dxa"/>
            <w:tcBorders>
              <w:top w:val="nil"/>
              <w:left w:val="nil"/>
              <w:bottom w:val="nil"/>
              <w:right w:val="nil"/>
            </w:tcBorders>
            <w:shd w:val="clear" w:color="auto" w:fill="auto"/>
            <w:noWrap/>
            <w:vAlign w:val="center"/>
            <w:hideMark/>
          </w:tcPr>
          <w:p w14:paraId="55F216FF"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0.5376</w:t>
            </w:r>
          </w:p>
        </w:tc>
        <w:tc>
          <w:tcPr>
            <w:tcW w:w="709" w:type="dxa"/>
            <w:tcBorders>
              <w:top w:val="nil"/>
              <w:left w:val="nil"/>
              <w:bottom w:val="nil"/>
              <w:right w:val="nil"/>
            </w:tcBorders>
            <w:shd w:val="clear" w:color="auto" w:fill="auto"/>
            <w:noWrap/>
            <w:vAlign w:val="center"/>
            <w:hideMark/>
          </w:tcPr>
          <w:p w14:paraId="43692B40"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0.0029</w:t>
            </w:r>
          </w:p>
        </w:tc>
        <w:tc>
          <w:tcPr>
            <w:tcW w:w="283" w:type="dxa"/>
            <w:tcBorders>
              <w:top w:val="nil"/>
              <w:left w:val="nil"/>
              <w:bottom w:val="nil"/>
              <w:right w:val="nil"/>
            </w:tcBorders>
            <w:shd w:val="clear" w:color="auto" w:fill="auto"/>
            <w:vAlign w:val="center"/>
            <w:hideMark/>
          </w:tcPr>
          <w:p w14:paraId="34ACFE55"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p>
        </w:tc>
        <w:tc>
          <w:tcPr>
            <w:tcW w:w="851" w:type="dxa"/>
            <w:tcBorders>
              <w:top w:val="nil"/>
              <w:left w:val="nil"/>
              <w:bottom w:val="nil"/>
              <w:right w:val="nil"/>
            </w:tcBorders>
            <w:shd w:val="clear" w:color="auto" w:fill="auto"/>
            <w:noWrap/>
            <w:vAlign w:val="center"/>
            <w:hideMark/>
          </w:tcPr>
          <w:p w14:paraId="6BA5D2AD"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8.89</w:t>
            </w:r>
          </w:p>
        </w:tc>
        <w:tc>
          <w:tcPr>
            <w:tcW w:w="711" w:type="dxa"/>
            <w:tcBorders>
              <w:top w:val="nil"/>
              <w:left w:val="nil"/>
              <w:bottom w:val="nil"/>
              <w:right w:val="nil"/>
            </w:tcBorders>
            <w:shd w:val="clear" w:color="auto" w:fill="auto"/>
            <w:noWrap/>
            <w:vAlign w:val="center"/>
            <w:hideMark/>
          </w:tcPr>
          <w:p w14:paraId="539021D8"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1.01</w:t>
            </w:r>
          </w:p>
        </w:tc>
        <w:tc>
          <w:tcPr>
            <w:tcW w:w="848" w:type="dxa"/>
            <w:tcBorders>
              <w:top w:val="nil"/>
              <w:left w:val="nil"/>
              <w:bottom w:val="nil"/>
              <w:right w:val="nil"/>
            </w:tcBorders>
            <w:shd w:val="clear" w:color="auto" w:fill="auto"/>
            <w:noWrap/>
            <w:vAlign w:val="center"/>
            <w:hideMark/>
          </w:tcPr>
          <w:p w14:paraId="5B6F43FE"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10,885</w:t>
            </w:r>
          </w:p>
        </w:tc>
      </w:tr>
      <w:tr w:rsidR="00B41534" w:rsidRPr="002B0D86" w14:paraId="3AC9D9E2" w14:textId="77777777" w:rsidTr="007160D4">
        <w:trPr>
          <w:trHeight w:val="320"/>
          <w:jc w:val="center"/>
        </w:trPr>
        <w:tc>
          <w:tcPr>
            <w:tcW w:w="2127" w:type="dxa"/>
            <w:tcBorders>
              <w:top w:val="nil"/>
              <w:left w:val="nil"/>
              <w:bottom w:val="nil"/>
              <w:right w:val="nil"/>
            </w:tcBorders>
            <w:shd w:val="clear" w:color="auto" w:fill="auto"/>
            <w:vAlign w:val="center"/>
            <w:hideMark/>
          </w:tcPr>
          <w:p w14:paraId="795ACD78" w14:textId="77777777" w:rsidR="00B41534" w:rsidRPr="00A40E69" w:rsidRDefault="00B41534" w:rsidP="007160D4">
            <w:pPr>
              <w:pStyle w:val="NoSpacing"/>
              <w:spacing w:line="480" w:lineRule="auto"/>
              <w:rPr>
                <w:rFonts w:ascii="Times New Roman" w:hAnsi="Times New Roman" w:cs="Times New Roman"/>
                <w:b/>
                <w:bCs/>
                <w:sz w:val="16"/>
                <w:szCs w:val="16"/>
                <w:lang w:val="en-US"/>
              </w:rPr>
            </w:pPr>
            <w:r w:rsidRPr="00A40E69">
              <w:rPr>
                <w:rFonts w:ascii="Times New Roman" w:hAnsi="Times New Roman" w:cs="Times New Roman"/>
                <w:b/>
                <w:bCs/>
                <w:sz w:val="16"/>
                <w:szCs w:val="16"/>
                <w:lang w:val="en-US"/>
              </w:rPr>
              <w:t>Durables</w:t>
            </w:r>
          </w:p>
        </w:tc>
        <w:tc>
          <w:tcPr>
            <w:tcW w:w="1275" w:type="dxa"/>
            <w:tcBorders>
              <w:top w:val="nil"/>
              <w:left w:val="nil"/>
              <w:bottom w:val="nil"/>
              <w:right w:val="nil"/>
            </w:tcBorders>
            <w:shd w:val="clear" w:color="auto" w:fill="auto"/>
            <w:noWrap/>
            <w:vAlign w:val="center"/>
            <w:hideMark/>
          </w:tcPr>
          <w:p w14:paraId="2B8965E3"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1228.84</w:t>
            </w:r>
          </w:p>
        </w:tc>
        <w:tc>
          <w:tcPr>
            <w:tcW w:w="851" w:type="dxa"/>
            <w:tcBorders>
              <w:top w:val="nil"/>
              <w:left w:val="nil"/>
              <w:bottom w:val="nil"/>
              <w:right w:val="nil"/>
            </w:tcBorders>
            <w:shd w:val="clear" w:color="auto" w:fill="auto"/>
            <w:noWrap/>
            <w:vAlign w:val="center"/>
            <w:hideMark/>
          </w:tcPr>
          <w:p w14:paraId="51168184"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4112.89</w:t>
            </w:r>
          </w:p>
        </w:tc>
        <w:tc>
          <w:tcPr>
            <w:tcW w:w="283" w:type="dxa"/>
            <w:tcBorders>
              <w:top w:val="nil"/>
              <w:left w:val="nil"/>
              <w:bottom w:val="nil"/>
              <w:right w:val="nil"/>
            </w:tcBorders>
            <w:shd w:val="clear" w:color="auto" w:fill="auto"/>
            <w:vAlign w:val="center"/>
            <w:hideMark/>
          </w:tcPr>
          <w:p w14:paraId="67738CCD"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p>
        </w:tc>
        <w:tc>
          <w:tcPr>
            <w:tcW w:w="851" w:type="dxa"/>
            <w:tcBorders>
              <w:top w:val="nil"/>
              <w:left w:val="nil"/>
              <w:bottom w:val="nil"/>
              <w:right w:val="nil"/>
            </w:tcBorders>
            <w:shd w:val="clear" w:color="auto" w:fill="auto"/>
            <w:noWrap/>
            <w:vAlign w:val="center"/>
            <w:hideMark/>
          </w:tcPr>
          <w:p w14:paraId="56ED8B3C"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0.0618</w:t>
            </w:r>
          </w:p>
        </w:tc>
        <w:tc>
          <w:tcPr>
            <w:tcW w:w="709" w:type="dxa"/>
            <w:tcBorders>
              <w:top w:val="nil"/>
              <w:left w:val="nil"/>
              <w:bottom w:val="nil"/>
              <w:right w:val="nil"/>
            </w:tcBorders>
            <w:shd w:val="clear" w:color="auto" w:fill="auto"/>
            <w:noWrap/>
            <w:vAlign w:val="center"/>
            <w:hideMark/>
          </w:tcPr>
          <w:p w14:paraId="720352D0"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0.0020</w:t>
            </w:r>
          </w:p>
        </w:tc>
        <w:tc>
          <w:tcPr>
            <w:tcW w:w="283" w:type="dxa"/>
            <w:tcBorders>
              <w:top w:val="nil"/>
              <w:left w:val="nil"/>
              <w:bottom w:val="nil"/>
              <w:right w:val="nil"/>
            </w:tcBorders>
            <w:shd w:val="clear" w:color="auto" w:fill="auto"/>
            <w:vAlign w:val="center"/>
            <w:hideMark/>
          </w:tcPr>
          <w:p w14:paraId="048CE37C"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p>
        </w:tc>
        <w:tc>
          <w:tcPr>
            <w:tcW w:w="851" w:type="dxa"/>
            <w:tcBorders>
              <w:top w:val="nil"/>
              <w:left w:val="nil"/>
              <w:bottom w:val="nil"/>
              <w:right w:val="nil"/>
            </w:tcBorders>
            <w:shd w:val="clear" w:color="auto" w:fill="auto"/>
            <w:noWrap/>
            <w:vAlign w:val="center"/>
            <w:hideMark/>
          </w:tcPr>
          <w:p w14:paraId="2BFFD182"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2.72</w:t>
            </w:r>
          </w:p>
        </w:tc>
        <w:tc>
          <w:tcPr>
            <w:tcW w:w="711" w:type="dxa"/>
            <w:tcBorders>
              <w:top w:val="nil"/>
              <w:left w:val="nil"/>
              <w:bottom w:val="nil"/>
              <w:right w:val="nil"/>
            </w:tcBorders>
            <w:shd w:val="clear" w:color="auto" w:fill="auto"/>
            <w:noWrap/>
            <w:vAlign w:val="center"/>
            <w:hideMark/>
          </w:tcPr>
          <w:p w14:paraId="10152A51"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3.59</w:t>
            </w:r>
          </w:p>
        </w:tc>
        <w:tc>
          <w:tcPr>
            <w:tcW w:w="848" w:type="dxa"/>
            <w:tcBorders>
              <w:top w:val="nil"/>
              <w:left w:val="nil"/>
              <w:bottom w:val="nil"/>
              <w:right w:val="nil"/>
            </w:tcBorders>
            <w:shd w:val="clear" w:color="auto" w:fill="auto"/>
            <w:noWrap/>
            <w:vAlign w:val="center"/>
            <w:hideMark/>
          </w:tcPr>
          <w:p w14:paraId="170520D9"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11,475</w:t>
            </w:r>
          </w:p>
        </w:tc>
      </w:tr>
      <w:tr w:rsidR="00B41534" w:rsidRPr="002B0D86" w14:paraId="08D5EBE9" w14:textId="77777777" w:rsidTr="007160D4">
        <w:trPr>
          <w:trHeight w:val="385"/>
          <w:jc w:val="center"/>
        </w:trPr>
        <w:tc>
          <w:tcPr>
            <w:tcW w:w="2127" w:type="dxa"/>
            <w:tcBorders>
              <w:top w:val="nil"/>
              <w:left w:val="nil"/>
              <w:bottom w:val="nil"/>
              <w:right w:val="nil"/>
            </w:tcBorders>
            <w:shd w:val="clear" w:color="auto" w:fill="auto"/>
            <w:vAlign w:val="center"/>
            <w:hideMark/>
          </w:tcPr>
          <w:p w14:paraId="6CB87DA7" w14:textId="77777777" w:rsidR="00B41534" w:rsidRPr="00A40E69" w:rsidRDefault="00B41534" w:rsidP="007160D4">
            <w:pPr>
              <w:pStyle w:val="NoSpacing"/>
              <w:spacing w:line="480" w:lineRule="auto"/>
              <w:rPr>
                <w:rFonts w:ascii="Times New Roman" w:hAnsi="Times New Roman" w:cs="Times New Roman"/>
                <w:b/>
                <w:bCs/>
                <w:sz w:val="16"/>
                <w:szCs w:val="16"/>
                <w:lang w:val="en-US"/>
              </w:rPr>
            </w:pPr>
            <w:r w:rsidRPr="00A40E69">
              <w:rPr>
                <w:rFonts w:ascii="Times New Roman" w:hAnsi="Times New Roman" w:cs="Times New Roman"/>
                <w:b/>
                <w:bCs/>
                <w:sz w:val="16"/>
                <w:szCs w:val="16"/>
                <w:lang w:val="en-US"/>
              </w:rPr>
              <w:t>Medical (out-of-pocket)</w:t>
            </w:r>
          </w:p>
        </w:tc>
        <w:tc>
          <w:tcPr>
            <w:tcW w:w="1275" w:type="dxa"/>
            <w:tcBorders>
              <w:top w:val="nil"/>
              <w:left w:val="nil"/>
              <w:bottom w:val="nil"/>
              <w:right w:val="nil"/>
            </w:tcBorders>
            <w:shd w:val="clear" w:color="auto" w:fill="auto"/>
            <w:noWrap/>
            <w:vAlign w:val="center"/>
            <w:hideMark/>
          </w:tcPr>
          <w:p w14:paraId="7CB9659A"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2738.46</w:t>
            </w:r>
          </w:p>
        </w:tc>
        <w:tc>
          <w:tcPr>
            <w:tcW w:w="851" w:type="dxa"/>
            <w:tcBorders>
              <w:top w:val="nil"/>
              <w:left w:val="nil"/>
              <w:bottom w:val="nil"/>
              <w:right w:val="nil"/>
            </w:tcBorders>
            <w:shd w:val="clear" w:color="auto" w:fill="auto"/>
            <w:noWrap/>
            <w:vAlign w:val="center"/>
            <w:hideMark/>
          </w:tcPr>
          <w:p w14:paraId="6F7BC18C"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4976.56</w:t>
            </w:r>
          </w:p>
        </w:tc>
        <w:tc>
          <w:tcPr>
            <w:tcW w:w="283" w:type="dxa"/>
            <w:tcBorders>
              <w:top w:val="nil"/>
              <w:left w:val="nil"/>
              <w:bottom w:val="nil"/>
              <w:right w:val="nil"/>
            </w:tcBorders>
            <w:shd w:val="clear" w:color="auto" w:fill="auto"/>
            <w:vAlign w:val="center"/>
            <w:hideMark/>
          </w:tcPr>
          <w:p w14:paraId="79BD1AC2"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p>
        </w:tc>
        <w:tc>
          <w:tcPr>
            <w:tcW w:w="851" w:type="dxa"/>
            <w:tcBorders>
              <w:top w:val="nil"/>
              <w:left w:val="nil"/>
              <w:bottom w:val="nil"/>
              <w:right w:val="nil"/>
            </w:tcBorders>
            <w:shd w:val="clear" w:color="auto" w:fill="auto"/>
            <w:noWrap/>
            <w:vAlign w:val="center"/>
            <w:hideMark/>
          </w:tcPr>
          <w:p w14:paraId="66B86AE7"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0.1344</w:t>
            </w:r>
          </w:p>
        </w:tc>
        <w:tc>
          <w:tcPr>
            <w:tcW w:w="709" w:type="dxa"/>
            <w:tcBorders>
              <w:top w:val="nil"/>
              <w:left w:val="nil"/>
              <w:bottom w:val="nil"/>
              <w:right w:val="nil"/>
            </w:tcBorders>
            <w:shd w:val="clear" w:color="auto" w:fill="auto"/>
            <w:noWrap/>
            <w:vAlign w:val="center"/>
            <w:hideMark/>
          </w:tcPr>
          <w:p w14:paraId="4BEA0572"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0.0022</w:t>
            </w:r>
          </w:p>
        </w:tc>
        <w:tc>
          <w:tcPr>
            <w:tcW w:w="283" w:type="dxa"/>
            <w:tcBorders>
              <w:top w:val="nil"/>
              <w:left w:val="nil"/>
              <w:bottom w:val="nil"/>
              <w:right w:val="nil"/>
            </w:tcBorders>
            <w:shd w:val="clear" w:color="auto" w:fill="auto"/>
            <w:vAlign w:val="center"/>
            <w:hideMark/>
          </w:tcPr>
          <w:p w14:paraId="6BDFC4F9"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p>
        </w:tc>
        <w:tc>
          <w:tcPr>
            <w:tcW w:w="851" w:type="dxa"/>
            <w:tcBorders>
              <w:top w:val="nil"/>
              <w:left w:val="nil"/>
              <w:bottom w:val="nil"/>
              <w:right w:val="nil"/>
            </w:tcBorders>
            <w:shd w:val="clear" w:color="auto" w:fill="auto"/>
            <w:noWrap/>
            <w:vAlign w:val="center"/>
            <w:hideMark/>
          </w:tcPr>
          <w:p w14:paraId="02946724"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6.09</w:t>
            </w:r>
          </w:p>
        </w:tc>
        <w:tc>
          <w:tcPr>
            <w:tcW w:w="711" w:type="dxa"/>
            <w:tcBorders>
              <w:top w:val="nil"/>
              <w:left w:val="nil"/>
              <w:bottom w:val="nil"/>
              <w:right w:val="nil"/>
            </w:tcBorders>
            <w:shd w:val="clear" w:color="auto" w:fill="auto"/>
            <w:noWrap/>
            <w:vAlign w:val="center"/>
            <w:hideMark/>
          </w:tcPr>
          <w:p w14:paraId="12458C19"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2.89</w:t>
            </w:r>
          </w:p>
        </w:tc>
        <w:tc>
          <w:tcPr>
            <w:tcW w:w="848" w:type="dxa"/>
            <w:tcBorders>
              <w:top w:val="nil"/>
              <w:left w:val="nil"/>
              <w:bottom w:val="nil"/>
              <w:right w:val="nil"/>
            </w:tcBorders>
            <w:shd w:val="clear" w:color="auto" w:fill="auto"/>
            <w:noWrap/>
            <w:vAlign w:val="center"/>
            <w:hideMark/>
          </w:tcPr>
          <w:p w14:paraId="111C6185"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11,396</w:t>
            </w:r>
          </w:p>
        </w:tc>
      </w:tr>
      <w:tr w:rsidR="00B41534" w:rsidRPr="002B0D86" w14:paraId="08128EBA" w14:textId="77777777" w:rsidTr="007160D4">
        <w:trPr>
          <w:trHeight w:val="320"/>
          <w:jc w:val="center"/>
        </w:trPr>
        <w:tc>
          <w:tcPr>
            <w:tcW w:w="2127" w:type="dxa"/>
            <w:tcBorders>
              <w:top w:val="nil"/>
              <w:left w:val="nil"/>
              <w:bottom w:val="nil"/>
              <w:right w:val="nil"/>
            </w:tcBorders>
            <w:shd w:val="clear" w:color="auto" w:fill="auto"/>
            <w:vAlign w:val="center"/>
            <w:hideMark/>
          </w:tcPr>
          <w:p w14:paraId="11C7ECCA" w14:textId="77777777" w:rsidR="00B41534" w:rsidRPr="00A40E69" w:rsidRDefault="00B41534" w:rsidP="007160D4">
            <w:pPr>
              <w:pStyle w:val="NoSpacing"/>
              <w:spacing w:line="480" w:lineRule="auto"/>
              <w:rPr>
                <w:rFonts w:ascii="Times New Roman" w:hAnsi="Times New Roman" w:cs="Times New Roman"/>
                <w:b/>
                <w:bCs/>
                <w:sz w:val="16"/>
                <w:szCs w:val="16"/>
                <w:lang w:val="en-US"/>
              </w:rPr>
            </w:pPr>
            <w:r w:rsidRPr="00A40E69">
              <w:rPr>
                <w:rFonts w:ascii="Times New Roman" w:hAnsi="Times New Roman" w:cs="Times New Roman"/>
                <w:b/>
                <w:bCs/>
                <w:sz w:val="16"/>
                <w:szCs w:val="16"/>
                <w:lang w:val="en-US"/>
              </w:rPr>
              <w:t>Recreation</w:t>
            </w:r>
          </w:p>
        </w:tc>
        <w:tc>
          <w:tcPr>
            <w:tcW w:w="1275" w:type="dxa"/>
            <w:tcBorders>
              <w:top w:val="nil"/>
              <w:left w:val="nil"/>
              <w:bottom w:val="nil"/>
              <w:right w:val="nil"/>
            </w:tcBorders>
            <w:shd w:val="clear" w:color="auto" w:fill="auto"/>
            <w:noWrap/>
            <w:vAlign w:val="center"/>
            <w:hideMark/>
          </w:tcPr>
          <w:p w14:paraId="3DD3BC21"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644.79</w:t>
            </w:r>
          </w:p>
        </w:tc>
        <w:tc>
          <w:tcPr>
            <w:tcW w:w="851" w:type="dxa"/>
            <w:tcBorders>
              <w:top w:val="nil"/>
              <w:left w:val="nil"/>
              <w:bottom w:val="nil"/>
              <w:right w:val="nil"/>
            </w:tcBorders>
            <w:shd w:val="clear" w:color="auto" w:fill="auto"/>
            <w:noWrap/>
            <w:vAlign w:val="center"/>
            <w:hideMark/>
          </w:tcPr>
          <w:p w14:paraId="7EE5010C"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1216.05</w:t>
            </w:r>
          </w:p>
        </w:tc>
        <w:tc>
          <w:tcPr>
            <w:tcW w:w="283" w:type="dxa"/>
            <w:tcBorders>
              <w:top w:val="nil"/>
              <w:left w:val="nil"/>
              <w:bottom w:val="nil"/>
              <w:right w:val="nil"/>
            </w:tcBorders>
            <w:shd w:val="clear" w:color="auto" w:fill="auto"/>
            <w:vAlign w:val="center"/>
            <w:hideMark/>
          </w:tcPr>
          <w:p w14:paraId="32661901"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p>
        </w:tc>
        <w:tc>
          <w:tcPr>
            <w:tcW w:w="851" w:type="dxa"/>
            <w:tcBorders>
              <w:top w:val="nil"/>
              <w:left w:val="nil"/>
              <w:bottom w:val="nil"/>
              <w:right w:val="nil"/>
            </w:tcBorders>
            <w:shd w:val="clear" w:color="auto" w:fill="auto"/>
            <w:noWrap/>
            <w:vAlign w:val="center"/>
            <w:hideMark/>
          </w:tcPr>
          <w:p w14:paraId="11DA07B8"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0.0315</w:t>
            </w:r>
          </w:p>
        </w:tc>
        <w:tc>
          <w:tcPr>
            <w:tcW w:w="709" w:type="dxa"/>
            <w:tcBorders>
              <w:top w:val="nil"/>
              <w:left w:val="nil"/>
              <w:bottom w:val="nil"/>
              <w:right w:val="nil"/>
            </w:tcBorders>
            <w:shd w:val="clear" w:color="auto" w:fill="auto"/>
            <w:noWrap/>
            <w:vAlign w:val="center"/>
            <w:hideMark/>
          </w:tcPr>
          <w:p w14:paraId="7466D4D7"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0.0005</w:t>
            </w:r>
          </w:p>
        </w:tc>
        <w:tc>
          <w:tcPr>
            <w:tcW w:w="283" w:type="dxa"/>
            <w:tcBorders>
              <w:top w:val="nil"/>
              <w:left w:val="nil"/>
              <w:bottom w:val="nil"/>
              <w:right w:val="nil"/>
            </w:tcBorders>
            <w:shd w:val="clear" w:color="auto" w:fill="auto"/>
            <w:vAlign w:val="center"/>
            <w:hideMark/>
          </w:tcPr>
          <w:p w14:paraId="28002262"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p>
        </w:tc>
        <w:tc>
          <w:tcPr>
            <w:tcW w:w="851" w:type="dxa"/>
            <w:tcBorders>
              <w:top w:val="nil"/>
              <w:left w:val="nil"/>
              <w:bottom w:val="nil"/>
              <w:right w:val="nil"/>
            </w:tcBorders>
            <w:shd w:val="clear" w:color="auto" w:fill="auto"/>
            <w:noWrap/>
            <w:vAlign w:val="center"/>
            <w:hideMark/>
          </w:tcPr>
          <w:p w14:paraId="2833E132"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5.02</w:t>
            </w:r>
          </w:p>
        </w:tc>
        <w:tc>
          <w:tcPr>
            <w:tcW w:w="711" w:type="dxa"/>
            <w:tcBorders>
              <w:top w:val="nil"/>
              <w:left w:val="nil"/>
              <w:bottom w:val="nil"/>
              <w:right w:val="nil"/>
            </w:tcBorders>
            <w:shd w:val="clear" w:color="auto" w:fill="auto"/>
            <w:noWrap/>
            <w:vAlign w:val="center"/>
            <w:hideMark/>
          </w:tcPr>
          <w:p w14:paraId="6952FB9A"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2.36</w:t>
            </w:r>
          </w:p>
        </w:tc>
        <w:tc>
          <w:tcPr>
            <w:tcW w:w="848" w:type="dxa"/>
            <w:tcBorders>
              <w:top w:val="nil"/>
              <w:left w:val="nil"/>
              <w:bottom w:val="nil"/>
              <w:right w:val="nil"/>
            </w:tcBorders>
            <w:shd w:val="clear" w:color="auto" w:fill="auto"/>
            <w:noWrap/>
            <w:vAlign w:val="center"/>
            <w:hideMark/>
          </w:tcPr>
          <w:p w14:paraId="2F8B24E1"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11,527</w:t>
            </w:r>
          </w:p>
        </w:tc>
      </w:tr>
      <w:tr w:rsidR="00B41534" w:rsidRPr="002B0D86" w14:paraId="221B08E7" w14:textId="77777777" w:rsidTr="007160D4">
        <w:trPr>
          <w:trHeight w:val="320"/>
          <w:jc w:val="center"/>
        </w:trPr>
        <w:tc>
          <w:tcPr>
            <w:tcW w:w="2127" w:type="dxa"/>
            <w:tcBorders>
              <w:top w:val="nil"/>
              <w:left w:val="nil"/>
              <w:bottom w:val="nil"/>
              <w:right w:val="nil"/>
            </w:tcBorders>
            <w:shd w:val="clear" w:color="auto" w:fill="auto"/>
            <w:vAlign w:val="center"/>
            <w:hideMark/>
          </w:tcPr>
          <w:p w14:paraId="4AFA37E2" w14:textId="77777777" w:rsidR="00B41534" w:rsidRPr="00A40E69" w:rsidRDefault="00B41534" w:rsidP="007160D4">
            <w:pPr>
              <w:pStyle w:val="NoSpacing"/>
              <w:spacing w:line="480" w:lineRule="auto"/>
              <w:rPr>
                <w:rFonts w:ascii="Times New Roman" w:hAnsi="Times New Roman" w:cs="Times New Roman"/>
                <w:b/>
                <w:bCs/>
                <w:sz w:val="16"/>
                <w:szCs w:val="16"/>
                <w:lang w:val="en-US"/>
              </w:rPr>
            </w:pPr>
            <w:r w:rsidRPr="00A40E69">
              <w:rPr>
                <w:rFonts w:ascii="Times New Roman" w:hAnsi="Times New Roman" w:cs="Times New Roman"/>
                <w:b/>
                <w:bCs/>
                <w:sz w:val="16"/>
                <w:szCs w:val="16"/>
                <w:lang w:val="en-US"/>
              </w:rPr>
              <w:t>Clothing</w:t>
            </w:r>
          </w:p>
        </w:tc>
        <w:tc>
          <w:tcPr>
            <w:tcW w:w="1275" w:type="dxa"/>
            <w:tcBorders>
              <w:top w:val="nil"/>
              <w:left w:val="nil"/>
              <w:bottom w:val="nil"/>
              <w:right w:val="nil"/>
            </w:tcBorders>
            <w:shd w:val="clear" w:color="auto" w:fill="auto"/>
            <w:noWrap/>
            <w:vAlign w:val="center"/>
            <w:hideMark/>
          </w:tcPr>
          <w:p w14:paraId="7C3EA96C"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812.90</w:t>
            </w:r>
          </w:p>
        </w:tc>
        <w:tc>
          <w:tcPr>
            <w:tcW w:w="851" w:type="dxa"/>
            <w:tcBorders>
              <w:top w:val="nil"/>
              <w:left w:val="nil"/>
              <w:bottom w:val="nil"/>
              <w:right w:val="nil"/>
            </w:tcBorders>
            <w:shd w:val="clear" w:color="auto" w:fill="auto"/>
            <w:noWrap/>
            <w:vAlign w:val="center"/>
            <w:hideMark/>
          </w:tcPr>
          <w:p w14:paraId="0AF689A7"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1094.15</w:t>
            </w:r>
          </w:p>
        </w:tc>
        <w:tc>
          <w:tcPr>
            <w:tcW w:w="283" w:type="dxa"/>
            <w:tcBorders>
              <w:top w:val="nil"/>
              <w:left w:val="nil"/>
              <w:bottom w:val="nil"/>
              <w:right w:val="nil"/>
            </w:tcBorders>
            <w:shd w:val="clear" w:color="auto" w:fill="auto"/>
            <w:vAlign w:val="center"/>
            <w:hideMark/>
          </w:tcPr>
          <w:p w14:paraId="2F0B710F"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p>
        </w:tc>
        <w:tc>
          <w:tcPr>
            <w:tcW w:w="851" w:type="dxa"/>
            <w:tcBorders>
              <w:top w:val="nil"/>
              <w:left w:val="nil"/>
              <w:bottom w:val="nil"/>
              <w:right w:val="nil"/>
            </w:tcBorders>
            <w:shd w:val="clear" w:color="auto" w:fill="auto"/>
            <w:noWrap/>
            <w:vAlign w:val="center"/>
            <w:hideMark/>
          </w:tcPr>
          <w:p w14:paraId="64FD186D"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0.0404</w:t>
            </w:r>
          </w:p>
        </w:tc>
        <w:tc>
          <w:tcPr>
            <w:tcW w:w="709" w:type="dxa"/>
            <w:tcBorders>
              <w:top w:val="nil"/>
              <w:left w:val="nil"/>
              <w:bottom w:val="nil"/>
              <w:right w:val="nil"/>
            </w:tcBorders>
            <w:shd w:val="clear" w:color="auto" w:fill="auto"/>
            <w:noWrap/>
            <w:vAlign w:val="center"/>
            <w:hideMark/>
          </w:tcPr>
          <w:p w14:paraId="5C9EEE7B"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0.0005</w:t>
            </w:r>
          </w:p>
        </w:tc>
        <w:tc>
          <w:tcPr>
            <w:tcW w:w="283" w:type="dxa"/>
            <w:tcBorders>
              <w:top w:val="nil"/>
              <w:left w:val="nil"/>
              <w:bottom w:val="nil"/>
              <w:right w:val="nil"/>
            </w:tcBorders>
            <w:shd w:val="clear" w:color="auto" w:fill="auto"/>
            <w:vAlign w:val="center"/>
            <w:hideMark/>
          </w:tcPr>
          <w:p w14:paraId="582FB934"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p>
        </w:tc>
        <w:tc>
          <w:tcPr>
            <w:tcW w:w="851" w:type="dxa"/>
            <w:tcBorders>
              <w:top w:val="nil"/>
              <w:left w:val="nil"/>
              <w:bottom w:val="nil"/>
              <w:right w:val="nil"/>
            </w:tcBorders>
            <w:shd w:val="clear" w:color="auto" w:fill="auto"/>
            <w:noWrap/>
            <w:vAlign w:val="center"/>
            <w:hideMark/>
          </w:tcPr>
          <w:p w14:paraId="39E0D589"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4.99</w:t>
            </w:r>
          </w:p>
        </w:tc>
        <w:tc>
          <w:tcPr>
            <w:tcW w:w="711" w:type="dxa"/>
            <w:tcBorders>
              <w:top w:val="nil"/>
              <w:left w:val="nil"/>
              <w:bottom w:val="nil"/>
              <w:right w:val="nil"/>
            </w:tcBorders>
            <w:shd w:val="clear" w:color="auto" w:fill="auto"/>
            <w:noWrap/>
            <w:vAlign w:val="center"/>
            <w:hideMark/>
          </w:tcPr>
          <w:p w14:paraId="016CB3DA"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2.84</w:t>
            </w:r>
          </w:p>
        </w:tc>
        <w:tc>
          <w:tcPr>
            <w:tcW w:w="848" w:type="dxa"/>
            <w:tcBorders>
              <w:top w:val="nil"/>
              <w:left w:val="nil"/>
              <w:bottom w:val="nil"/>
              <w:right w:val="nil"/>
            </w:tcBorders>
            <w:shd w:val="clear" w:color="auto" w:fill="auto"/>
            <w:noWrap/>
            <w:vAlign w:val="center"/>
            <w:hideMark/>
          </w:tcPr>
          <w:p w14:paraId="423C65D2"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10,721</w:t>
            </w:r>
          </w:p>
        </w:tc>
      </w:tr>
      <w:tr w:rsidR="00B41534" w:rsidRPr="002B0D86" w14:paraId="717EF0E1" w14:textId="77777777" w:rsidTr="007160D4">
        <w:trPr>
          <w:trHeight w:val="320"/>
          <w:jc w:val="center"/>
        </w:trPr>
        <w:tc>
          <w:tcPr>
            <w:tcW w:w="2127" w:type="dxa"/>
            <w:tcBorders>
              <w:top w:val="nil"/>
              <w:left w:val="nil"/>
              <w:bottom w:val="nil"/>
              <w:right w:val="nil"/>
            </w:tcBorders>
            <w:shd w:val="clear" w:color="auto" w:fill="auto"/>
            <w:vAlign w:val="center"/>
            <w:hideMark/>
          </w:tcPr>
          <w:p w14:paraId="02313C2C" w14:textId="77777777" w:rsidR="00B41534" w:rsidRPr="00A40E69" w:rsidRDefault="00B41534" w:rsidP="007160D4">
            <w:pPr>
              <w:pStyle w:val="NoSpacing"/>
              <w:spacing w:line="480" w:lineRule="auto"/>
              <w:rPr>
                <w:rFonts w:ascii="Times New Roman" w:hAnsi="Times New Roman" w:cs="Times New Roman"/>
                <w:b/>
                <w:bCs/>
                <w:sz w:val="16"/>
                <w:szCs w:val="16"/>
                <w:lang w:val="en-US"/>
              </w:rPr>
            </w:pPr>
            <w:r w:rsidRPr="00A40E69">
              <w:rPr>
                <w:rFonts w:ascii="Times New Roman" w:hAnsi="Times New Roman" w:cs="Times New Roman"/>
                <w:b/>
                <w:bCs/>
                <w:sz w:val="16"/>
                <w:szCs w:val="16"/>
                <w:lang w:val="en-US"/>
              </w:rPr>
              <w:t>Education</w:t>
            </w:r>
          </w:p>
        </w:tc>
        <w:tc>
          <w:tcPr>
            <w:tcW w:w="1275" w:type="dxa"/>
            <w:tcBorders>
              <w:top w:val="nil"/>
              <w:left w:val="nil"/>
              <w:bottom w:val="nil"/>
              <w:right w:val="nil"/>
            </w:tcBorders>
            <w:shd w:val="clear" w:color="auto" w:fill="auto"/>
            <w:noWrap/>
            <w:vAlign w:val="center"/>
            <w:hideMark/>
          </w:tcPr>
          <w:p w14:paraId="35DE0494"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1118.06</w:t>
            </w:r>
          </w:p>
        </w:tc>
        <w:tc>
          <w:tcPr>
            <w:tcW w:w="851" w:type="dxa"/>
            <w:tcBorders>
              <w:top w:val="nil"/>
              <w:left w:val="nil"/>
              <w:bottom w:val="nil"/>
              <w:right w:val="nil"/>
            </w:tcBorders>
            <w:shd w:val="clear" w:color="auto" w:fill="auto"/>
            <w:noWrap/>
            <w:vAlign w:val="center"/>
            <w:hideMark/>
          </w:tcPr>
          <w:p w14:paraId="21627C22"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3175.53</w:t>
            </w:r>
          </w:p>
        </w:tc>
        <w:tc>
          <w:tcPr>
            <w:tcW w:w="283" w:type="dxa"/>
            <w:tcBorders>
              <w:top w:val="nil"/>
              <w:left w:val="nil"/>
              <w:bottom w:val="nil"/>
              <w:right w:val="nil"/>
            </w:tcBorders>
            <w:shd w:val="clear" w:color="auto" w:fill="auto"/>
            <w:vAlign w:val="center"/>
            <w:hideMark/>
          </w:tcPr>
          <w:p w14:paraId="5A40F114"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p>
        </w:tc>
        <w:tc>
          <w:tcPr>
            <w:tcW w:w="851" w:type="dxa"/>
            <w:tcBorders>
              <w:top w:val="nil"/>
              <w:left w:val="nil"/>
              <w:bottom w:val="nil"/>
              <w:right w:val="nil"/>
            </w:tcBorders>
            <w:shd w:val="clear" w:color="auto" w:fill="auto"/>
            <w:noWrap/>
            <w:vAlign w:val="center"/>
            <w:hideMark/>
          </w:tcPr>
          <w:p w14:paraId="086D661C"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0.0553</w:t>
            </w:r>
          </w:p>
        </w:tc>
        <w:tc>
          <w:tcPr>
            <w:tcW w:w="709" w:type="dxa"/>
            <w:tcBorders>
              <w:top w:val="nil"/>
              <w:left w:val="nil"/>
              <w:bottom w:val="nil"/>
              <w:right w:val="nil"/>
            </w:tcBorders>
            <w:shd w:val="clear" w:color="auto" w:fill="auto"/>
            <w:noWrap/>
            <w:vAlign w:val="center"/>
            <w:hideMark/>
          </w:tcPr>
          <w:p w14:paraId="67F2EB7A"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0.0015</w:t>
            </w:r>
          </w:p>
        </w:tc>
        <w:tc>
          <w:tcPr>
            <w:tcW w:w="283" w:type="dxa"/>
            <w:tcBorders>
              <w:top w:val="nil"/>
              <w:left w:val="nil"/>
              <w:bottom w:val="nil"/>
              <w:right w:val="nil"/>
            </w:tcBorders>
            <w:shd w:val="clear" w:color="auto" w:fill="auto"/>
            <w:vAlign w:val="center"/>
            <w:hideMark/>
          </w:tcPr>
          <w:p w14:paraId="6D40A712"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p>
        </w:tc>
        <w:tc>
          <w:tcPr>
            <w:tcW w:w="851" w:type="dxa"/>
            <w:tcBorders>
              <w:top w:val="nil"/>
              <w:left w:val="nil"/>
              <w:bottom w:val="nil"/>
              <w:right w:val="nil"/>
            </w:tcBorders>
            <w:shd w:val="clear" w:color="auto" w:fill="auto"/>
            <w:noWrap/>
            <w:vAlign w:val="center"/>
            <w:hideMark/>
          </w:tcPr>
          <w:p w14:paraId="64565220"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1.94</w:t>
            </w:r>
          </w:p>
        </w:tc>
        <w:tc>
          <w:tcPr>
            <w:tcW w:w="711" w:type="dxa"/>
            <w:tcBorders>
              <w:top w:val="nil"/>
              <w:left w:val="nil"/>
              <w:bottom w:val="nil"/>
              <w:right w:val="nil"/>
            </w:tcBorders>
            <w:shd w:val="clear" w:color="auto" w:fill="auto"/>
            <w:noWrap/>
            <w:vAlign w:val="center"/>
            <w:hideMark/>
          </w:tcPr>
          <w:p w14:paraId="5E9987BD"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3.40</w:t>
            </w:r>
          </w:p>
        </w:tc>
        <w:tc>
          <w:tcPr>
            <w:tcW w:w="848" w:type="dxa"/>
            <w:tcBorders>
              <w:top w:val="nil"/>
              <w:left w:val="nil"/>
              <w:bottom w:val="nil"/>
              <w:right w:val="nil"/>
            </w:tcBorders>
            <w:shd w:val="clear" w:color="auto" w:fill="auto"/>
            <w:noWrap/>
            <w:vAlign w:val="center"/>
            <w:hideMark/>
          </w:tcPr>
          <w:p w14:paraId="42F95000"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11,299</w:t>
            </w:r>
          </w:p>
        </w:tc>
      </w:tr>
      <w:tr w:rsidR="00B41534" w:rsidRPr="002B0D86" w14:paraId="3E698053" w14:textId="77777777" w:rsidTr="007160D4">
        <w:trPr>
          <w:trHeight w:val="320"/>
          <w:jc w:val="center"/>
        </w:trPr>
        <w:tc>
          <w:tcPr>
            <w:tcW w:w="2127" w:type="dxa"/>
            <w:tcBorders>
              <w:top w:val="nil"/>
              <w:left w:val="nil"/>
              <w:bottom w:val="nil"/>
              <w:right w:val="nil"/>
            </w:tcBorders>
            <w:shd w:val="clear" w:color="auto" w:fill="auto"/>
            <w:vAlign w:val="center"/>
            <w:hideMark/>
          </w:tcPr>
          <w:p w14:paraId="2DEBE29F" w14:textId="77777777" w:rsidR="00B41534" w:rsidRPr="00A40E69" w:rsidRDefault="00B41534" w:rsidP="007160D4">
            <w:pPr>
              <w:pStyle w:val="NoSpacing"/>
              <w:spacing w:line="480" w:lineRule="auto"/>
              <w:rPr>
                <w:rFonts w:ascii="Times New Roman" w:hAnsi="Times New Roman" w:cs="Times New Roman"/>
                <w:b/>
                <w:bCs/>
                <w:sz w:val="16"/>
                <w:szCs w:val="16"/>
                <w:lang w:val="en-US"/>
              </w:rPr>
            </w:pPr>
            <w:r w:rsidRPr="00A40E69">
              <w:rPr>
                <w:rFonts w:ascii="Times New Roman" w:hAnsi="Times New Roman" w:cs="Times New Roman"/>
                <w:b/>
                <w:bCs/>
                <w:sz w:val="16"/>
                <w:szCs w:val="16"/>
                <w:lang w:val="en-US"/>
              </w:rPr>
              <w:t>Others</w:t>
            </w:r>
          </w:p>
        </w:tc>
        <w:tc>
          <w:tcPr>
            <w:tcW w:w="1275" w:type="dxa"/>
            <w:tcBorders>
              <w:top w:val="nil"/>
              <w:left w:val="nil"/>
              <w:bottom w:val="nil"/>
              <w:right w:val="nil"/>
            </w:tcBorders>
            <w:shd w:val="clear" w:color="auto" w:fill="auto"/>
            <w:noWrap/>
            <w:vAlign w:val="center"/>
            <w:hideMark/>
          </w:tcPr>
          <w:p w14:paraId="4D61C367"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422.82</w:t>
            </w:r>
          </w:p>
        </w:tc>
        <w:tc>
          <w:tcPr>
            <w:tcW w:w="851" w:type="dxa"/>
            <w:tcBorders>
              <w:top w:val="nil"/>
              <w:left w:val="nil"/>
              <w:bottom w:val="nil"/>
              <w:right w:val="nil"/>
            </w:tcBorders>
            <w:shd w:val="clear" w:color="auto" w:fill="auto"/>
            <w:noWrap/>
            <w:vAlign w:val="center"/>
            <w:hideMark/>
          </w:tcPr>
          <w:p w14:paraId="3A9237DC"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1031.66</w:t>
            </w:r>
          </w:p>
        </w:tc>
        <w:tc>
          <w:tcPr>
            <w:tcW w:w="283" w:type="dxa"/>
            <w:tcBorders>
              <w:top w:val="nil"/>
              <w:left w:val="nil"/>
              <w:bottom w:val="nil"/>
              <w:right w:val="nil"/>
            </w:tcBorders>
            <w:shd w:val="clear" w:color="auto" w:fill="auto"/>
            <w:vAlign w:val="center"/>
            <w:hideMark/>
          </w:tcPr>
          <w:p w14:paraId="1675CCEA"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p>
        </w:tc>
        <w:tc>
          <w:tcPr>
            <w:tcW w:w="851" w:type="dxa"/>
            <w:tcBorders>
              <w:top w:val="nil"/>
              <w:left w:val="nil"/>
              <w:bottom w:val="nil"/>
              <w:right w:val="nil"/>
            </w:tcBorders>
            <w:shd w:val="clear" w:color="auto" w:fill="auto"/>
            <w:noWrap/>
            <w:vAlign w:val="center"/>
            <w:hideMark/>
          </w:tcPr>
          <w:p w14:paraId="4042E641"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0.0206</w:t>
            </w:r>
          </w:p>
        </w:tc>
        <w:tc>
          <w:tcPr>
            <w:tcW w:w="709" w:type="dxa"/>
            <w:tcBorders>
              <w:top w:val="nil"/>
              <w:left w:val="nil"/>
              <w:bottom w:val="nil"/>
              <w:right w:val="nil"/>
            </w:tcBorders>
            <w:shd w:val="clear" w:color="auto" w:fill="auto"/>
            <w:noWrap/>
            <w:vAlign w:val="center"/>
            <w:hideMark/>
          </w:tcPr>
          <w:p w14:paraId="61881CC2"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0.0005</w:t>
            </w:r>
          </w:p>
        </w:tc>
        <w:tc>
          <w:tcPr>
            <w:tcW w:w="283" w:type="dxa"/>
            <w:tcBorders>
              <w:top w:val="nil"/>
              <w:left w:val="nil"/>
              <w:bottom w:val="nil"/>
              <w:right w:val="nil"/>
            </w:tcBorders>
            <w:shd w:val="clear" w:color="auto" w:fill="auto"/>
            <w:vAlign w:val="center"/>
            <w:hideMark/>
          </w:tcPr>
          <w:p w14:paraId="3DC433D1"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p>
        </w:tc>
        <w:tc>
          <w:tcPr>
            <w:tcW w:w="851" w:type="dxa"/>
            <w:tcBorders>
              <w:top w:val="nil"/>
              <w:left w:val="nil"/>
              <w:bottom w:val="nil"/>
              <w:right w:val="nil"/>
            </w:tcBorders>
            <w:shd w:val="clear" w:color="auto" w:fill="auto"/>
            <w:noWrap/>
            <w:vAlign w:val="center"/>
            <w:hideMark/>
          </w:tcPr>
          <w:p w14:paraId="2B049DA3"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2.77</w:t>
            </w:r>
          </w:p>
        </w:tc>
        <w:tc>
          <w:tcPr>
            <w:tcW w:w="711" w:type="dxa"/>
            <w:tcBorders>
              <w:top w:val="nil"/>
              <w:left w:val="nil"/>
              <w:bottom w:val="nil"/>
              <w:right w:val="nil"/>
            </w:tcBorders>
            <w:shd w:val="clear" w:color="auto" w:fill="auto"/>
            <w:noWrap/>
            <w:vAlign w:val="center"/>
            <w:hideMark/>
          </w:tcPr>
          <w:p w14:paraId="6B203F58"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3.16</w:t>
            </w:r>
          </w:p>
        </w:tc>
        <w:tc>
          <w:tcPr>
            <w:tcW w:w="848" w:type="dxa"/>
            <w:tcBorders>
              <w:top w:val="nil"/>
              <w:left w:val="nil"/>
              <w:bottom w:val="nil"/>
              <w:right w:val="nil"/>
            </w:tcBorders>
            <w:shd w:val="clear" w:color="auto" w:fill="auto"/>
            <w:noWrap/>
            <w:vAlign w:val="center"/>
            <w:hideMark/>
          </w:tcPr>
          <w:p w14:paraId="4F2AF799"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11,498</w:t>
            </w:r>
          </w:p>
        </w:tc>
      </w:tr>
      <w:tr w:rsidR="00B41534" w:rsidRPr="002B0D86" w14:paraId="30E134C8" w14:textId="77777777" w:rsidTr="007160D4">
        <w:trPr>
          <w:trHeight w:val="320"/>
          <w:jc w:val="center"/>
        </w:trPr>
        <w:tc>
          <w:tcPr>
            <w:tcW w:w="2127" w:type="dxa"/>
            <w:tcBorders>
              <w:top w:val="nil"/>
              <w:left w:val="nil"/>
              <w:bottom w:val="nil"/>
              <w:right w:val="nil"/>
            </w:tcBorders>
            <w:shd w:val="clear" w:color="auto" w:fill="auto"/>
            <w:vAlign w:val="center"/>
            <w:hideMark/>
          </w:tcPr>
          <w:p w14:paraId="706CBE86" w14:textId="77777777" w:rsidR="00B41534" w:rsidRPr="00A40E69" w:rsidRDefault="00B41534" w:rsidP="007160D4">
            <w:pPr>
              <w:pStyle w:val="NoSpacing"/>
              <w:spacing w:line="480" w:lineRule="auto"/>
              <w:rPr>
                <w:rFonts w:ascii="Times New Roman" w:hAnsi="Times New Roman" w:cs="Times New Roman"/>
                <w:b/>
                <w:bCs/>
                <w:sz w:val="16"/>
                <w:szCs w:val="16"/>
                <w:lang w:val="en-US"/>
              </w:rPr>
            </w:pPr>
          </w:p>
        </w:tc>
        <w:tc>
          <w:tcPr>
            <w:tcW w:w="1275" w:type="dxa"/>
            <w:tcBorders>
              <w:top w:val="nil"/>
              <w:left w:val="nil"/>
              <w:bottom w:val="nil"/>
              <w:right w:val="nil"/>
            </w:tcBorders>
            <w:shd w:val="clear" w:color="auto" w:fill="auto"/>
            <w:noWrap/>
            <w:vAlign w:val="center"/>
            <w:hideMark/>
          </w:tcPr>
          <w:p w14:paraId="16D61ABC"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p>
        </w:tc>
        <w:tc>
          <w:tcPr>
            <w:tcW w:w="851" w:type="dxa"/>
            <w:tcBorders>
              <w:top w:val="nil"/>
              <w:left w:val="nil"/>
              <w:bottom w:val="nil"/>
              <w:right w:val="nil"/>
            </w:tcBorders>
            <w:shd w:val="clear" w:color="auto" w:fill="auto"/>
            <w:noWrap/>
            <w:vAlign w:val="center"/>
            <w:hideMark/>
          </w:tcPr>
          <w:p w14:paraId="2ECC621C"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p>
        </w:tc>
        <w:tc>
          <w:tcPr>
            <w:tcW w:w="283" w:type="dxa"/>
            <w:tcBorders>
              <w:top w:val="nil"/>
              <w:left w:val="nil"/>
              <w:bottom w:val="nil"/>
              <w:right w:val="nil"/>
            </w:tcBorders>
            <w:shd w:val="clear" w:color="auto" w:fill="auto"/>
            <w:vAlign w:val="center"/>
            <w:hideMark/>
          </w:tcPr>
          <w:p w14:paraId="71DC8E68"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p>
        </w:tc>
        <w:tc>
          <w:tcPr>
            <w:tcW w:w="851" w:type="dxa"/>
            <w:tcBorders>
              <w:top w:val="nil"/>
              <w:left w:val="nil"/>
              <w:bottom w:val="nil"/>
              <w:right w:val="nil"/>
            </w:tcBorders>
            <w:shd w:val="clear" w:color="auto" w:fill="auto"/>
            <w:vAlign w:val="center"/>
            <w:hideMark/>
          </w:tcPr>
          <w:p w14:paraId="35501B80"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p>
        </w:tc>
        <w:tc>
          <w:tcPr>
            <w:tcW w:w="709" w:type="dxa"/>
            <w:tcBorders>
              <w:top w:val="nil"/>
              <w:left w:val="nil"/>
              <w:bottom w:val="nil"/>
              <w:right w:val="nil"/>
            </w:tcBorders>
            <w:shd w:val="clear" w:color="auto" w:fill="auto"/>
            <w:vAlign w:val="center"/>
            <w:hideMark/>
          </w:tcPr>
          <w:p w14:paraId="5D3BD0BE"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p>
        </w:tc>
        <w:tc>
          <w:tcPr>
            <w:tcW w:w="283" w:type="dxa"/>
            <w:tcBorders>
              <w:top w:val="nil"/>
              <w:left w:val="nil"/>
              <w:bottom w:val="nil"/>
              <w:right w:val="nil"/>
            </w:tcBorders>
            <w:shd w:val="clear" w:color="auto" w:fill="auto"/>
            <w:vAlign w:val="center"/>
            <w:hideMark/>
          </w:tcPr>
          <w:p w14:paraId="5AC401A8"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p>
        </w:tc>
        <w:tc>
          <w:tcPr>
            <w:tcW w:w="851" w:type="dxa"/>
            <w:tcBorders>
              <w:top w:val="nil"/>
              <w:left w:val="nil"/>
              <w:bottom w:val="nil"/>
              <w:right w:val="nil"/>
            </w:tcBorders>
            <w:shd w:val="clear" w:color="auto" w:fill="auto"/>
            <w:noWrap/>
            <w:vAlign w:val="center"/>
            <w:hideMark/>
          </w:tcPr>
          <w:p w14:paraId="2C8074CE"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p>
        </w:tc>
        <w:tc>
          <w:tcPr>
            <w:tcW w:w="711" w:type="dxa"/>
            <w:tcBorders>
              <w:top w:val="nil"/>
              <w:left w:val="nil"/>
              <w:bottom w:val="nil"/>
              <w:right w:val="nil"/>
            </w:tcBorders>
            <w:shd w:val="clear" w:color="auto" w:fill="auto"/>
            <w:noWrap/>
            <w:vAlign w:val="center"/>
            <w:hideMark/>
          </w:tcPr>
          <w:p w14:paraId="570DD674"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p>
        </w:tc>
        <w:tc>
          <w:tcPr>
            <w:tcW w:w="848" w:type="dxa"/>
            <w:tcBorders>
              <w:top w:val="nil"/>
              <w:left w:val="nil"/>
              <w:bottom w:val="nil"/>
              <w:right w:val="nil"/>
            </w:tcBorders>
            <w:shd w:val="clear" w:color="auto" w:fill="auto"/>
            <w:noWrap/>
            <w:vAlign w:val="center"/>
            <w:hideMark/>
          </w:tcPr>
          <w:p w14:paraId="48E91541"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p>
        </w:tc>
      </w:tr>
      <w:tr w:rsidR="00B41534" w:rsidRPr="002B0D86" w14:paraId="65F08792" w14:textId="77777777" w:rsidTr="007160D4">
        <w:trPr>
          <w:trHeight w:val="349"/>
          <w:jc w:val="center"/>
        </w:trPr>
        <w:tc>
          <w:tcPr>
            <w:tcW w:w="2127" w:type="dxa"/>
            <w:tcBorders>
              <w:top w:val="nil"/>
              <w:left w:val="nil"/>
              <w:bottom w:val="nil"/>
              <w:right w:val="nil"/>
            </w:tcBorders>
            <w:shd w:val="clear" w:color="auto" w:fill="auto"/>
            <w:vAlign w:val="center"/>
            <w:hideMark/>
          </w:tcPr>
          <w:p w14:paraId="4AB2B226" w14:textId="77777777" w:rsidR="00B41534" w:rsidRPr="00A40E69" w:rsidRDefault="00B41534" w:rsidP="007160D4">
            <w:pPr>
              <w:pStyle w:val="NoSpacing"/>
              <w:spacing w:line="480" w:lineRule="auto"/>
              <w:rPr>
                <w:rFonts w:ascii="Times New Roman" w:hAnsi="Times New Roman" w:cs="Times New Roman"/>
                <w:b/>
                <w:bCs/>
                <w:sz w:val="16"/>
                <w:szCs w:val="16"/>
                <w:lang w:val="en-US"/>
              </w:rPr>
            </w:pPr>
            <w:r w:rsidRPr="00A40E69">
              <w:rPr>
                <w:rFonts w:ascii="Times New Roman" w:hAnsi="Times New Roman" w:cs="Times New Roman"/>
                <w:b/>
                <w:bCs/>
                <w:sz w:val="16"/>
                <w:szCs w:val="16"/>
                <w:lang w:val="en-US"/>
              </w:rPr>
              <w:t>Total consumption</w:t>
            </w:r>
          </w:p>
        </w:tc>
        <w:tc>
          <w:tcPr>
            <w:tcW w:w="1275" w:type="dxa"/>
            <w:tcBorders>
              <w:top w:val="nil"/>
              <w:left w:val="nil"/>
              <w:bottom w:val="nil"/>
              <w:right w:val="nil"/>
            </w:tcBorders>
            <w:shd w:val="clear" w:color="auto" w:fill="auto"/>
            <w:noWrap/>
            <w:vAlign w:val="center"/>
            <w:hideMark/>
          </w:tcPr>
          <w:p w14:paraId="44693F4F"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21819.38</w:t>
            </w:r>
          </w:p>
        </w:tc>
        <w:tc>
          <w:tcPr>
            <w:tcW w:w="851" w:type="dxa"/>
            <w:tcBorders>
              <w:top w:val="nil"/>
              <w:left w:val="nil"/>
              <w:bottom w:val="nil"/>
              <w:right w:val="nil"/>
            </w:tcBorders>
            <w:shd w:val="clear" w:color="auto" w:fill="auto"/>
            <w:noWrap/>
            <w:vAlign w:val="center"/>
            <w:hideMark/>
          </w:tcPr>
          <w:p w14:paraId="14AE9BEF"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21119.54</w:t>
            </w:r>
          </w:p>
        </w:tc>
        <w:tc>
          <w:tcPr>
            <w:tcW w:w="283" w:type="dxa"/>
            <w:tcBorders>
              <w:top w:val="nil"/>
              <w:left w:val="nil"/>
              <w:bottom w:val="nil"/>
              <w:right w:val="nil"/>
            </w:tcBorders>
            <w:shd w:val="clear" w:color="auto" w:fill="auto"/>
            <w:vAlign w:val="center"/>
            <w:hideMark/>
          </w:tcPr>
          <w:p w14:paraId="09A0D853"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p>
        </w:tc>
        <w:tc>
          <w:tcPr>
            <w:tcW w:w="851" w:type="dxa"/>
            <w:tcBorders>
              <w:top w:val="nil"/>
              <w:left w:val="nil"/>
              <w:bottom w:val="nil"/>
              <w:right w:val="nil"/>
            </w:tcBorders>
            <w:shd w:val="clear" w:color="auto" w:fill="auto"/>
            <w:vAlign w:val="center"/>
            <w:hideMark/>
          </w:tcPr>
          <w:p w14:paraId="7A9799FA"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p>
        </w:tc>
        <w:tc>
          <w:tcPr>
            <w:tcW w:w="709" w:type="dxa"/>
            <w:tcBorders>
              <w:top w:val="nil"/>
              <w:left w:val="nil"/>
              <w:bottom w:val="nil"/>
              <w:right w:val="nil"/>
            </w:tcBorders>
            <w:shd w:val="clear" w:color="auto" w:fill="auto"/>
            <w:vAlign w:val="center"/>
            <w:hideMark/>
          </w:tcPr>
          <w:p w14:paraId="24FB0402"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p>
        </w:tc>
        <w:tc>
          <w:tcPr>
            <w:tcW w:w="283" w:type="dxa"/>
            <w:tcBorders>
              <w:top w:val="nil"/>
              <w:left w:val="nil"/>
              <w:bottom w:val="nil"/>
              <w:right w:val="nil"/>
            </w:tcBorders>
            <w:shd w:val="clear" w:color="auto" w:fill="auto"/>
            <w:vAlign w:val="center"/>
            <w:hideMark/>
          </w:tcPr>
          <w:p w14:paraId="4CD581B0"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p>
        </w:tc>
        <w:tc>
          <w:tcPr>
            <w:tcW w:w="851" w:type="dxa"/>
            <w:tcBorders>
              <w:top w:val="nil"/>
              <w:left w:val="nil"/>
              <w:bottom w:val="nil"/>
              <w:right w:val="nil"/>
            </w:tcBorders>
            <w:shd w:val="clear" w:color="auto" w:fill="auto"/>
            <w:noWrap/>
            <w:vAlign w:val="center"/>
            <w:hideMark/>
          </w:tcPr>
          <w:p w14:paraId="35DD2949"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9.58</w:t>
            </w:r>
          </w:p>
        </w:tc>
        <w:tc>
          <w:tcPr>
            <w:tcW w:w="711" w:type="dxa"/>
            <w:tcBorders>
              <w:top w:val="nil"/>
              <w:left w:val="nil"/>
              <w:bottom w:val="nil"/>
              <w:right w:val="nil"/>
            </w:tcBorders>
            <w:shd w:val="clear" w:color="auto" w:fill="auto"/>
            <w:noWrap/>
            <w:vAlign w:val="center"/>
            <w:hideMark/>
          </w:tcPr>
          <w:p w14:paraId="0085A207"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0.99</w:t>
            </w:r>
          </w:p>
        </w:tc>
        <w:tc>
          <w:tcPr>
            <w:tcW w:w="848" w:type="dxa"/>
            <w:tcBorders>
              <w:top w:val="nil"/>
              <w:left w:val="nil"/>
              <w:bottom w:val="nil"/>
              <w:right w:val="nil"/>
            </w:tcBorders>
            <w:shd w:val="clear" w:color="auto" w:fill="auto"/>
            <w:noWrap/>
            <w:vAlign w:val="center"/>
            <w:hideMark/>
          </w:tcPr>
          <w:p w14:paraId="21A5851E"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11,640</w:t>
            </w:r>
          </w:p>
        </w:tc>
      </w:tr>
      <w:tr w:rsidR="00B41534" w:rsidRPr="002B0D86" w14:paraId="706B5F1E" w14:textId="77777777" w:rsidTr="007160D4">
        <w:trPr>
          <w:trHeight w:val="417"/>
          <w:jc w:val="center"/>
        </w:trPr>
        <w:tc>
          <w:tcPr>
            <w:tcW w:w="2127" w:type="dxa"/>
            <w:tcBorders>
              <w:top w:val="nil"/>
              <w:left w:val="nil"/>
              <w:bottom w:val="nil"/>
              <w:right w:val="nil"/>
            </w:tcBorders>
            <w:shd w:val="clear" w:color="auto" w:fill="auto"/>
            <w:vAlign w:val="center"/>
          </w:tcPr>
          <w:p w14:paraId="578DCFCE" w14:textId="77777777" w:rsidR="00B41534" w:rsidRPr="00A40E69" w:rsidRDefault="00B41534" w:rsidP="007160D4">
            <w:pPr>
              <w:pStyle w:val="NoSpacing"/>
              <w:spacing w:line="480" w:lineRule="auto"/>
              <w:rPr>
                <w:rFonts w:ascii="Times New Roman" w:hAnsi="Times New Roman" w:cs="Times New Roman"/>
                <w:b/>
                <w:bCs/>
                <w:sz w:val="16"/>
                <w:szCs w:val="16"/>
                <w:lang w:val="en-US"/>
              </w:rPr>
            </w:pPr>
            <w:r w:rsidRPr="00A40E69">
              <w:rPr>
                <w:rFonts w:ascii="Times New Roman" w:hAnsi="Times New Roman" w:cs="Times New Roman"/>
                <w:b/>
                <w:bCs/>
                <w:sz w:val="16"/>
                <w:szCs w:val="16"/>
                <w:lang w:val="en-US"/>
              </w:rPr>
              <w:t>Non-durable consumption</w:t>
            </w:r>
          </w:p>
        </w:tc>
        <w:tc>
          <w:tcPr>
            <w:tcW w:w="1275" w:type="dxa"/>
            <w:tcBorders>
              <w:top w:val="nil"/>
              <w:left w:val="nil"/>
              <w:bottom w:val="nil"/>
              <w:right w:val="nil"/>
            </w:tcBorders>
            <w:shd w:val="clear" w:color="auto" w:fill="auto"/>
            <w:noWrap/>
            <w:vAlign w:val="center"/>
          </w:tcPr>
          <w:p w14:paraId="7669F93C" w14:textId="77777777" w:rsidR="00B41534" w:rsidRPr="00A40E69" w:rsidRDefault="00B41534" w:rsidP="007160D4">
            <w:pPr>
              <w:pStyle w:val="NoSpacing"/>
              <w:spacing w:line="480" w:lineRule="auto"/>
              <w:jc w:val="center"/>
              <w:rPr>
                <w:rFonts w:ascii="Times New Roman" w:hAnsi="Times New Roman" w:cs="Times New Roman"/>
                <w:sz w:val="16"/>
                <w:szCs w:val="16"/>
                <w:highlight w:val="yellow"/>
                <w:lang w:val="en-US"/>
              </w:rPr>
            </w:pPr>
            <w:r w:rsidRPr="00A40E69">
              <w:rPr>
                <w:rFonts w:ascii="Times New Roman" w:hAnsi="Times New Roman" w:cs="Times New Roman"/>
                <w:sz w:val="16"/>
                <w:szCs w:val="16"/>
                <w:lang w:val="en-US"/>
              </w:rPr>
              <w:t>20290.05</w:t>
            </w:r>
          </w:p>
        </w:tc>
        <w:tc>
          <w:tcPr>
            <w:tcW w:w="851" w:type="dxa"/>
            <w:tcBorders>
              <w:top w:val="nil"/>
              <w:left w:val="nil"/>
              <w:bottom w:val="nil"/>
              <w:right w:val="nil"/>
            </w:tcBorders>
            <w:shd w:val="clear" w:color="auto" w:fill="auto"/>
            <w:noWrap/>
            <w:vAlign w:val="center"/>
          </w:tcPr>
          <w:p w14:paraId="5A8B661C" w14:textId="77777777" w:rsidR="00B41534" w:rsidRPr="00A40E69" w:rsidRDefault="00B41534" w:rsidP="007160D4">
            <w:pPr>
              <w:pStyle w:val="NoSpacing"/>
              <w:spacing w:line="480" w:lineRule="auto"/>
              <w:jc w:val="center"/>
              <w:rPr>
                <w:rFonts w:ascii="Times New Roman" w:hAnsi="Times New Roman" w:cs="Times New Roman"/>
                <w:sz w:val="16"/>
                <w:szCs w:val="16"/>
                <w:highlight w:val="yellow"/>
                <w:lang w:val="en-US"/>
              </w:rPr>
            </w:pPr>
            <w:r w:rsidRPr="00A40E69">
              <w:rPr>
                <w:rFonts w:ascii="Times New Roman" w:hAnsi="Times New Roman" w:cs="Times New Roman"/>
                <w:sz w:val="16"/>
                <w:szCs w:val="16"/>
                <w:lang w:val="en-US"/>
              </w:rPr>
              <w:t>19036.28</w:t>
            </w:r>
          </w:p>
        </w:tc>
        <w:tc>
          <w:tcPr>
            <w:tcW w:w="283" w:type="dxa"/>
            <w:tcBorders>
              <w:top w:val="nil"/>
              <w:left w:val="nil"/>
              <w:bottom w:val="nil"/>
              <w:right w:val="nil"/>
            </w:tcBorders>
            <w:shd w:val="clear" w:color="auto" w:fill="auto"/>
            <w:vAlign w:val="center"/>
          </w:tcPr>
          <w:p w14:paraId="30D92EFE" w14:textId="77777777" w:rsidR="00B41534" w:rsidRPr="00A40E69" w:rsidRDefault="00B41534" w:rsidP="007160D4">
            <w:pPr>
              <w:pStyle w:val="NoSpacing"/>
              <w:spacing w:line="480" w:lineRule="auto"/>
              <w:jc w:val="center"/>
              <w:rPr>
                <w:rFonts w:ascii="Times New Roman" w:hAnsi="Times New Roman" w:cs="Times New Roman"/>
                <w:sz w:val="16"/>
                <w:szCs w:val="16"/>
                <w:highlight w:val="yellow"/>
                <w:lang w:val="en-US"/>
              </w:rPr>
            </w:pPr>
          </w:p>
        </w:tc>
        <w:tc>
          <w:tcPr>
            <w:tcW w:w="851" w:type="dxa"/>
            <w:tcBorders>
              <w:top w:val="nil"/>
              <w:left w:val="nil"/>
              <w:bottom w:val="nil"/>
              <w:right w:val="nil"/>
            </w:tcBorders>
            <w:shd w:val="clear" w:color="auto" w:fill="auto"/>
            <w:vAlign w:val="center"/>
          </w:tcPr>
          <w:p w14:paraId="16EC928E" w14:textId="77777777" w:rsidR="00B41534" w:rsidRPr="00A40E69" w:rsidRDefault="00B41534" w:rsidP="007160D4">
            <w:pPr>
              <w:pStyle w:val="NoSpacing"/>
              <w:spacing w:line="480" w:lineRule="auto"/>
              <w:jc w:val="center"/>
              <w:rPr>
                <w:rFonts w:ascii="Times New Roman" w:hAnsi="Times New Roman" w:cs="Times New Roman"/>
                <w:sz w:val="16"/>
                <w:szCs w:val="16"/>
                <w:highlight w:val="yellow"/>
                <w:lang w:val="en-US"/>
              </w:rPr>
            </w:pPr>
          </w:p>
        </w:tc>
        <w:tc>
          <w:tcPr>
            <w:tcW w:w="709" w:type="dxa"/>
            <w:tcBorders>
              <w:top w:val="nil"/>
              <w:left w:val="nil"/>
              <w:bottom w:val="nil"/>
              <w:right w:val="nil"/>
            </w:tcBorders>
            <w:shd w:val="clear" w:color="auto" w:fill="auto"/>
            <w:vAlign w:val="center"/>
          </w:tcPr>
          <w:p w14:paraId="0CBF019E" w14:textId="77777777" w:rsidR="00B41534" w:rsidRPr="00A40E69" w:rsidRDefault="00B41534" w:rsidP="007160D4">
            <w:pPr>
              <w:pStyle w:val="NoSpacing"/>
              <w:spacing w:line="480" w:lineRule="auto"/>
              <w:jc w:val="center"/>
              <w:rPr>
                <w:rFonts w:ascii="Times New Roman" w:hAnsi="Times New Roman" w:cs="Times New Roman"/>
                <w:sz w:val="16"/>
                <w:szCs w:val="16"/>
                <w:highlight w:val="yellow"/>
                <w:lang w:val="en-US"/>
              </w:rPr>
            </w:pPr>
          </w:p>
        </w:tc>
        <w:tc>
          <w:tcPr>
            <w:tcW w:w="283" w:type="dxa"/>
            <w:tcBorders>
              <w:top w:val="nil"/>
              <w:left w:val="nil"/>
              <w:bottom w:val="nil"/>
              <w:right w:val="nil"/>
            </w:tcBorders>
            <w:shd w:val="clear" w:color="auto" w:fill="auto"/>
            <w:vAlign w:val="center"/>
          </w:tcPr>
          <w:p w14:paraId="16ADCE70" w14:textId="77777777" w:rsidR="00B41534" w:rsidRPr="00A40E69" w:rsidRDefault="00B41534" w:rsidP="007160D4">
            <w:pPr>
              <w:pStyle w:val="NoSpacing"/>
              <w:spacing w:line="480" w:lineRule="auto"/>
              <w:jc w:val="center"/>
              <w:rPr>
                <w:rFonts w:ascii="Times New Roman" w:hAnsi="Times New Roman" w:cs="Times New Roman"/>
                <w:sz w:val="16"/>
                <w:szCs w:val="16"/>
                <w:highlight w:val="yellow"/>
                <w:lang w:val="en-US"/>
              </w:rPr>
            </w:pPr>
          </w:p>
        </w:tc>
        <w:tc>
          <w:tcPr>
            <w:tcW w:w="851" w:type="dxa"/>
            <w:tcBorders>
              <w:top w:val="nil"/>
              <w:left w:val="nil"/>
              <w:bottom w:val="nil"/>
              <w:right w:val="nil"/>
            </w:tcBorders>
            <w:shd w:val="clear" w:color="auto" w:fill="auto"/>
            <w:noWrap/>
            <w:vAlign w:val="center"/>
          </w:tcPr>
          <w:p w14:paraId="24D54F78" w14:textId="77777777" w:rsidR="00B41534" w:rsidRPr="00A40E69" w:rsidRDefault="00B41534" w:rsidP="007160D4">
            <w:pPr>
              <w:pStyle w:val="NoSpacing"/>
              <w:spacing w:line="480" w:lineRule="auto"/>
              <w:jc w:val="center"/>
              <w:rPr>
                <w:rFonts w:ascii="Times New Roman" w:hAnsi="Times New Roman" w:cs="Times New Roman"/>
                <w:sz w:val="16"/>
                <w:szCs w:val="16"/>
                <w:highlight w:val="yellow"/>
                <w:lang w:val="en-US"/>
              </w:rPr>
            </w:pPr>
            <w:r w:rsidRPr="00A40E69">
              <w:rPr>
                <w:rFonts w:ascii="Times New Roman" w:hAnsi="Times New Roman" w:cs="Times New Roman"/>
                <w:sz w:val="16"/>
                <w:szCs w:val="16"/>
                <w:lang w:val="en-US"/>
              </w:rPr>
              <w:t>9.52</w:t>
            </w:r>
          </w:p>
        </w:tc>
        <w:tc>
          <w:tcPr>
            <w:tcW w:w="711" w:type="dxa"/>
            <w:tcBorders>
              <w:top w:val="nil"/>
              <w:left w:val="nil"/>
              <w:bottom w:val="nil"/>
              <w:right w:val="nil"/>
            </w:tcBorders>
            <w:shd w:val="clear" w:color="auto" w:fill="auto"/>
            <w:noWrap/>
            <w:vAlign w:val="center"/>
          </w:tcPr>
          <w:p w14:paraId="26566B96" w14:textId="77777777" w:rsidR="00B41534" w:rsidRPr="00A40E69" w:rsidRDefault="00B41534" w:rsidP="007160D4">
            <w:pPr>
              <w:pStyle w:val="NoSpacing"/>
              <w:spacing w:line="480" w:lineRule="auto"/>
              <w:jc w:val="center"/>
              <w:rPr>
                <w:rFonts w:ascii="Times New Roman" w:hAnsi="Times New Roman" w:cs="Times New Roman"/>
                <w:sz w:val="16"/>
                <w:szCs w:val="16"/>
                <w:highlight w:val="yellow"/>
                <w:lang w:val="en-US"/>
              </w:rPr>
            </w:pPr>
            <w:r w:rsidRPr="00A40E69">
              <w:rPr>
                <w:rFonts w:ascii="Times New Roman" w:hAnsi="Times New Roman" w:cs="Times New Roman"/>
                <w:sz w:val="16"/>
                <w:szCs w:val="16"/>
                <w:lang w:val="en-US"/>
              </w:rPr>
              <w:t>0</w:t>
            </w:r>
            <w:r w:rsidRPr="00A40E69">
              <w:rPr>
                <w:rFonts w:ascii="Times New Roman" w:hAnsi="Times New Roman" w:cs="Times New Roman"/>
                <w:lang w:val="en-US"/>
              </w:rPr>
              <w:t xml:space="preserve"> </w:t>
            </w:r>
            <w:r w:rsidRPr="00A40E69">
              <w:rPr>
                <w:rFonts w:ascii="Times New Roman" w:hAnsi="Times New Roman" w:cs="Times New Roman"/>
                <w:sz w:val="16"/>
                <w:szCs w:val="16"/>
                <w:lang w:val="en-US"/>
              </w:rPr>
              <w:t>.98</w:t>
            </w:r>
          </w:p>
        </w:tc>
        <w:tc>
          <w:tcPr>
            <w:tcW w:w="848" w:type="dxa"/>
            <w:tcBorders>
              <w:top w:val="nil"/>
              <w:left w:val="nil"/>
              <w:bottom w:val="nil"/>
              <w:right w:val="nil"/>
            </w:tcBorders>
            <w:shd w:val="clear" w:color="auto" w:fill="auto"/>
            <w:noWrap/>
            <w:vAlign w:val="center"/>
          </w:tcPr>
          <w:p w14:paraId="5C6A2DC9" w14:textId="77777777" w:rsidR="00B41534" w:rsidRPr="00A40E69" w:rsidRDefault="00B41534" w:rsidP="007160D4">
            <w:pPr>
              <w:pStyle w:val="NoSpacing"/>
              <w:spacing w:line="480" w:lineRule="auto"/>
              <w:jc w:val="center"/>
              <w:rPr>
                <w:rFonts w:ascii="Times New Roman" w:hAnsi="Times New Roman" w:cs="Times New Roman"/>
                <w:sz w:val="16"/>
                <w:szCs w:val="16"/>
                <w:highlight w:val="yellow"/>
                <w:lang w:val="en-US"/>
              </w:rPr>
            </w:pPr>
            <w:r w:rsidRPr="00A40E69">
              <w:rPr>
                <w:rFonts w:ascii="Times New Roman" w:hAnsi="Times New Roman" w:cs="Times New Roman"/>
                <w:sz w:val="16"/>
                <w:szCs w:val="16"/>
                <w:lang w:val="en-US"/>
              </w:rPr>
              <w:t>11,475</w:t>
            </w:r>
          </w:p>
        </w:tc>
      </w:tr>
      <w:tr w:rsidR="00B41534" w:rsidRPr="002B0D86" w14:paraId="7E2C9BC7" w14:textId="77777777" w:rsidTr="007160D4">
        <w:trPr>
          <w:trHeight w:val="417"/>
          <w:jc w:val="center"/>
        </w:trPr>
        <w:tc>
          <w:tcPr>
            <w:tcW w:w="2127" w:type="dxa"/>
            <w:tcBorders>
              <w:top w:val="nil"/>
              <w:left w:val="nil"/>
              <w:bottom w:val="nil"/>
              <w:right w:val="nil"/>
            </w:tcBorders>
            <w:shd w:val="clear" w:color="auto" w:fill="auto"/>
            <w:vAlign w:val="center"/>
            <w:hideMark/>
          </w:tcPr>
          <w:p w14:paraId="622CFFB4" w14:textId="77777777" w:rsidR="00B41534" w:rsidRPr="00A40E69" w:rsidRDefault="00B41534" w:rsidP="007160D4">
            <w:pPr>
              <w:pStyle w:val="NoSpacing"/>
              <w:spacing w:line="480" w:lineRule="auto"/>
              <w:rPr>
                <w:rFonts w:ascii="Times New Roman" w:hAnsi="Times New Roman" w:cs="Times New Roman"/>
                <w:b/>
                <w:bCs/>
                <w:sz w:val="16"/>
                <w:szCs w:val="16"/>
                <w:lang w:val="en-US"/>
              </w:rPr>
            </w:pPr>
            <w:r w:rsidRPr="00A40E69">
              <w:rPr>
                <w:rFonts w:ascii="Times New Roman" w:hAnsi="Times New Roman" w:cs="Times New Roman"/>
                <w:b/>
                <w:bCs/>
                <w:sz w:val="16"/>
                <w:szCs w:val="16"/>
                <w:lang w:val="en-US"/>
              </w:rPr>
              <w:t xml:space="preserve">Non-education consumption </w:t>
            </w:r>
          </w:p>
        </w:tc>
        <w:tc>
          <w:tcPr>
            <w:tcW w:w="1275" w:type="dxa"/>
            <w:tcBorders>
              <w:top w:val="nil"/>
              <w:left w:val="nil"/>
              <w:bottom w:val="nil"/>
              <w:right w:val="nil"/>
            </w:tcBorders>
            <w:shd w:val="clear" w:color="auto" w:fill="auto"/>
            <w:noWrap/>
            <w:vAlign w:val="center"/>
            <w:hideMark/>
          </w:tcPr>
          <w:p w14:paraId="735A7554"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20540.42</w:t>
            </w:r>
          </w:p>
        </w:tc>
        <w:tc>
          <w:tcPr>
            <w:tcW w:w="851" w:type="dxa"/>
            <w:tcBorders>
              <w:top w:val="nil"/>
              <w:left w:val="nil"/>
              <w:bottom w:val="nil"/>
              <w:right w:val="nil"/>
            </w:tcBorders>
            <w:shd w:val="clear" w:color="auto" w:fill="auto"/>
            <w:noWrap/>
            <w:vAlign w:val="center"/>
            <w:hideMark/>
          </w:tcPr>
          <w:p w14:paraId="705408A8"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20211.87</w:t>
            </w:r>
          </w:p>
        </w:tc>
        <w:tc>
          <w:tcPr>
            <w:tcW w:w="283" w:type="dxa"/>
            <w:tcBorders>
              <w:top w:val="nil"/>
              <w:left w:val="nil"/>
              <w:bottom w:val="nil"/>
              <w:right w:val="nil"/>
            </w:tcBorders>
            <w:shd w:val="clear" w:color="auto" w:fill="auto"/>
            <w:vAlign w:val="center"/>
            <w:hideMark/>
          </w:tcPr>
          <w:p w14:paraId="62DCF9A8"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p>
        </w:tc>
        <w:tc>
          <w:tcPr>
            <w:tcW w:w="851" w:type="dxa"/>
            <w:tcBorders>
              <w:top w:val="nil"/>
              <w:left w:val="nil"/>
              <w:bottom w:val="nil"/>
              <w:right w:val="nil"/>
            </w:tcBorders>
            <w:shd w:val="clear" w:color="auto" w:fill="auto"/>
            <w:vAlign w:val="center"/>
            <w:hideMark/>
          </w:tcPr>
          <w:p w14:paraId="5262A022"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p>
        </w:tc>
        <w:tc>
          <w:tcPr>
            <w:tcW w:w="709" w:type="dxa"/>
            <w:tcBorders>
              <w:top w:val="nil"/>
              <w:left w:val="nil"/>
              <w:bottom w:val="nil"/>
              <w:right w:val="nil"/>
            </w:tcBorders>
            <w:shd w:val="clear" w:color="auto" w:fill="auto"/>
            <w:vAlign w:val="center"/>
            <w:hideMark/>
          </w:tcPr>
          <w:p w14:paraId="2CA62D17"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p>
        </w:tc>
        <w:tc>
          <w:tcPr>
            <w:tcW w:w="283" w:type="dxa"/>
            <w:tcBorders>
              <w:top w:val="nil"/>
              <w:left w:val="nil"/>
              <w:bottom w:val="nil"/>
              <w:right w:val="nil"/>
            </w:tcBorders>
            <w:shd w:val="clear" w:color="auto" w:fill="auto"/>
            <w:vAlign w:val="center"/>
            <w:hideMark/>
          </w:tcPr>
          <w:p w14:paraId="7E1CA50B"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p>
        </w:tc>
        <w:tc>
          <w:tcPr>
            <w:tcW w:w="851" w:type="dxa"/>
            <w:tcBorders>
              <w:top w:val="nil"/>
              <w:left w:val="nil"/>
              <w:bottom w:val="nil"/>
              <w:right w:val="nil"/>
            </w:tcBorders>
            <w:shd w:val="clear" w:color="auto" w:fill="auto"/>
            <w:noWrap/>
            <w:vAlign w:val="center"/>
            <w:hideMark/>
          </w:tcPr>
          <w:p w14:paraId="2BF48119"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9.52</w:t>
            </w:r>
          </w:p>
        </w:tc>
        <w:tc>
          <w:tcPr>
            <w:tcW w:w="711" w:type="dxa"/>
            <w:tcBorders>
              <w:top w:val="nil"/>
              <w:left w:val="nil"/>
              <w:bottom w:val="nil"/>
              <w:right w:val="nil"/>
            </w:tcBorders>
            <w:shd w:val="clear" w:color="auto" w:fill="auto"/>
            <w:noWrap/>
            <w:vAlign w:val="center"/>
            <w:hideMark/>
          </w:tcPr>
          <w:p w14:paraId="5E095759"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0.98</w:t>
            </w:r>
          </w:p>
        </w:tc>
        <w:tc>
          <w:tcPr>
            <w:tcW w:w="848" w:type="dxa"/>
            <w:tcBorders>
              <w:top w:val="nil"/>
              <w:left w:val="nil"/>
              <w:bottom w:val="nil"/>
              <w:right w:val="nil"/>
            </w:tcBorders>
            <w:shd w:val="clear" w:color="auto" w:fill="auto"/>
            <w:noWrap/>
            <w:vAlign w:val="center"/>
            <w:hideMark/>
          </w:tcPr>
          <w:p w14:paraId="2768E52C"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11,299</w:t>
            </w:r>
          </w:p>
        </w:tc>
      </w:tr>
      <w:tr w:rsidR="00B41534" w:rsidRPr="002B0D86" w14:paraId="0750D2E0" w14:textId="77777777" w:rsidTr="007160D4">
        <w:trPr>
          <w:trHeight w:val="417"/>
          <w:jc w:val="center"/>
        </w:trPr>
        <w:tc>
          <w:tcPr>
            <w:tcW w:w="2127" w:type="dxa"/>
            <w:tcBorders>
              <w:top w:val="nil"/>
              <w:left w:val="nil"/>
              <w:bottom w:val="single" w:sz="4" w:space="0" w:color="auto"/>
              <w:right w:val="nil"/>
            </w:tcBorders>
            <w:shd w:val="clear" w:color="auto" w:fill="auto"/>
            <w:vAlign w:val="center"/>
          </w:tcPr>
          <w:p w14:paraId="1061167C" w14:textId="77777777" w:rsidR="00B41534" w:rsidRPr="00A40E69" w:rsidRDefault="00B41534" w:rsidP="007160D4">
            <w:pPr>
              <w:pStyle w:val="NoSpacing"/>
              <w:spacing w:line="480" w:lineRule="auto"/>
              <w:rPr>
                <w:rFonts w:ascii="Times New Roman" w:hAnsi="Times New Roman" w:cs="Times New Roman"/>
                <w:b/>
                <w:bCs/>
                <w:sz w:val="16"/>
                <w:szCs w:val="16"/>
                <w:lang w:val="en-US"/>
              </w:rPr>
            </w:pPr>
            <w:r w:rsidRPr="00A40E69">
              <w:rPr>
                <w:rFonts w:ascii="Times New Roman" w:hAnsi="Times New Roman" w:cs="Times New Roman"/>
                <w:b/>
                <w:bCs/>
                <w:sz w:val="16"/>
                <w:szCs w:val="16"/>
                <w:lang w:val="en-US"/>
              </w:rPr>
              <w:t>Non-medical consumption</w:t>
            </w:r>
          </w:p>
        </w:tc>
        <w:tc>
          <w:tcPr>
            <w:tcW w:w="1275" w:type="dxa"/>
            <w:tcBorders>
              <w:top w:val="nil"/>
              <w:left w:val="nil"/>
              <w:bottom w:val="single" w:sz="4" w:space="0" w:color="auto"/>
              <w:right w:val="nil"/>
            </w:tcBorders>
            <w:shd w:val="clear" w:color="auto" w:fill="auto"/>
            <w:noWrap/>
            <w:vAlign w:val="center"/>
          </w:tcPr>
          <w:p w14:paraId="77A849D1"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18116.88</w:t>
            </w:r>
          </w:p>
        </w:tc>
        <w:tc>
          <w:tcPr>
            <w:tcW w:w="851" w:type="dxa"/>
            <w:tcBorders>
              <w:top w:val="nil"/>
              <w:left w:val="nil"/>
              <w:bottom w:val="single" w:sz="4" w:space="0" w:color="auto"/>
              <w:right w:val="nil"/>
            </w:tcBorders>
            <w:shd w:val="clear" w:color="auto" w:fill="auto"/>
            <w:noWrap/>
            <w:vAlign w:val="center"/>
          </w:tcPr>
          <w:p w14:paraId="0E24CEAA"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17159.81</w:t>
            </w:r>
          </w:p>
        </w:tc>
        <w:tc>
          <w:tcPr>
            <w:tcW w:w="283" w:type="dxa"/>
            <w:tcBorders>
              <w:top w:val="nil"/>
              <w:left w:val="nil"/>
              <w:bottom w:val="single" w:sz="4" w:space="0" w:color="auto"/>
              <w:right w:val="nil"/>
            </w:tcBorders>
            <w:shd w:val="clear" w:color="auto" w:fill="auto"/>
            <w:vAlign w:val="center"/>
          </w:tcPr>
          <w:p w14:paraId="35190D6D"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p>
        </w:tc>
        <w:tc>
          <w:tcPr>
            <w:tcW w:w="851" w:type="dxa"/>
            <w:tcBorders>
              <w:top w:val="nil"/>
              <w:left w:val="nil"/>
              <w:bottom w:val="single" w:sz="4" w:space="0" w:color="auto"/>
              <w:right w:val="nil"/>
            </w:tcBorders>
            <w:shd w:val="clear" w:color="auto" w:fill="auto"/>
            <w:vAlign w:val="center"/>
          </w:tcPr>
          <w:p w14:paraId="1D24D4E2"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p>
        </w:tc>
        <w:tc>
          <w:tcPr>
            <w:tcW w:w="709" w:type="dxa"/>
            <w:tcBorders>
              <w:top w:val="nil"/>
              <w:left w:val="nil"/>
              <w:bottom w:val="single" w:sz="4" w:space="0" w:color="auto"/>
              <w:right w:val="nil"/>
            </w:tcBorders>
            <w:shd w:val="clear" w:color="auto" w:fill="auto"/>
            <w:vAlign w:val="center"/>
          </w:tcPr>
          <w:p w14:paraId="2907A41D"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p>
        </w:tc>
        <w:tc>
          <w:tcPr>
            <w:tcW w:w="283" w:type="dxa"/>
            <w:tcBorders>
              <w:top w:val="nil"/>
              <w:left w:val="nil"/>
              <w:bottom w:val="single" w:sz="4" w:space="0" w:color="auto"/>
              <w:right w:val="nil"/>
            </w:tcBorders>
            <w:shd w:val="clear" w:color="auto" w:fill="auto"/>
            <w:vAlign w:val="center"/>
          </w:tcPr>
          <w:p w14:paraId="252FC75A"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p>
        </w:tc>
        <w:tc>
          <w:tcPr>
            <w:tcW w:w="851" w:type="dxa"/>
            <w:tcBorders>
              <w:top w:val="nil"/>
              <w:left w:val="nil"/>
              <w:bottom w:val="single" w:sz="4" w:space="0" w:color="auto"/>
              <w:right w:val="nil"/>
            </w:tcBorders>
            <w:shd w:val="clear" w:color="auto" w:fill="auto"/>
            <w:noWrap/>
            <w:vAlign w:val="center"/>
          </w:tcPr>
          <w:p w14:paraId="34FF80DE"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9.39</w:t>
            </w:r>
          </w:p>
        </w:tc>
        <w:tc>
          <w:tcPr>
            <w:tcW w:w="711" w:type="dxa"/>
            <w:tcBorders>
              <w:top w:val="nil"/>
              <w:left w:val="nil"/>
              <w:bottom w:val="single" w:sz="4" w:space="0" w:color="auto"/>
              <w:right w:val="nil"/>
            </w:tcBorders>
            <w:shd w:val="clear" w:color="auto" w:fill="auto"/>
            <w:noWrap/>
            <w:vAlign w:val="center"/>
          </w:tcPr>
          <w:p w14:paraId="48FF8ED4"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1.06</w:t>
            </w:r>
          </w:p>
        </w:tc>
        <w:tc>
          <w:tcPr>
            <w:tcW w:w="848" w:type="dxa"/>
            <w:tcBorders>
              <w:top w:val="nil"/>
              <w:left w:val="nil"/>
              <w:bottom w:val="single" w:sz="4" w:space="0" w:color="auto"/>
              <w:right w:val="nil"/>
            </w:tcBorders>
            <w:shd w:val="clear" w:color="auto" w:fill="auto"/>
            <w:noWrap/>
            <w:vAlign w:val="center"/>
          </w:tcPr>
          <w:p w14:paraId="0F172E1D" w14:textId="77777777" w:rsidR="00B41534" w:rsidRPr="00A40E69" w:rsidRDefault="00B41534" w:rsidP="007160D4">
            <w:pPr>
              <w:pStyle w:val="NoSpacing"/>
              <w:spacing w:line="480" w:lineRule="auto"/>
              <w:jc w:val="center"/>
              <w:rPr>
                <w:rFonts w:ascii="Times New Roman" w:hAnsi="Times New Roman" w:cs="Times New Roman"/>
                <w:sz w:val="16"/>
                <w:szCs w:val="16"/>
                <w:lang w:val="en-US"/>
              </w:rPr>
            </w:pPr>
            <w:r w:rsidRPr="00A40E69">
              <w:rPr>
                <w:rFonts w:ascii="Times New Roman" w:hAnsi="Times New Roman" w:cs="Times New Roman"/>
                <w:sz w:val="16"/>
                <w:szCs w:val="16"/>
                <w:lang w:val="en-US"/>
              </w:rPr>
              <w:t>11580</w:t>
            </w:r>
          </w:p>
        </w:tc>
      </w:tr>
    </w:tbl>
    <w:p w14:paraId="42B681AA" w14:textId="77777777" w:rsidR="00B41534" w:rsidRPr="00A40E69" w:rsidRDefault="00B41534" w:rsidP="00B41534">
      <w:pPr>
        <w:jc w:val="both"/>
        <w:rPr>
          <w:sz w:val="16"/>
          <w:szCs w:val="16"/>
          <w:lang w:val="en-US"/>
        </w:rPr>
      </w:pPr>
    </w:p>
    <w:p w14:paraId="6E9929A0" w14:textId="60958BAC" w:rsidR="00B41534" w:rsidRPr="00A40E69" w:rsidRDefault="00B41534" w:rsidP="006B10C5">
      <w:pPr>
        <w:jc w:val="both"/>
        <w:rPr>
          <w:sz w:val="16"/>
          <w:szCs w:val="16"/>
          <w:lang w:val="en-US"/>
        </w:rPr>
      </w:pPr>
      <w:r w:rsidRPr="00A40E69">
        <w:rPr>
          <w:i/>
          <w:sz w:val="16"/>
          <w:szCs w:val="16"/>
          <w:lang w:val="en-US"/>
        </w:rPr>
        <w:t>Note:</w:t>
      </w:r>
      <w:r w:rsidRPr="00A40E69">
        <w:rPr>
          <w:sz w:val="16"/>
          <w:szCs w:val="16"/>
          <w:lang w:val="en-US"/>
        </w:rPr>
        <w:t xml:space="preserve"> The sample includes households who participated in both the 2011 and 2013 waves of the survey, provided age information for every household member, and had heads aged 45 and above in both waves. Means of </w:t>
      </w:r>
      <w:r w:rsidRPr="00A40E69">
        <w:rPr>
          <w:noProof/>
          <w:sz w:val="16"/>
          <w:szCs w:val="16"/>
          <w:lang w:val="en-US"/>
        </w:rPr>
        <w:t>all variables are expressed in  RMB.</w:t>
      </w:r>
      <w:r w:rsidRPr="00A40E69">
        <w:rPr>
          <w:sz w:val="16"/>
          <w:szCs w:val="16"/>
          <w:lang w:val="en-US"/>
        </w:rPr>
        <w:t xml:space="preserve"> </w:t>
      </w:r>
      <w:r w:rsidR="00D43680">
        <w:rPr>
          <w:sz w:val="16"/>
          <w:szCs w:val="16"/>
          <w:lang w:val="en-US"/>
        </w:rPr>
        <w:t>All consumption aggregates</w:t>
      </w:r>
      <w:r w:rsidR="00D43680" w:rsidRPr="00D43680">
        <w:rPr>
          <w:sz w:val="16"/>
          <w:szCs w:val="16"/>
          <w:lang w:val="en-US"/>
        </w:rPr>
        <w:t xml:space="preserve"> </w:t>
      </w:r>
      <w:r w:rsidR="00D43680">
        <w:rPr>
          <w:sz w:val="16"/>
          <w:szCs w:val="16"/>
          <w:lang w:val="en-US"/>
        </w:rPr>
        <w:t xml:space="preserve">are </w:t>
      </w:r>
      <w:r w:rsidR="00D43680" w:rsidRPr="00D43680">
        <w:rPr>
          <w:sz w:val="16"/>
          <w:szCs w:val="16"/>
          <w:lang w:val="en-US"/>
        </w:rPr>
        <w:t xml:space="preserve">converted into real terms using the province-level Consumer Price Index (CPI) </w:t>
      </w:r>
      <w:r w:rsidR="00D43680" w:rsidRPr="00A40E69">
        <w:rPr>
          <w:sz w:val="16"/>
          <w:szCs w:val="16"/>
          <w:lang w:val="en-US"/>
        </w:rPr>
        <w:t>obtained from the China Statistical Yearbook</w:t>
      </w:r>
      <w:r w:rsidR="00D43680" w:rsidRPr="00D43680">
        <w:rPr>
          <w:sz w:val="16"/>
          <w:szCs w:val="16"/>
          <w:lang w:val="en-US"/>
        </w:rPr>
        <w:t xml:space="preserve"> </w:t>
      </w:r>
      <w:r w:rsidR="000A6D63">
        <w:rPr>
          <w:sz w:val="16"/>
          <w:szCs w:val="16"/>
          <w:lang w:val="en-US"/>
        </w:rPr>
        <w:t>with</w:t>
      </w:r>
      <w:r w:rsidR="00D43680" w:rsidRPr="00D43680">
        <w:rPr>
          <w:sz w:val="16"/>
          <w:szCs w:val="16"/>
          <w:lang w:val="en-US"/>
        </w:rPr>
        <w:t xml:space="preserve"> 2011 as the base year. </w:t>
      </w:r>
      <w:r w:rsidR="00D43680">
        <w:rPr>
          <w:sz w:val="16"/>
          <w:szCs w:val="16"/>
          <w:lang w:val="en-US"/>
        </w:rPr>
        <w:t xml:space="preserve">See </w:t>
      </w:r>
      <w:r w:rsidRPr="00A40E69">
        <w:rPr>
          <w:sz w:val="16"/>
          <w:szCs w:val="16"/>
          <w:lang w:val="en-US"/>
        </w:rPr>
        <w:t xml:space="preserve">Table </w:t>
      </w:r>
      <w:r w:rsidR="006B10C5">
        <w:rPr>
          <w:sz w:val="16"/>
          <w:szCs w:val="16"/>
          <w:lang w:val="en-US"/>
        </w:rPr>
        <w:t>2 in the paper</w:t>
      </w:r>
      <w:r w:rsidRPr="00A40E69">
        <w:rPr>
          <w:sz w:val="16"/>
          <w:szCs w:val="16"/>
          <w:lang w:val="en-US"/>
        </w:rPr>
        <w:t xml:space="preserve"> for definitions of the consumption categories.</w:t>
      </w:r>
    </w:p>
    <w:p w14:paraId="04DEDB49" w14:textId="77777777" w:rsidR="00B41534" w:rsidRPr="00A40E69" w:rsidRDefault="00B41534" w:rsidP="00B41534">
      <w:pPr>
        <w:rPr>
          <w:lang w:val="en-US"/>
        </w:rPr>
        <w:sectPr w:rsidR="00B41534" w:rsidRPr="00A40E69" w:rsidSect="00A41E55">
          <w:headerReference w:type="default" r:id="rId11"/>
          <w:endnotePr>
            <w:numFmt w:val="decimal"/>
          </w:endnotePr>
          <w:pgSz w:w="11906" w:h="16838"/>
          <w:pgMar w:top="1440" w:right="1440" w:bottom="1440" w:left="1440" w:header="709" w:footer="709" w:gutter="0"/>
          <w:cols w:space="708"/>
          <w:docGrid w:linePitch="360"/>
        </w:sectPr>
      </w:pPr>
      <w:r w:rsidRPr="00A40E69">
        <w:rPr>
          <w:i/>
          <w:sz w:val="16"/>
          <w:szCs w:val="16"/>
          <w:lang w:val="en-US"/>
        </w:rPr>
        <w:t>Source:</w:t>
      </w:r>
      <w:r w:rsidRPr="00A40E69">
        <w:rPr>
          <w:sz w:val="16"/>
          <w:szCs w:val="16"/>
          <w:lang w:val="en-US"/>
        </w:rPr>
        <w:t xml:space="preserve"> Authors’ calculations based on the CHARLS and the China Statistical Yearbook.</w:t>
      </w:r>
    </w:p>
    <w:p w14:paraId="748F323E" w14:textId="610A3F34" w:rsidR="00B41534" w:rsidRPr="00A40E69" w:rsidRDefault="00B41534" w:rsidP="00B41534">
      <w:pPr>
        <w:pStyle w:val="Caption"/>
        <w:ind w:left="2160" w:firstLine="720"/>
        <w:jc w:val="left"/>
        <w:rPr>
          <w:b w:val="0"/>
          <w:bCs/>
          <w:lang w:val="en-US"/>
        </w:rPr>
      </w:pPr>
      <w:r w:rsidRPr="00A40E69">
        <w:rPr>
          <w:lang w:val="en-US"/>
        </w:rPr>
        <w:lastRenderedPageBreak/>
        <w:t xml:space="preserve">Table </w:t>
      </w:r>
      <w:r w:rsidR="005F0798">
        <w:rPr>
          <w:lang w:val="en-US"/>
        </w:rPr>
        <w:t>A</w:t>
      </w:r>
      <w:r w:rsidR="00CE2A44">
        <w:rPr>
          <w:lang w:val="en-US"/>
        </w:rPr>
        <w:t>3</w:t>
      </w:r>
      <w:r w:rsidRPr="00A40E69">
        <w:rPr>
          <w:lang w:val="en-US"/>
        </w:rPr>
        <w:t xml:space="preserve">. </w:t>
      </w:r>
      <w:r w:rsidRPr="00A40E69">
        <w:rPr>
          <w:b w:val="0"/>
          <w:bCs/>
          <w:lang w:val="en-US"/>
        </w:rPr>
        <w:t>Consumption in the two waves of the CHARLS for households with leavers</w:t>
      </w:r>
    </w:p>
    <w:p w14:paraId="3487739A" w14:textId="77777777" w:rsidR="00B41534" w:rsidRPr="00A40E69" w:rsidRDefault="00B41534" w:rsidP="00B41534">
      <w:pPr>
        <w:rPr>
          <w:lang w:val="en-US"/>
        </w:rPr>
      </w:pPr>
    </w:p>
    <w:tbl>
      <w:tblPr>
        <w:tblpPr w:leftFromText="180" w:rightFromText="180" w:vertAnchor="text" w:tblpXSpec="center" w:tblpY="1"/>
        <w:tblOverlap w:val="never"/>
        <w:tblW w:w="12900" w:type="dxa"/>
        <w:tblLayout w:type="fixed"/>
        <w:tblLook w:val="04A0" w:firstRow="1" w:lastRow="0" w:firstColumn="1" w:lastColumn="0" w:noHBand="0" w:noVBand="1"/>
      </w:tblPr>
      <w:tblGrid>
        <w:gridCol w:w="2552"/>
        <w:gridCol w:w="850"/>
        <w:gridCol w:w="906"/>
        <w:gridCol w:w="1092"/>
        <w:gridCol w:w="236"/>
        <w:gridCol w:w="1127"/>
        <w:gridCol w:w="1330"/>
        <w:gridCol w:w="1092"/>
        <w:gridCol w:w="236"/>
        <w:gridCol w:w="1077"/>
        <w:gridCol w:w="1331"/>
        <w:gridCol w:w="1071"/>
      </w:tblGrid>
      <w:tr w:rsidR="00B41534" w:rsidRPr="002B0D86" w14:paraId="372704D1" w14:textId="77777777" w:rsidTr="007160D4">
        <w:trPr>
          <w:trHeight w:val="340"/>
        </w:trPr>
        <w:tc>
          <w:tcPr>
            <w:tcW w:w="2552" w:type="dxa"/>
            <w:tcBorders>
              <w:top w:val="single" w:sz="4" w:space="0" w:color="auto"/>
              <w:left w:val="nil"/>
              <w:bottom w:val="single" w:sz="8" w:space="0" w:color="auto"/>
              <w:right w:val="nil"/>
            </w:tcBorders>
            <w:shd w:val="clear" w:color="auto" w:fill="auto"/>
            <w:vAlign w:val="center"/>
          </w:tcPr>
          <w:p w14:paraId="4B6AB72F" w14:textId="77777777" w:rsidR="00B41534" w:rsidRPr="00A40E69" w:rsidRDefault="00B41534" w:rsidP="007160D4">
            <w:pPr>
              <w:pStyle w:val="NoSpacing"/>
              <w:rPr>
                <w:rFonts w:ascii="Times New Roman" w:hAnsi="Times New Roman" w:cs="Times New Roman"/>
                <w:b/>
                <w:bCs/>
                <w:sz w:val="20"/>
                <w:szCs w:val="20"/>
                <w:lang w:val="en-US"/>
              </w:rPr>
            </w:pPr>
          </w:p>
        </w:tc>
        <w:tc>
          <w:tcPr>
            <w:tcW w:w="2848" w:type="dxa"/>
            <w:gridSpan w:val="3"/>
            <w:tcBorders>
              <w:top w:val="single" w:sz="4" w:space="0" w:color="auto"/>
              <w:left w:val="nil"/>
              <w:bottom w:val="single" w:sz="8" w:space="0" w:color="auto"/>
              <w:right w:val="nil"/>
            </w:tcBorders>
            <w:shd w:val="clear" w:color="auto" w:fill="auto"/>
            <w:vAlign w:val="center"/>
          </w:tcPr>
          <w:p w14:paraId="5802508D" w14:textId="77777777" w:rsidR="00B41534" w:rsidRPr="00A40E69" w:rsidRDefault="00B41534" w:rsidP="007160D4">
            <w:pPr>
              <w:pStyle w:val="NoSpacing"/>
              <w:jc w:val="center"/>
              <w:rPr>
                <w:rFonts w:ascii="Times New Roman" w:hAnsi="Times New Roman" w:cs="Times New Roman"/>
                <w:b/>
                <w:bCs/>
                <w:sz w:val="20"/>
                <w:szCs w:val="20"/>
                <w:lang w:val="en-US"/>
              </w:rPr>
            </w:pPr>
            <w:r w:rsidRPr="00A40E69">
              <w:rPr>
                <w:rFonts w:ascii="Times New Roman" w:hAnsi="Times New Roman" w:cs="Times New Roman"/>
                <w:b/>
                <w:bCs/>
                <w:sz w:val="20"/>
                <w:szCs w:val="20"/>
                <w:lang w:val="en-US"/>
              </w:rPr>
              <w:t>2011</w:t>
            </w:r>
          </w:p>
        </w:tc>
        <w:tc>
          <w:tcPr>
            <w:tcW w:w="236" w:type="dxa"/>
            <w:tcBorders>
              <w:top w:val="single" w:sz="4" w:space="0" w:color="auto"/>
              <w:left w:val="nil"/>
              <w:bottom w:val="single" w:sz="8" w:space="0" w:color="auto"/>
              <w:right w:val="nil"/>
            </w:tcBorders>
            <w:shd w:val="clear" w:color="auto" w:fill="auto"/>
            <w:vAlign w:val="center"/>
          </w:tcPr>
          <w:p w14:paraId="6BD92030" w14:textId="77777777" w:rsidR="00B41534" w:rsidRPr="00A40E69" w:rsidRDefault="00B41534" w:rsidP="007160D4">
            <w:pPr>
              <w:pStyle w:val="NoSpacing"/>
              <w:jc w:val="center"/>
              <w:rPr>
                <w:rFonts w:ascii="Times New Roman" w:hAnsi="Times New Roman" w:cs="Times New Roman"/>
                <w:b/>
                <w:bCs/>
                <w:sz w:val="20"/>
                <w:szCs w:val="20"/>
                <w:lang w:val="en-US"/>
              </w:rPr>
            </w:pPr>
          </w:p>
        </w:tc>
        <w:tc>
          <w:tcPr>
            <w:tcW w:w="3549" w:type="dxa"/>
            <w:gridSpan w:val="3"/>
            <w:tcBorders>
              <w:top w:val="single" w:sz="4" w:space="0" w:color="auto"/>
              <w:left w:val="nil"/>
              <w:bottom w:val="single" w:sz="8" w:space="0" w:color="auto"/>
              <w:right w:val="nil"/>
            </w:tcBorders>
            <w:shd w:val="clear" w:color="auto" w:fill="auto"/>
            <w:vAlign w:val="center"/>
          </w:tcPr>
          <w:p w14:paraId="03B4D205" w14:textId="77777777" w:rsidR="00B41534" w:rsidRPr="00A40E69" w:rsidRDefault="00B41534" w:rsidP="007160D4">
            <w:pPr>
              <w:pStyle w:val="NoSpacing"/>
              <w:jc w:val="center"/>
              <w:rPr>
                <w:rFonts w:ascii="Times New Roman" w:hAnsi="Times New Roman" w:cs="Times New Roman"/>
                <w:b/>
                <w:bCs/>
                <w:sz w:val="20"/>
                <w:szCs w:val="20"/>
                <w:lang w:val="en-US"/>
              </w:rPr>
            </w:pPr>
            <w:r w:rsidRPr="00A40E69">
              <w:rPr>
                <w:rFonts w:ascii="Times New Roman" w:hAnsi="Times New Roman" w:cs="Times New Roman"/>
                <w:b/>
                <w:bCs/>
                <w:sz w:val="20"/>
                <w:szCs w:val="20"/>
                <w:lang w:val="en-US"/>
              </w:rPr>
              <w:t>2013</w:t>
            </w:r>
          </w:p>
        </w:tc>
        <w:tc>
          <w:tcPr>
            <w:tcW w:w="236" w:type="dxa"/>
            <w:tcBorders>
              <w:top w:val="single" w:sz="4" w:space="0" w:color="auto"/>
              <w:left w:val="nil"/>
              <w:bottom w:val="single" w:sz="8" w:space="0" w:color="auto"/>
              <w:right w:val="nil"/>
            </w:tcBorders>
            <w:shd w:val="clear" w:color="auto" w:fill="auto"/>
            <w:vAlign w:val="center"/>
          </w:tcPr>
          <w:p w14:paraId="4AE9B19A" w14:textId="77777777" w:rsidR="00B41534" w:rsidRPr="00A40E69" w:rsidRDefault="00B41534" w:rsidP="007160D4">
            <w:pPr>
              <w:pStyle w:val="NoSpacing"/>
              <w:jc w:val="center"/>
              <w:rPr>
                <w:rFonts w:ascii="Times New Roman" w:hAnsi="Times New Roman" w:cs="Times New Roman"/>
                <w:b/>
                <w:bCs/>
                <w:sz w:val="20"/>
                <w:szCs w:val="20"/>
                <w:lang w:val="en-US"/>
              </w:rPr>
            </w:pPr>
          </w:p>
        </w:tc>
        <w:tc>
          <w:tcPr>
            <w:tcW w:w="3479" w:type="dxa"/>
            <w:gridSpan w:val="3"/>
            <w:tcBorders>
              <w:top w:val="single" w:sz="4" w:space="0" w:color="auto"/>
              <w:left w:val="nil"/>
              <w:bottom w:val="single" w:sz="8" w:space="0" w:color="auto"/>
              <w:right w:val="nil"/>
            </w:tcBorders>
            <w:shd w:val="clear" w:color="auto" w:fill="auto"/>
            <w:vAlign w:val="center"/>
          </w:tcPr>
          <w:p w14:paraId="024F4C19" w14:textId="77777777" w:rsidR="00B41534" w:rsidRPr="00A40E69" w:rsidRDefault="00B41534" w:rsidP="007160D4">
            <w:pPr>
              <w:pStyle w:val="NoSpacing"/>
              <w:jc w:val="center"/>
              <w:rPr>
                <w:rFonts w:ascii="Times New Roman" w:hAnsi="Times New Roman" w:cs="Times New Roman"/>
                <w:b/>
                <w:bCs/>
                <w:sz w:val="20"/>
                <w:szCs w:val="20"/>
                <w:lang w:val="en-US"/>
              </w:rPr>
            </w:pPr>
            <w:r w:rsidRPr="00A40E69">
              <w:rPr>
                <w:rFonts w:ascii="Times New Roman" w:hAnsi="Times New Roman" w:cs="Times New Roman"/>
                <w:b/>
                <w:bCs/>
                <w:sz w:val="20"/>
                <w:szCs w:val="20"/>
                <w:lang w:val="en-US"/>
              </w:rPr>
              <w:t>Difference</w:t>
            </w:r>
          </w:p>
        </w:tc>
      </w:tr>
      <w:tr w:rsidR="00B41534" w:rsidRPr="002B0D86" w14:paraId="4B737807" w14:textId="77777777" w:rsidTr="007160D4">
        <w:trPr>
          <w:trHeight w:val="63"/>
        </w:trPr>
        <w:tc>
          <w:tcPr>
            <w:tcW w:w="2552" w:type="dxa"/>
            <w:tcBorders>
              <w:top w:val="nil"/>
              <w:left w:val="nil"/>
              <w:bottom w:val="single" w:sz="8" w:space="0" w:color="auto"/>
              <w:right w:val="nil"/>
            </w:tcBorders>
            <w:shd w:val="clear" w:color="auto" w:fill="auto"/>
            <w:vAlign w:val="center"/>
            <w:hideMark/>
          </w:tcPr>
          <w:p w14:paraId="6EF0A66F" w14:textId="77777777" w:rsidR="00B41534" w:rsidRPr="00A40E69" w:rsidRDefault="00B41534" w:rsidP="007160D4">
            <w:pPr>
              <w:pStyle w:val="NoSpacing"/>
              <w:rPr>
                <w:rFonts w:ascii="Times New Roman" w:hAnsi="Times New Roman" w:cs="Times New Roman"/>
                <w:b/>
                <w:bCs/>
                <w:sz w:val="20"/>
                <w:szCs w:val="20"/>
                <w:lang w:val="en-US"/>
              </w:rPr>
            </w:pPr>
            <w:r w:rsidRPr="00A40E69">
              <w:rPr>
                <w:rFonts w:ascii="Times New Roman" w:hAnsi="Times New Roman" w:cs="Times New Roman"/>
                <w:b/>
                <w:bCs/>
                <w:sz w:val="20"/>
                <w:szCs w:val="20"/>
                <w:lang w:val="en-US"/>
              </w:rPr>
              <w:t>Variables</w:t>
            </w:r>
          </w:p>
        </w:tc>
        <w:tc>
          <w:tcPr>
            <w:tcW w:w="850" w:type="dxa"/>
            <w:tcBorders>
              <w:top w:val="nil"/>
              <w:left w:val="nil"/>
              <w:bottom w:val="single" w:sz="8" w:space="0" w:color="auto"/>
              <w:right w:val="nil"/>
            </w:tcBorders>
            <w:shd w:val="clear" w:color="auto" w:fill="auto"/>
            <w:vAlign w:val="center"/>
            <w:hideMark/>
          </w:tcPr>
          <w:p w14:paraId="212DDF5F" w14:textId="77777777" w:rsidR="00B41534" w:rsidRPr="00A40E69" w:rsidRDefault="00B41534" w:rsidP="007160D4">
            <w:pPr>
              <w:pStyle w:val="NoSpacing"/>
              <w:jc w:val="center"/>
              <w:rPr>
                <w:rFonts w:ascii="Times New Roman" w:hAnsi="Times New Roman" w:cs="Times New Roman"/>
                <w:b/>
                <w:bCs/>
                <w:sz w:val="20"/>
                <w:szCs w:val="20"/>
                <w:lang w:val="en-US"/>
              </w:rPr>
            </w:pPr>
            <w:r w:rsidRPr="00A40E69">
              <w:rPr>
                <w:rFonts w:ascii="Times New Roman" w:hAnsi="Times New Roman" w:cs="Times New Roman"/>
                <w:b/>
                <w:bCs/>
                <w:sz w:val="20"/>
                <w:szCs w:val="20"/>
                <w:lang w:val="en-US"/>
              </w:rPr>
              <w:t>Obs.</w:t>
            </w:r>
          </w:p>
        </w:tc>
        <w:tc>
          <w:tcPr>
            <w:tcW w:w="906" w:type="dxa"/>
            <w:tcBorders>
              <w:top w:val="nil"/>
              <w:left w:val="nil"/>
              <w:bottom w:val="single" w:sz="8" w:space="0" w:color="auto"/>
              <w:right w:val="nil"/>
            </w:tcBorders>
            <w:shd w:val="clear" w:color="auto" w:fill="auto"/>
            <w:vAlign w:val="center"/>
            <w:hideMark/>
          </w:tcPr>
          <w:p w14:paraId="77DEFA7A" w14:textId="77777777" w:rsidR="00B41534" w:rsidRPr="00A40E69" w:rsidRDefault="00B41534" w:rsidP="007160D4">
            <w:pPr>
              <w:pStyle w:val="NoSpacing"/>
              <w:jc w:val="center"/>
              <w:rPr>
                <w:rFonts w:ascii="Times New Roman" w:hAnsi="Times New Roman" w:cs="Times New Roman"/>
                <w:b/>
                <w:bCs/>
                <w:sz w:val="20"/>
                <w:szCs w:val="20"/>
                <w:lang w:val="en-US"/>
              </w:rPr>
            </w:pPr>
            <w:r w:rsidRPr="00A40E69">
              <w:rPr>
                <w:rFonts w:ascii="Times New Roman" w:hAnsi="Times New Roman" w:cs="Times New Roman"/>
                <w:b/>
                <w:bCs/>
                <w:sz w:val="20"/>
                <w:szCs w:val="20"/>
                <w:lang w:val="en-US"/>
              </w:rPr>
              <w:t>Mean</w:t>
            </w:r>
          </w:p>
        </w:tc>
        <w:tc>
          <w:tcPr>
            <w:tcW w:w="1092" w:type="dxa"/>
            <w:tcBorders>
              <w:top w:val="nil"/>
              <w:left w:val="nil"/>
              <w:bottom w:val="single" w:sz="8" w:space="0" w:color="auto"/>
              <w:right w:val="nil"/>
            </w:tcBorders>
            <w:shd w:val="clear" w:color="auto" w:fill="auto"/>
            <w:vAlign w:val="center"/>
            <w:hideMark/>
          </w:tcPr>
          <w:p w14:paraId="403C18A6" w14:textId="77777777" w:rsidR="00B41534" w:rsidRPr="00A40E69" w:rsidRDefault="00B41534" w:rsidP="007160D4">
            <w:pPr>
              <w:pStyle w:val="NoSpacing"/>
              <w:jc w:val="center"/>
              <w:rPr>
                <w:rFonts w:ascii="Times New Roman" w:hAnsi="Times New Roman" w:cs="Times New Roman"/>
                <w:b/>
                <w:bCs/>
                <w:sz w:val="20"/>
                <w:szCs w:val="20"/>
                <w:lang w:val="en-US"/>
              </w:rPr>
            </w:pPr>
            <w:r w:rsidRPr="00A40E69">
              <w:rPr>
                <w:rFonts w:ascii="Times New Roman" w:hAnsi="Times New Roman" w:cs="Times New Roman"/>
                <w:b/>
                <w:bCs/>
                <w:sz w:val="20"/>
                <w:szCs w:val="20"/>
                <w:lang w:val="en-US"/>
              </w:rPr>
              <w:t>Relative share</w:t>
            </w:r>
          </w:p>
        </w:tc>
        <w:tc>
          <w:tcPr>
            <w:tcW w:w="236" w:type="dxa"/>
            <w:tcBorders>
              <w:top w:val="nil"/>
              <w:left w:val="nil"/>
              <w:bottom w:val="single" w:sz="8" w:space="0" w:color="auto"/>
              <w:right w:val="nil"/>
            </w:tcBorders>
            <w:shd w:val="clear" w:color="auto" w:fill="auto"/>
            <w:vAlign w:val="center"/>
            <w:hideMark/>
          </w:tcPr>
          <w:p w14:paraId="5C8A7BBC" w14:textId="77777777" w:rsidR="00B41534" w:rsidRPr="00A40E69" w:rsidRDefault="00B41534" w:rsidP="007160D4">
            <w:pPr>
              <w:pStyle w:val="NoSpacing"/>
              <w:jc w:val="center"/>
              <w:rPr>
                <w:rFonts w:ascii="Times New Roman" w:hAnsi="Times New Roman" w:cs="Times New Roman"/>
                <w:b/>
                <w:bCs/>
                <w:sz w:val="20"/>
                <w:szCs w:val="20"/>
                <w:lang w:val="en-US"/>
              </w:rPr>
            </w:pPr>
          </w:p>
        </w:tc>
        <w:tc>
          <w:tcPr>
            <w:tcW w:w="1127" w:type="dxa"/>
            <w:tcBorders>
              <w:top w:val="nil"/>
              <w:left w:val="nil"/>
              <w:bottom w:val="single" w:sz="8" w:space="0" w:color="auto"/>
              <w:right w:val="nil"/>
            </w:tcBorders>
            <w:shd w:val="clear" w:color="auto" w:fill="auto"/>
            <w:vAlign w:val="center"/>
            <w:hideMark/>
          </w:tcPr>
          <w:p w14:paraId="47B9B68F" w14:textId="77777777" w:rsidR="00B41534" w:rsidRPr="00A40E69" w:rsidRDefault="00B41534" w:rsidP="007160D4">
            <w:pPr>
              <w:pStyle w:val="NoSpacing"/>
              <w:jc w:val="center"/>
              <w:rPr>
                <w:rFonts w:ascii="Times New Roman" w:hAnsi="Times New Roman" w:cs="Times New Roman"/>
                <w:b/>
                <w:bCs/>
                <w:sz w:val="20"/>
                <w:szCs w:val="20"/>
                <w:lang w:val="en-US"/>
              </w:rPr>
            </w:pPr>
            <w:r w:rsidRPr="00A40E69">
              <w:rPr>
                <w:rFonts w:ascii="Times New Roman" w:hAnsi="Times New Roman" w:cs="Times New Roman"/>
                <w:b/>
                <w:bCs/>
                <w:sz w:val="20"/>
                <w:szCs w:val="20"/>
                <w:lang w:val="en-US"/>
              </w:rPr>
              <w:t>Obs.</w:t>
            </w:r>
          </w:p>
        </w:tc>
        <w:tc>
          <w:tcPr>
            <w:tcW w:w="1330" w:type="dxa"/>
            <w:tcBorders>
              <w:top w:val="nil"/>
              <w:left w:val="nil"/>
              <w:bottom w:val="single" w:sz="8" w:space="0" w:color="auto"/>
              <w:right w:val="nil"/>
            </w:tcBorders>
            <w:shd w:val="clear" w:color="auto" w:fill="auto"/>
            <w:vAlign w:val="center"/>
            <w:hideMark/>
          </w:tcPr>
          <w:p w14:paraId="3A9D6EEE" w14:textId="77777777" w:rsidR="00B41534" w:rsidRPr="00A40E69" w:rsidRDefault="00B41534" w:rsidP="007160D4">
            <w:pPr>
              <w:pStyle w:val="NoSpacing"/>
              <w:jc w:val="center"/>
              <w:rPr>
                <w:rFonts w:ascii="Times New Roman" w:hAnsi="Times New Roman" w:cs="Times New Roman"/>
                <w:b/>
                <w:bCs/>
                <w:sz w:val="20"/>
                <w:szCs w:val="20"/>
                <w:lang w:val="en-US"/>
              </w:rPr>
            </w:pPr>
            <w:r w:rsidRPr="00A40E69">
              <w:rPr>
                <w:rFonts w:ascii="Times New Roman" w:hAnsi="Times New Roman" w:cs="Times New Roman"/>
                <w:b/>
                <w:bCs/>
                <w:sz w:val="20"/>
                <w:szCs w:val="20"/>
                <w:lang w:val="en-US"/>
              </w:rPr>
              <w:t>Mean</w:t>
            </w:r>
          </w:p>
        </w:tc>
        <w:tc>
          <w:tcPr>
            <w:tcW w:w="1092" w:type="dxa"/>
            <w:tcBorders>
              <w:top w:val="nil"/>
              <w:left w:val="nil"/>
              <w:bottom w:val="single" w:sz="8" w:space="0" w:color="auto"/>
              <w:right w:val="nil"/>
            </w:tcBorders>
            <w:shd w:val="clear" w:color="auto" w:fill="auto"/>
            <w:vAlign w:val="center"/>
            <w:hideMark/>
          </w:tcPr>
          <w:p w14:paraId="44B57847" w14:textId="77777777" w:rsidR="00B41534" w:rsidRPr="00A40E69" w:rsidRDefault="00B41534" w:rsidP="007160D4">
            <w:pPr>
              <w:pStyle w:val="NoSpacing"/>
              <w:jc w:val="center"/>
              <w:rPr>
                <w:rFonts w:ascii="Times New Roman" w:hAnsi="Times New Roman" w:cs="Times New Roman"/>
                <w:b/>
                <w:bCs/>
                <w:sz w:val="20"/>
                <w:szCs w:val="20"/>
                <w:lang w:val="en-US"/>
              </w:rPr>
            </w:pPr>
            <w:r w:rsidRPr="00A40E69">
              <w:rPr>
                <w:rFonts w:ascii="Times New Roman" w:hAnsi="Times New Roman" w:cs="Times New Roman"/>
                <w:b/>
                <w:bCs/>
                <w:sz w:val="20"/>
                <w:szCs w:val="20"/>
                <w:lang w:val="en-US"/>
              </w:rPr>
              <w:t>Relative share</w:t>
            </w:r>
          </w:p>
        </w:tc>
        <w:tc>
          <w:tcPr>
            <w:tcW w:w="236" w:type="dxa"/>
            <w:tcBorders>
              <w:top w:val="nil"/>
              <w:left w:val="nil"/>
              <w:bottom w:val="single" w:sz="8" w:space="0" w:color="auto"/>
              <w:right w:val="nil"/>
            </w:tcBorders>
            <w:shd w:val="clear" w:color="auto" w:fill="auto"/>
            <w:vAlign w:val="center"/>
            <w:hideMark/>
          </w:tcPr>
          <w:p w14:paraId="00D41124" w14:textId="77777777" w:rsidR="00B41534" w:rsidRPr="00A40E69" w:rsidRDefault="00B41534" w:rsidP="007160D4">
            <w:pPr>
              <w:pStyle w:val="NoSpacing"/>
              <w:jc w:val="center"/>
              <w:rPr>
                <w:rFonts w:ascii="Times New Roman" w:hAnsi="Times New Roman" w:cs="Times New Roman"/>
                <w:b/>
                <w:bCs/>
                <w:sz w:val="20"/>
                <w:szCs w:val="20"/>
                <w:lang w:val="en-US"/>
              </w:rPr>
            </w:pPr>
          </w:p>
        </w:tc>
        <w:tc>
          <w:tcPr>
            <w:tcW w:w="1077" w:type="dxa"/>
            <w:tcBorders>
              <w:top w:val="nil"/>
              <w:left w:val="nil"/>
              <w:bottom w:val="single" w:sz="8" w:space="0" w:color="auto"/>
              <w:right w:val="nil"/>
            </w:tcBorders>
            <w:shd w:val="clear" w:color="auto" w:fill="auto"/>
            <w:vAlign w:val="center"/>
            <w:hideMark/>
          </w:tcPr>
          <w:p w14:paraId="62A24148" w14:textId="77777777" w:rsidR="00B41534" w:rsidRPr="00A40E69" w:rsidRDefault="00B41534" w:rsidP="007160D4">
            <w:pPr>
              <w:pStyle w:val="NoSpacing"/>
              <w:jc w:val="center"/>
              <w:rPr>
                <w:rFonts w:ascii="Times New Roman" w:hAnsi="Times New Roman" w:cs="Times New Roman"/>
                <w:b/>
                <w:bCs/>
                <w:sz w:val="20"/>
                <w:szCs w:val="20"/>
                <w:lang w:val="en-US"/>
              </w:rPr>
            </w:pPr>
            <w:r w:rsidRPr="00A40E69">
              <w:rPr>
                <w:rFonts w:ascii="Times New Roman" w:hAnsi="Times New Roman" w:cs="Times New Roman"/>
                <w:b/>
                <w:bCs/>
                <w:sz w:val="20"/>
                <w:szCs w:val="20"/>
                <w:lang w:val="en-US"/>
              </w:rPr>
              <w:t>Obs.</w:t>
            </w:r>
          </w:p>
        </w:tc>
        <w:tc>
          <w:tcPr>
            <w:tcW w:w="1331" w:type="dxa"/>
            <w:tcBorders>
              <w:top w:val="nil"/>
              <w:left w:val="nil"/>
              <w:bottom w:val="single" w:sz="8" w:space="0" w:color="auto"/>
              <w:right w:val="nil"/>
            </w:tcBorders>
            <w:shd w:val="clear" w:color="auto" w:fill="auto"/>
            <w:vAlign w:val="center"/>
            <w:hideMark/>
          </w:tcPr>
          <w:p w14:paraId="05AF51A2" w14:textId="77777777" w:rsidR="00B41534" w:rsidRPr="00A40E69" w:rsidRDefault="00B41534" w:rsidP="007160D4">
            <w:pPr>
              <w:pStyle w:val="NoSpacing"/>
              <w:jc w:val="center"/>
              <w:rPr>
                <w:rFonts w:ascii="Times New Roman" w:hAnsi="Times New Roman" w:cs="Times New Roman"/>
                <w:b/>
                <w:bCs/>
                <w:sz w:val="20"/>
                <w:szCs w:val="20"/>
                <w:lang w:val="en-US"/>
              </w:rPr>
            </w:pPr>
            <w:r w:rsidRPr="00A40E69">
              <w:rPr>
                <w:rFonts w:ascii="Times New Roman" w:hAnsi="Times New Roman" w:cs="Times New Roman"/>
                <w:b/>
                <w:bCs/>
                <w:sz w:val="20"/>
                <w:szCs w:val="20"/>
                <w:lang w:val="en-US"/>
              </w:rPr>
              <w:t>Mean</w:t>
            </w:r>
          </w:p>
        </w:tc>
        <w:tc>
          <w:tcPr>
            <w:tcW w:w="1071" w:type="dxa"/>
            <w:tcBorders>
              <w:top w:val="nil"/>
              <w:left w:val="nil"/>
              <w:bottom w:val="single" w:sz="8" w:space="0" w:color="auto"/>
              <w:right w:val="nil"/>
            </w:tcBorders>
            <w:shd w:val="clear" w:color="auto" w:fill="auto"/>
            <w:vAlign w:val="center"/>
            <w:hideMark/>
          </w:tcPr>
          <w:p w14:paraId="31DB7710" w14:textId="77777777" w:rsidR="00B41534" w:rsidRPr="00A40E69" w:rsidRDefault="00B41534" w:rsidP="007160D4">
            <w:pPr>
              <w:pStyle w:val="NoSpacing"/>
              <w:jc w:val="center"/>
              <w:rPr>
                <w:rFonts w:ascii="Times New Roman" w:hAnsi="Times New Roman" w:cs="Times New Roman"/>
                <w:b/>
                <w:bCs/>
                <w:sz w:val="20"/>
                <w:szCs w:val="20"/>
                <w:lang w:val="en-US"/>
              </w:rPr>
            </w:pPr>
            <w:r w:rsidRPr="00A40E69">
              <w:rPr>
                <w:rFonts w:ascii="Times New Roman" w:hAnsi="Times New Roman" w:cs="Times New Roman"/>
                <w:b/>
                <w:bCs/>
                <w:sz w:val="20"/>
                <w:szCs w:val="20"/>
                <w:lang w:val="en-US"/>
              </w:rPr>
              <w:t>S.E.</w:t>
            </w:r>
          </w:p>
        </w:tc>
      </w:tr>
      <w:tr w:rsidR="00B41534" w:rsidRPr="002B0D86" w14:paraId="15AF267E" w14:textId="77777777" w:rsidTr="007160D4">
        <w:trPr>
          <w:trHeight w:val="173"/>
        </w:trPr>
        <w:tc>
          <w:tcPr>
            <w:tcW w:w="2552" w:type="dxa"/>
            <w:tcBorders>
              <w:top w:val="nil"/>
              <w:left w:val="nil"/>
              <w:bottom w:val="nil"/>
              <w:right w:val="nil"/>
            </w:tcBorders>
            <w:shd w:val="clear" w:color="auto" w:fill="auto"/>
            <w:vAlign w:val="center"/>
          </w:tcPr>
          <w:p w14:paraId="27D08EDE" w14:textId="77777777" w:rsidR="00B41534" w:rsidRPr="00A40E69" w:rsidRDefault="00B41534" w:rsidP="007160D4">
            <w:pPr>
              <w:pStyle w:val="NoSpacing"/>
              <w:rPr>
                <w:rFonts w:ascii="Times New Roman" w:hAnsi="Times New Roman" w:cs="Times New Roman"/>
                <w:b/>
                <w:bCs/>
                <w:sz w:val="20"/>
                <w:szCs w:val="20"/>
                <w:lang w:val="en-US"/>
              </w:rPr>
            </w:pPr>
          </w:p>
        </w:tc>
        <w:tc>
          <w:tcPr>
            <w:tcW w:w="850" w:type="dxa"/>
            <w:tcBorders>
              <w:top w:val="nil"/>
              <w:left w:val="nil"/>
              <w:bottom w:val="nil"/>
              <w:right w:val="nil"/>
            </w:tcBorders>
            <w:shd w:val="clear" w:color="auto" w:fill="auto"/>
            <w:vAlign w:val="center"/>
          </w:tcPr>
          <w:p w14:paraId="0705AAD3" w14:textId="77777777" w:rsidR="00B41534" w:rsidRPr="002B0D86" w:rsidRDefault="00B41534" w:rsidP="007160D4">
            <w:pPr>
              <w:pStyle w:val="NoSpacing"/>
              <w:jc w:val="center"/>
              <w:rPr>
                <w:rFonts w:ascii="Times New Roman" w:hAnsi="Times New Roman" w:cs="Times New Roman"/>
                <w:sz w:val="20"/>
                <w:szCs w:val="20"/>
                <w:lang w:val="en-US"/>
              </w:rPr>
            </w:pPr>
          </w:p>
        </w:tc>
        <w:tc>
          <w:tcPr>
            <w:tcW w:w="906" w:type="dxa"/>
            <w:tcBorders>
              <w:top w:val="nil"/>
              <w:left w:val="nil"/>
              <w:bottom w:val="nil"/>
              <w:right w:val="nil"/>
            </w:tcBorders>
            <w:shd w:val="clear" w:color="auto" w:fill="auto"/>
            <w:vAlign w:val="center"/>
          </w:tcPr>
          <w:p w14:paraId="7F7721C3" w14:textId="77777777" w:rsidR="00B41534" w:rsidRPr="00BE7EF3" w:rsidRDefault="00B41534" w:rsidP="007160D4">
            <w:pPr>
              <w:pStyle w:val="NoSpacing"/>
              <w:jc w:val="center"/>
              <w:rPr>
                <w:rFonts w:ascii="Times New Roman" w:hAnsi="Times New Roman" w:cs="Times New Roman"/>
                <w:sz w:val="20"/>
                <w:szCs w:val="20"/>
                <w:lang w:val="en-US"/>
              </w:rPr>
            </w:pPr>
          </w:p>
        </w:tc>
        <w:tc>
          <w:tcPr>
            <w:tcW w:w="1092" w:type="dxa"/>
            <w:tcBorders>
              <w:top w:val="nil"/>
              <w:left w:val="nil"/>
              <w:bottom w:val="nil"/>
              <w:right w:val="nil"/>
            </w:tcBorders>
            <w:shd w:val="clear" w:color="auto" w:fill="auto"/>
            <w:vAlign w:val="center"/>
          </w:tcPr>
          <w:p w14:paraId="18573020" w14:textId="77777777" w:rsidR="00B41534" w:rsidRPr="00A40E69" w:rsidRDefault="00B41534" w:rsidP="007160D4">
            <w:pPr>
              <w:pStyle w:val="NoSpacing"/>
              <w:jc w:val="center"/>
              <w:rPr>
                <w:rFonts w:ascii="Times New Roman" w:hAnsi="Times New Roman" w:cs="Times New Roman"/>
                <w:sz w:val="20"/>
                <w:szCs w:val="20"/>
                <w:lang w:val="en-US"/>
              </w:rPr>
            </w:pPr>
          </w:p>
        </w:tc>
        <w:tc>
          <w:tcPr>
            <w:tcW w:w="236" w:type="dxa"/>
            <w:tcBorders>
              <w:top w:val="nil"/>
              <w:left w:val="nil"/>
              <w:bottom w:val="nil"/>
              <w:right w:val="nil"/>
            </w:tcBorders>
            <w:shd w:val="clear" w:color="auto" w:fill="auto"/>
            <w:vAlign w:val="center"/>
          </w:tcPr>
          <w:p w14:paraId="63DDFFE2"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127" w:type="dxa"/>
            <w:tcBorders>
              <w:top w:val="nil"/>
              <w:left w:val="nil"/>
              <w:bottom w:val="nil"/>
              <w:right w:val="nil"/>
            </w:tcBorders>
            <w:shd w:val="clear" w:color="auto" w:fill="auto"/>
            <w:vAlign w:val="center"/>
          </w:tcPr>
          <w:p w14:paraId="56AE6D26" w14:textId="77777777" w:rsidR="00B41534" w:rsidRPr="002B0D86" w:rsidRDefault="00B41534" w:rsidP="007160D4">
            <w:pPr>
              <w:pStyle w:val="NoSpacing"/>
              <w:jc w:val="center"/>
              <w:rPr>
                <w:rFonts w:ascii="Times New Roman" w:hAnsi="Times New Roman" w:cs="Times New Roman"/>
                <w:sz w:val="20"/>
                <w:szCs w:val="20"/>
                <w:lang w:val="en-US"/>
              </w:rPr>
            </w:pPr>
          </w:p>
        </w:tc>
        <w:tc>
          <w:tcPr>
            <w:tcW w:w="1330" w:type="dxa"/>
            <w:tcBorders>
              <w:top w:val="nil"/>
              <w:left w:val="nil"/>
              <w:bottom w:val="nil"/>
              <w:right w:val="nil"/>
            </w:tcBorders>
            <w:shd w:val="clear" w:color="auto" w:fill="auto"/>
            <w:vAlign w:val="center"/>
          </w:tcPr>
          <w:p w14:paraId="7C9E21CB" w14:textId="77777777" w:rsidR="00B41534" w:rsidRPr="00BE7EF3" w:rsidRDefault="00B41534" w:rsidP="007160D4">
            <w:pPr>
              <w:pStyle w:val="NoSpacing"/>
              <w:jc w:val="center"/>
              <w:rPr>
                <w:rFonts w:ascii="Times New Roman" w:hAnsi="Times New Roman" w:cs="Times New Roman"/>
                <w:sz w:val="20"/>
                <w:szCs w:val="20"/>
                <w:lang w:val="en-US"/>
              </w:rPr>
            </w:pPr>
          </w:p>
        </w:tc>
        <w:tc>
          <w:tcPr>
            <w:tcW w:w="1092" w:type="dxa"/>
            <w:tcBorders>
              <w:top w:val="nil"/>
              <w:left w:val="nil"/>
              <w:bottom w:val="nil"/>
              <w:right w:val="nil"/>
            </w:tcBorders>
            <w:shd w:val="clear" w:color="auto" w:fill="auto"/>
            <w:vAlign w:val="center"/>
          </w:tcPr>
          <w:p w14:paraId="59836487" w14:textId="77777777" w:rsidR="00B41534" w:rsidRPr="00A40E69" w:rsidRDefault="00B41534" w:rsidP="007160D4">
            <w:pPr>
              <w:pStyle w:val="NoSpacing"/>
              <w:jc w:val="center"/>
              <w:rPr>
                <w:rFonts w:ascii="Times New Roman" w:hAnsi="Times New Roman" w:cs="Times New Roman"/>
                <w:sz w:val="20"/>
                <w:szCs w:val="20"/>
                <w:lang w:val="en-US"/>
              </w:rPr>
            </w:pPr>
          </w:p>
        </w:tc>
        <w:tc>
          <w:tcPr>
            <w:tcW w:w="236" w:type="dxa"/>
            <w:tcBorders>
              <w:top w:val="nil"/>
              <w:left w:val="nil"/>
              <w:bottom w:val="nil"/>
              <w:right w:val="nil"/>
            </w:tcBorders>
            <w:shd w:val="clear" w:color="auto" w:fill="auto"/>
            <w:vAlign w:val="center"/>
          </w:tcPr>
          <w:p w14:paraId="20B46B95"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077" w:type="dxa"/>
            <w:tcBorders>
              <w:top w:val="nil"/>
              <w:left w:val="nil"/>
              <w:bottom w:val="nil"/>
              <w:right w:val="nil"/>
            </w:tcBorders>
            <w:shd w:val="clear" w:color="auto" w:fill="auto"/>
            <w:vAlign w:val="center"/>
          </w:tcPr>
          <w:p w14:paraId="448FF31E"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331" w:type="dxa"/>
            <w:tcBorders>
              <w:top w:val="nil"/>
              <w:left w:val="nil"/>
              <w:bottom w:val="nil"/>
              <w:right w:val="nil"/>
            </w:tcBorders>
            <w:shd w:val="clear" w:color="auto" w:fill="auto"/>
            <w:vAlign w:val="center"/>
          </w:tcPr>
          <w:p w14:paraId="616EA462"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071" w:type="dxa"/>
            <w:tcBorders>
              <w:top w:val="nil"/>
              <w:left w:val="nil"/>
              <w:bottom w:val="nil"/>
              <w:right w:val="nil"/>
            </w:tcBorders>
            <w:shd w:val="clear" w:color="auto" w:fill="auto"/>
            <w:vAlign w:val="center"/>
          </w:tcPr>
          <w:p w14:paraId="6CA51F50" w14:textId="77777777" w:rsidR="00B41534" w:rsidRPr="00A40E69" w:rsidRDefault="00B41534" w:rsidP="007160D4">
            <w:pPr>
              <w:pStyle w:val="NoSpacing"/>
              <w:jc w:val="center"/>
              <w:rPr>
                <w:rFonts w:ascii="Times New Roman" w:hAnsi="Times New Roman" w:cs="Times New Roman"/>
                <w:sz w:val="20"/>
                <w:szCs w:val="20"/>
                <w:lang w:val="en-US"/>
              </w:rPr>
            </w:pPr>
          </w:p>
        </w:tc>
      </w:tr>
      <w:tr w:rsidR="00B41534" w:rsidRPr="002B0D86" w14:paraId="35C7CE49" w14:textId="77777777" w:rsidTr="007160D4">
        <w:trPr>
          <w:trHeight w:val="80"/>
        </w:trPr>
        <w:tc>
          <w:tcPr>
            <w:tcW w:w="2552" w:type="dxa"/>
            <w:tcBorders>
              <w:top w:val="nil"/>
              <w:left w:val="nil"/>
              <w:bottom w:val="nil"/>
              <w:right w:val="nil"/>
            </w:tcBorders>
            <w:shd w:val="clear" w:color="auto" w:fill="auto"/>
            <w:vAlign w:val="center"/>
          </w:tcPr>
          <w:p w14:paraId="7B646EEF" w14:textId="77777777" w:rsidR="00B41534" w:rsidRPr="00A40E69" w:rsidRDefault="00B41534" w:rsidP="007160D4">
            <w:pPr>
              <w:pStyle w:val="NoSpacing"/>
              <w:rPr>
                <w:rFonts w:ascii="Times New Roman" w:hAnsi="Times New Roman" w:cs="Times New Roman"/>
                <w:b/>
                <w:bCs/>
                <w:sz w:val="20"/>
                <w:szCs w:val="20"/>
                <w:lang w:val="en-US"/>
              </w:rPr>
            </w:pPr>
            <w:r w:rsidRPr="00A40E69">
              <w:rPr>
                <w:rFonts w:ascii="Times New Roman" w:hAnsi="Times New Roman" w:cs="Times New Roman"/>
                <w:b/>
                <w:bCs/>
                <w:sz w:val="20"/>
                <w:szCs w:val="20"/>
                <w:lang w:val="en-US"/>
              </w:rPr>
              <w:t>Home expenditure</w:t>
            </w:r>
          </w:p>
        </w:tc>
        <w:tc>
          <w:tcPr>
            <w:tcW w:w="850" w:type="dxa"/>
            <w:tcBorders>
              <w:top w:val="nil"/>
              <w:left w:val="nil"/>
              <w:bottom w:val="nil"/>
              <w:right w:val="nil"/>
            </w:tcBorders>
            <w:shd w:val="clear" w:color="auto" w:fill="auto"/>
            <w:vAlign w:val="center"/>
          </w:tcPr>
          <w:p w14:paraId="5700CBBF" w14:textId="77777777" w:rsidR="00B41534" w:rsidRPr="00A40E69" w:rsidRDefault="00B41534" w:rsidP="007160D4">
            <w:pPr>
              <w:pStyle w:val="NoSpacing"/>
              <w:jc w:val="center"/>
              <w:rPr>
                <w:rFonts w:ascii="Times New Roman" w:hAnsi="Times New Roman" w:cs="Times New Roman"/>
                <w:sz w:val="20"/>
                <w:szCs w:val="20"/>
                <w:lang w:val="en-US"/>
              </w:rPr>
            </w:pPr>
            <w:r w:rsidRPr="002B0D86">
              <w:rPr>
                <w:rFonts w:ascii="Times New Roman" w:hAnsi="Times New Roman" w:cs="Times New Roman"/>
                <w:sz w:val="20"/>
                <w:szCs w:val="20"/>
                <w:lang w:val="en-US"/>
              </w:rPr>
              <w:t>1,411</w:t>
            </w:r>
          </w:p>
        </w:tc>
        <w:tc>
          <w:tcPr>
            <w:tcW w:w="906" w:type="dxa"/>
            <w:tcBorders>
              <w:top w:val="nil"/>
              <w:left w:val="nil"/>
              <w:bottom w:val="nil"/>
              <w:right w:val="nil"/>
            </w:tcBorders>
            <w:shd w:val="clear" w:color="auto" w:fill="auto"/>
            <w:vAlign w:val="center"/>
          </w:tcPr>
          <w:p w14:paraId="54954137" w14:textId="77777777" w:rsidR="00B41534" w:rsidRPr="00A40E69" w:rsidRDefault="00B41534" w:rsidP="007160D4">
            <w:pPr>
              <w:pStyle w:val="NoSpacing"/>
              <w:jc w:val="center"/>
              <w:rPr>
                <w:rFonts w:ascii="Times New Roman" w:hAnsi="Times New Roman" w:cs="Times New Roman"/>
                <w:sz w:val="20"/>
                <w:szCs w:val="20"/>
                <w:lang w:val="en-US"/>
              </w:rPr>
            </w:pPr>
            <w:r w:rsidRPr="002B0D86">
              <w:rPr>
                <w:rFonts w:ascii="Times New Roman" w:hAnsi="Times New Roman" w:cs="Times New Roman"/>
                <w:sz w:val="20"/>
                <w:szCs w:val="20"/>
                <w:lang w:val="en-US"/>
              </w:rPr>
              <w:t>2,633</w:t>
            </w:r>
          </w:p>
        </w:tc>
        <w:tc>
          <w:tcPr>
            <w:tcW w:w="1092" w:type="dxa"/>
            <w:tcBorders>
              <w:top w:val="nil"/>
              <w:left w:val="nil"/>
              <w:bottom w:val="nil"/>
              <w:right w:val="nil"/>
            </w:tcBorders>
            <w:shd w:val="clear" w:color="auto" w:fill="auto"/>
            <w:vAlign w:val="center"/>
          </w:tcPr>
          <w:p w14:paraId="7CF3CB38" w14:textId="77777777" w:rsidR="00B41534" w:rsidRPr="00A40E69" w:rsidRDefault="00B41534" w:rsidP="007160D4">
            <w:pPr>
              <w:pStyle w:val="NoSpacing"/>
              <w:jc w:val="center"/>
              <w:rPr>
                <w:rFonts w:ascii="Times New Roman" w:hAnsi="Times New Roman" w:cs="Times New Roman"/>
                <w:sz w:val="20"/>
                <w:szCs w:val="20"/>
                <w:lang w:val="en-US"/>
              </w:rPr>
            </w:pPr>
            <w:r w:rsidRPr="00A40E69">
              <w:rPr>
                <w:rFonts w:ascii="Times New Roman" w:hAnsi="Times New Roman" w:cs="Times New Roman"/>
                <w:sz w:val="20"/>
                <w:szCs w:val="20"/>
                <w:lang w:val="en-US"/>
              </w:rPr>
              <w:t>0.1267</w:t>
            </w:r>
          </w:p>
        </w:tc>
        <w:tc>
          <w:tcPr>
            <w:tcW w:w="236" w:type="dxa"/>
            <w:tcBorders>
              <w:top w:val="nil"/>
              <w:left w:val="nil"/>
              <w:bottom w:val="nil"/>
              <w:right w:val="nil"/>
            </w:tcBorders>
            <w:shd w:val="clear" w:color="auto" w:fill="auto"/>
            <w:vAlign w:val="center"/>
          </w:tcPr>
          <w:p w14:paraId="2FC8274B"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127" w:type="dxa"/>
            <w:tcBorders>
              <w:top w:val="nil"/>
              <w:left w:val="nil"/>
              <w:bottom w:val="nil"/>
              <w:right w:val="nil"/>
            </w:tcBorders>
            <w:shd w:val="clear" w:color="auto" w:fill="auto"/>
            <w:vAlign w:val="center"/>
          </w:tcPr>
          <w:p w14:paraId="2C983D24" w14:textId="77777777" w:rsidR="00B41534" w:rsidRPr="00A40E69" w:rsidRDefault="00B41534" w:rsidP="007160D4">
            <w:pPr>
              <w:pStyle w:val="NoSpacing"/>
              <w:jc w:val="center"/>
              <w:rPr>
                <w:rFonts w:ascii="Times New Roman" w:hAnsi="Times New Roman" w:cs="Times New Roman"/>
                <w:sz w:val="20"/>
                <w:szCs w:val="20"/>
                <w:lang w:val="en-US"/>
              </w:rPr>
            </w:pPr>
            <w:r w:rsidRPr="002B0D86">
              <w:rPr>
                <w:rFonts w:ascii="Times New Roman" w:hAnsi="Times New Roman" w:cs="Times New Roman"/>
                <w:sz w:val="20"/>
                <w:szCs w:val="20"/>
                <w:lang w:val="en-US"/>
              </w:rPr>
              <w:t>1,173</w:t>
            </w:r>
          </w:p>
        </w:tc>
        <w:tc>
          <w:tcPr>
            <w:tcW w:w="1330" w:type="dxa"/>
            <w:tcBorders>
              <w:top w:val="nil"/>
              <w:left w:val="nil"/>
              <w:bottom w:val="nil"/>
              <w:right w:val="nil"/>
            </w:tcBorders>
            <w:shd w:val="clear" w:color="auto" w:fill="auto"/>
            <w:vAlign w:val="center"/>
          </w:tcPr>
          <w:p w14:paraId="676E6033" w14:textId="77777777" w:rsidR="00B41534" w:rsidRPr="00A40E69" w:rsidRDefault="00B41534" w:rsidP="007160D4">
            <w:pPr>
              <w:pStyle w:val="NoSpacing"/>
              <w:jc w:val="center"/>
              <w:rPr>
                <w:rFonts w:ascii="Times New Roman" w:hAnsi="Times New Roman" w:cs="Times New Roman"/>
                <w:sz w:val="20"/>
                <w:szCs w:val="20"/>
                <w:lang w:val="en-US"/>
              </w:rPr>
            </w:pPr>
            <w:r w:rsidRPr="002B0D86">
              <w:rPr>
                <w:rFonts w:ascii="Times New Roman" w:hAnsi="Times New Roman" w:cs="Times New Roman"/>
                <w:sz w:val="20"/>
                <w:szCs w:val="20"/>
                <w:lang w:val="en-US"/>
              </w:rPr>
              <w:t>2,445</w:t>
            </w:r>
          </w:p>
        </w:tc>
        <w:tc>
          <w:tcPr>
            <w:tcW w:w="1092" w:type="dxa"/>
            <w:tcBorders>
              <w:top w:val="nil"/>
              <w:left w:val="nil"/>
              <w:bottom w:val="nil"/>
              <w:right w:val="nil"/>
            </w:tcBorders>
            <w:shd w:val="clear" w:color="auto" w:fill="auto"/>
            <w:vAlign w:val="center"/>
          </w:tcPr>
          <w:p w14:paraId="106D615E" w14:textId="77777777" w:rsidR="00B41534" w:rsidRPr="00A40E69" w:rsidRDefault="00B41534" w:rsidP="007160D4">
            <w:pPr>
              <w:pStyle w:val="NoSpacing"/>
              <w:jc w:val="center"/>
              <w:rPr>
                <w:rFonts w:ascii="Times New Roman" w:hAnsi="Times New Roman" w:cs="Times New Roman"/>
                <w:sz w:val="20"/>
                <w:szCs w:val="20"/>
                <w:lang w:val="en-US"/>
              </w:rPr>
            </w:pPr>
            <w:r w:rsidRPr="00A40E69">
              <w:rPr>
                <w:rFonts w:ascii="Times New Roman" w:hAnsi="Times New Roman" w:cs="Times New Roman"/>
                <w:sz w:val="20"/>
                <w:szCs w:val="20"/>
                <w:lang w:val="en-US"/>
              </w:rPr>
              <w:t>0.1148</w:t>
            </w:r>
          </w:p>
        </w:tc>
        <w:tc>
          <w:tcPr>
            <w:tcW w:w="236" w:type="dxa"/>
            <w:tcBorders>
              <w:top w:val="nil"/>
              <w:left w:val="nil"/>
              <w:bottom w:val="nil"/>
              <w:right w:val="nil"/>
            </w:tcBorders>
            <w:shd w:val="clear" w:color="auto" w:fill="auto"/>
            <w:vAlign w:val="center"/>
          </w:tcPr>
          <w:p w14:paraId="4F3D08A6"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077" w:type="dxa"/>
            <w:tcBorders>
              <w:top w:val="nil"/>
              <w:left w:val="nil"/>
              <w:bottom w:val="nil"/>
              <w:right w:val="nil"/>
            </w:tcBorders>
            <w:shd w:val="clear" w:color="auto" w:fill="auto"/>
            <w:vAlign w:val="center"/>
          </w:tcPr>
          <w:p w14:paraId="7381964D" w14:textId="77777777" w:rsidR="00B41534" w:rsidRPr="00A40E69" w:rsidRDefault="00B41534" w:rsidP="007160D4">
            <w:pPr>
              <w:pStyle w:val="NoSpacing"/>
              <w:jc w:val="center"/>
              <w:rPr>
                <w:rFonts w:ascii="Times New Roman" w:hAnsi="Times New Roman" w:cs="Times New Roman"/>
                <w:sz w:val="20"/>
                <w:szCs w:val="20"/>
                <w:lang w:val="en-US"/>
              </w:rPr>
            </w:pPr>
            <w:r w:rsidRPr="00A40E69">
              <w:rPr>
                <w:rFonts w:ascii="Times New Roman" w:hAnsi="Times New Roman" w:cs="Times New Roman"/>
                <w:sz w:val="20"/>
                <w:szCs w:val="20"/>
                <w:lang w:val="en-US"/>
              </w:rPr>
              <w:t>1154</w:t>
            </w:r>
          </w:p>
        </w:tc>
        <w:tc>
          <w:tcPr>
            <w:tcW w:w="1331" w:type="dxa"/>
            <w:tcBorders>
              <w:top w:val="nil"/>
              <w:left w:val="nil"/>
              <w:bottom w:val="nil"/>
              <w:right w:val="nil"/>
            </w:tcBorders>
            <w:shd w:val="clear" w:color="auto" w:fill="auto"/>
            <w:vAlign w:val="center"/>
          </w:tcPr>
          <w:p w14:paraId="4D700B8C" w14:textId="77777777" w:rsidR="00B41534" w:rsidRPr="00A40E69" w:rsidRDefault="00B41534" w:rsidP="007160D4">
            <w:pPr>
              <w:pStyle w:val="NoSpacing"/>
              <w:jc w:val="center"/>
              <w:rPr>
                <w:rFonts w:ascii="Times New Roman" w:hAnsi="Times New Roman" w:cs="Times New Roman"/>
                <w:sz w:val="20"/>
                <w:szCs w:val="20"/>
                <w:lang w:val="en-US"/>
              </w:rPr>
            </w:pPr>
            <w:r w:rsidRPr="00A40E69">
              <w:rPr>
                <w:rFonts w:ascii="Times New Roman" w:hAnsi="Times New Roman" w:cs="Times New Roman"/>
                <w:sz w:val="20"/>
                <w:szCs w:val="20"/>
                <w:lang w:val="en-US"/>
              </w:rPr>
              <w:t>-131.38**</w:t>
            </w:r>
          </w:p>
        </w:tc>
        <w:tc>
          <w:tcPr>
            <w:tcW w:w="1071" w:type="dxa"/>
            <w:tcBorders>
              <w:top w:val="nil"/>
              <w:left w:val="nil"/>
              <w:bottom w:val="nil"/>
              <w:right w:val="nil"/>
            </w:tcBorders>
            <w:shd w:val="clear" w:color="auto" w:fill="auto"/>
            <w:vAlign w:val="center"/>
          </w:tcPr>
          <w:p w14:paraId="5E77D233" w14:textId="77777777" w:rsidR="00B41534" w:rsidRPr="00A40E69" w:rsidRDefault="00B41534" w:rsidP="007160D4">
            <w:pPr>
              <w:pStyle w:val="NoSpacing"/>
              <w:jc w:val="center"/>
              <w:rPr>
                <w:rFonts w:ascii="Times New Roman" w:hAnsi="Times New Roman" w:cs="Times New Roman"/>
                <w:sz w:val="20"/>
                <w:szCs w:val="20"/>
                <w:lang w:val="en-US"/>
              </w:rPr>
            </w:pPr>
            <w:r w:rsidRPr="00A40E69">
              <w:rPr>
                <w:rFonts w:ascii="Times New Roman" w:hAnsi="Times New Roman" w:cs="Times New Roman"/>
                <w:sz w:val="20"/>
                <w:szCs w:val="20"/>
                <w:lang w:val="en-US"/>
              </w:rPr>
              <w:t>2246.35</w:t>
            </w:r>
          </w:p>
        </w:tc>
      </w:tr>
      <w:tr w:rsidR="00B41534" w:rsidRPr="002B0D86" w14:paraId="1B711B93" w14:textId="77777777" w:rsidTr="007160D4">
        <w:trPr>
          <w:trHeight w:val="173"/>
        </w:trPr>
        <w:tc>
          <w:tcPr>
            <w:tcW w:w="2552" w:type="dxa"/>
            <w:tcBorders>
              <w:top w:val="nil"/>
              <w:left w:val="nil"/>
              <w:bottom w:val="nil"/>
              <w:right w:val="nil"/>
            </w:tcBorders>
            <w:shd w:val="clear" w:color="auto" w:fill="auto"/>
            <w:vAlign w:val="center"/>
            <w:hideMark/>
          </w:tcPr>
          <w:p w14:paraId="4D41A59A" w14:textId="77777777" w:rsidR="00B41534" w:rsidRPr="00A40E69" w:rsidRDefault="00B41534" w:rsidP="007160D4">
            <w:pPr>
              <w:pStyle w:val="NoSpacing"/>
              <w:rPr>
                <w:rFonts w:ascii="Times New Roman" w:hAnsi="Times New Roman" w:cs="Times New Roman"/>
                <w:b/>
                <w:bCs/>
                <w:sz w:val="20"/>
                <w:szCs w:val="20"/>
                <w:lang w:val="en-US"/>
              </w:rPr>
            </w:pPr>
          </w:p>
        </w:tc>
        <w:tc>
          <w:tcPr>
            <w:tcW w:w="850" w:type="dxa"/>
            <w:tcBorders>
              <w:top w:val="nil"/>
              <w:left w:val="nil"/>
              <w:bottom w:val="nil"/>
              <w:right w:val="nil"/>
            </w:tcBorders>
            <w:shd w:val="clear" w:color="auto" w:fill="auto"/>
            <w:vAlign w:val="center"/>
            <w:hideMark/>
          </w:tcPr>
          <w:p w14:paraId="6A7AF20A" w14:textId="77777777" w:rsidR="00B41534" w:rsidRPr="00A40E69" w:rsidRDefault="00B41534" w:rsidP="007160D4">
            <w:pPr>
              <w:pStyle w:val="NoSpacing"/>
              <w:jc w:val="center"/>
              <w:rPr>
                <w:rFonts w:ascii="Times New Roman" w:hAnsi="Times New Roman" w:cs="Times New Roman"/>
                <w:sz w:val="20"/>
                <w:szCs w:val="20"/>
                <w:lang w:val="en-US"/>
              </w:rPr>
            </w:pPr>
          </w:p>
        </w:tc>
        <w:tc>
          <w:tcPr>
            <w:tcW w:w="906" w:type="dxa"/>
            <w:tcBorders>
              <w:top w:val="nil"/>
              <w:left w:val="nil"/>
              <w:bottom w:val="nil"/>
              <w:right w:val="nil"/>
            </w:tcBorders>
            <w:shd w:val="clear" w:color="auto" w:fill="auto"/>
            <w:vAlign w:val="center"/>
            <w:hideMark/>
          </w:tcPr>
          <w:p w14:paraId="09A45575"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092" w:type="dxa"/>
            <w:tcBorders>
              <w:top w:val="nil"/>
              <w:left w:val="nil"/>
              <w:bottom w:val="nil"/>
              <w:right w:val="nil"/>
            </w:tcBorders>
            <w:shd w:val="clear" w:color="auto" w:fill="auto"/>
            <w:vAlign w:val="center"/>
            <w:hideMark/>
          </w:tcPr>
          <w:p w14:paraId="006F2B98" w14:textId="77777777" w:rsidR="00B41534" w:rsidRPr="00A40E69" w:rsidRDefault="00B41534" w:rsidP="007160D4">
            <w:pPr>
              <w:pStyle w:val="NoSpacing"/>
              <w:jc w:val="center"/>
              <w:rPr>
                <w:rFonts w:ascii="Times New Roman" w:hAnsi="Times New Roman" w:cs="Times New Roman"/>
                <w:sz w:val="20"/>
                <w:szCs w:val="20"/>
                <w:lang w:val="en-US"/>
              </w:rPr>
            </w:pPr>
          </w:p>
        </w:tc>
        <w:tc>
          <w:tcPr>
            <w:tcW w:w="236" w:type="dxa"/>
            <w:tcBorders>
              <w:top w:val="nil"/>
              <w:left w:val="nil"/>
              <w:bottom w:val="nil"/>
              <w:right w:val="nil"/>
            </w:tcBorders>
            <w:shd w:val="clear" w:color="auto" w:fill="auto"/>
            <w:vAlign w:val="center"/>
            <w:hideMark/>
          </w:tcPr>
          <w:p w14:paraId="43E821A3"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127" w:type="dxa"/>
            <w:tcBorders>
              <w:top w:val="nil"/>
              <w:left w:val="nil"/>
              <w:bottom w:val="nil"/>
              <w:right w:val="nil"/>
            </w:tcBorders>
            <w:shd w:val="clear" w:color="auto" w:fill="auto"/>
            <w:vAlign w:val="center"/>
            <w:hideMark/>
          </w:tcPr>
          <w:p w14:paraId="3B5F45A1"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330" w:type="dxa"/>
            <w:tcBorders>
              <w:top w:val="nil"/>
              <w:left w:val="nil"/>
              <w:bottom w:val="nil"/>
              <w:right w:val="nil"/>
            </w:tcBorders>
            <w:shd w:val="clear" w:color="auto" w:fill="auto"/>
            <w:vAlign w:val="center"/>
            <w:hideMark/>
          </w:tcPr>
          <w:p w14:paraId="50FF0781"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092" w:type="dxa"/>
            <w:tcBorders>
              <w:top w:val="nil"/>
              <w:left w:val="nil"/>
              <w:bottom w:val="nil"/>
              <w:right w:val="nil"/>
            </w:tcBorders>
            <w:shd w:val="clear" w:color="auto" w:fill="auto"/>
            <w:vAlign w:val="center"/>
            <w:hideMark/>
          </w:tcPr>
          <w:p w14:paraId="62CFCDC8" w14:textId="77777777" w:rsidR="00B41534" w:rsidRPr="00A40E69" w:rsidRDefault="00B41534" w:rsidP="007160D4">
            <w:pPr>
              <w:pStyle w:val="NoSpacing"/>
              <w:jc w:val="center"/>
              <w:rPr>
                <w:rFonts w:ascii="Times New Roman" w:hAnsi="Times New Roman" w:cs="Times New Roman"/>
                <w:sz w:val="20"/>
                <w:szCs w:val="20"/>
                <w:lang w:val="en-US"/>
              </w:rPr>
            </w:pPr>
          </w:p>
        </w:tc>
        <w:tc>
          <w:tcPr>
            <w:tcW w:w="236" w:type="dxa"/>
            <w:tcBorders>
              <w:top w:val="nil"/>
              <w:left w:val="nil"/>
              <w:bottom w:val="nil"/>
              <w:right w:val="nil"/>
            </w:tcBorders>
            <w:shd w:val="clear" w:color="auto" w:fill="auto"/>
            <w:vAlign w:val="center"/>
            <w:hideMark/>
          </w:tcPr>
          <w:p w14:paraId="59165D67"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077" w:type="dxa"/>
            <w:tcBorders>
              <w:top w:val="nil"/>
              <w:left w:val="nil"/>
              <w:bottom w:val="nil"/>
              <w:right w:val="nil"/>
            </w:tcBorders>
            <w:shd w:val="clear" w:color="auto" w:fill="auto"/>
            <w:vAlign w:val="center"/>
            <w:hideMark/>
          </w:tcPr>
          <w:p w14:paraId="4A0A19E6"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331" w:type="dxa"/>
            <w:tcBorders>
              <w:top w:val="nil"/>
              <w:left w:val="nil"/>
              <w:bottom w:val="nil"/>
              <w:right w:val="nil"/>
            </w:tcBorders>
            <w:shd w:val="clear" w:color="auto" w:fill="auto"/>
            <w:vAlign w:val="center"/>
            <w:hideMark/>
          </w:tcPr>
          <w:p w14:paraId="00907276"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071" w:type="dxa"/>
            <w:tcBorders>
              <w:top w:val="nil"/>
              <w:left w:val="nil"/>
              <w:bottom w:val="nil"/>
              <w:right w:val="nil"/>
            </w:tcBorders>
            <w:shd w:val="clear" w:color="auto" w:fill="auto"/>
            <w:vAlign w:val="center"/>
            <w:hideMark/>
          </w:tcPr>
          <w:p w14:paraId="4083CD8B" w14:textId="77777777" w:rsidR="00B41534" w:rsidRPr="00A40E69" w:rsidRDefault="00B41534" w:rsidP="007160D4">
            <w:pPr>
              <w:pStyle w:val="NoSpacing"/>
              <w:jc w:val="center"/>
              <w:rPr>
                <w:rFonts w:ascii="Times New Roman" w:hAnsi="Times New Roman" w:cs="Times New Roman"/>
                <w:sz w:val="20"/>
                <w:szCs w:val="20"/>
                <w:lang w:val="en-US"/>
              </w:rPr>
            </w:pPr>
          </w:p>
        </w:tc>
      </w:tr>
      <w:tr w:rsidR="00B41534" w:rsidRPr="002B0D86" w14:paraId="128D7F16" w14:textId="77777777" w:rsidTr="007160D4">
        <w:trPr>
          <w:trHeight w:val="80"/>
        </w:trPr>
        <w:tc>
          <w:tcPr>
            <w:tcW w:w="2552" w:type="dxa"/>
            <w:tcBorders>
              <w:top w:val="nil"/>
              <w:left w:val="nil"/>
              <w:bottom w:val="nil"/>
              <w:right w:val="nil"/>
            </w:tcBorders>
            <w:shd w:val="clear" w:color="auto" w:fill="auto"/>
            <w:vAlign w:val="center"/>
            <w:hideMark/>
          </w:tcPr>
          <w:p w14:paraId="5D3B9FAE" w14:textId="77777777" w:rsidR="00B41534" w:rsidRPr="00A40E69" w:rsidRDefault="00B41534" w:rsidP="007160D4">
            <w:pPr>
              <w:pStyle w:val="NoSpacing"/>
              <w:rPr>
                <w:rFonts w:ascii="Times New Roman" w:hAnsi="Times New Roman" w:cs="Times New Roman"/>
                <w:b/>
                <w:bCs/>
                <w:sz w:val="20"/>
                <w:szCs w:val="20"/>
                <w:lang w:val="en-US"/>
              </w:rPr>
            </w:pPr>
            <w:r w:rsidRPr="00A40E69">
              <w:rPr>
                <w:rFonts w:ascii="Times New Roman" w:hAnsi="Times New Roman" w:cs="Times New Roman"/>
                <w:b/>
                <w:bCs/>
                <w:sz w:val="20"/>
                <w:szCs w:val="20"/>
                <w:lang w:val="en-US"/>
              </w:rPr>
              <w:t>Food</w:t>
            </w:r>
          </w:p>
        </w:tc>
        <w:tc>
          <w:tcPr>
            <w:tcW w:w="850" w:type="dxa"/>
            <w:tcBorders>
              <w:top w:val="nil"/>
              <w:left w:val="nil"/>
              <w:bottom w:val="nil"/>
              <w:right w:val="nil"/>
            </w:tcBorders>
            <w:shd w:val="clear" w:color="auto" w:fill="auto"/>
            <w:vAlign w:val="center"/>
            <w:hideMark/>
          </w:tcPr>
          <w:p w14:paraId="5369C8C7" w14:textId="77777777" w:rsidR="00B41534" w:rsidRPr="00A40E69" w:rsidRDefault="00B41534" w:rsidP="007160D4">
            <w:pPr>
              <w:pStyle w:val="NoSpacing"/>
              <w:jc w:val="center"/>
              <w:rPr>
                <w:rFonts w:ascii="Times New Roman" w:hAnsi="Times New Roman" w:cs="Times New Roman"/>
                <w:sz w:val="20"/>
                <w:szCs w:val="20"/>
                <w:lang w:val="en-US"/>
              </w:rPr>
            </w:pPr>
            <w:r w:rsidRPr="002B0D86">
              <w:rPr>
                <w:rFonts w:ascii="Times New Roman" w:hAnsi="Times New Roman" w:cs="Times New Roman"/>
                <w:sz w:val="20"/>
                <w:szCs w:val="20"/>
                <w:lang w:val="en-US"/>
              </w:rPr>
              <w:t>1,379</w:t>
            </w:r>
          </w:p>
        </w:tc>
        <w:tc>
          <w:tcPr>
            <w:tcW w:w="906" w:type="dxa"/>
            <w:tcBorders>
              <w:top w:val="nil"/>
              <w:left w:val="nil"/>
              <w:bottom w:val="nil"/>
              <w:right w:val="nil"/>
            </w:tcBorders>
            <w:shd w:val="clear" w:color="auto" w:fill="auto"/>
            <w:vAlign w:val="center"/>
            <w:hideMark/>
          </w:tcPr>
          <w:p w14:paraId="1C4849B8" w14:textId="77777777" w:rsidR="00B41534" w:rsidRPr="00A40E69" w:rsidRDefault="00B41534" w:rsidP="007160D4">
            <w:pPr>
              <w:pStyle w:val="NoSpacing"/>
              <w:jc w:val="center"/>
              <w:rPr>
                <w:rFonts w:ascii="Times New Roman" w:hAnsi="Times New Roman" w:cs="Times New Roman"/>
                <w:sz w:val="20"/>
                <w:szCs w:val="20"/>
                <w:lang w:val="en-US"/>
              </w:rPr>
            </w:pPr>
            <w:r w:rsidRPr="002B0D86">
              <w:rPr>
                <w:rFonts w:ascii="Times New Roman" w:hAnsi="Times New Roman" w:cs="Times New Roman"/>
                <w:sz w:val="20"/>
                <w:szCs w:val="20"/>
                <w:lang w:val="en-US"/>
              </w:rPr>
              <w:t>10,172</w:t>
            </w:r>
          </w:p>
        </w:tc>
        <w:tc>
          <w:tcPr>
            <w:tcW w:w="1092" w:type="dxa"/>
            <w:tcBorders>
              <w:top w:val="nil"/>
              <w:left w:val="nil"/>
              <w:bottom w:val="nil"/>
              <w:right w:val="nil"/>
            </w:tcBorders>
            <w:shd w:val="clear" w:color="auto" w:fill="auto"/>
            <w:noWrap/>
            <w:vAlign w:val="center"/>
            <w:hideMark/>
          </w:tcPr>
          <w:p w14:paraId="1C40E001" w14:textId="77777777" w:rsidR="00B41534" w:rsidRPr="00A40E69" w:rsidRDefault="00B41534" w:rsidP="007160D4">
            <w:pPr>
              <w:pStyle w:val="NoSpacing"/>
              <w:jc w:val="center"/>
              <w:rPr>
                <w:rFonts w:ascii="Times New Roman" w:hAnsi="Times New Roman" w:cs="Times New Roman"/>
                <w:sz w:val="20"/>
                <w:szCs w:val="20"/>
                <w:lang w:val="en-US"/>
              </w:rPr>
            </w:pPr>
            <w:r w:rsidRPr="00A40E69">
              <w:rPr>
                <w:rFonts w:ascii="Times New Roman" w:hAnsi="Times New Roman" w:cs="Times New Roman"/>
                <w:sz w:val="20"/>
                <w:szCs w:val="20"/>
                <w:lang w:val="en-US"/>
              </w:rPr>
              <w:t>0.4979</w:t>
            </w:r>
          </w:p>
        </w:tc>
        <w:tc>
          <w:tcPr>
            <w:tcW w:w="236" w:type="dxa"/>
            <w:tcBorders>
              <w:top w:val="nil"/>
              <w:left w:val="nil"/>
              <w:bottom w:val="nil"/>
              <w:right w:val="nil"/>
            </w:tcBorders>
            <w:shd w:val="clear" w:color="auto" w:fill="auto"/>
            <w:vAlign w:val="center"/>
            <w:hideMark/>
          </w:tcPr>
          <w:p w14:paraId="7FDE36C3"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127" w:type="dxa"/>
            <w:tcBorders>
              <w:top w:val="nil"/>
              <w:left w:val="nil"/>
              <w:bottom w:val="nil"/>
              <w:right w:val="nil"/>
            </w:tcBorders>
            <w:shd w:val="clear" w:color="auto" w:fill="auto"/>
            <w:vAlign w:val="center"/>
            <w:hideMark/>
          </w:tcPr>
          <w:p w14:paraId="0AE7E415" w14:textId="77777777" w:rsidR="00B41534" w:rsidRPr="00A40E69" w:rsidRDefault="00B41534" w:rsidP="007160D4">
            <w:pPr>
              <w:pStyle w:val="NoSpacing"/>
              <w:jc w:val="center"/>
              <w:rPr>
                <w:rFonts w:ascii="Times New Roman" w:hAnsi="Times New Roman" w:cs="Times New Roman"/>
                <w:sz w:val="20"/>
                <w:szCs w:val="20"/>
                <w:lang w:val="en-US"/>
              </w:rPr>
            </w:pPr>
            <w:r w:rsidRPr="002B0D86">
              <w:rPr>
                <w:rFonts w:ascii="Times New Roman" w:hAnsi="Times New Roman" w:cs="Times New Roman"/>
                <w:sz w:val="20"/>
                <w:szCs w:val="20"/>
                <w:lang w:val="en-US"/>
              </w:rPr>
              <w:t>1,122</w:t>
            </w:r>
          </w:p>
        </w:tc>
        <w:tc>
          <w:tcPr>
            <w:tcW w:w="1330" w:type="dxa"/>
            <w:tcBorders>
              <w:top w:val="nil"/>
              <w:left w:val="nil"/>
              <w:bottom w:val="nil"/>
              <w:right w:val="nil"/>
            </w:tcBorders>
            <w:shd w:val="clear" w:color="auto" w:fill="auto"/>
            <w:vAlign w:val="center"/>
            <w:hideMark/>
          </w:tcPr>
          <w:p w14:paraId="7D25BC3D" w14:textId="77777777" w:rsidR="00B41534" w:rsidRPr="00A40E69" w:rsidRDefault="00B41534" w:rsidP="007160D4">
            <w:pPr>
              <w:pStyle w:val="NoSpacing"/>
              <w:jc w:val="center"/>
              <w:rPr>
                <w:rFonts w:ascii="Times New Roman" w:hAnsi="Times New Roman" w:cs="Times New Roman"/>
                <w:sz w:val="20"/>
                <w:szCs w:val="20"/>
                <w:lang w:val="en-US"/>
              </w:rPr>
            </w:pPr>
            <w:r w:rsidRPr="002B0D86">
              <w:rPr>
                <w:rFonts w:ascii="Times New Roman" w:hAnsi="Times New Roman" w:cs="Times New Roman"/>
                <w:sz w:val="20"/>
                <w:szCs w:val="20"/>
                <w:lang w:val="en-US"/>
              </w:rPr>
              <w:t>11,802</w:t>
            </w:r>
          </w:p>
        </w:tc>
        <w:tc>
          <w:tcPr>
            <w:tcW w:w="1092" w:type="dxa"/>
            <w:tcBorders>
              <w:top w:val="nil"/>
              <w:left w:val="nil"/>
              <w:bottom w:val="nil"/>
              <w:right w:val="nil"/>
            </w:tcBorders>
            <w:shd w:val="clear" w:color="auto" w:fill="auto"/>
            <w:vAlign w:val="center"/>
            <w:hideMark/>
          </w:tcPr>
          <w:p w14:paraId="2BB35C5C" w14:textId="77777777" w:rsidR="00B41534" w:rsidRPr="00A40E69" w:rsidRDefault="00B41534" w:rsidP="007160D4">
            <w:pPr>
              <w:pStyle w:val="NoSpacing"/>
              <w:jc w:val="center"/>
              <w:rPr>
                <w:rFonts w:ascii="Times New Roman" w:hAnsi="Times New Roman" w:cs="Times New Roman"/>
                <w:sz w:val="20"/>
                <w:szCs w:val="20"/>
                <w:lang w:val="en-US"/>
              </w:rPr>
            </w:pPr>
            <w:r w:rsidRPr="00A40E69">
              <w:rPr>
                <w:rFonts w:ascii="Times New Roman" w:hAnsi="Times New Roman" w:cs="Times New Roman"/>
                <w:sz w:val="20"/>
                <w:szCs w:val="20"/>
                <w:lang w:val="en-US"/>
              </w:rPr>
              <w:t>0.5548</w:t>
            </w:r>
          </w:p>
        </w:tc>
        <w:tc>
          <w:tcPr>
            <w:tcW w:w="236" w:type="dxa"/>
            <w:tcBorders>
              <w:top w:val="nil"/>
              <w:left w:val="nil"/>
              <w:bottom w:val="nil"/>
              <w:right w:val="nil"/>
            </w:tcBorders>
            <w:shd w:val="clear" w:color="auto" w:fill="auto"/>
            <w:vAlign w:val="center"/>
            <w:hideMark/>
          </w:tcPr>
          <w:p w14:paraId="1AEAF3FD"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077" w:type="dxa"/>
            <w:tcBorders>
              <w:top w:val="nil"/>
              <w:left w:val="nil"/>
              <w:bottom w:val="nil"/>
              <w:right w:val="nil"/>
            </w:tcBorders>
            <w:shd w:val="clear" w:color="auto" w:fill="auto"/>
            <w:vAlign w:val="center"/>
            <w:hideMark/>
          </w:tcPr>
          <w:p w14:paraId="429EFE16" w14:textId="77777777" w:rsidR="00B41534" w:rsidRPr="00A40E69" w:rsidRDefault="00B41534" w:rsidP="007160D4">
            <w:pPr>
              <w:pStyle w:val="NoSpacing"/>
              <w:jc w:val="center"/>
              <w:rPr>
                <w:rFonts w:ascii="Times New Roman" w:hAnsi="Times New Roman" w:cs="Times New Roman"/>
                <w:sz w:val="20"/>
                <w:szCs w:val="20"/>
                <w:lang w:val="en-US"/>
              </w:rPr>
            </w:pPr>
            <w:r w:rsidRPr="00A40E69">
              <w:rPr>
                <w:rFonts w:ascii="Times New Roman" w:hAnsi="Times New Roman" w:cs="Times New Roman"/>
                <w:sz w:val="20"/>
                <w:szCs w:val="20"/>
                <w:lang w:val="en-US"/>
              </w:rPr>
              <w:t>1079</w:t>
            </w:r>
          </w:p>
        </w:tc>
        <w:tc>
          <w:tcPr>
            <w:tcW w:w="1331" w:type="dxa"/>
            <w:tcBorders>
              <w:top w:val="nil"/>
              <w:left w:val="nil"/>
              <w:bottom w:val="nil"/>
              <w:right w:val="nil"/>
            </w:tcBorders>
            <w:shd w:val="clear" w:color="auto" w:fill="auto"/>
            <w:vAlign w:val="center"/>
            <w:hideMark/>
          </w:tcPr>
          <w:p w14:paraId="68866F47" w14:textId="77777777" w:rsidR="00B41534" w:rsidRPr="00A40E69" w:rsidRDefault="00B41534" w:rsidP="007160D4">
            <w:pPr>
              <w:pStyle w:val="NoSpacing"/>
              <w:jc w:val="center"/>
              <w:rPr>
                <w:rFonts w:ascii="Times New Roman" w:hAnsi="Times New Roman" w:cs="Times New Roman"/>
                <w:sz w:val="20"/>
                <w:szCs w:val="20"/>
                <w:lang w:val="en-US"/>
              </w:rPr>
            </w:pPr>
            <w:r w:rsidRPr="00A40E69">
              <w:rPr>
                <w:rFonts w:ascii="Times New Roman" w:hAnsi="Times New Roman" w:cs="Times New Roman"/>
                <w:sz w:val="20"/>
                <w:szCs w:val="20"/>
                <w:lang w:val="en-US"/>
              </w:rPr>
              <w:t>1886.19***</w:t>
            </w:r>
          </w:p>
        </w:tc>
        <w:tc>
          <w:tcPr>
            <w:tcW w:w="1071" w:type="dxa"/>
            <w:tcBorders>
              <w:top w:val="nil"/>
              <w:left w:val="nil"/>
              <w:bottom w:val="nil"/>
              <w:right w:val="nil"/>
            </w:tcBorders>
            <w:shd w:val="clear" w:color="auto" w:fill="auto"/>
            <w:noWrap/>
            <w:vAlign w:val="center"/>
            <w:hideMark/>
          </w:tcPr>
          <w:p w14:paraId="0867D61B" w14:textId="77777777" w:rsidR="00B41534" w:rsidRPr="00A40E69" w:rsidRDefault="00B41534" w:rsidP="007160D4">
            <w:pPr>
              <w:pStyle w:val="NoSpacing"/>
              <w:jc w:val="center"/>
              <w:rPr>
                <w:rFonts w:ascii="Times New Roman" w:hAnsi="Times New Roman" w:cs="Times New Roman"/>
                <w:sz w:val="20"/>
                <w:szCs w:val="20"/>
                <w:lang w:val="en-US"/>
              </w:rPr>
            </w:pPr>
            <w:r w:rsidRPr="00A40E69">
              <w:rPr>
                <w:rFonts w:ascii="Times New Roman" w:hAnsi="Times New Roman" w:cs="Times New Roman"/>
                <w:sz w:val="20"/>
                <w:szCs w:val="20"/>
                <w:lang w:val="en-US"/>
              </w:rPr>
              <w:t>11756.45</w:t>
            </w:r>
          </w:p>
        </w:tc>
      </w:tr>
      <w:tr w:rsidR="00B41534" w:rsidRPr="002B0D86" w14:paraId="1C73C0C4" w14:textId="77777777" w:rsidTr="007160D4">
        <w:trPr>
          <w:trHeight w:val="197"/>
        </w:trPr>
        <w:tc>
          <w:tcPr>
            <w:tcW w:w="2552" w:type="dxa"/>
            <w:tcBorders>
              <w:top w:val="nil"/>
              <w:left w:val="nil"/>
              <w:bottom w:val="nil"/>
              <w:right w:val="nil"/>
            </w:tcBorders>
            <w:shd w:val="clear" w:color="auto" w:fill="auto"/>
            <w:vAlign w:val="center"/>
            <w:hideMark/>
          </w:tcPr>
          <w:p w14:paraId="59512816" w14:textId="77777777" w:rsidR="00B41534" w:rsidRPr="00A40E69" w:rsidRDefault="00B41534" w:rsidP="007160D4">
            <w:pPr>
              <w:pStyle w:val="NoSpacing"/>
              <w:rPr>
                <w:rFonts w:ascii="Times New Roman" w:hAnsi="Times New Roman" w:cs="Times New Roman"/>
                <w:b/>
                <w:bCs/>
                <w:sz w:val="20"/>
                <w:szCs w:val="20"/>
                <w:lang w:val="en-US"/>
              </w:rPr>
            </w:pPr>
          </w:p>
        </w:tc>
        <w:tc>
          <w:tcPr>
            <w:tcW w:w="850" w:type="dxa"/>
            <w:tcBorders>
              <w:top w:val="nil"/>
              <w:left w:val="nil"/>
              <w:bottom w:val="nil"/>
              <w:right w:val="nil"/>
            </w:tcBorders>
            <w:shd w:val="clear" w:color="auto" w:fill="auto"/>
            <w:noWrap/>
            <w:vAlign w:val="center"/>
            <w:hideMark/>
          </w:tcPr>
          <w:p w14:paraId="197BBD92" w14:textId="77777777" w:rsidR="00B41534" w:rsidRPr="00A40E69" w:rsidRDefault="00B41534" w:rsidP="007160D4">
            <w:pPr>
              <w:pStyle w:val="NoSpacing"/>
              <w:jc w:val="center"/>
              <w:rPr>
                <w:rFonts w:ascii="Times New Roman" w:hAnsi="Times New Roman" w:cs="Times New Roman"/>
                <w:sz w:val="20"/>
                <w:szCs w:val="20"/>
                <w:lang w:val="en-US"/>
              </w:rPr>
            </w:pPr>
          </w:p>
        </w:tc>
        <w:tc>
          <w:tcPr>
            <w:tcW w:w="906" w:type="dxa"/>
            <w:tcBorders>
              <w:top w:val="nil"/>
              <w:left w:val="nil"/>
              <w:bottom w:val="nil"/>
              <w:right w:val="nil"/>
            </w:tcBorders>
            <w:shd w:val="clear" w:color="auto" w:fill="auto"/>
            <w:noWrap/>
            <w:vAlign w:val="center"/>
            <w:hideMark/>
          </w:tcPr>
          <w:p w14:paraId="3B243AE5"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092" w:type="dxa"/>
            <w:tcBorders>
              <w:top w:val="nil"/>
              <w:left w:val="nil"/>
              <w:bottom w:val="nil"/>
              <w:right w:val="nil"/>
            </w:tcBorders>
            <w:shd w:val="clear" w:color="auto" w:fill="auto"/>
            <w:noWrap/>
            <w:vAlign w:val="center"/>
            <w:hideMark/>
          </w:tcPr>
          <w:p w14:paraId="77F42726" w14:textId="77777777" w:rsidR="00B41534" w:rsidRPr="00A40E69" w:rsidRDefault="00B41534" w:rsidP="007160D4">
            <w:pPr>
              <w:pStyle w:val="NoSpacing"/>
              <w:jc w:val="center"/>
              <w:rPr>
                <w:rFonts w:ascii="Times New Roman" w:hAnsi="Times New Roman" w:cs="Times New Roman"/>
                <w:sz w:val="20"/>
                <w:szCs w:val="20"/>
                <w:lang w:val="en-US"/>
              </w:rPr>
            </w:pPr>
          </w:p>
        </w:tc>
        <w:tc>
          <w:tcPr>
            <w:tcW w:w="236" w:type="dxa"/>
            <w:tcBorders>
              <w:top w:val="nil"/>
              <w:left w:val="nil"/>
              <w:bottom w:val="nil"/>
              <w:right w:val="nil"/>
            </w:tcBorders>
            <w:shd w:val="clear" w:color="auto" w:fill="auto"/>
            <w:vAlign w:val="center"/>
            <w:hideMark/>
          </w:tcPr>
          <w:p w14:paraId="6C8ED357"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127" w:type="dxa"/>
            <w:tcBorders>
              <w:top w:val="nil"/>
              <w:left w:val="nil"/>
              <w:bottom w:val="nil"/>
              <w:right w:val="nil"/>
            </w:tcBorders>
            <w:shd w:val="clear" w:color="auto" w:fill="auto"/>
            <w:noWrap/>
            <w:vAlign w:val="center"/>
            <w:hideMark/>
          </w:tcPr>
          <w:p w14:paraId="3E4E983B"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330" w:type="dxa"/>
            <w:tcBorders>
              <w:top w:val="nil"/>
              <w:left w:val="nil"/>
              <w:bottom w:val="nil"/>
              <w:right w:val="nil"/>
            </w:tcBorders>
            <w:shd w:val="clear" w:color="auto" w:fill="auto"/>
            <w:noWrap/>
            <w:vAlign w:val="center"/>
            <w:hideMark/>
          </w:tcPr>
          <w:p w14:paraId="6832F15D"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092" w:type="dxa"/>
            <w:tcBorders>
              <w:top w:val="nil"/>
              <w:left w:val="nil"/>
              <w:bottom w:val="nil"/>
              <w:right w:val="nil"/>
            </w:tcBorders>
            <w:shd w:val="clear" w:color="auto" w:fill="auto"/>
            <w:vAlign w:val="center"/>
            <w:hideMark/>
          </w:tcPr>
          <w:p w14:paraId="05626623" w14:textId="77777777" w:rsidR="00B41534" w:rsidRPr="00A40E69" w:rsidRDefault="00B41534" w:rsidP="007160D4">
            <w:pPr>
              <w:pStyle w:val="NoSpacing"/>
              <w:jc w:val="center"/>
              <w:rPr>
                <w:rFonts w:ascii="Times New Roman" w:hAnsi="Times New Roman" w:cs="Times New Roman"/>
                <w:sz w:val="20"/>
                <w:szCs w:val="20"/>
                <w:lang w:val="en-US"/>
              </w:rPr>
            </w:pPr>
          </w:p>
        </w:tc>
        <w:tc>
          <w:tcPr>
            <w:tcW w:w="236" w:type="dxa"/>
            <w:tcBorders>
              <w:top w:val="nil"/>
              <w:left w:val="nil"/>
              <w:bottom w:val="nil"/>
              <w:right w:val="nil"/>
            </w:tcBorders>
            <w:shd w:val="clear" w:color="auto" w:fill="auto"/>
            <w:vAlign w:val="center"/>
            <w:hideMark/>
          </w:tcPr>
          <w:p w14:paraId="2AF50F07"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077" w:type="dxa"/>
            <w:tcBorders>
              <w:top w:val="nil"/>
              <w:left w:val="nil"/>
              <w:bottom w:val="nil"/>
              <w:right w:val="nil"/>
            </w:tcBorders>
            <w:shd w:val="clear" w:color="auto" w:fill="auto"/>
            <w:vAlign w:val="center"/>
            <w:hideMark/>
          </w:tcPr>
          <w:p w14:paraId="164E4FDE"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331" w:type="dxa"/>
            <w:tcBorders>
              <w:top w:val="nil"/>
              <w:left w:val="nil"/>
              <w:bottom w:val="nil"/>
              <w:right w:val="nil"/>
            </w:tcBorders>
            <w:shd w:val="clear" w:color="auto" w:fill="auto"/>
            <w:vAlign w:val="center"/>
            <w:hideMark/>
          </w:tcPr>
          <w:p w14:paraId="555AC6B2"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071" w:type="dxa"/>
            <w:tcBorders>
              <w:top w:val="nil"/>
              <w:left w:val="nil"/>
              <w:bottom w:val="nil"/>
              <w:right w:val="nil"/>
            </w:tcBorders>
            <w:shd w:val="clear" w:color="auto" w:fill="auto"/>
            <w:vAlign w:val="center"/>
            <w:hideMark/>
          </w:tcPr>
          <w:p w14:paraId="16858CB5" w14:textId="77777777" w:rsidR="00B41534" w:rsidRPr="00A40E69" w:rsidRDefault="00B41534" w:rsidP="007160D4">
            <w:pPr>
              <w:pStyle w:val="NoSpacing"/>
              <w:jc w:val="center"/>
              <w:rPr>
                <w:rFonts w:ascii="Times New Roman" w:hAnsi="Times New Roman" w:cs="Times New Roman"/>
                <w:sz w:val="20"/>
                <w:szCs w:val="20"/>
                <w:lang w:val="en-US"/>
              </w:rPr>
            </w:pPr>
          </w:p>
        </w:tc>
      </w:tr>
      <w:tr w:rsidR="00B41534" w:rsidRPr="002B0D86" w14:paraId="3B5AE8E0" w14:textId="77777777" w:rsidTr="007160D4">
        <w:trPr>
          <w:trHeight w:val="194"/>
        </w:trPr>
        <w:tc>
          <w:tcPr>
            <w:tcW w:w="2552" w:type="dxa"/>
            <w:tcBorders>
              <w:top w:val="nil"/>
              <w:left w:val="nil"/>
              <w:bottom w:val="nil"/>
              <w:right w:val="nil"/>
            </w:tcBorders>
            <w:shd w:val="clear" w:color="auto" w:fill="auto"/>
            <w:vAlign w:val="center"/>
            <w:hideMark/>
          </w:tcPr>
          <w:p w14:paraId="1FB6DDD8" w14:textId="77777777" w:rsidR="00B41534" w:rsidRPr="00A40E69" w:rsidRDefault="00B41534" w:rsidP="007160D4">
            <w:pPr>
              <w:pStyle w:val="NoSpacing"/>
              <w:rPr>
                <w:rFonts w:ascii="Times New Roman" w:hAnsi="Times New Roman" w:cs="Times New Roman"/>
                <w:b/>
                <w:bCs/>
                <w:sz w:val="20"/>
                <w:szCs w:val="20"/>
                <w:lang w:val="en-US"/>
              </w:rPr>
            </w:pPr>
            <w:r w:rsidRPr="00A40E69">
              <w:rPr>
                <w:rFonts w:ascii="Times New Roman" w:hAnsi="Times New Roman" w:cs="Times New Roman"/>
                <w:b/>
                <w:bCs/>
                <w:sz w:val="20"/>
                <w:szCs w:val="20"/>
                <w:lang w:val="en-US"/>
              </w:rPr>
              <w:t>Durables</w:t>
            </w:r>
          </w:p>
        </w:tc>
        <w:tc>
          <w:tcPr>
            <w:tcW w:w="850" w:type="dxa"/>
            <w:tcBorders>
              <w:top w:val="nil"/>
              <w:left w:val="nil"/>
              <w:bottom w:val="nil"/>
              <w:right w:val="nil"/>
            </w:tcBorders>
            <w:shd w:val="clear" w:color="auto" w:fill="auto"/>
            <w:vAlign w:val="center"/>
            <w:hideMark/>
          </w:tcPr>
          <w:p w14:paraId="45697B9D" w14:textId="77777777" w:rsidR="00B41534" w:rsidRPr="00A40E69" w:rsidRDefault="00B41534" w:rsidP="007160D4">
            <w:pPr>
              <w:pStyle w:val="NoSpacing"/>
              <w:jc w:val="center"/>
              <w:rPr>
                <w:rFonts w:ascii="Times New Roman" w:hAnsi="Times New Roman" w:cs="Times New Roman"/>
                <w:sz w:val="20"/>
                <w:szCs w:val="20"/>
                <w:lang w:val="en-US"/>
              </w:rPr>
            </w:pPr>
            <w:r w:rsidRPr="002B0D86">
              <w:rPr>
                <w:rFonts w:ascii="Times New Roman" w:hAnsi="Times New Roman" w:cs="Times New Roman"/>
                <w:sz w:val="20"/>
                <w:szCs w:val="20"/>
                <w:lang w:val="en-US"/>
              </w:rPr>
              <w:t>1,416</w:t>
            </w:r>
          </w:p>
        </w:tc>
        <w:tc>
          <w:tcPr>
            <w:tcW w:w="906" w:type="dxa"/>
            <w:tcBorders>
              <w:top w:val="nil"/>
              <w:left w:val="nil"/>
              <w:bottom w:val="nil"/>
              <w:right w:val="nil"/>
            </w:tcBorders>
            <w:shd w:val="clear" w:color="auto" w:fill="auto"/>
            <w:vAlign w:val="center"/>
            <w:hideMark/>
          </w:tcPr>
          <w:p w14:paraId="7AB80F32" w14:textId="77777777" w:rsidR="00B41534" w:rsidRPr="00A40E69" w:rsidRDefault="00B41534" w:rsidP="007160D4">
            <w:pPr>
              <w:pStyle w:val="NoSpacing"/>
              <w:jc w:val="center"/>
              <w:rPr>
                <w:rFonts w:ascii="Times New Roman" w:hAnsi="Times New Roman" w:cs="Times New Roman"/>
                <w:sz w:val="20"/>
                <w:szCs w:val="20"/>
                <w:lang w:val="en-US"/>
              </w:rPr>
            </w:pPr>
            <w:r w:rsidRPr="002B0D86">
              <w:rPr>
                <w:rFonts w:ascii="Times New Roman" w:hAnsi="Times New Roman" w:cs="Times New Roman"/>
                <w:sz w:val="20"/>
                <w:szCs w:val="20"/>
                <w:lang w:val="en-US"/>
              </w:rPr>
              <w:t>1,306</w:t>
            </w:r>
          </w:p>
        </w:tc>
        <w:tc>
          <w:tcPr>
            <w:tcW w:w="1092" w:type="dxa"/>
            <w:tcBorders>
              <w:top w:val="nil"/>
              <w:left w:val="nil"/>
              <w:bottom w:val="nil"/>
              <w:right w:val="nil"/>
            </w:tcBorders>
            <w:shd w:val="clear" w:color="auto" w:fill="auto"/>
            <w:vAlign w:val="center"/>
            <w:hideMark/>
          </w:tcPr>
          <w:p w14:paraId="022BF737" w14:textId="77777777" w:rsidR="00B41534" w:rsidRPr="00A40E69" w:rsidRDefault="00B41534" w:rsidP="007160D4">
            <w:pPr>
              <w:pStyle w:val="NoSpacing"/>
              <w:jc w:val="center"/>
              <w:rPr>
                <w:rFonts w:ascii="Times New Roman" w:hAnsi="Times New Roman" w:cs="Times New Roman"/>
                <w:sz w:val="20"/>
                <w:szCs w:val="20"/>
                <w:lang w:val="en-US"/>
              </w:rPr>
            </w:pPr>
            <w:r w:rsidRPr="00A40E69">
              <w:rPr>
                <w:rFonts w:ascii="Times New Roman" w:hAnsi="Times New Roman" w:cs="Times New Roman"/>
                <w:sz w:val="20"/>
                <w:szCs w:val="20"/>
                <w:lang w:val="en-US"/>
              </w:rPr>
              <w:t>0.0672</w:t>
            </w:r>
          </w:p>
        </w:tc>
        <w:tc>
          <w:tcPr>
            <w:tcW w:w="236" w:type="dxa"/>
            <w:tcBorders>
              <w:top w:val="nil"/>
              <w:left w:val="nil"/>
              <w:bottom w:val="nil"/>
              <w:right w:val="nil"/>
            </w:tcBorders>
            <w:shd w:val="clear" w:color="auto" w:fill="auto"/>
            <w:vAlign w:val="center"/>
            <w:hideMark/>
          </w:tcPr>
          <w:p w14:paraId="6BB7AACE"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127" w:type="dxa"/>
            <w:tcBorders>
              <w:top w:val="nil"/>
              <w:left w:val="nil"/>
              <w:bottom w:val="nil"/>
              <w:right w:val="nil"/>
            </w:tcBorders>
            <w:shd w:val="clear" w:color="auto" w:fill="auto"/>
            <w:vAlign w:val="center"/>
            <w:hideMark/>
          </w:tcPr>
          <w:p w14:paraId="00209907" w14:textId="77777777" w:rsidR="00B41534" w:rsidRPr="00A40E69" w:rsidRDefault="00B41534" w:rsidP="007160D4">
            <w:pPr>
              <w:pStyle w:val="NoSpacing"/>
              <w:jc w:val="center"/>
              <w:rPr>
                <w:rFonts w:ascii="Times New Roman" w:hAnsi="Times New Roman" w:cs="Times New Roman"/>
                <w:sz w:val="20"/>
                <w:szCs w:val="20"/>
                <w:lang w:val="en-US"/>
              </w:rPr>
            </w:pPr>
            <w:r w:rsidRPr="002B0D86">
              <w:rPr>
                <w:rFonts w:ascii="Times New Roman" w:hAnsi="Times New Roman" w:cs="Times New Roman"/>
                <w:sz w:val="20"/>
                <w:szCs w:val="20"/>
                <w:lang w:val="en-US"/>
              </w:rPr>
              <w:t>1,202</w:t>
            </w:r>
          </w:p>
        </w:tc>
        <w:tc>
          <w:tcPr>
            <w:tcW w:w="1330" w:type="dxa"/>
            <w:tcBorders>
              <w:top w:val="nil"/>
              <w:left w:val="nil"/>
              <w:bottom w:val="nil"/>
              <w:right w:val="nil"/>
            </w:tcBorders>
            <w:shd w:val="clear" w:color="auto" w:fill="auto"/>
            <w:vAlign w:val="center"/>
            <w:hideMark/>
          </w:tcPr>
          <w:p w14:paraId="7D9B5338" w14:textId="77777777" w:rsidR="00B41534" w:rsidRPr="00A40E69" w:rsidRDefault="00B41534" w:rsidP="007160D4">
            <w:pPr>
              <w:pStyle w:val="NoSpacing"/>
              <w:jc w:val="center"/>
              <w:rPr>
                <w:rFonts w:ascii="Times New Roman" w:hAnsi="Times New Roman" w:cs="Times New Roman"/>
                <w:sz w:val="20"/>
                <w:szCs w:val="20"/>
                <w:lang w:val="en-US"/>
              </w:rPr>
            </w:pPr>
            <w:r w:rsidRPr="002B0D86">
              <w:rPr>
                <w:rFonts w:ascii="Times New Roman" w:hAnsi="Times New Roman" w:cs="Times New Roman"/>
                <w:sz w:val="20"/>
                <w:szCs w:val="20"/>
                <w:lang w:val="en-US"/>
              </w:rPr>
              <w:t>1,423</w:t>
            </w:r>
          </w:p>
        </w:tc>
        <w:tc>
          <w:tcPr>
            <w:tcW w:w="1092" w:type="dxa"/>
            <w:tcBorders>
              <w:top w:val="nil"/>
              <w:left w:val="nil"/>
              <w:bottom w:val="nil"/>
              <w:right w:val="nil"/>
            </w:tcBorders>
            <w:shd w:val="clear" w:color="auto" w:fill="auto"/>
            <w:noWrap/>
            <w:vAlign w:val="center"/>
            <w:hideMark/>
          </w:tcPr>
          <w:p w14:paraId="4AD47598" w14:textId="77777777" w:rsidR="00B41534" w:rsidRPr="00A40E69" w:rsidRDefault="00B41534" w:rsidP="007160D4">
            <w:pPr>
              <w:pStyle w:val="NoSpacing"/>
              <w:jc w:val="center"/>
              <w:rPr>
                <w:rFonts w:ascii="Times New Roman" w:hAnsi="Times New Roman" w:cs="Times New Roman"/>
                <w:sz w:val="20"/>
                <w:szCs w:val="20"/>
                <w:lang w:val="en-US"/>
              </w:rPr>
            </w:pPr>
            <w:r w:rsidRPr="00A40E69">
              <w:rPr>
                <w:rFonts w:ascii="Times New Roman" w:hAnsi="Times New Roman" w:cs="Times New Roman"/>
                <w:sz w:val="20"/>
                <w:szCs w:val="20"/>
                <w:lang w:val="en-US"/>
              </w:rPr>
              <w:t>0.0718</w:t>
            </w:r>
          </w:p>
        </w:tc>
        <w:tc>
          <w:tcPr>
            <w:tcW w:w="236" w:type="dxa"/>
            <w:tcBorders>
              <w:top w:val="nil"/>
              <w:left w:val="nil"/>
              <w:bottom w:val="nil"/>
              <w:right w:val="nil"/>
            </w:tcBorders>
            <w:shd w:val="clear" w:color="auto" w:fill="auto"/>
            <w:vAlign w:val="center"/>
            <w:hideMark/>
          </w:tcPr>
          <w:p w14:paraId="53B01FCF"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077" w:type="dxa"/>
            <w:tcBorders>
              <w:top w:val="nil"/>
              <w:left w:val="nil"/>
              <w:bottom w:val="nil"/>
              <w:right w:val="nil"/>
            </w:tcBorders>
            <w:shd w:val="clear" w:color="auto" w:fill="auto"/>
            <w:vAlign w:val="center"/>
            <w:hideMark/>
          </w:tcPr>
          <w:p w14:paraId="26C12F01" w14:textId="77777777" w:rsidR="00B41534" w:rsidRPr="00A40E69" w:rsidRDefault="00B41534" w:rsidP="007160D4">
            <w:pPr>
              <w:pStyle w:val="NoSpacing"/>
              <w:jc w:val="center"/>
              <w:rPr>
                <w:rFonts w:ascii="Times New Roman" w:hAnsi="Times New Roman" w:cs="Times New Roman"/>
                <w:sz w:val="20"/>
                <w:szCs w:val="20"/>
                <w:lang w:val="en-US"/>
              </w:rPr>
            </w:pPr>
            <w:r w:rsidRPr="00A40E69">
              <w:rPr>
                <w:rFonts w:ascii="Times New Roman" w:hAnsi="Times New Roman" w:cs="Times New Roman"/>
                <w:sz w:val="20"/>
                <w:szCs w:val="20"/>
                <w:lang w:val="en-US"/>
              </w:rPr>
              <w:t>1180</w:t>
            </w:r>
          </w:p>
        </w:tc>
        <w:tc>
          <w:tcPr>
            <w:tcW w:w="1331" w:type="dxa"/>
            <w:tcBorders>
              <w:top w:val="nil"/>
              <w:left w:val="nil"/>
              <w:bottom w:val="nil"/>
              <w:right w:val="nil"/>
            </w:tcBorders>
            <w:shd w:val="clear" w:color="auto" w:fill="auto"/>
            <w:noWrap/>
            <w:vAlign w:val="center"/>
            <w:hideMark/>
          </w:tcPr>
          <w:p w14:paraId="5C34F4EE" w14:textId="77777777" w:rsidR="00B41534" w:rsidRPr="00A40E69" w:rsidRDefault="00B41534" w:rsidP="007160D4">
            <w:pPr>
              <w:pStyle w:val="NoSpacing"/>
              <w:jc w:val="center"/>
              <w:rPr>
                <w:rFonts w:ascii="Times New Roman" w:hAnsi="Times New Roman" w:cs="Times New Roman"/>
                <w:sz w:val="20"/>
                <w:szCs w:val="20"/>
                <w:lang w:val="en-US"/>
              </w:rPr>
            </w:pPr>
            <w:r w:rsidRPr="00A40E69">
              <w:rPr>
                <w:rFonts w:ascii="Times New Roman" w:hAnsi="Times New Roman" w:cs="Times New Roman"/>
                <w:sz w:val="20"/>
                <w:szCs w:val="20"/>
                <w:lang w:val="en-US"/>
              </w:rPr>
              <w:t>58.06</w:t>
            </w:r>
          </w:p>
        </w:tc>
        <w:tc>
          <w:tcPr>
            <w:tcW w:w="1071" w:type="dxa"/>
            <w:tcBorders>
              <w:top w:val="nil"/>
              <w:left w:val="nil"/>
              <w:bottom w:val="nil"/>
              <w:right w:val="nil"/>
            </w:tcBorders>
            <w:shd w:val="clear" w:color="auto" w:fill="auto"/>
            <w:vAlign w:val="center"/>
            <w:hideMark/>
          </w:tcPr>
          <w:p w14:paraId="76A537CF" w14:textId="77777777" w:rsidR="00B41534" w:rsidRPr="00A40E69" w:rsidRDefault="00B41534" w:rsidP="007160D4">
            <w:pPr>
              <w:pStyle w:val="NoSpacing"/>
              <w:jc w:val="center"/>
              <w:rPr>
                <w:rFonts w:ascii="Times New Roman" w:hAnsi="Times New Roman" w:cs="Times New Roman"/>
                <w:sz w:val="20"/>
                <w:szCs w:val="20"/>
                <w:lang w:val="en-US"/>
              </w:rPr>
            </w:pPr>
            <w:r w:rsidRPr="00A40E69">
              <w:rPr>
                <w:rFonts w:ascii="Times New Roman" w:hAnsi="Times New Roman" w:cs="Times New Roman"/>
                <w:sz w:val="20"/>
                <w:szCs w:val="20"/>
                <w:lang w:val="en-US"/>
              </w:rPr>
              <w:t>6153.00</w:t>
            </w:r>
          </w:p>
        </w:tc>
      </w:tr>
      <w:tr w:rsidR="00B41534" w:rsidRPr="002B0D86" w14:paraId="34E6610D" w14:textId="77777777" w:rsidTr="007160D4">
        <w:trPr>
          <w:trHeight w:val="188"/>
        </w:trPr>
        <w:tc>
          <w:tcPr>
            <w:tcW w:w="2552" w:type="dxa"/>
            <w:tcBorders>
              <w:top w:val="nil"/>
              <w:left w:val="nil"/>
              <w:bottom w:val="nil"/>
              <w:right w:val="nil"/>
            </w:tcBorders>
            <w:shd w:val="clear" w:color="auto" w:fill="auto"/>
            <w:vAlign w:val="center"/>
            <w:hideMark/>
          </w:tcPr>
          <w:p w14:paraId="29A4A9C6" w14:textId="77777777" w:rsidR="00B41534" w:rsidRPr="00A40E69" w:rsidRDefault="00B41534" w:rsidP="007160D4">
            <w:pPr>
              <w:pStyle w:val="NoSpacing"/>
              <w:rPr>
                <w:rFonts w:ascii="Times New Roman" w:hAnsi="Times New Roman" w:cs="Times New Roman"/>
                <w:b/>
                <w:bCs/>
                <w:sz w:val="20"/>
                <w:szCs w:val="20"/>
                <w:lang w:val="en-US"/>
              </w:rPr>
            </w:pPr>
          </w:p>
        </w:tc>
        <w:tc>
          <w:tcPr>
            <w:tcW w:w="850" w:type="dxa"/>
            <w:tcBorders>
              <w:top w:val="nil"/>
              <w:left w:val="nil"/>
              <w:bottom w:val="nil"/>
              <w:right w:val="nil"/>
            </w:tcBorders>
            <w:shd w:val="clear" w:color="auto" w:fill="auto"/>
            <w:noWrap/>
            <w:vAlign w:val="center"/>
            <w:hideMark/>
          </w:tcPr>
          <w:p w14:paraId="2D11E6F3" w14:textId="77777777" w:rsidR="00B41534" w:rsidRPr="00A40E69" w:rsidRDefault="00B41534" w:rsidP="007160D4">
            <w:pPr>
              <w:pStyle w:val="NoSpacing"/>
              <w:jc w:val="center"/>
              <w:rPr>
                <w:rFonts w:ascii="Times New Roman" w:hAnsi="Times New Roman" w:cs="Times New Roman"/>
                <w:sz w:val="20"/>
                <w:szCs w:val="20"/>
                <w:lang w:val="en-US"/>
              </w:rPr>
            </w:pPr>
          </w:p>
        </w:tc>
        <w:tc>
          <w:tcPr>
            <w:tcW w:w="906" w:type="dxa"/>
            <w:tcBorders>
              <w:top w:val="nil"/>
              <w:left w:val="nil"/>
              <w:bottom w:val="nil"/>
              <w:right w:val="nil"/>
            </w:tcBorders>
            <w:shd w:val="clear" w:color="auto" w:fill="auto"/>
            <w:noWrap/>
            <w:vAlign w:val="center"/>
            <w:hideMark/>
          </w:tcPr>
          <w:p w14:paraId="22D5BFD6"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092" w:type="dxa"/>
            <w:tcBorders>
              <w:top w:val="nil"/>
              <w:left w:val="nil"/>
              <w:bottom w:val="nil"/>
              <w:right w:val="nil"/>
            </w:tcBorders>
            <w:shd w:val="clear" w:color="auto" w:fill="auto"/>
            <w:vAlign w:val="center"/>
            <w:hideMark/>
          </w:tcPr>
          <w:p w14:paraId="7D2D3A1F" w14:textId="77777777" w:rsidR="00B41534" w:rsidRPr="00A40E69" w:rsidRDefault="00B41534" w:rsidP="007160D4">
            <w:pPr>
              <w:pStyle w:val="NoSpacing"/>
              <w:jc w:val="center"/>
              <w:rPr>
                <w:rFonts w:ascii="Times New Roman" w:hAnsi="Times New Roman" w:cs="Times New Roman"/>
                <w:sz w:val="20"/>
                <w:szCs w:val="20"/>
                <w:lang w:val="en-US"/>
              </w:rPr>
            </w:pPr>
          </w:p>
        </w:tc>
        <w:tc>
          <w:tcPr>
            <w:tcW w:w="236" w:type="dxa"/>
            <w:tcBorders>
              <w:top w:val="nil"/>
              <w:left w:val="nil"/>
              <w:bottom w:val="nil"/>
              <w:right w:val="nil"/>
            </w:tcBorders>
            <w:shd w:val="clear" w:color="auto" w:fill="auto"/>
            <w:vAlign w:val="center"/>
            <w:hideMark/>
          </w:tcPr>
          <w:p w14:paraId="4B1BBF1B"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127" w:type="dxa"/>
            <w:tcBorders>
              <w:top w:val="nil"/>
              <w:left w:val="nil"/>
              <w:bottom w:val="nil"/>
              <w:right w:val="nil"/>
            </w:tcBorders>
            <w:shd w:val="clear" w:color="auto" w:fill="auto"/>
            <w:noWrap/>
            <w:vAlign w:val="center"/>
            <w:hideMark/>
          </w:tcPr>
          <w:p w14:paraId="027F54CA"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330" w:type="dxa"/>
            <w:tcBorders>
              <w:top w:val="nil"/>
              <w:left w:val="nil"/>
              <w:bottom w:val="nil"/>
              <w:right w:val="nil"/>
            </w:tcBorders>
            <w:shd w:val="clear" w:color="auto" w:fill="auto"/>
            <w:noWrap/>
            <w:vAlign w:val="center"/>
            <w:hideMark/>
          </w:tcPr>
          <w:p w14:paraId="69E48506"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092" w:type="dxa"/>
            <w:tcBorders>
              <w:top w:val="nil"/>
              <w:left w:val="nil"/>
              <w:bottom w:val="nil"/>
              <w:right w:val="nil"/>
            </w:tcBorders>
            <w:shd w:val="clear" w:color="auto" w:fill="auto"/>
            <w:noWrap/>
            <w:vAlign w:val="center"/>
            <w:hideMark/>
          </w:tcPr>
          <w:p w14:paraId="7ED0277F" w14:textId="77777777" w:rsidR="00B41534" w:rsidRPr="00A40E69" w:rsidRDefault="00B41534" w:rsidP="007160D4">
            <w:pPr>
              <w:pStyle w:val="NoSpacing"/>
              <w:jc w:val="center"/>
              <w:rPr>
                <w:rFonts w:ascii="Times New Roman" w:hAnsi="Times New Roman" w:cs="Times New Roman"/>
                <w:sz w:val="20"/>
                <w:szCs w:val="20"/>
                <w:lang w:val="en-US"/>
              </w:rPr>
            </w:pPr>
          </w:p>
        </w:tc>
        <w:tc>
          <w:tcPr>
            <w:tcW w:w="236" w:type="dxa"/>
            <w:tcBorders>
              <w:top w:val="nil"/>
              <w:left w:val="nil"/>
              <w:bottom w:val="nil"/>
              <w:right w:val="nil"/>
            </w:tcBorders>
            <w:shd w:val="clear" w:color="auto" w:fill="auto"/>
            <w:vAlign w:val="center"/>
            <w:hideMark/>
          </w:tcPr>
          <w:p w14:paraId="12882EB2"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077" w:type="dxa"/>
            <w:tcBorders>
              <w:top w:val="nil"/>
              <w:left w:val="nil"/>
              <w:bottom w:val="nil"/>
              <w:right w:val="nil"/>
            </w:tcBorders>
            <w:shd w:val="clear" w:color="auto" w:fill="auto"/>
            <w:vAlign w:val="center"/>
            <w:hideMark/>
          </w:tcPr>
          <w:p w14:paraId="0D742A60"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331" w:type="dxa"/>
            <w:tcBorders>
              <w:top w:val="nil"/>
              <w:left w:val="nil"/>
              <w:bottom w:val="nil"/>
              <w:right w:val="nil"/>
            </w:tcBorders>
            <w:shd w:val="clear" w:color="auto" w:fill="auto"/>
            <w:vAlign w:val="center"/>
            <w:hideMark/>
          </w:tcPr>
          <w:p w14:paraId="3C8A51D5"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071" w:type="dxa"/>
            <w:tcBorders>
              <w:top w:val="nil"/>
              <w:left w:val="nil"/>
              <w:bottom w:val="nil"/>
              <w:right w:val="nil"/>
            </w:tcBorders>
            <w:shd w:val="clear" w:color="auto" w:fill="auto"/>
            <w:vAlign w:val="center"/>
            <w:hideMark/>
          </w:tcPr>
          <w:p w14:paraId="2172319F" w14:textId="77777777" w:rsidR="00B41534" w:rsidRPr="00A40E69" w:rsidRDefault="00B41534" w:rsidP="007160D4">
            <w:pPr>
              <w:pStyle w:val="NoSpacing"/>
              <w:jc w:val="center"/>
              <w:rPr>
                <w:rFonts w:ascii="Times New Roman" w:hAnsi="Times New Roman" w:cs="Times New Roman"/>
                <w:sz w:val="20"/>
                <w:szCs w:val="20"/>
                <w:lang w:val="en-US"/>
              </w:rPr>
            </w:pPr>
          </w:p>
        </w:tc>
      </w:tr>
      <w:tr w:rsidR="00B41534" w:rsidRPr="002B0D86" w14:paraId="317A87FB" w14:textId="77777777" w:rsidTr="007160D4">
        <w:trPr>
          <w:trHeight w:val="80"/>
        </w:trPr>
        <w:tc>
          <w:tcPr>
            <w:tcW w:w="2552" w:type="dxa"/>
            <w:tcBorders>
              <w:top w:val="nil"/>
              <w:left w:val="nil"/>
              <w:bottom w:val="nil"/>
              <w:right w:val="nil"/>
            </w:tcBorders>
            <w:shd w:val="clear" w:color="auto" w:fill="auto"/>
            <w:vAlign w:val="center"/>
            <w:hideMark/>
          </w:tcPr>
          <w:p w14:paraId="052603B9" w14:textId="77777777" w:rsidR="00B41534" w:rsidRPr="00A40E69" w:rsidRDefault="00B41534" w:rsidP="007160D4">
            <w:pPr>
              <w:pStyle w:val="NoSpacing"/>
              <w:rPr>
                <w:rFonts w:ascii="Times New Roman" w:hAnsi="Times New Roman" w:cs="Times New Roman"/>
                <w:b/>
                <w:bCs/>
                <w:sz w:val="20"/>
                <w:szCs w:val="20"/>
                <w:lang w:val="en-US"/>
              </w:rPr>
            </w:pPr>
            <w:r w:rsidRPr="00A40E69">
              <w:rPr>
                <w:rFonts w:ascii="Times New Roman" w:hAnsi="Times New Roman" w:cs="Times New Roman"/>
                <w:b/>
                <w:bCs/>
                <w:sz w:val="20"/>
                <w:szCs w:val="20"/>
                <w:lang w:val="en-US"/>
              </w:rPr>
              <w:t>Medical (out-of-pocket)</w:t>
            </w:r>
          </w:p>
        </w:tc>
        <w:tc>
          <w:tcPr>
            <w:tcW w:w="850" w:type="dxa"/>
            <w:tcBorders>
              <w:top w:val="nil"/>
              <w:left w:val="nil"/>
              <w:bottom w:val="nil"/>
              <w:right w:val="nil"/>
            </w:tcBorders>
            <w:shd w:val="clear" w:color="auto" w:fill="auto"/>
            <w:vAlign w:val="center"/>
            <w:hideMark/>
          </w:tcPr>
          <w:p w14:paraId="1E697513" w14:textId="77777777" w:rsidR="00B41534" w:rsidRPr="00A40E69" w:rsidRDefault="00B41534" w:rsidP="007160D4">
            <w:pPr>
              <w:pStyle w:val="NoSpacing"/>
              <w:jc w:val="center"/>
              <w:rPr>
                <w:rFonts w:ascii="Times New Roman" w:hAnsi="Times New Roman" w:cs="Times New Roman"/>
                <w:sz w:val="20"/>
                <w:szCs w:val="20"/>
                <w:lang w:val="en-US"/>
              </w:rPr>
            </w:pPr>
            <w:r w:rsidRPr="002B0D86">
              <w:rPr>
                <w:rFonts w:ascii="Times New Roman" w:hAnsi="Times New Roman" w:cs="Times New Roman"/>
                <w:sz w:val="20"/>
                <w:szCs w:val="20"/>
                <w:lang w:val="en-US"/>
              </w:rPr>
              <w:t>1,402</w:t>
            </w:r>
          </w:p>
        </w:tc>
        <w:tc>
          <w:tcPr>
            <w:tcW w:w="906" w:type="dxa"/>
            <w:tcBorders>
              <w:top w:val="nil"/>
              <w:left w:val="nil"/>
              <w:bottom w:val="nil"/>
              <w:right w:val="nil"/>
            </w:tcBorders>
            <w:shd w:val="clear" w:color="auto" w:fill="auto"/>
            <w:vAlign w:val="center"/>
            <w:hideMark/>
          </w:tcPr>
          <w:p w14:paraId="4EBD1B77" w14:textId="77777777" w:rsidR="00B41534" w:rsidRPr="00A40E69" w:rsidRDefault="00B41534" w:rsidP="007160D4">
            <w:pPr>
              <w:pStyle w:val="NoSpacing"/>
              <w:jc w:val="center"/>
              <w:rPr>
                <w:rFonts w:ascii="Times New Roman" w:hAnsi="Times New Roman" w:cs="Times New Roman"/>
                <w:sz w:val="20"/>
                <w:szCs w:val="20"/>
                <w:lang w:val="en-US"/>
              </w:rPr>
            </w:pPr>
            <w:r w:rsidRPr="002B0D86">
              <w:rPr>
                <w:rFonts w:ascii="Times New Roman" w:hAnsi="Times New Roman" w:cs="Times New Roman"/>
                <w:sz w:val="20"/>
                <w:szCs w:val="20"/>
                <w:lang w:val="en-US"/>
              </w:rPr>
              <w:t>2,859</w:t>
            </w:r>
          </w:p>
        </w:tc>
        <w:tc>
          <w:tcPr>
            <w:tcW w:w="1092" w:type="dxa"/>
            <w:tcBorders>
              <w:top w:val="nil"/>
              <w:left w:val="nil"/>
              <w:bottom w:val="nil"/>
              <w:right w:val="nil"/>
            </w:tcBorders>
            <w:shd w:val="clear" w:color="auto" w:fill="auto"/>
            <w:noWrap/>
            <w:vAlign w:val="center"/>
            <w:hideMark/>
          </w:tcPr>
          <w:p w14:paraId="47D37B99" w14:textId="77777777" w:rsidR="00B41534" w:rsidRPr="00A40E69" w:rsidRDefault="00B41534" w:rsidP="007160D4">
            <w:pPr>
              <w:pStyle w:val="NoSpacing"/>
              <w:jc w:val="center"/>
              <w:rPr>
                <w:rFonts w:ascii="Times New Roman" w:hAnsi="Times New Roman" w:cs="Times New Roman"/>
                <w:sz w:val="20"/>
                <w:szCs w:val="20"/>
                <w:lang w:val="en-US"/>
              </w:rPr>
            </w:pPr>
            <w:r w:rsidRPr="00A40E69">
              <w:rPr>
                <w:rFonts w:ascii="Times New Roman" w:hAnsi="Times New Roman" w:cs="Times New Roman"/>
                <w:sz w:val="20"/>
                <w:szCs w:val="20"/>
                <w:lang w:val="en-US"/>
              </w:rPr>
              <w:t>0.1368</w:t>
            </w:r>
          </w:p>
        </w:tc>
        <w:tc>
          <w:tcPr>
            <w:tcW w:w="236" w:type="dxa"/>
            <w:tcBorders>
              <w:top w:val="nil"/>
              <w:left w:val="nil"/>
              <w:bottom w:val="nil"/>
              <w:right w:val="nil"/>
            </w:tcBorders>
            <w:shd w:val="clear" w:color="auto" w:fill="auto"/>
            <w:vAlign w:val="center"/>
            <w:hideMark/>
          </w:tcPr>
          <w:p w14:paraId="17396E7B"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127" w:type="dxa"/>
            <w:tcBorders>
              <w:top w:val="nil"/>
              <w:left w:val="nil"/>
              <w:bottom w:val="nil"/>
              <w:right w:val="nil"/>
            </w:tcBorders>
            <w:shd w:val="clear" w:color="auto" w:fill="auto"/>
            <w:vAlign w:val="center"/>
            <w:hideMark/>
          </w:tcPr>
          <w:p w14:paraId="11502C9E" w14:textId="77777777" w:rsidR="00B41534" w:rsidRPr="00A40E69" w:rsidRDefault="00B41534" w:rsidP="007160D4">
            <w:pPr>
              <w:pStyle w:val="NoSpacing"/>
              <w:jc w:val="center"/>
              <w:rPr>
                <w:rFonts w:ascii="Times New Roman" w:hAnsi="Times New Roman" w:cs="Times New Roman"/>
                <w:sz w:val="20"/>
                <w:szCs w:val="20"/>
                <w:lang w:val="en-US"/>
              </w:rPr>
            </w:pPr>
            <w:r w:rsidRPr="002B0D86">
              <w:rPr>
                <w:rFonts w:ascii="Times New Roman" w:hAnsi="Times New Roman" w:cs="Times New Roman"/>
                <w:sz w:val="20"/>
                <w:szCs w:val="20"/>
                <w:lang w:val="en-US"/>
              </w:rPr>
              <w:t>1,193</w:t>
            </w:r>
          </w:p>
        </w:tc>
        <w:tc>
          <w:tcPr>
            <w:tcW w:w="1330" w:type="dxa"/>
            <w:tcBorders>
              <w:top w:val="nil"/>
              <w:left w:val="nil"/>
              <w:bottom w:val="nil"/>
              <w:right w:val="nil"/>
            </w:tcBorders>
            <w:shd w:val="clear" w:color="auto" w:fill="auto"/>
            <w:vAlign w:val="center"/>
            <w:hideMark/>
          </w:tcPr>
          <w:p w14:paraId="4BCC6B43" w14:textId="77777777" w:rsidR="00B41534" w:rsidRPr="00A40E69" w:rsidRDefault="00B41534" w:rsidP="007160D4">
            <w:pPr>
              <w:pStyle w:val="NoSpacing"/>
              <w:jc w:val="center"/>
              <w:rPr>
                <w:rFonts w:ascii="Times New Roman" w:hAnsi="Times New Roman" w:cs="Times New Roman"/>
                <w:sz w:val="20"/>
                <w:szCs w:val="20"/>
                <w:lang w:val="en-US"/>
              </w:rPr>
            </w:pPr>
            <w:r w:rsidRPr="002B0D86">
              <w:rPr>
                <w:rFonts w:ascii="Times New Roman" w:hAnsi="Times New Roman" w:cs="Times New Roman"/>
                <w:sz w:val="20"/>
                <w:szCs w:val="20"/>
                <w:lang w:val="en-US"/>
              </w:rPr>
              <w:t>2,664</w:t>
            </w:r>
          </w:p>
        </w:tc>
        <w:tc>
          <w:tcPr>
            <w:tcW w:w="1092" w:type="dxa"/>
            <w:tcBorders>
              <w:top w:val="nil"/>
              <w:left w:val="nil"/>
              <w:bottom w:val="nil"/>
              <w:right w:val="nil"/>
            </w:tcBorders>
            <w:shd w:val="clear" w:color="auto" w:fill="auto"/>
            <w:noWrap/>
            <w:vAlign w:val="center"/>
            <w:hideMark/>
          </w:tcPr>
          <w:p w14:paraId="7C3BB637" w14:textId="77777777" w:rsidR="00B41534" w:rsidRPr="00A40E69" w:rsidRDefault="00B41534" w:rsidP="007160D4">
            <w:pPr>
              <w:pStyle w:val="NoSpacing"/>
              <w:jc w:val="center"/>
              <w:rPr>
                <w:rFonts w:ascii="Times New Roman" w:hAnsi="Times New Roman" w:cs="Times New Roman"/>
                <w:sz w:val="20"/>
                <w:szCs w:val="20"/>
                <w:lang w:val="en-US"/>
              </w:rPr>
            </w:pPr>
            <w:r w:rsidRPr="00A40E69">
              <w:rPr>
                <w:rFonts w:ascii="Times New Roman" w:hAnsi="Times New Roman" w:cs="Times New Roman"/>
                <w:sz w:val="20"/>
                <w:szCs w:val="20"/>
                <w:lang w:val="en-US"/>
              </w:rPr>
              <w:t>0.1292</w:t>
            </w:r>
          </w:p>
        </w:tc>
        <w:tc>
          <w:tcPr>
            <w:tcW w:w="236" w:type="dxa"/>
            <w:tcBorders>
              <w:top w:val="nil"/>
              <w:left w:val="nil"/>
              <w:bottom w:val="nil"/>
              <w:right w:val="nil"/>
            </w:tcBorders>
            <w:shd w:val="clear" w:color="auto" w:fill="auto"/>
            <w:vAlign w:val="center"/>
            <w:hideMark/>
          </w:tcPr>
          <w:p w14:paraId="19CA43C2"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077" w:type="dxa"/>
            <w:tcBorders>
              <w:top w:val="nil"/>
              <w:left w:val="nil"/>
              <w:bottom w:val="nil"/>
              <w:right w:val="nil"/>
            </w:tcBorders>
            <w:shd w:val="clear" w:color="auto" w:fill="auto"/>
            <w:vAlign w:val="center"/>
            <w:hideMark/>
          </w:tcPr>
          <w:p w14:paraId="7F9632FA" w14:textId="77777777" w:rsidR="00B41534" w:rsidRPr="00A40E69" w:rsidRDefault="00B41534" w:rsidP="007160D4">
            <w:pPr>
              <w:pStyle w:val="NoSpacing"/>
              <w:jc w:val="center"/>
              <w:rPr>
                <w:rFonts w:ascii="Times New Roman" w:hAnsi="Times New Roman" w:cs="Times New Roman"/>
                <w:sz w:val="20"/>
                <w:szCs w:val="20"/>
                <w:lang w:val="en-US"/>
              </w:rPr>
            </w:pPr>
            <w:r w:rsidRPr="00A40E69">
              <w:rPr>
                <w:rFonts w:ascii="Times New Roman" w:hAnsi="Times New Roman" w:cs="Times New Roman"/>
                <w:sz w:val="20"/>
                <w:szCs w:val="20"/>
                <w:lang w:val="en-US"/>
              </w:rPr>
              <w:t>1163</w:t>
            </w:r>
          </w:p>
        </w:tc>
        <w:tc>
          <w:tcPr>
            <w:tcW w:w="1331" w:type="dxa"/>
            <w:tcBorders>
              <w:top w:val="nil"/>
              <w:left w:val="nil"/>
              <w:bottom w:val="nil"/>
              <w:right w:val="nil"/>
            </w:tcBorders>
            <w:shd w:val="clear" w:color="auto" w:fill="auto"/>
            <w:noWrap/>
            <w:vAlign w:val="center"/>
            <w:hideMark/>
          </w:tcPr>
          <w:p w14:paraId="402EA84A" w14:textId="77777777" w:rsidR="00B41534" w:rsidRPr="00A40E69" w:rsidRDefault="00B41534" w:rsidP="007160D4">
            <w:pPr>
              <w:pStyle w:val="NoSpacing"/>
              <w:jc w:val="center"/>
              <w:rPr>
                <w:rFonts w:ascii="Times New Roman" w:hAnsi="Times New Roman" w:cs="Times New Roman"/>
                <w:sz w:val="20"/>
                <w:szCs w:val="20"/>
                <w:lang w:val="en-US"/>
              </w:rPr>
            </w:pPr>
            <w:r w:rsidRPr="00A40E69">
              <w:rPr>
                <w:rFonts w:ascii="Times New Roman" w:hAnsi="Times New Roman" w:cs="Times New Roman"/>
                <w:sz w:val="20"/>
                <w:szCs w:val="20"/>
                <w:lang w:val="en-US"/>
              </w:rPr>
              <w:t>-66.92</w:t>
            </w:r>
          </w:p>
        </w:tc>
        <w:tc>
          <w:tcPr>
            <w:tcW w:w="1071" w:type="dxa"/>
            <w:tcBorders>
              <w:top w:val="nil"/>
              <w:left w:val="nil"/>
              <w:bottom w:val="nil"/>
              <w:right w:val="nil"/>
            </w:tcBorders>
            <w:shd w:val="clear" w:color="auto" w:fill="auto"/>
            <w:noWrap/>
            <w:vAlign w:val="center"/>
            <w:hideMark/>
          </w:tcPr>
          <w:p w14:paraId="58FB084E" w14:textId="77777777" w:rsidR="00B41534" w:rsidRPr="00A40E69" w:rsidRDefault="00B41534" w:rsidP="007160D4">
            <w:pPr>
              <w:pStyle w:val="NoSpacing"/>
              <w:jc w:val="center"/>
              <w:rPr>
                <w:rFonts w:ascii="Times New Roman" w:hAnsi="Times New Roman" w:cs="Times New Roman"/>
                <w:sz w:val="20"/>
                <w:szCs w:val="20"/>
                <w:lang w:val="en-US"/>
              </w:rPr>
            </w:pPr>
            <w:r w:rsidRPr="00A40E69">
              <w:rPr>
                <w:rFonts w:ascii="Times New Roman" w:hAnsi="Times New Roman" w:cs="Times New Roman"/>
                <w:sz w:val="20"/>
                <w:szCs w:val="20"/>
                <w:lang w:val="en-US"/>
              </w:rPr>
              <w:t>6396.08</w:t>
            </w:r>
          </w:p>
        </w:tc>
      </w:tr>
      <w:tr w:rsidR="00B41534" w:rsidRPr="002B0D86" w14:paraId="2FA76BE4" w14:textId="77777777" w:rsidTr="007160D4">
        <w:trPr>
          <w:trHeight w:val="202"/>
        </w:trPr>
        <w:tc>
          <w:tcPr>
            <w:tcW w:w="2552" w:type="dxa"/>
            <w:tcBorders>
              <w:top w:val="nil"/>
              <w:left w:val="nil"/>
              <w:bottom w:val="nil"/>
              <w:right w:val="nil"/>
            </w:tcBorders>
            <w:shd w:val="clear" w:color="auto" w:fill="auto"/>
            <w:vAlign w:val="center"/>
            <w:hideMark/>
          </w:tcPr>
          <w:p w14:paraId="44BF7463" w14:textId="77777777" w:rsidR="00B41534" w:rsidRPr="00A40E69" w:rsidRDefault="00B41534" w:rsidP="007160D4">
            <w:pPr>
              <w:pStyle w:val="NoSpacing"/>
              <w:rPr>
                <w:rFonts w:ascii="Times New Roman" w:hAnsi="Times New Roman" w:cs="Times New Roman"/>
                <w:b/>
                <w:bCs/>
                <w:sz w:val="20"/>
                <w:szCs w:val="20"/>
                <w:lang w:val="en-US"/>
              </w:rPr>
            </w:pPr>
          </w:p>
        </w:tc>
        <w:tc>
          <w:tcPr>
            <w:tcW w:w="850" w:type="dxa"/>
            <w:tcBorders>
              <w:top w:val="nil"/>
              <w:left w:val="nil"/>
              <w:bottom w:val="nil"/>
              <w:right w:val="nil"/>
            </w:tcBorders>
            <w:shd w:val="clear" w:color="auto" w:fill="auto"/>
            <w:noWrap/>
            <w:vAlign w:val="center"/>
            <w:hideMark/>
          </w:tcPr>
          <w:p w14:paraId="7FE0C963" w14:textId="77777777" w:rsidR="00B41534" w:rsidRPr="00A40E69" w:rsidRDefault="00B41534" w:rsidP="007160D4">
            <w:pPr>
              <w:pStyle w:val="NoSpacing"/>
              <w:jc w:val="center"/>
              <w:rPr>
                <w:rFonts w:ascii="Times New Roman" w:hAnsi="Times New Roman" w:cs="Times New Roman"/>
                <w:sz w:val="20"/>
                <w:szCs w:val="20"/>
                <w:lang w:val="en-US"/>
              </w:rPr>
            </w:pPr>
          </w:p>
        </w:tc>
        <w:tc>
          <w:tcPr>
            <w:tcW w:w="906" w:type="dxa"/>
            <w:tcBorders>
              <w:top w:val="nil"/>
              <w:left w:val="nil"/>
              <w:bottom w:val="nil"/>
              <w:right w:val="nil"/>
            </w:tcBorders>
            <w:shd w:val="clear" w:color="auto" w:fill="auto"/>
            <w:noWrap/>
            <w:vAlign w:val="center"/>
            <w:hideMark/>
          </w:tcPr>
          <w:p w14:paraId="6D9AC97B"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092" w:type="dxa"/>
            <w:tcBorders>
              <w:top w:val="nil"/>
              <w:left w:val="nil"/>
              <w:bottom w:val="nil"/>
              <w:right w:val="nil"/>
            </w:tcBorders>
            <w:shd w:val="clear" w:color="auto" w:fill="auto"/>
            <w:noWrap/>
            <w:vAlign w:val="center"/>
            <w:hideMark/>
          </w:tcPr>
          <w:p w14:paraId="663070E3" w14:textId="77777777" w:rsidR="00B41534" w:rsidRPr="00A40E69" w:rsidRDefault="00B41534" w:rsidP="007160D4">
            <w:pPr>
              <w:pStyle w:val="NoSpacing"/>
              <w:jc w:val="center"/>
              <w:rPr>
                <w:rFonts w:ascii="Times New Roman" w:hAnsi="Times New Roman" w:cs="Times New Roman"/>
                <w:sz w:val="20"/>
                <w:szCs w:val="20"/>
                <w:lang w:val="en-US"/>
              </w:rPr>
            </w:pPr>
          </w:p>
        </w:tc>
        <w:tc>
          <w:tcPr>
            <w:tcW w:w="236" w:type="dxa"/>
            <w:tcBorders>
              <w:top w:val="nil"/>
              <w:left w:val="nil"/>
              <w:bottom w:val="nil"/>
              <w:right w:val="nil"/>
            </w:tcBorders>
            <w:shd w:val="clear" w:color="auto" w:fill="auto"/>
            <w:vAlign w:val="center"/>
            <w:hideMark/>
          </w:tcPr>
          <w:p w14:paraId="6B67A262"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127" w:type="dxa"/>
            <w:tcBorders>
              <w:top w:val="nil"/>
              <w:left w:val="nil"/>
              <w:bottom w:val="nil"/>
              <w:right w:val="nil"/>
            </w:tcBorders>
            <w:shd w:val="clear" w:color="auto" w:fill="auto"/>
            <w:noWrap/>
            <w:vAlign w:val="center"/>
            <w:hideMark/>
          </w:tcPr>
          <w:p w14:paraId="01CD755A"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330" w:type="dxa"/>
            <w:tcBorders>
              <w:top w:val="nil"/>
              <w:left w:val="nil"/>
              <w:bottom w:val="nil"/>
              <w:right w:val="nil"/>
            </w:tcBorders>
            <w:shd w:val="clear" w:color="auto" w:fill="auto"/>
            <w:noWrap/>
            <w:vAlign w:val="center"/>
            <w:hideMark/>
          </w:tcPr>
          <w:p w14:paraId="421BB8F7"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092" w:type="dxa"/>
            <w:tcBorders>
              <w:top w:val="nil"/>
              <w:left w:val="nil"/>
              <w:bottom w:val="nil"/>
              <w:right w:val="nil"/>
            </w:tcBorders>
            <w:shd w:val="clear" w:color="auto" w:fill="auto"/>
            <w:noWrap/>
            <w:vAlign w:val="center"/>
            <w:hideMark/>
          </w:tcPr>
          <w:p w14:paraId="3C93A936" w14:textId="77777777" w:rsidR="00B41534" w:rsidRPr="00A40E69" w:rsidRDefault="00B41534" w:rsidP="007160D4">
            <w:pPr>
              <w:pStyle w:val="NoSpacing"/>
              <w:jc w:val="center"/>
              <w:rPr>
                <w:rFonts w:ascii="Times New Roman" w:hAnsi="Times New Roman" w:cs="Times New Roman"/>
                <w:sz w:val="20"/>
                <w:szCs w:val="20"/>
                <w:lang w:val="en-US"/>
              </w:rPr>
            </w:pPr>
          </w:p>
        </w:tc>
        <w:tc>
          <w:tcPr>
            <w:tcW w:w="236" w:type="dxa"/>
            <w:tcBorders>
              <w:top w:val="nil"/>
              <w:left w:val="nil"/>
              <w:bottom w:val="nil"/>
              <w:right w:val="nil"/>
            </w:tcBorders>
            <w:shd w:val="clear" w:color="auto" w:fill="auto"/>
            <w:vAlign w:val="center"/>
            <w:hideMark/>
          </w:tcPr>
          <w:p w14:paraId="07CF400E"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077" w:type="dxa"/>
            <w:tcBorders>
              <w:top w:val="nil"/>
              <w:left w:val="nil"/>
              <w:bottom w:val="nil"/>
              <w:right w:val="nil"/>
            </w:tcBorders>
            <w:shd w:val="clear" w:color="auto" w:fill="auto"/>
            <w:vAlign w:val="center"/>
            <w:hideMark/>
          </w:tcPr>
          <w:p w14:paraId="34D91ED8"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331" w:type="dxa"/>
            <w:tcBorders>
              <w:top w:val="nil"/>
              <w:left w:val="nil"/>
              <w:bottom w:val="nil"/>
              <w:right w:val="nil"/>
            </w:tcBorders>
            <w:shd w:val="clear" w:color="auto" w:fill="auto"/>
            <w:vAlign w:val="center"/>
            <w:hideMark/>
          </w:tcPr>
          <w:p w14:paraId="0881226F"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071" w:type="dxa"/>
            <w:tcBorders>
              <w:top w:val="nil"/>
              <w:left w:val="nil"/>
              <w:bottom w:val="nil"/>
              <w:right w:val="nil"/>
            </w:tcBorders>
            <w:shd w:val="clear" w:color="auto" w:fill="auto"/>
            <w:vAlign w:val="center"/>
            <w:hideMark/>
          </w:tcPr>
          <w:p w14:paraId="5D12A742" w14:textId="77777777" w:rsidR="00B41534" w:rsidRPr="00A40E69" w:rsidRDefault="00B41534" w:rsidP="007160D4">
            <w:pPr>
              <w:pStyle w:val="NoSpacing"/>
              <w:jc w:val="center"/>
              <w:rPr>
                <w:rFonts w:ascii="Times New Roman" w:hAnsi="Times New Roman" w:cs="Times New Roman"/>
                <w:sz w:val="20"/>
                <w:szCs w:val="20"/>
                <w:lang w:val="en-US"/>
              </w:rPr>
            </w:pPr>
          </w:p>
        </w:tc>
      </w:tr>
      <w:tr w:rsidR="00B41534" w:rsidRPr="002B0D86" w14:paraId="2FB58B65" w14:textId="77777777" w:rsidTr="007160D4">
        <w:trPr>
          <w:trHeight w:val="209"/>
        </w:trPr>
        <w:tc>
          <w:tcPr>
            <w:tcW w:w="2552" w:type="dxa"/>
            <w:tcBorders>
              <w:top w:val="nil"/>
              <w:left w:val="nil"/>
              <w:bottom w:val="nil"/>
              <w:right w:val="nil"/>
            </w:tcBorders>
            <w:shd w:val="clear" w:color="auto" w:fill="auto"/>
            <w:vAlign w:val="center"/>
            <w:hideMark/>
          </w:tcPr>
          <w:p w14:paraId="44E2C64C" w14:textId="77777777" w:rsidR="00B41534" w:rsidRPr="00A40E69" w:rsidRDefault="00B41534" w:rsidP="007160D4">
            <w:pPr>
              <w:pStyle w:val="NoSpacing"/>
              <w:rPr>
                <w:rFonts w:ascii="Times New Roman" w:hAnsi="Times New Roman" w:cs="Times New Roman"/>
                <w:b/>
                <w:bCs/>
                <w:sz w:val="20"/>
                <w:szCs w:val="20"/>
                <w:lang w:val="en-US"/>
              </w:rPr>
            </w:pPr>
            <w:r w:rsidRPr="00A40E69">
              <w:rPr>
                <w:rFonts w:ascii="Times New Roman" w:hAnsi="Times New Roman" w:cs="Times New Roman"/>
                <w:b/>
                <w:bCs/>
                <w:sz w:val="20"/>
                <w:szCs w:val="20"/>
                <w:lang w:val="en-US"/>
              </w:rPr>
              <w:t>Recreation</w:t>
            </w:r>
          </w:p>
        </w:tc>
        <w:tc>
          <w:tcPr>
            <w:tcW w:w="850" w:type="dxa"/>
            <w:tcBorders>
              <w:top w:val="nil"/>
              <w:left w:val="nil"/>
              <w:bottom w:val="nil"/>
              <w:right w:val="nil"/>
            </w:tcBorders>
            <w:shd w:val="clear" w:color="auto" w:fill="auto"/>
            <w:vAlign w:val="center"/>
            <w:hideMark/>
          </w:tcPr>
          <w:p w14:paraId="4ADE1B7D" w14:textId="77777777" w:rsidR="00B41534" w:rsidRPr="00A40E69" w:rsidRDefault="00B41534" w:rsidP="007160D4">
            <w:pPr>
              <w:pStyle w:val="NoSpacing"/>
              <w:jc w:val="center"/>
              <w:rPr>
                <w:rFonts w:ascii="Times New Roman" w:hAnsi="Times New Roman" w:cs="Times New Roman"/>
                <w:sz w:val="20"/>
                <w:szCs w:val="20"/>
                <w:lang w:val="en-US"/>
              </w:rPr>
            </w:pPr>
            <w:r w:rsidRPr="002B0D86">
              <w:rPr>
                <w:rFonts w:ascii="Times New Roman" w:hAnsi="Times New Roman" w:cs="Times New Roman"/>
                <w:sz w:val="20"/>
                <w:szCs w:val="20"/>
                <w:lang w:val="en-US"/>
              </w:rPr>
              <w:t>1,427</w:t>
            </w:r>
          </w:p>
        </w:tc>
        <w:tc>
          <w:tcPr>
            <w:tcW w:w="906" w:type="dxa"/>
            <w:tcBorders>
              <w:top w:val="nil"/>
              <w:left w:val="nil"/>
              <w:bottom w:val="nil"/>
              <w:right w:val="nil"/>
            </w:tcBorders>
            <w:shd w:val="clear" w:color="auto" w:fill="auto"/>
            <w:vAlign w:val="center"/>
            <w:hideMark/>
          </w:tcPr>
          <w:p w14:paraId="45D167FF" w14:textId="77777777" w:rsidR="00B41534" w:rsidRPr="00A40E69" w:rsidRDefault="00B41534" w:rsidP="007160D4">
            <w:pPr>
              <w:pStyle w:val="NoSpacing"/>
              <w:jc w:val="center"/>
              <w:rPr>
                <w:rFonts w:ascii="Times New Roman" w:hAnsi="Times New Roman" w:cs="Times New Roman"/>
                <w:sz w:val="20"/>
                <w:szCs w:val="20"/>
                <w:lang w:val="en-US"/>
              </w:rPr>
            </w:pPr>
            <w:r w:rsidRPr="002B0D86">
              <w:rPr>
                <w:rFonts w:ascii="Times New Roman" w:hAnsi="Times New Roman" w:cs="Times New Roman"/>
                <w:sz w:val="20"/>
                <w:szCs w:val="20"/>
                <w:lang w:val="en-US"/>
              </w:rPr>
              <w:t>551.2</w:t>
            </w:r>
          </w:p>
        </w:tc>
        <w:tc>
          <w:tcPr>
            <w:tcW w:w="1092" w:type="dxa"/>
            <w:tcBorders>
              <w:top w:val="nil"/>
              <w:left w:val="nil"/>
              <w:bottom w:val="nil"/>
              <w:right w:val="nil"/>
            </w:tcBorders>
            <w:shd w:val="clear" w:color="auto" w:fill="auto"/>
            <w:vAlign w:val="center"/>
            <w:hideMark/>
          </w:tcPr>
          <w:p w14:paraId="0D8F7675" w14:textId="77777777" w:rsidR="00B41534" w:rsidRPr="00A40E69" w:rsidRDefault="00B41534" w:rsidP="007160D4">
            <w:pPr>
              <w:pStyle w:val="NoSpacing"/>
              <w:jc w:val="center"/>
              <w:rPr>
                <w:rFonts w:ascii="Times New Roman" w:hAnsi="Times New Roman" w:cs="Times New Roman"/>
                <w:sz w:val="20"/>
                <w:szCs w:val="20"/>
                <w:lang w:val="en-US"/>
              </w:rPr>
            </w:pPr>
            <w:r w:rsidRPr="00A40E69">
              <w:rPr>
                <w:rFonts w:ascii="Times New Roman" w:hAnsi="Times New Roman" w:cs="Times New Roman"/>
                <w:sz w:val="20"/>
                <w:szCs w:val="20"/>
                <w:lang w:val="en-US"/>
              </w:rPr>
              <w:t>0.0273</w:t>
            </w:r>
          </w:p>
        </w:tc>
        <w:tc>
          <w:tcPr>
            <w:tcW w:w="236" w:type="dxa"/>
            <w:tcBorders>
              <w:top w:val="nil"/>
              <w:left w:val="nil"/>
              <w:bottom w:val="nil"/>
              <w:right w:val="nil"/>
            </w:tcBorders>
            <w:shd w:val="clear" w:color="auto" w:fill="auto"/>
            <w:vAlign w:val="center"/>
            <w:hideMark/>
          </w:tcPr>
          <w:p w14:paraId="53C031A8"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127" w:type="dxa"/>
            <w:tcBorders>
              <w:top w:val="nil"/>
              <w:left w:val="nil"/>
              <w:bottom w:val="nil"/>
              <w:right w:val="nil"/>
            </w:tcBorders>
            <w:shd w:val="clear" w:color="auto" w:fill="auto"/>
            <w:vAlign w:val="center"/>
            <w:hideMark/>
          </w:tcPr>
          <w:p w14:paraId="0F3DDAFE" w14:textId="77777777" w:rsidR="00B41534" w:rsidRPr="00A40E69" w:rsidRDefault="00B41534" w:rsidP="007160D4">
            <w:pPr>
              <w:pStyle w:val="NoSpacing"/>
              <w:jc w:val="center"/>
              <w:rPr>
                <w:rFonts w:ascii="Times New Roman" w:hAnsi="Times New Roman" w:cs="Times New Roman"/>
                <w:sz w:val="20"/>
                <w:szCs w:val="20"/>
                <w:lang w:val="en-US"/>
              </w:rPr>
            </w:pPr>
            <w:r w:rsidRPr="002B0D86">
              <w:rPr>
                <w:rFonts w:ascii="Times New Roman" w:hAnsi="Times New Roman" w:cs="Times New Roman"/>
                <w:sz w:val="20"/>
                <w:szCs w:val="20"/>
                <w:lang w:val="en-US"/>
              </w:rPr>
              <w:t>1,206</w:t>
            </w:r>
          </w:p>
        </w:tc>
        <w:tc>
          <w:tcPr>
            <w:tcW w:w="1330" w:type="dxa"/>
            <w:tcBorders>
              <w:top w:val="nil"/>
              <w:left w:val="nil"/>
              <w:bottom w:val="nil"/>
              <w:right w:val="nil"/>
            </w:tcBorders>
            <w:shd w:val="clear" w:color="auto" w:fill="auto"/>
            <w:vAlign w:val="center"/>
            <w:hideMark/>
          </w:tcPr>
          <w:p w14:paraId="5306F766" w14:textId="77777777" w:rsidR="00B41534" w:rsidRPr="00A40E69" w:rsidRDefault="00B41534" w:rsidP="007160D4">
            <w:pPr>
              <w:pStyle w:val="NoSpacing"/>
              <w:jc w:val="center"/>
              <w:rPr>
                <w:rFonts w:ascii="Times New Roman" w:hAnsi="Times New Roman" w:cs="Times New Roman"/>
                <w:sz w:val="20"/>
                <w:szCs w:val="20"/>
                <w:lang w:val="en-US"/>
              </w:rPr>
            </w:pPr>
            <w:r w:rsidRPr="002B0D86">
              <w:rPr>
                <w:rFonts w:ascii="Times New Roman" w:hAnsi="Times New Roman" w:cs="Times New Roman"/>
                <w:sz w:val="20"/>
                <w:szCs w:val="20"/>
                <w:lang w:val="en-US"/>
              </w:rPr>
              <w:t>675.2</w:t>
            </w:r>
          </w:p>
        </w:tc>
        <w:tc>
          <w:tcPr>
            <w:tcW w:w="1092" w:type="dxa"/>
            <w:tcBorders>
              <w:top w:val="nil"/>
              <w:left w:val="nil"/>
              <w:bottom w:val="nil"/>
              <w:right w:val="nil"/>
            </w:tcBorders>
            <w:shd w:val="clear" w:color="auto" w:fill="auto"/>
            <w:vAlign w:val="center"/>
            <w:hideMark/>
          </w:tcPr>
          <w:p w14:paraId="4D4DD594" w14:textId="77777777" w:rsidR="00B41534" w:rsidRPr="00A40E69" w:rsidRDefault="00B41534" w:rsidP="007160D4">
            <w:pPr>
              <w:pStyle w:val="NoSpacing"/>
              <w:jc w:val="center"/>
              <w:rPr>
                <w:rFonts w:ascii="Times New Roman" w:hAnsi="Times New Roman" w:cs="Times New Roman"/>
                <w:sz w:val="20"/>
                <w:szCs w:val="20"/>
                <w:lang w:val="en-US"/>
              </w:rPr>
            </w:pPr>
            <w:r w:rsidRPr="00A40E69">
              <w:rPr>
                <w:rFonts w:ascii="Times New Roman" w:hAnsi="Times New Roman" w:cs="Times New Roman"/>
                <w:sz w:val="20"/>
                <w:szCs w:val="20"/>
                <w:lang w:val="en-US"/>
              </w:rPr>
              <w:t>0.0338</w:t>
            </w:r>
          </w:p>
        </w:tc>
        <w:tc>
          <w:tcPr>
            <w:tcW w:w="236" w:type="dxa"/>
            <w:tcBorders>
              <w:top w:val="nil"/>
              <w:left w:val="nil"/>
              <w:bottom w:val="nil"/>
              <w:right w:val="nil"/>
            </w:tcBorders>
            <w:shd w:val="clear" w:color="auto" w:fill="auto"/>
            <w:vAlign w:val="center"/>
            <w:hideMark/>
          </w:tcPr>
          <w:p w14:paraId="3E075A38"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077" w:type="dxa"/>
            <w:tcBorders>
              <w:top w:val="nil"/>
              <w:left w:val="nil"/>
              <w:bottom w:val="nil"/>
              <w:right w:val="nil"/>
            </w:tcBorders>
            <w:shd w:val="clear" w:color="auto" w:fill="auto"/>
            <w:noWrap/>
            <w:vAlign w:val="center"/>
            <w:hideMark/>
          </w:tcPr>
          <w:p w14:paraId="3B1CECD0" w14:textId="77777777" w:rsidR="00B41534" w:rsidRPr="00A40E69" w:rsidRDefault="00B41534" w:rsidP="007160D4">
            <w:pPr>
              <w:pStyle w:val="NoSpacing"/>
              <w:jc w:val="center"/>
              <w:rPr>
                <w:rFonts w:ascii="Times New Roman" w:hAnsi="Times New Roman" w:cs="Times New Roman"/>
                <w:sz w:val="20"/>
                <w:szCs w:val="20"/>
                <w:lang w:val="en-US"/>
              </w:rPr>
            </w:pPr>
            <w:r w:rsidRPr="00A40E69">
              <w:rPr>
                <w:rFonts w:ascii="Times New Roman" w:hAnsi="Times New Roman" w:cs="Times New Roman"/>
                <w:sz w:val="20"/>
                <w:szCs w:val="20"/>
                <w:lang w:val="en-US"/>
              </w:rPr>
              <w:t>1192</w:t>
            </w:r>
          </w:p>
        </w:tc>
        <w:tc>
          <w:tcPr>
            <w:tcW w:w="1331" w:type="dxa"/>
            <w:tcBorders>
              <w:top w:val="nil"/>
              <w:left w:val="nil"/>
              <w:bottom w:val="nil"/>
              <w:right w:val="nil"/>
            </w:tcBorders>
            <w:shd w:val="clear" w:color="auto" w:fill="auto"/>
            <w:vAlign w:val="center"/>
            <w:hideMark/>
          </w:tcPr>
          <w:p w14:paraId="5FB5B290" w14:textId="77777777" w:rsidR="00B41534" w:rsidRPr="00A40E69" w:rsidRDefault="00B41534" w:rsidP="007160D4">
            <w:pPr>
              <w:pStyle w:val="NoSpacing"/>
              <w:jc w:val="center"/>
              <w:rPr>
                <w:rFonts w:ascii="Times New Roman" w:hAnsi="Times New Roman" w:cs="Times New Roman"/>
                <w:sz w:val="20"/>
                <w:szCs w:val="20"/>
                <w:lang w:val="en-US"/>
              </w:rPr>
            </w:pPr>
            <w:r w:rsidRPr="00A40E69">
              <w:rPr>
                <w:rFonts w:ascii="Times New Roman" w:hAnsi="Times New Roman" w:cs="Times New Roman"/>
                <w:sz w:val="20"/>
                <w:szCs w:val="20"/>
                <w:lang w:val="en-US"/>
              </w:rPr>
              <w:t>110.30***</w:t>
            </w:r>
          </w:p>
        </w:tc>
        <w:tc>
          <w:tcPr>
            <w:tcW w:w="1071" w:type="dxa"/>
            <w:tcBorders>
              <w:top w:val="nil"/>
              <w:left w:val="nil"/>
              <w:bottom w:val="nil"/>
              <w:right w:val="nil"/>
            </w:tcBorders>
            <w:shd w:val="clear" w:color="auto" w:fill="auto"/>
            <w:vAlign w:val="center"/>
            <w:hideMark/>
          </w:tcPr>
          <w:p w14:paraId="589037B2" w14:textId="77777777" w:rsidR="00B41534" w:rsidRPr="00A40E69" w:rsidRDefault="00B41534" w:rsidP="007160D4">
            <w:pPr>
              <w:pStyle w:val="NoSpacing"/>
              <w:jc w:val="center"/>
              <w:rPr>
                <w:rFonts w:ascii="Times New Roman" w:hAnsi="Times New Roman" w:cs="Times New Roman"/>
                <w:sz w:val="20"/>
                <w:szCs w:val="20"/>
                <w:lang w:val="en-US"/>
              </w:rPr>
            </w:pPr>
            <w:r w:rsidRPr="00A40E69">
              <w:rPr>
                <w:rFonts w:ascii="Times New Roman" w:hAnsi="Times New Roman" w:cs="Times New Roman"/>
                <w:sz w:val="20"/>
                <w:szCs w:val="20"/>
                <w:lang w:val="en-US"/>
              </w:rPr>
              <w:t>1330.24</w:t>
            </w:r>
          </w:p>
        </w:tc>
      </w:tr>
      <w:tr w:rsidR="00B41534" w:rsidRPr="002B0D86" w14:paraId="1A35C804" w14:textId="77777777" w:rsidTr="007160D4">
        <w:trPr>
          <w:trHeight w:val="153"/>
        </w:trPr>
        <w:tc>
          <w:tcPr>
            <w:tcW w:w="2552" w:type="dxa"/>
            <w:tcBorders>
              <w:top w:val="nil"/>
              <w:left w:val="nil"/>
              <w:bottom w:val="nil"/>
              <w:right w:val="nil"/>
            </w:tcBorders>
            <w:shd w:val="clear" w:color="auto" w:fill="auto"/>
            <w:vAlign w:val="center"/>
            <w:hideMark/>
          </w:tcPr>
          <w:p w14:paraId="62B17276" w14:textId="77777777" w:rsidR="00B41534" w:rsidRPr="00A40E69" w:rsidRDefault="00B41534" w:rsidP="007160D4">
            <w:pPr>
              <w:pStyle w:val="NoSpacing"/>
              <w:rPr>
                <w:rFonts w:ascii="Times New Roman" w:hAnsi="Times New Roman" w:cs="Times New Roman"/>
                <w:b/>
                <w:bCs/>
                <w:sz w:val="20"/>
                <w:szCs w:val="20"/>
                <w:lang w:val="en-US"/>
              </w:rPr>
            </w:pPr>
          </w:p>
        </w:tc>
        <w:tc>
          <w:tcPr>
            <w:tcW w:w="850" w:type="dxa"/>
            <w:tcBorders>
              <w:top w:val="nil"/>
              <w:left w:val="nil"/>
              <w:bottom w:val="nil"/>
              <w:right w:val="nil"/>
            </w:tcBorders>
            <w:shd w:val="clear" w:color="auto" w:fill="auto"/>
            <w:noWrap/>
            <w:vAlign w:val="center"/>
            <w:hideMark/>
          </w:tcPr>
          <w:p w14:paraId="4C8111BA" w14:textId="77777777" w:rsidR="00B41534" w:rsidRPr="00A40E69" w:rsidRDefault="00B41534" w:rsidP="007160D4">
            <w:pPr>
              <w:pStyle w:val="NoSpacing"/>
              <w:jc w:val="center"/>
              <w:rPr>
                <w:rFonts w:ascii="Times New Roman" w:hAnsi="Times New Roman" w:cs="Times New Roman"/>
                <w:sz w:val="20"/>
                <w:szCs w:val="20"/>
                <w:lang w:val="en-US"/>
              </w:rPr>
            </w:pPr>
          </w:p>
        </w:tc>
        <w:tc>
          <w:tcPr>
            <w:tcW w:w="906" w:type="dxa"/>
            <w:tcBorders>
              <w:top w:val="nil"/>
              <w:left w:val="nil"/>
              <w:bottom w:val="nil"/>
              <w:right w:val="nil"/>
            </w:tcBorders>
            <w:shd w:val="clear" w:color="auto" w:fill="auto"/>
            <w:noWrap/>
            <w:vAlign w:val="center"/>
            <w:hideMark/>
          </w:tcPr>
          <w:p w14:paraId="0E91E5E3"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092" w:type="dxa"/>
            <w:tcBorders>
              <w:top w:val="nil"/>
              <w:left w:val="nil"/>
              <w:bottom w:val="nil"/>
              <w:right w:val="nil"/>
            </w:tcBorders>
            <w:shd w:val="clear" w:color="auto" w:fill="auto"/>
            <w:vAlign w:val="center"/>
            <w:hideMark/>
          </w:tcPr>
          <w:p w14:paraId="0E2CFCBA" w14:textId="77777777" w:rsidR="00B41534" w:rsidRPr="00A40E69" w:rsidRDefault="00B41534" w:rsidP="007160D4">
            <w:pPr>
              <w:pStyle w:val="NoSpacing"/>
              <w:jc w:val="center"/>
              <w:rPr>
                <w:rFonts w:ascii="Times New Roman" w:hAnsi="Times New Roman" w:cs="Times New Roman"/>
                <w:sz w:val="20"/>
                <w:szCs w:val="20"/>
                <w:lang w:val="en-US"/>
              </w:rPr>
            </w:pPr>
          </w:p>
        </w:tc>
        <w:tc>
          <w:tcPr>
            <w:tcW w:w="236" w:type="dxa"/>
            <w:tcBorders>
              <w:top w:val="nil"/>
              <w:left w:val="nil"/>
              <w:bottom w:val="nil"/>
              <w:right w:val="nil"/>
            </w:tcBorders>
            <w:shd w:val="clear" w:color="auto" w:fill="auto"/>
            <w:vAlign w:val="center"/>
            <w:hideMark/>
          </w:tcPr>
          <w:p w14:paraId="6EE81514"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127" w:type="dxa"/>
            <w:tcBorders>
              <w:top w:val="nil"/>
              <w:left w:val="nil"/>
              <w:bottom w:val="nil"/>
              <w:right w:val="nil"/>
            </w:tcBorders>
            <w:shd w:val="clear" w:color="auto" w:fill="auto"/>
            <w:noWrap/>
            <w:vAlign w:val="center"/>
            <w:hideMark/>
          </w:tcPr>
          <w:p w14:paraId="587D923B"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330" w:type="dxa"/>
            <w:tcBorders>
              <w:top w:val="nil"/>
              <w:left w:val="nil"/>
              <w:bottom w:val="nil"/>
              <w:right w:val="nil"/>
            </w:tcBorders>
            <w:shd w:val="clear" w:color="auto" w:fill="auto"/>
            <w:noWrap/>
            <w:vAlign w:val="center"/>
            <w:hideMark/>
          </w:tcPr>
          <w:p w14:paraId="645FC5E9"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092" w:type="dxa"/>
            <w:tcBorders>
              <w:top w:val="nil"/>
              <w:left w:val="nil"/>
              <w:bottom w:val="nil"/>
              <w:right w:val="nil"/>
            </w:tcBorders>
            <w:shd w:val="clear" w:color="auto" w:fill="auto"/>
            <w:vAlign w:val="center"/>
            <w:hideMark/>
          </w:tcPr>
          <w:p w14:paraId="49386BBD" w14:textId="77777777" w:rsidR="00B41534" w:rsidRPr="00A40E69" w:rsidRDefault="00B41534" w:rsidP="007160D4">
            <w:pPr>
              <w:pStyle w:val="NoSpacing"/>
              <w:jc w:val="center"/>
              <w:rPr>
                <w:rFonts w:ascii="Times New Roman" w:hAnsi="Times New Roman" w:cs="Times New Roman"/>
                <w:sz w:val="20"/>
                <w:szCs w:val="20"/>
                <w:lang w:val="en-US"/>
              </w:rPr>
            </w:pPr>
          </w:p>
        </w:tc>
        <w:tc>
          <w:tcPr>
            <w:tcW w:w="236" w:type="dxa"/>
            <w:tcBorders>
              <w:top w:val="nil"/>
              <w:left w:val="nil"/>
              <w:bottom w:val="nil"/>
              <w:right w:val="nil"/>
            </w:tcBorders>
            <w:shd w:val="clear" w:color="auto" w:fill="auto"/>
            <w:vAlign w:val="center"/>
            <w:hideMark/>
          </w:tcPr>
          <w:p w14:paraId="148A0150"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077" w:type="dxa"/>
            <w:tcBorders>
              <w:top w:val="nil"/>
              <w:left w:val="nil"/>
              <w:bottom w:val="nil"/>
              <w:right w:val="nil"/>
            </w:tcBorders>
            <w:shd w:val="clear" w:color="auto" w:fill="auto"/>
            <w:vAlign w:val="center"/>
            <w:hideMark/>
          </w:tcPr>
          <w:p w14:paraId="0D6110C3"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331" w:type="dxa"/>
            <w:tcBorders>
              <w:top w:val="nil"/>
              <w:left w:val="nil"/>
              <w:bottom w:val="nil"/>
              <w:right w:val="nil"/>
            </w:tcBorders>
            <w:shd w:val="clear" w:color="auto" w:fill="auto"/>
            <w:vAlign w:val="center"/>
            <w:hideMark/>
          </w:tcPr>
          <w:p w14:paraId="5FCCD33E"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071" w:type="dxa"/>
            <w:tcBorders>
              <w:top w:val="nil"/>
              <w:left w:val="nil"/>
              <w:bottom w:val="nil"/>
              <w:right w:val="nil"/>
            </w:tcBorders>
            <w:shd w:val="clear" w:color="auto" w:fill="auto"/>
            <w:vAlign w:val="center"/>
            <w:hideMark/>
          </w:tcPr>
          <w:p w14:paraId="4FD0D986" w14:textId="77777777" w:rsidR="00B41534" w:rsidRPr="00A40E69" w:rsidRDefault="00B41534" w:rsidP="007160D4">
            <w:pPr>
              <w:pStyle w:val="NoSpacing"/>
              <w:jc w:val="center"/>
              <w:rPr>
                <w:rFonts w:ascii="Times New Roman" w:hAnsi="Times New Roman" w:cs="Times New Roman"/>
                <w:sz w:val="20"/>
                <w:szCs w:val="20"/>
                <w:lang w:val="en-US"/>
              </w:rPr>
            </w:pPr>
          </w:p>
        </w:tc>
      </w:tr>
      <w:tr w:rsidR="00B41534" w:rsidRPr="002B0D86" w14:paraId="63814E90" w14:textId="77777777" w:rsidTr="007160D4">
        <w:trPr>
          <w:trHeight w:val="119"/>
        </w:trPr>
        <w:tc>
          <w:tcPr>
            <w:tcW w:w="2552" w:type="dxa"/>
            <w:tcBorders>
              <w:top w:val="nil"/>
              <w:left w:val="nil"/>
              <w:bottom w:val="nil"/>
              <w:right w:val="nil"/>
            </w:tcBorders>
            <w:shd w:val="clear" w:color="auto" w:fill="auto"/>
            <w:vAlign w:val="center"/>
            <w:hideMark/>
          </w:tcPr>
          <w:p w14:paraId="1C470F3B" w14:textId="77777777" w:rsidR="00B41534" w:rsidRPr="00A40E69" w:rsidRDefault="00B41534" w:rsidP="007160D4">
            <w:pPr>
              <w:pStyle w:val="NoSpacing"/>
              <w:rPr>
                <w:rFonts w:ascii="Times New Roman" w:hAnsi="Times New Roman" w:cs="Times New Roman"/>
                <w:b/>
                <w:bCs/>
                <w:sz w:val="20"/>
                <w:szCs w:val="20"/>
                <w:lang w:val="en-US"/>
              </w:rPr>
            </w:pPr>
            <w:r w:rsidRPr="00A40E69">
              <w:rPr>
                <w:rFonts w:ascii="Times New Roman" w:hAnsi="Times New Roman" w:cs="Times New Roman"/>
                <w:b/>
                <w:bCs/>
                <w:sz w:val="20"/>
                <w:szCs w:val="20"/>
                <w:lang w:val="en-US"/>
              </w:rPr>
              <w:t>Clothing</w:t>
            </w:r>
          </w:p>
        </w:tc>
        <w:tc>
          <w:tcPr>
            <w:tcW w:w="850" w:type="dxa"/>
            <w:tcBorders>
              <w:top w:val="nil"/>
              <w:left w:val="nil"/>
              <w:bottom w:val="nil"/>
              <w:right w:val="nil"/>
            </w:tcBorders>
            <w:shd w:val="clear" w:color="auto" w:fill="auto"/>
            <w:vAlign w:val="center"/>
            <w:hideMark/>
          </w:tcPr>
          <w:p w14:paraId="6D2012BD" w14:textId="77777777" w:rsidR="00B41534" w:rsidRPr="00A40E69" w:rsidRDefault="00B41534" w:rsidP="007160D4">
            <w:pPr>
              <w:pStyle w:val="NoSpacing"/>
              <w:jc w:val="center"/>
              <w:rPr>
                <w:rFonts w:ascii="Times New Roman" w:hAnsi="Times New Roman" w:cs="Times New Roman"/>
                <w:sz w:val="20"/>
                <w:szCs w:val="20"/>
                <w:lang w:val="en-US"/>
              </w:rPr>
            </w:pPr>
            <w:r w:rsidRPr="002B0D86">
              <w:rPr>
                <w:rFonts w:ascii="Times New Roman" w:hAnsi="Times New Roman" w:cs="Times New Roman"/>
                <w:sz w:val="20"/>
                <w:szCs w:val="20"/>
                <w:lang w:val="en-US"/>
              </w:rPr>
              <w:t>1,321</w:t>
            </w:r>
          </w:p>
        </w:tc>
        <w:tc>
          <w:tcPr>
            <w:tcW w:w="906" w:type="dxa"/>
            <w:tcBorders>
              <w:top w:val="nil"/>
              <w:left w:val="nil"/>
              <w:bottom w:val="nil"/>
              <w:right w:val="nil"/>
            </w:tcBorders>
            <w:shd w:val="clear" w:color="auto" w:fill="auto"/>
            <w:vAlign w:val="center"/>
            <w:hideMark/>
          </w:tcPr>
          <w:p w14:paraId="027BC15E" w14:textId="77777777" w:rsidR="00B41534" w:rsidRPr="00A40E69" w:rsidRDefault="00B41534" w:rsidP="007160D4">
            <w:pPr>
              <w:pStyle w:val="NoSpacing"/>
              <w:jc w:val="center"/>
              <w:rPr>
                <w:rFonts w:ascii="Times New Roman" w:hAnsi="Times New Roman" w:cs="Times New Roman"/>
                <w:sz w:val="20"/>
                <w:szCs w:val="20"/>
                <w:lang w:val="en-US"/>
              </w:rPr>
            </w:pPr>
            <w:r w:rsidRPr="002B0D86">
              <w:rPr>
                <w:rFonts w:ascii="Times New Roman" w:hAnsi="Times New Roman" w:cs="Times New Roman"/>
                <w:sz w:val="20"/>
                <w:szCs w:val="20"/>
                <w:lang w:val="en-US"/>
              </w:rPr>
              <w:t>1,022</w:t>
            </w:r>
          </w:p>
        </w:tc>
        <w:tc>
          <w:tcPr>
            <w:tcW w:w="1092" w:type="dxa"/>
            <w:tcBorders>
              <w:top w:val="nil"/>
              <w:left w:val="nil"/>
              <w:bottom w:val="nil"/>
              <w:right w:val="nil"/>
            </w:tcBorders>
            <w:shd w:val="clear" w:color="auto" w:fill="auto"/>
            <w:noWrap/>
            <w:vAlign w:val="center"/>
            <w:hideMark/>
          </w:tcPr>
          <w:p w14:paraId="60B5EB6B" w14:textId="77777777" w:rsidR="00B41534" w:rsidRPr="00A40E69" w:rsidRDefault="00B41534" w:rsidP="007160D4">
            <w:pPr>
              <w:pStyle w:val="NoSpacing"/>
              <w:jc w:val="center"/>
              <w:rPr>
                <w:rFonts w:ascii="Times New Roman" w:hAnsi="Times New Roman" w:cs="Times New Roman"/>
                <w:sz w:val="20"/>
                <w:szCs w:val="20"/>
                <w:lang w:val="en-US"/>
              </w:rPr>
            </w:pPr>
            <w:r w:rsidRPr="00A40E69">
              <w:rPr>
                <w:rFonts w:ascii="Times New Roman" w:hAnsi="Times New Roman" w:cs="Times New Roman"/>
                <w:sz w:val="20"/>
                <w:szCs w:val="20"/>
                <w:lang w:val="en-US"/>
              </w:rPr>
              <w:t>0.0506</w:t>
            </w:r>
          </w:p>
        </w:tc>
        <w:tc>
          <w:tcPr>
            <w:tcW w:w="236" w:type="dxa"/>
            <w:tcBorders>
              <w:top w:val="nil"/>
              <w:left w:val="nil"/>
              <w:bottom w:val="nil"/>
              <w:right w:val="nil"/>
            </w:tcBorders>
            <w:shd w:val="clear" w:color="auto" w:fill="auto"/>
            <w:vAlign w:val="center"/>
            <w:hideMark/>
          </w:tcPr>
          <w:p w14:paraId="3E155186"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127" w:type="dxa"/>
            <w:tcBorders>
              <w:top w:val="nil"/>
              <w:left w:val="nil"/>
              <w:bottom w:val="nil"/>
              <w:right w:val="nil"/>
            </w:tcBorders>
            <w:shd w:val="clear" w:color="auto" w:fill="auto"/>
            <w:vAlign w:val="center"/>
            <w:hideMark/>
          </w:tcPr>
          <w:p w14:paraId="52E55081" w14:textId="77777777" w:rsidR="00B41534" w:rsidRPr="00A40E69" w:rsidRDefault="00B41534" w:rsidP="007160D4">
            <w:pPr>
              <w:pStyle w:val="NoSpacing"/>
              <w:jc w:val="center"/>
              <w:rPr>
                <w:rFonts w:ascii="Times New Roman" w:hAnsi="Times New Roman" w:cs="Times New Roman"/>
                <w:sz w:val="20"/>
                <w:szCs w:val="20"/>
                <w:lang w:val="en-US"/>
              </w:rPr>
            </w:pPr>
            <w:r w:rsidRPr="002B0D86">
              <w:rPr>
                <w:rFonts w:ascii="Times New Roman" w:hAnsi="Times New Roman" w:cs="Times New Roman"/>
                <w:sz w:val="20"/>
                <w:szCs w:val="20"/>
                <w:lang w:val="en-US"/>
              </w:rPr>
              <w:t>1,122</w:t>
            </w:r>
          </w:p>
        </w:tc>
        <w:tc>
          <w:tcPr>
            <w:tcW w:w="1330" w:type="dxa"/>
            <w:tcBorders>
              <w:top w:val="nil"/>
              <w:left w:val="nil"/>
              <w:bottom w:val="nil"/>
              <w:right w:val="nil"/>
            </w:tcBorders>
            <w:shd w:val="clear" w:color="auto" w:fill="auto"/>
            <w:vAlign w:val="center"/>
            <w:hideMark/>
          </w:tcPr>
          <w:p w14:paraId="424E4200" w14:textId="77777777" w:rsidR="00B41534" w:rsidRPr="00A40E69" w:rsidRDefault="00B41534" w:rsidP="007160D4">
            <w:pPr>
              <w:pStyle w:val="NoSpacing"/>
              <w:jc w:val="center"/>
              <w:rPr>
                <w:rFonts w:ascii="Times New Roman" w:hAnsi="Times New Roman" w:cs="Times New Roman"/>
                <w:sz w:val="20"/>
                <w:szCs w:val="20"/>
                <w:lang w:val="en-US"/>
              </w:rPr>
            </w:pPr>
            <w:r w:rsidRPr="002B0D86">
              <w:rPr>
                <w:rFonts w:ascii="Times New Roman" w:hAnsi="Times New Roman" w:cs="Times New Roman"/>
                <w:sz w:val="20"/>
                <w:szCs w:val="20"/>
                <w:lang w:val="en-US"/>
              </w:rPr>
              <w:t>721.9</w:t>
            </w:r>
          </w:p>
        </w:tc>
        <w:tc>
          <w:tcPr>
            <w:tcW w:w="1092" w:type="dxa"/>
            <w:tcBorders>
              <w:top w:val="nil"/>
              <w:left w:val="nil"/>
              <w:bottom w:val="nil"/>
              <w:right w:val="nil"/>
            </w:tcBorders>
            <w:shd w:val="clear" w:color="auto" w:fill="auto"/>
            <w:vAlign w:val="center"/>
            <w:hideMark/>
          </w:tcPr>
          <w:p w14:paraId="4F46CB5F" w14:textId="77777777" w:rsidR="00B41534" w:rsidRPr="00A40E69" w:rsidRDefault="00B41534" w:rsidP="007160D4">
            <w:pPr>
              <w:pStyle w:val="NoSpacing"/>
              <w:jc w:val="center"/>
              <w:rPr>
                <w:rFonts w:ascii="Times New Roman" w:hAnsi="Times New Roman" w:cs="Times New Roman"/>
                <w:sz w:val="20"/>
                <w:szCs w:val="20"/>
                <w:lang w:val="en-US"/>
              </w:rPr>
            </w:pPr>
            <w:r w:rsidRPr="00A40E69">
              <w:rPr>
                <w:rFonts w:ascii="Times New Roman" w:hAnsi="Times New Roman" w:cs="Times New Roman"/>
                <w:sz w:val="20"/>
                <w:szCs w:val="20"/>
                <w:lang w:val="en-US"/>
              </w:rPr>
              <w:t>0.0343</w:t>
            </w:r>
          </w:p>
        </w:tc>
        <w:tc>
          <w:tcPr>
            <w:tcW w:w="236" w:type="dxa"/>
            <w:tcBorders>
              <w:top w:val="nil"/>
              <w:left w:val="nil"/>
              <w:bottom w:val="nil"/>
              <w:right w:val="nil"/>
            </w:tcBorders>
            <w:shd w:val="clear" w:color="auto" w:fill="auto"/>
            <w:vAlign w:val="center"/>
            <w:hideMark/>
          </w:tcPr>
          <w:p w14:paraId="69F4DF64"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077" w:type="dxa"/>
            <w:tcBorders>
              <w:top w:val="nil"/>
              <w:left w:val="nil"/>
              <w:bottom w:val="nil"/>
              <w:right w:val="nil"/>
            </w:tcBorders>
            <w:shd w:val="clear" w:color="auto" w:fill="auto"/>
            <w:noWrap/>
            <w:vAlign w:val="center"/>
            <w:hideMark/>
          </w:tcPr>
          <w:p w14:paraId="722ADE09" w14:textId="77777777" w:rsidR="00B41534" w:rsidRPr="00A40E69" w:rsidRDefault="00B41534" w:rsidP="007160D4">
            <w:pPr>
              <w:pStyle w:val="NoSpacing"/>
              <w:jc w:val="center"/>
              <w:rPr>
                <w:rFonts w:ascii="Times New Roman" w:hAnsi="Times New Roman" w:cs="Times New Roman"/>
                <w:sz w:val="20"/>
                <w:szCs w:val="20"/>
                <w:lang w:val="en-US"/>
              </w:rPr>
            </w:pPr>
            <w:r w:rsidRPr="00A40E69">
              <w:rPr>
                <w:rFonts w:ascii="Times New Roman" w:hAnsi="Times New Roman" w:cs="Times New Roman"/>
                <w:sz w:val="20"/>
                <w:szCs w:val="20"/>
                <w:lang w:val="en-US"/>
              </w:rPr>
              <w:t>1035</w:t>
            </w:r>
          </w:p>
        </w:tc>
        <w:tc>
          <w:tcPr>
            <w:tcW w:w="1331" w:type="dxa"/>
            <w:tcBorders>
              <w:top w:val="nil"/>
              <w:left w:val="nil"/>
              <w:bottom w:val="nil"/>
              <w:right w:val="nil"/>
            </w:tcBorders>
            <w:shd w:val="clear" w:color="auto" w:fill="auto"/>
            <w:noWrap/>
            <w:vAlign w:val="center"/>
            <w:hideMark/>
          </w:tcPr>
          <w:p w14:paraId="7194EFE2" w14:textId="77777777" w:rsidR="00B41534" w:rsidRPr="00A40E69" w:rsidRDefault="00B41534" w:rsidP="007160D4">
            <w:pPr>
              <w:pStyle w:val="NoSpacing"/>
              <w:jc w:val="center"/>
              <w:rPr>
                <w:rFonts w:ascii="Times New Roman" w:hAnsi="Times New Roman" w:cs="Times New Roman"/>
                <w:sz w:val="20"/>
                <w:szCs w:val="20"/>
                <w:lang w:val="en-US"/>
              </w:rPr>
            </w:pPr>
            <w:r w:rsidRPr="00A40E69">
              <w:rPr>
                <w:rFonts w:ascii="Times New Roman" w:hAnsi="Times New Roman" w:cs="Times New Roman"/>
                <w:sz w:val="20"/>
                <w:szCs w:val="20"/>
                <w:lang w:val="en-US"/>
              </w:rPr>
              <w:t>-313.35***</w:t>
            </w:r>
          </w:p>
        </w:tc>
        <w:tc>
          <w:tcPr>
            <w:tcW w:w="1071" w:type="dxa"/>
            <w:tcBorders>
              <w:top w:val="nil"/>
              <w:left w:val="nil"/>
              <w:bottom w:val="nil"/>
              <w:right w:val="nil"/>
            </w:tcBorders>
            <w:shd w:val="clear" w:color="auto" w:fill="auto"/>
            <w:vAlign w:val="center"/>
            <w:hideMark/>
          </w:tcPr>
          <w:p w14:paraId="79C3B19A" w14:textId="77777777" w:rsidR="00B41534" w:rsidRPr="00A40E69" w:rsidRDefault="00B41534" w:rsidP="007160D4">
            <w:pPr>
              <w:pStyle w:val="NoSpacing"/>
              <w:jc w:val="center"/>
              <w:rPr>
                <w:rFonts w:ascii="Times New Roman" w:hAnsi="Times New Roman" w:cs="Times New Roman"/>
                <w:sz w:val="20"/>
                <w:szCs w:val="20"/>
                <w:lang w:val="en-US"/>
              </w:rPr>
            </w:pPr>
            <w:r w:rsidRPr="00A40E69">
              <w:rPr>
                <w:rFonts w:ascii="Times New Roman" w:hAnsi="Times New Roman" w:cs="Times New Roman"/>
                <w:sz w:val="20"/>
                <w:szCs w:val="20"/>
                <w:lang w:val="en-US"/>
              </w:rPr>
              <w:t>1289.71</w:t>
            </w:r>
          </w:p>
        </w:tc>
      </w:tr>
      <w:tr w:rsidR="00B41534" w:rsidRPr="002B0D86" w14:paraId="16BF2958" w14:textId="77777777" w:rsidTr="007160D4">
        <w:trPr>
          <w:trHeight w:val="245"/>
        </w:trPr>
        <w:tc>
          <w:tcPr>
            <w:tcW w:w="2552" w:type="dxa"/>
            <w:tcBorders>
              <w:top w:val="nil"/>
              <w:left w:val="nil"/>
              <w:bottom w:val="nil"/>
              <w:right w:val="nil"/>
            </w:tcBorders>
            <w:shd w:val="clear" w:color="auto" w:fill="auto"/>
            <w:vAlign w:val="center"/>
            <w:hideMark/>
          </w:tcPr>
          <w:p w14:paraId="72AFE09F" w14:textId="77777777" w:rsidR="00B41534" w:rsidRPr="00A40E69" w:rsidRDefault="00B41534" w:rsidP="007160D4">
            <w:pPr>
              <w:pStyle w:val="NoSpacing"/>
              <w:rPr>
                <w:rFonts w:ascii="Times New Roman" w:hAnsi="Times New Roman" w:cs="Times New Roman"/>
                <w:b/>
                <w:bCs/>
                <w:sz w:val="20"/>
                <w:szCs w:val="20"/>
                <w:lang w:val="en-US"/>
              </w:rPr>
            </w:pPr>
          </w:p>
        </w:tc>
        <w:tc>
          <w:tcPr>
            <w:tcW w:w="850" w:type="dxa"/>
            <w:tcBorders>
              <w:top w:val="nil"/>
              <w:left w:val="nil"/>
              <w:bottom w:val="nil"/>
              <w:right w:val="nil"/>
            </w:tcBorders>
            <w:shd w:val="clear" w:color="auto" w:fill="auto"/>
            <w:noWrap/>
            <w:vAlign w:val="center"/>
            <w:hideMark/>
          </w:tcPr>
          <w:p w14:paraId="60492CB2" w14:textId="77777777" w:rsidR="00B41534" w:rsidRPr="00A40E69" w:rsidRDefault="00B41534" w:rsidP="007160D4">
            <w:pPr>
              <w:pStyle w:val="NoSpacing"/>
              <w:jc w:val="center"/>
              <w:rPr>
                <w:rFonts w:ascii="Times New Roman" w:hAnsi="Times New Roman" w:cs="Times New Roman"/>
                <w:sz w:val="20"/>
                <w:szCs w:val="20"/>
                <w:lang w:val="en-US"/>
              </w:rPr>
            </w:pPr>
          </w:p>
        </w:tc>
        <w:tc>
          <w:tcPr>
            <w:tcW w:w="906" w:type="dxa"/>
            <w:tcBorders>
              <w:top w:val="nil"/>
              <w:left w:val="nil"/>
              <w:bottom w:val="nil"/>
              <w:right w:val="nil"/>
            </w:tcBorders>
            <w:shd w:val="clear" w:color="auto" w:fill="auto"/>
            <w:noWrap/>
            <w:vAlign w:val="center"/>
            <w:hideMark/>
          </w:tcPr>
          <w:p w14:paraId="72448918"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092" w:type="dxa"/>
            <w:tcBorders>
              <w:top w:val="nil"/>
              <w:left w:val="nil"/>
              <w:bottom w:val="nil"/>
              <w:right w:val="nil"/>
            </w:tcBorders>
            <w:shd w:val="clear" w:color="auto" w:fill="auto"/>
            <w:noWrap/>
            <w:vAlign w:val="center"/>
            <w:hideMark/>
          </w:tcPr>
          <w:p w14:paraId="4A4C5527" w14:textId="77777777" w:rsidR="00B41534" w:rsidRPr="00A40E69" w:rsidRDefault="00B41534" w:rsidP="007160D4">
            <w:pPr>
              <w:pStyle w:val="NoSpacing"/>
              <w:jc w:val="center"/>
              <w:rPr>
                <w:rFonts w:ascii="Times New Roman" w:hAnsi="Times New Roman" w:cs="Times New Roman"/>
                <w:sz w:val="20"/>
                <w:szCs w:val="20"/>
                <w:lang w:val="en-US"/>
              </w:rPr>
            </w:pPr>
          </w:p>
        </w:tc>
        <w:tc>
          <w:tcPr>
            <w:tcW w:w="236" w:type="dxa"/>
            <w:tcBorders>
              <w:top w:val="nil"/>
              <w:left w:val="nil"/>
              <w:bottom w:val="nil"/>
              <w:right w:val="nil"/>
            </w:tcBorders>
            <w:shd w:val="clear" w:color="auto" w:fill="auto"/>
            <w:vAlign w:val="center"/>
            <w:hideMark/>
          </w:tcPr>
          <w:p w14:paraId="6D6BA7AF"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127" w:type="dxa"/>
            <w:tcBorders>
              <w:top w:val="nil"/>
              <w:left w:val="nil"/>
              <w:bottom w:val="nil"/>
              <w:right w:val="nil"/>
            </w:tcBorders>
            <w:shd w:val="clear" w:color="auto" w:fill="auto"/>
            <w:noWrap/>
            <w:vAlign w:val="center"/>
            <w:hideMark/>
          </w:tcPr>
          <w:p w14:paraId="560CE1B4"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330" w:type="dxa"/>
            <w:tcBorders>
              <w:top w:val="nil"/>
              <w:left w:val="nil"/>
              <w:bottom w:val="nil"/>
              <w:right w:val="nil"/>
            </w:tcBorders>
            <w:shd w:val="clear" w:color="auto" w:fill="auto"/>
            <w:noWrap/>
            <w:vAlign w:val="center"/>
            <w:hideMark/>
          </w:tcPr>
          <w:p w14:paraId="473B9D6B"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092" w:type="dxa"/>
            <w:tcBorders>
              <w:top w:val="nil"/>
              <w:left w:val="nil"/>
              <w:bottom w:val="nil"/>
              <w:right w:val="nil"/>
            </w:tcBorders>
            <w:shd w:val="clear" w:color="auto" w:fill="auto"/>
            <w:vAlign w:val="center"/>
            <w:hideMark/>
          </w:tcPr>
          <w:p w14:paraId="5512E258" w14:textId="77777777" w:rsidR="00B41534" w:rsidRPr="00A40E69" w:rsidRDefault="00B41534" w:rsidP="007160D4">
            <w:pPr>
              <w:pStyle w:val="NoSpacing"/>
              <w:jc w:val="center"/>
              <w:rPr>
                <w:rFonts w:ascii="Times New Roman" w:hAnsi="Times New Roman" w:cs="Times New Roman"/>
                <w:sz w:val="20"/>
                <w:szCs w:val="20"/>
                <w:lang w:val="en-US"/>
              </w:rPr>
            </w:pPr>
          </w:p>
        </w:tc>
        <w:tc>
          <w:tcPr>
            <w:tcW w:w="236" w:type="dxa"/>
            <w:tcBorders>
              <w:top w:val="nil"/>
              <w:left w:val="nil"/>
              <w:bottom w:val="nil"/>
              <w:right w:val="nil"/>
            </w:tcBorders>
            <w:shd w:val="clear" w:color="auto" w:fill="auto"/>
            <w:vAlign w:val="center"/>
            <w:hideMark/>
          </w:tcPr>
          <w:p w14:paraId="508226F4"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077" w:type="dxa"/>
            <w:tcBorders>
              <w:top w:val="nil"/>
              <w:left w:val="nil"/>
              <w:bottom w:val="nil"/>
              <w:right w:val="nil"/>
            </w:tcBorders>
            <w:shd w:val="clear" w:color="auto" w:fill="auto"/>
            <w:vAlign w:val="center"/>
            <w:hideMark/>
          </w:tcPr>
          <w:p w14:paraId="2C1D4871"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331" w:type="dxa"/>
            <w:tcBorders>
              <w:top w:val="nil"/>
              <w:left w:val="nil"/>
              <w:bottom w:val="nil"/>
              <w:right w:val="nil"/>
            </w:tcBorders>
            <w:shd w:val="clear" w:color="auto" w:fill="auto"/>
            <w:vAlign w:val="center"/>
            <w:hideMark/>
          </w:tcPr>
          <w:p w14:paraId="7A70DCCE"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071" w:type="dxa"/>
            <w:tcBorders>
              <w:top w:val="nil"/>
              <w:left w:val="nil"/>
              <w:bottom w:val="nil"/>
              <w:right w:val="nil"/>
            </w:tcBorders>
            <w:shd w:val="clear" w:color="auto" w:fill="auto"/>
            <w:vAlign w:val="center"/>
            <w:hideMark/>
          </w:tcPr>
          <w:p w14:paraId="56D3CF29" w14:textId="77777777" w:rsidR="00B41534" w:rsidRPr="00A40E69" w:rsidRDefault="00B41534" w:rsidP="007160D4">
            <w:pPr>
              <w:pStyle w:val="NoSpacing"/>
              <w:jc w:val="center"/>
              <w:rPr>
                <w:rFonts w:ascii="Times New Roman" w:hAnsi="Times New Roman" w:cs="Times New Roman"/>
                <w:sz w:val="20"/>
                <w:szCs w:val="20"/>
                <w:lang w:val="en-US"/>
              </w:rPr>
            </w:pPr>
          </w:p>
        </w:tc>
      </w:tr>
      <w:tr w:rsidR="00B41534" w:rsidRPr="002B0D86" w14:paraId="4E59F231" w14:textId="77777777" w:rsidTr="007160D4">
        <w:trPr>
          <w:trHeight w:val="80"/>
        </w:trPr>
        <w:tc>
          <w:tcPr>
            <w:tcW w:w="2552" w:type="dxa"/>
            <w:tcBorders>
              <w:top w:val="nil"/>
              <w:left w:val="nil"/>
              <w:bottom w:val="nil"/>
              <w:right w:val="nil"/>
            </w:tcBorders>
            <w:shd w:val="clear" w:color="auto" w:fill="auto"/>
            <w:vAlign w:val="center"/>
            <w:hideMark/>
          </w:tcPr>
          <w:p w14:paraId="3EA1D974" w14:textId="77777777" w:rsidR="00B41534" w:rsidRPr="00A40E69" w:rsidRDefault="00B41534" w:rsidP="007160D4">
            <w:pPr>
              <w:pStyle w:val="NoSpacing"/>
              <w:rPr>
                <w:rFonts w:ascii="Times New Roman" w:hAnsi="Times New Roman" w:cs="Times New Roman"/>
                <w:b/>
                <w:bCs/>
                <w:sz w:val="20"/>
                <w:szCs w:val="20"/>
                <w:lang w:val="en-US"/>
              </w:rPr>
            </w:pPr>
            <w:r w:rsidRPr="00A40E69">
              <w:rPr>
                <w:rFonts w:ascii="Times New Roman" w:hAnsi="Times New Roman" w:cs="Times New Roman"/>
                <w:b/>
                <w:bCs/>
                <w:sz w:val="20"/>
                <w:szCs w:val="20"/>
                <w:lang w:val="en-US"/>
              </w:rPr>
              <w:t>Education</w:t>
            </w:r>
          </w:p>
        </w:tc>
        <w:tc>
          <w:tcPr>
            <w:tcW w:w="850" w:type="dxa"/>
            <w:tcBorders>
              <w:top w:val="nil"/>
              <w:left w:val="nil"/>
              <w:bottom w:val="nil"/>
              <w:right w:val="nil"/>
            </w:tcBorders>
            <w:shd w:val="clear" w:color="auto" w:fill="auto"/>
            <w:vAlign w:val="center"/>
            <w:hideMark/>
          </w:tcPr>
          <w:p w14:paraId="622011BA" w14:textId="77777777" w:rsidR="00B41534" w:rsidRPr="00A40E69" w:rsidRDefault="00B41534" w:rsidP="007160D4">
            <w:pPr>
              <w:pStyle w:val="NoSpacing"/>
              <w:jc w:val="center"/>
              <w:rPr>
                <w:rFonts w:ascii="Times New Roman" w:hAnsi="Times New Roman" w:cs="Times New Roman"/>
                <w:sz w:val="20"/>
                <w:szCs w:val="20"/>
                <w:lang w:val="en-US"/>
              </w:rPr>
            </w:pPr>
            <w:r w:rsidRPr="002B0D86">
              <w:rPr>
                <w:rFonts w:ascii="Times New Roman" w:hAnsi="Times New Roman" w:cs="Times New Roman"/>
                <w:sz w:val="20"/>
                <w:szCs w:val="20"/>
                <w:lang w:val="en-US"/>
              </w:rPr>
              <w:t>1,399</w:t>
            </w:r>
          </w:p>
        </w:tc>
        <w:tc>
          <w:tcPr>
            <w:tcW w:w="906" w:type="dxa"/>
            <w:tcBorders>
              <w:top w:val="nil"/>
              <w:left w:val="nil"/>
              <w:bottom w:val="nil"/>
              <w:right w:val="nil"/>
            </w:tcBorders>
            <w:shd w:val="clear" w:color="auto" w:fill="auto"/>
            <w:vAlign w:val="center"/>
            <w:hideMark/>
          </w:tcPr>
          <w:p w14:paraId="0354FD91" w14:textId="77777777" w:rsidR="00B41534" w:rsidRPr="00A40E69" w:rsidRDefault="00B41534" w:rsidP="007160D4">
            <w:pPr>
              <w:pStyle w:val="NoSpacing"/>
              <w:jc w:val="center"/>
              <w:rPr>
                <w:rFonts w:ascii="Times New Roman" w:hAnsi="Times New Roman" w:cs="Times New Roman"/>
                <w:sz w:val="20"/>
                <w:szCs w:val="20"/>
                <w:lang w:val="en-US"/>
              </w:rPr>
            </w:pPr>
            <w:r w:rsidRPr="002B0D86">
              <w:rPr>
                <w:rFonts w:ascii="Times New Roman" w:hAnsi="Times New Roman" w:cs="Times New Roman"/>
                <w:sz w:val="20"/>
                <w:szCs w:val="20"/>
                <w:lang w:val="en-US"/>
              </w:rPr>
              <w:t>1,422</w:t>
            </w:r>
          </w:p>
        </w:tc>
        <w:tc>
          <w:tcPr>
            <w:tcW w:w="1092" w:type="dxa"/>
            <w:tcBorders>
              <w:top w:val="nil"/>
              <w:left w:val="nil"/>
              <w:bottom w:val="nil"/>
              <w:right w:val="nil"/>
            </w:tcBorders>
            <w:shd w:val="clear" w:color="auto" w:fill="auto"/>
            <w:vAlign w:val="center"/>
            <w:hideMark/>
          </w:tcPr>
          <w:p w14:paraId="6E9053DA" w14:textId="77777777" w:rsidR="00B41534" w:rsidRPr="00A40E69" w:rsidRDefault="00B41534" w:rsidP="007160D4">
            <w:pPr>
              <w:pStyle w:val="NoSpacing"/>
              <w:jc w:val="center"/>
              <w:rPr>
                <w:rFonts w:ascii="Times New Roman" w:hAnsi="Times New Roman" w:cs="Times New Roman"/>
                <w:sz w:val="20"/>
                <w:szCs w:val="20"/>
                <w:lang w:val="en-US"/>
              </w:rPr>
            </w:pPr>
            <w:r w:rsidRPr="00A40E69">
              <w:rPr>
                <w:rFonts w:ascii="Times New Roman" w:hAnsi="Times New Roman" w:cs="Times New Roman"/>
                <w:sz w:val="20"/>
                <w:szCs w:val="20"/>
                <w:lang w:val="en-US"/>
              </w:rPr>
              <w:t>0.0711</w:t>
            </w:r>
          </w:p>
        </w:tc>
        <w:tc>
          <w:tcPr>
            <w:tcW w:w="236" w:type="dxa"/>
            <w:tcBorders>
              <w:top w:val="nil"/>
              <w:left w:val="nil"/>
              <w:bottom w:val="nil"/>
              <w:right w:val="nil"/>
            </w:tcBorders>
            <w:shd w:val="clear" w:color="auto" w:fill="auto"/>
            <w:vAlign w:val="center"/>
            <w:hideMark/>
          </w:tcPr>
          <w:p w14:paraId="31EDCA89"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127" w:type="dxa"/>
            <w:tcBorders>
              <w:top w:val="nil"/>
              <w:left w:val="nil"/>
              <w:bottom w:val="nil"/>
              <w:right w:val="nil"/>
            </w:tcBorders>
            <w:shd w:val="clear" w:color="auto" w:fill="auto"/>
            <w:vAlign w:val="center"/>
            <w:hideMark/>
          </w:tcPr>
          <w:p w14:paraId="0A7FA963" w14:textId="77777777" w:rsidR="00B41534" w:rsidRPr="00A40E69" w:rsidRDefault="00B41534" w:rsidP="007160D4">
            <w:pPr>
              <w:pStyle w:val="NoSpacing"/>
              <w:jc w:val="center"/>
              <w:rPr>
                <w:rFonts w:ascii="Times New Roman" w:hAnsi="Times New Roman" w:cs="Times New Roman"/>
                <w:sz w:val="20"/>
                <w:szCs w:val="20"/>
                <w:lang w:val="en-US"/>
              </w:rPr>
            </w:pPr>
            <w:r w:rsidRPr="002B0D86">
              <w:rPr>
                <w:rFonts w:ascii="Times New Roman" w:hAnsi="Times New Roman" w:cs="Times New Roman"/>
                <w:sz w:val="20"/>
                <w:szCs w:val="20"/>
                <w:lang w:val="en-US"/>
              </w:rPr>
              <w:t>1,185</w:t>
            </w:r>
          </w:p>
        </w:tc>
        <w:tc>
          <w:tcPr>
            <w:tcW w:w="1330" w:type="dxa"/>
            <w:tcBorders>
              <w:top w:val="nil"/>
              <w:left w:val="nil"/>
              <w:bottom w:val="nil"/>
              <w:right w:val="nil"/>
            </w:tcBorders>
            <w:shd w:val="clear" w:color="auto" w:fill="auto"/>
            <w:vAlign w:val="center"/>
            <w:hideMark/>
          </w:tcPr>
          <w:p w14:paraId="5E91F69B" w14:textId="77777777" w:rsidR="00B41534" w:rsidRPr="00A40E69" w:rsidRDefault="00B41534" w:rsidP="007160D4">
            <w:pPr>
              <w:pStyle w:val="NoSpacing"/>
              <w:jc w:val="center"/>
              <w:rPr>
                <w:rFonts w:ascii="Times New Roman" w:hAnsi="Times New Roman" w:cs="Times New Roman"/>
                <w:sz w:val="20"/>
                <w:szCs w:val="20"/>
                <w:lang w:val="en-US"/>
              </w:rPr>
            </w:pPr>
            <w:r w:rsidRPr="002B0D86">
              <w:rPr>
                <w:rFonts w:ascii="Times New Roman" w:hAnsi="Times New Roman" w:cs="Times New Roman"/>
                <w:sz w:val="20"/>
                <w:szCs w:val="20"/>
                <w:lang w:val="en-US"/>
              </w:rPr>
              <w:t>894.9</w:t>
            </w:r>
          </w:p>
        </w:tc>
        <w:tc>
          <w:tcPr>
            <w:tcW w:w="1092" w:type="dxa"/>
            <w:tcBorders>
              <w:top w:val="nil"/>
              <w:left w:val="nil"/>
              <w:bottom w:val="nil"/>
              <w:right w:val="nil"/>
            </w:tcBorders>
            <w:shd w:val="clear" w:color="auto" w:fill="auto"/>
            <w:noWrap/>
            <w:vAlign w:val="center"/>
            <w:hideMark/>
          </w:tcPr>
          <w:p w14:paraId="20AE88A1" w14:textId="77777777" w:rsidR="00B41534" w:rsidRPr="00A40E69" w:rsidRDefault="00B41534" w:rsidP="007160D4">
            <w:pPr>
              <w:pStyle w:val="NoSpacing"/>
              <w:jc w:val="center"/>
              <w:rPr>
                <w:rFonts w:ascii="Times New Roman" w:hAnsi="Times New Roman" w:cs="Times New Roman"/>
                <w:sz w:val="20"/>
                <w:szCs w:val="20"/>
                <w:lang w:val="en-US"/>
              </w:rPr>
            </w:pPr>
            <w:r w:rsidRPr="00A40E69">
              <w:rPr>
                <w:rFonts w:ascii="Times New Roman" w:hAnsi="Times New Roman" w:cs="Times New Roman"/>
                <w:sz w:val="20"/>
                <w:szCs w:val="20"/>
                <w:lang w:val="en-US"/>
              </w:rPr>
              <w:t>0.0417</w:t>
            </w:r>
          </w:p>
        </w:tc>
        <w:tc>
          <w:tcPr>
            <w:tcW w:w="236" w:type="dxa"/>
            <w:tcBorders>
              <w:top w:val="nil"/>
              <w:left w:val="nil"/>
              <w:bottom w:val="nil"/>
              <w:right w:val="nil"/>
            </w:tcBorders>
            <w:shd w:val="clear" w:color="auto" w:fill="auto"/>
            <w:vAlign w:val="center"/>
            <w:hideMark/>
          </w:tcPr>
          <w:p w14:paraId="62BC46AD"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077" w:type="dxa"/>
            <w:tcBorders>
              <w:top w:val="nil"/>
              <w:left w:val="nil"/>
              <w:bottom w:val="nil"/>
              <w:right w:val="nil"/>
            </w:tcBorders>
            <w:shd w:val="clear" w:color="auto" w:fill="auto"/>
            <w:noWrap/>
            <w:vAlign w:val="center"/>
            <w:hideMark/>
          </w:tcPr>
          <w:p w14:paraId="6BF051E8" w14:textId="77777777" w:rsidR="00B41534" w:rsidRPr="00A40E69" w:rsidRDefault="00B41534" w:rsidP="007160D4">
            <w:pPr>
              <w:pStyle w:val="NoSpacing"/>
              <w:jc w:val="center"/>
              <w:rPr>
                <w:rFonts w:ascii="Times New Roman" w:hAnsi="Times New Roman" w:cs="Times New Roman"/>
                <w:sz w:val="20"/>
                <w:szCs w:val="20"/>
                <w:lang w:val="en-US"/>
              </w:rPr>
            </w:pPr>
            <w:r w:rsidRPr="00A40E69">
              <w:rPr>
                <w:rFonts w:ascii="Times New Roman" w:hAnsi="Times New Roman" w:cs="Times New Roman"/>
                <w:sz w:val="20"/>
                <w:szCs w:val="20"/>
                <w:lang w:val="en-US"/>
              </w:rPr>
              <w:t>1153</w:t>
            </w:r>
          </w:p>
        </w:tc>
        <w:tc>
          <w:tcPr>
            <w:tcW w:w="1331" w:type="dxa"/>
            <w:tcBorders>
              <w:top w:val="nil"/>
              <w:left w:val="nil"/>
              <w:bottom w:val="nil"/>
              <w:right w:val="nil"/>
            </w:tcBorders>
            <w:shd w:val="clear" w:color="auto" w:fill="auto"/>
            <w:noWrap/>
            <w:vAlign w:val="center"/>
            <w:hideMark/>
          </w:tcPr>
          <w:p w14:paraId="7D83232B" w14:textId="77777777" w:rsidR="00B41534" w:rsidRPr="00A40E69" w:rsidRDefault="00B41534" w:rsidP="007160D4">
            <w:pPr>
              <w:pStyle w:val="NoSpacing"/>
              <w:jc w:val="center"/>
              <w:rPr>
                <w:rFonts w:ascii="Times New Roman" w:hAnsi="Times New Roman" w:cs="Times New Roman"/>
                <w:sz w:val="20"/>
                <w:szCs w:val="20"/>
                <w:lang w:val="en-US"/>
              </w:rPr>
            </w:pPr>
            <w:r w:rsidRPr="00A40E69">
              <w:rPr>
                <w:rFonts w:ascii="Times New Roman" w:hAnsi="Times New Roman" w:cs="Times New Roman"/>
                <w:sz w:val="20"/>
                <w:szCs w:val="20"/>
                <w:lang w:val="en-US"/>
              </w:rPr>
              <w:t>-517.42***</w:t>
            </w:r>
          </w:p>
        </w:tc>
        <w:tc>
          <w:tcPr>
            <w:tcW w:w="1071" w:type="dxa"/>
            <w:tcBorders>
              <w:top w:val="nil"/>
              <w:left w:val="nil"/>
              <w:bottom w:val="nil"/>
              <w:right w:val="nil"/>
            </w:tcBorders>
            <w:shd w:val="clear" w:color="auto" w:fill="auto"/>
            <w:noWrap/>
            <w:vAlign w:val="center"/>
            <w:hideMark/>
          </w:tcPr>
          <w:p w14:paraId="2AE92C6C" w14:textId="77777777" w:rsidR="00B41534" w:rsidRPr="00A40E69" w:rsidRDefault="00B41534" w:rsidP="007160D4">
            <w:pPr>
              <w:pStyle w:val="NoSpacing"/>
              <w:jc w:val="center"/>
              <w:rPr>
                <w:rFonts w:ascii="Times New Roman" w:hAnsi="Times New Roman" w:cs="Times New Roman"/>
                <w:sz w:val="20"/>
                <w:szCs w:val="20"/>
                <w:lang w:val="en-US"/>
              </w:rPr>
            </w:pPr>
            <w:r w:rsidRPr="00A40E69">
              <w:rPr>
                <w:rFonts w:ascii="Times New Roman" w:hAnsi="Times New Roman" w:cs="Times New Roman"/>
                <w:sz w:val="20"/>
                <w:szCs w:val="20"/>
                <w:lang w:val="en-US"/>
              </w:rPr>
              <w:t>3454.11</w:t>
            </w:r>
          </w:p>
        </w:tc>
      </w:tr>
      <w:tr w:rsidR="00B41534" w:rsidRPr="002B0D86" w14:paraId="574CC444" w14:textId="77777777" w:rsidTr="007160D4">
        <w:trPr>
          <w:trHeight w:val="277"/>
        </w:trPr>
        <w:tc>
          <w:tcPr>
            <w:tcW w:w="2552" w:type="dxa"/>
            <w:tcBorders>
              <w:top w:val="nil"/>
              <w:left w:val="nil"/>
              <w:bottom w:val="nil"/>
              <w:right w:val="nil"/>
            </w:tcBorders>
            <w:shd w:val="clear" w:color="auto" w:fill="auto"/>
            <w:vAlign w:val="center"/>
            <w:hideMark/>
          </w:tcPr>
          <w:p w14:paraId="6BAD1C29" w14:textId="77777777" w:rsidR="00B41534" w:rsidRPr="00A40E69" w:rsidRDefault="00B41534" w:rsidP="007160D4">
            <w:pPr>
              <w:pStyle w:val="NoSpacing"/>
              <w:rPr>
                <w:rFonts w:ascii="Times New Roman" w:hAnsi="Times New Roman" w:cs="Times New Roman"/>
                <w:b/>
                <w:bCs/>
                <w:sz w:val="20"/>
                <w:szCs w:val="20"/>
                <w:lang w:val="en-US"/>
              </w:rPr>
            </w:pPr>
          </w:p>
        </w:tc>
        <w:tc>
          <w:tcPr>
            <w:tcW w:w="850" w:type="dxa"/>
            <w:tcBorders>
              <w:top w:val="nil"/>
              <w:left w:val="nil"/>
              <w:bottom w:val="nil"/>
              <w:right w:val="nil"/>
            </w:tcBorders>
            <w:shd w:val="clear" w:color="auto" w:fill="auto"/>
            <w:noWrap/>
            <w:vAlign w:val="center"/>
            <w:hideMark/>
          </w:tcPr>
          <w:p w14:paraId="6B1E5358" w14:textId="77777777" w:rsidR="00B41534" w:rsidRPr="00A40E69" w:rsidRDefault="00B41534" w:rsidP="007160D4">
            <w:pPr>
              <w:pStyle w:val="NoSpacing"/>
              <w:jc w:val="center"/>
              <w:rPr>
                <w:rFonts w:ascii="Times New Roman" w:hAnsi="Times New Roman" w:cs="Times New Roman"/>
                <w:sz w:val="20"/>
                <w:szCs w:val="20"/>
                <w:lang w:val="en-US"/>
              </w:rPr>
            </w:pPr>
          </w:p>
        </w:tc>
        <w:tc>
          <w:tcPr>
            <w:tcW w:w="906" w:type="dxa"/>
            <w:tcBorders>
              <w:top w:val="nil"/>
              <w:left w:val="nil"/>
              <w:bottom w:val="nil"/>
              <w:right w:val="nil"/>
            </w:tcBorders>
            <w:shd w:val="clear" w:color="auto" w:fill="auto"/>
            <w:noWrap/>
            <w:vAlign w:val="center"/>
            <w:hideMark/>
          </w:tcPr>
          <w:p w14:paraId="057039F4"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092" w:type="dxa"/>
            <w:tcBorders>
              <w:top w:val="nil"/>
              <w:left w:val="nil"/>
              <w:bottom w:val="nil"/>
              <w:right w:val="nil"/>
            </w:tcBorders>
            <w:shd w:val="clear" w:color="auto" w:fill="auto"/>
            <w:vAlign w:val="center"/>
            <w:hideMark/>
          </w:tcPr>
          <w:p w14:paraId="3D6BF72B" w14:textId="77777777" w:rsidR="00B41534" w:rsidRPr="00A40E69" w:rsidRDefault="00B41534" w:rsidP="007160D4">
            <w:pPr>
              <w:pStyle w:val="NoSpacing"/>
              <w:jc w:val="center"/>
              <w:rPr>
                <w:rFonts w:ascii="Times New Roman" w:hAnsi="Times New Roman" w:cs="Times New Roman"/>
                <w:sz w:val="20"/>
                <w:szCs w:val="20"/>
                <w:lang w:val="en-US"/>
              </w:rPr>
            </w:pPr>
          </w:p>
        </w:tc>
        <w:tc>
          <w:tcPr>
            <w:tcW w:w="236" w:type="dxa"/>
            <w:tcBorders>
              <w:top w:val="nil"/>
              <w:left w:val="nil"/>
              <w:bottom w:val="nil"/>
              <w:right w:val="nil"/>
            </w:tcBorders>
            <w:shd w:val="clear" w:color="auto" w:fill="auto"/>
            <w:vAlign w:val="center"/>
            <w:hideMark/>
          </w:tcPr>
          <w:p w14:paraId="71F608EE"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127" w:type="dxa"/>
            <w:tcBorders>
              <w:top w:val="nil"/>
              <w:left w:val="nil"/>
              <w:bottom w:val="nil"/>
              <w:right w:val="nil"/>
            </w:tcBorders>
            <w:shd w:val="clear" w:color="auto" w:fill="auto"/>
            <w:noWrap/>
            <w:vAlign w:val="center"/>
            <w:hideMark/>
          </w:tcPr>
          <w:p w14:paraId="06C18A46"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330" w:type="dxa"/>
            <w:tcBorders>
              <w:top w:val="nil"/>
              <w:left w:val="nil"/>
              <w:bottom w:val="nil"/>
              <w:right w:val="nil"/>
            </w:tcBorders>
            <w:shd w:val="clear" w:color="auto" w:fill="auto"/>
            <w:noWrap/>
            <w:vAlign w:val="center"/>
            <w:hideMark/>
          </w:tcPr>
          <w:p w14:paraId="49E263FD"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092" w:type="dxa"/>
            <w:tcBorders>
              <w:top w:val="nil"/>
              <w:left w:val="nil"/>
              <w:bottom w:val="nil"/>
              <w:right w:val="nil"/>
            </w:tcBorders>
            <w:shd w:val="clear" w:color="auto" w:fill="auto"/>
            <w:noWrap/>
            <w:vAlign w:val="center"/>
            <w:hideMark/>
          </w:tcPr>
          <w:p w14:paraId="0D22C278" w14:textId="77777777" w:rsidR="00B41534" w:rsidRPr="00A40E69" w:rsidRDefault="00B41534" w:rsidP="007160D4">
            <w:pPr>
              <w:pStyle w:val="NoSpacing"/>
              <w:jc w:val="center"/>
              <w:rPr>
                <w:rFonts w:ascii="Times New Roman" w:hAnsi="Times New Roman" w:cs="Times New Roman"/>
                <w:sz w:val="20"/>
                <w:szCs w:val="20"/>
                <w:lang w:val="en-US"/>
              </w:rPr>
            </w:pPr>
          </w:p>
        </w:tc>
        <w:tc>
          <w:tcPr>
            <w:tcW w:w="236" w:type="dxa"/>
            <w:tcBorders>
              <w:top w:val="nil"/>
              <w:left w:val="nil"/>
              <w:bottom w:val="nil"/>
              <w:right w:val="nil"/>
            </w:tcBorders>
            <w:shd w:val="clear" w:color="auto" w:fill="auto"/>
            <w:vAlign w:val="center"/>
            <w:hideMark/>
          </w:tcPr>
          <w:p w14:paraId="098B3C1B"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077" w:type="dxa"/>
            <w:tcBorders>
              <w:top w:val="nil"/>
              <w:left w:val="nil"/>
              <w:bottom w:val="nil"/>
              <w:right w:val="nil"/>
            </w:tcBorders>
            <w:shd w:val="clear" w:color="auto" w:fill="auto"/>
            <w:vAlign w:val="center"/>
            <w:hideMark/>
          </w:tcPr>
          <w:p w14:paraId="3D8D885D"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331" w:type="dxa"/>
            <w:tcBorders>
              <w:top w:val="nil"/>
              <w:left w:val="nil"/>
              <w:bottom w:val="nil"/>
              <w:right w:val="nil"/>
            </w:tcBorders>
            <w:shd w:val="clear" w:color="auto" w:fill="auto"/>
            <w:vAlign w:val="center"/>
            <w:hideMark/>
          </w:tcPr>
          <w:p w14:paraId="79B5263B"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071" w:type="dxa"/>
            <w:tcBorders>
              <w:top w:val="nil"/>
              <w:left w:val="nil"/>
              <w:bottom w:val="nil"/>
              <w:right w:val="nil"/>
            </w:tcBorders>
            <w:shd w:val="clear" w:color="auto" w:fill="auto"/>
            <w:vAlign w:val="center"/>
            <w:hideMark/>
          </w:tcPr>
          <w:p w14:paraId="3588AC75" w14:textId="77777777" w:rsidR="00B41534" w:rsidRPr="00A40E69" w:rsidRDefault="00B41534" w:rsidP="007160D4">
            <w:pPr>
              <w:pStyle w:val="NoSpacing"/>
              <w:jc w:val="center"/>
              <w:rPr>
                <w:rFonts w:ascii="Times New Roman" w:hAnsi="Times New Roman" w:cs="Times New Roman"/>
                <w:sz w:val="20"/>
                <w:szCs w:val="20"/>
                <w:lang w:val="en-US"/>
              </w:rPr>
            </w:pPr>
          </w:p>
        </w:tc>
      </w:tr>
      <w:tr w:rsidR="00B41534" w:rsidRPr="002B0D86" w14:paraId="2B2E5E0F" w14:textId="77777777" w:rsidTr="007160D4">
        <w:trPr>
          <w:trHeight w:val="263"/>
        </w:trPr>
        <w:tc>
          <w:tcPr>
            <w:tcW w:w="2552" w:type="dxa"/>
            <w:tcBorders>
              <w:top w:val="nil"/>
              <w:left w:val="nil"/>
              <w:bottom w:val="nil"/>
              <w:right w:val="nil"/>
            </w:tcBorders>
            <w:shd w:val="clear" w:color="auto" w:fill="auto"/>
            <w:vAlign w:val="center"/>
            <w:hideMark/>
          </w:tcPr>
          <w:p w14:paraId="371254A6" w14:textId="77777777" w:rsidR="00B41534" w:rsidRPr="00A40E69" w:rsidRDefault="00B41534" w:rsidP="007160D4">
            <w:pPr>
              <w:pStyle w:val="NoSpacing"/>
              <w:rPr>
                <w:rFonts w:ascii="Times New Roman" w:hAnsi="Times New Roman" w:cs="Times New Roman"/>
                <w:b/>
                <w:bCs/>
                <w:sz w:val="20"/>
                <w:szCs w:val="20"/>
                <w:lang w:val="en-US"/>
              </w:rPr>
            </w:pPr>
            <w:r w:rsidRPr="00A40E69">
              <w:rPr>
                <w:rFonts w:ascii="Times New Roman" w:hAnsi="Times New Roman" w:cs="Times New Roman"/>
                <w:b/>
                <w:bCs/>
                <w:sz w:val="20"/>
                <w:szCs w:val="20"/>
                <w:lang w:val="en-US"/>
              </w:rPr>
              <w:t>Others</w:t>
            </w:r>
          </w:p>
        </w:tc>
        <w:tc>
          <w:tcPr>
            <w:tcW w:w="850" w:type="dxa"/>
            <w:tcBorders>
              <w:top w:val="nil"/>
              <w:left w:val="nil"/>
              <w:bottom w:val="nil"/>
              <w:right w:val="nil"/>
            </w:tcBorders>
            <w:shd w:val="clear" w:color="auto" w:fill="auto"/>
            <w:vAlign w:val="center"/>
            <w:hideMark/>
          </w:tcPr>
          <w:p w14:paraId="55462604" w14:textId="77777777" w:rsidR="00B41534" w:rsidRPr="00A40E69" w:rsidRDefault="00B41534" w:rsidP="007160D4">
            <w:pPr>
              <w:pStyle w:val="NoSpacing"/>
              <w:jc w:val="center"/>
              <w:rPr>
                <w:rFonts w:ascii="Times New Roman" w:hAnsi="Times New Roman" w:cs="Times New Roman"/>
                <w:sz w:val="20"/>
                <w:szCs w:val="20"/>
                <w:lang w:val="en-US"/>
              </w:rPr>
            </w:pPr>
            <w:r w:rsidRPr="002B0D86">
              <w:rPr>
                <w:rFonts w:ascii="Times New Roman" w:hAnsi="Times New Roman" w:cs="Times New Roman"/>
                <w:sz w:val="20"/>
                <w:szCs w:val="20"/>
                <w:lang w:val="en-US"/>
              </w:rPr>
              <w:t>1,415</w:t>
            </w:r>
          </w:p>
        </w:tc>
        <w:tc>
          <w:tcPr>
            <w:tcW w:w="906" w:type="dxa"/>
            <w:tcBorders>
              <w:top w:val="nil"/>
              <w:left w:val="nil"/>
              <w:bottom w:val="nil"/>
              <w:right w:val="nil"/>
            </w:tcBorders>
            <w:shd w:val="clear" w:color="auto" w:fill="auto"/>
            <w:vAlign w:val="center"/>
            <w:hideMark/>
          </w:tcPr>
          <w:p w14:paraId="7F2D4CC1" w14:textId="77777777" w:rsidR="00B41534" w:rsidRPr="00A40E69" w:rsidRDefault="00B41534" w:rsidP="007160D4">
            <w:pPr>
              <w:pStyle w:val="NoSpacing"/>
              <w:jc w:val="center"/>
              <w:rPr>
                <w:rFonts w:ascii="Times New Roman" w:hAnsi="Times New Roman" w:cs="Times New Roman"/>
                <w:sz w:val="20"/>
                <w:szCs w:val="20"/>
                <w:lang w:val="en-US"/>
              </w:rPr>
            </w:pPr>
            <w:r w:rsidRPr="002B0D86">
              <w:rPr>
                <w:rFonts w:ascii="Times New Roman" w:hAnsi="Times New Roman" w:cs="Times New Roman"/>
                <w:sz w:val="20"/>
                <w:szCs w:val="20"/>
                <w:lang w:val="en-US"/>
              </w:rPr>
              <w:t>473.1</w:t>
            </w:r>
          </w:p>
        </w:tc>
        <w:tc>
          <w:tcPr>
            <w:tcW w:w="1092" w:type="dxa"/>
            <w:tcBorders>
              <w:top w:val="nil"/>
              <w:left w:val="nil"/>
              <w:bottom w:val="nil"/>
              <w:right w:val="nil"/>
            </w:tcBorders>
            <w:shd w:val="clear" w:color="auto" w:fill="auto"/>
            <w:noWrap/>
            <w:vAlign w:val="center"/>
            <w:hideMark/>
          </w:tcPr>
          <w:p w14:paraId="07E67823" w14:textId="77777777" w:rsidR="00B41534" w:rsidRPr="00A40E69" w:rsidRDefault="00B41534" w:rsidP="007160D4">
            <w:pPr>
              <w:pStyle w:val="NoSpacing"/>
              <w:jc w:val="center"/>
              <w:rPr>
                <w:rFonts w:ascii="Times New Roman" w:hAnsi="Times New Roman" w:cs="Times New Roman"/>
                <w:sz w:val="20"/>
                <w:szCs w:val="20"/>
                <w:lang w:val="en-US"/>
              </w:rPr>
            </w:pPr>
            <w:r w:rsidRPr="00A40E69">
              <w:rPr>
                <w:rFonts w:ascii="Times New Roman" w:hAnsi="Times New Roman" w:cs="Times New Roman"/>
                <w:sz w:val="20"/>
                <w:szCs w:val="20"/>
                <w:lang w:val="en-US"/>
              </w:rPr>
              <w:t>0.0223</w:t>
            </w:r>
          </w:p>
        </w:tc>
        <w:tc>
          <w:tcPr>
            <w:tcW w:w="236" w:type="dxa"/>
            <w:tcBorders>
              <w:top w:val="nil"/>
              <w:left w:val="nil"/>
              <w:bottom w:val="nil"/>
              <w:right w:val="nil"/>
            </w:tcBorders>
            <w:shd w:val="clear" w:color="auto" w:fill="auto"/>
            <w:vAlign w:val="center"/>
            <w:hideMark/>
          </w:tcPr>
          <w:p w14:paraId="2F9B791C"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127" w:type="dxa"/>
            <w:tcBorders>
              <w:top w:val="nil"/>
              <w:left w:val="nil"/>
              <w:bottom w:val="nil"/>
              <w:right w:val="nil"/>
            </w:tcBorders>
            <w:shd w:val="clear" w:color="auto" w:fill="auto"/>
            <w:vAlign w:val="center"/>
            <w:hideMark/>
          </w:tcPr>
          <w:p w14:paraId="7A81E8F5" w14:textId="77777777" w:rsidR="00B41534" w:rsidRPr="00A40E69" w:rsidRDefault="00B41534" w:rsidP="007160D4">
            <w:pPr>
              <w:pStyle w:val="NoSpacing"/>
              <w:jc w:val="center"/>
              <w:rPr>
                <w:rFonts w:ascii="Times New Roman" w:hAnsi="Times New Roman" w:cs="Times New Roman"/>
                <w:sz w:val="20"/>
                <w:szCs w:val="20"/>
                <w:lang w:val="en-US"/>
              </w:rPr>
            </w:pPr>
            <w:r w:rsidRPr="002B0D86">
              <w:rPr>
                <w:rFonts w:ascii="Times New Roman" w:hAnsi="Times New Roman" w:cs="Times New Roman"/>
                <w:sz w:val="20"/>
                <w:szCs w:val="20"/>
                <w:lang w:val="en-US"/>
              </w:rPr>
              <w:t>1,201</w:t>
            </w:r>
          </w:p>
        </w:tc>
        <w:tc>
          <w:tcPr>
            <w:tcW w:w="1330" w:type="dxa"/>
            <w:tcBorders>
              <w:top w:val="nil"/>
              <w:left w:val="nil"/>
              <w:bottom w:val="nil"/>
              <w:right w:val="nil"/>
            </w:tcBorders>
            <w:shd w:val="clear" w:color="auto" w:fill="auto"/>
            <w:vAlign w:val="center"/>
            <w:hideMark/>
          </w:tcPr>
          <w:p w14:paraId="64D2EB46" w14:textId="77777777" w:rsidR="00B41534" w:rsidRPr="00A40E69" w:rsidRDefault="00B41534" w:rsidP="007160D4">
            <w:pPr>
              <w:pStyle w:val="NoSpacing"/>
              <w:jc w:val="center"/>
              <w:rPr>
                <w:rFonts w:ascii="Times New Roman" w:hAnsi="Times New Roman" w:cs="Times New Roman"/>
                <w:sz w:val="20"/>
                <w:szCs w:val="20"/>
                <w:lang w:val="en-US"/>
              </w:rPr>
            </w:pPr>
            <w:r w:rsidRPr="002B0D86">
              <w:rPr>
                <w:rFonts w:ascii="Times New Roman" w:hAnsi="Times New Roman" w:cs="Times New Roman"/>
                <w:sz w:val="20"/>
                <w:szCs w:val="20"/>
                <w:lang w:val="en-US"/>
              </w:rPr>
              <w:t>412.3</w:t>
            </w:r>
          </w:p>
        </w:tc>
        <w:tc>
          <w:tcPr>
            <w:tcW w:w="1092" w:type="dxa"/>
            <w:tcBorders>
              <w:top w:val="nil"/>
              <w:left w:val="nil"/>
              <w:bottom w:val="nil"/>
              <w:right w:val="nil"/>
            </w:tcBorders>
            <w:shd w:val="clear" w:color="auto" w:fill="auto"/>
            <w:noWrap/>
            <w:vAlign w:val="center"/>
            <w:hideMark/>
          </w:tcPr>
          <w:p w14:paraId="0A98C868" w14:textId="77777777" w:rsidR="00B41534" w:rsidRPr="00A40E69" w:rsidRDefault="00B41534" w:rsidP="007160D4">
            <w:pPr>
              <w:pStyle w:val="NoSpacing"/>
              <w:jc w:val="center"/>
              <w:rPr>
                <w:rFonts w:ascii="Times New Roman" w:hAnsi="Times New Roman" w:cs="Times New Roman"/>
                <w:sz w:val="20"/>
                <w:szCs w:val="20"/>
                <w:lang w:val="en-US"/>
              </w:rPr>
            </w:pPr>
            <w:r w:rsidRPr="00A40E69">
              <w:rPr>
                <w:rFonts w:ascii="Times New Roman" w:hAnsi="Times New Roman" w:cs="Times New Roman"/>
                <w:sz w:val="20"/>
                <w:szCs w:val="20"/>
                <w:lang w:val="en-US"/>
              </w:rPr>
              <w:t>0.0194</w:t>
            </w:r>
          </w:p>
        </w:tc>
        <w:tc>
          <w:tcPr>
            <w:tcW w:w="236" w:type="dxa"/>
            <w:tcBorders>
              <w:top w:val="nil"/>
              <w:left w:val="nil"/>
              <w:bottom w:val="nil"/>
              <w:right w:val="nil"/>
            </w:tcBorders>
            <w:shd w:val="clear" w:color="auto" w:fill="auto"/>
            <w:vAlign w:val="center"/>
            <w:hideMark/>
          </w:tcPr>
          <w:p w14:paraId="224CE772"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077" w:type="dxa"/>
            <w:tcBorders>
              <w:top w:val="nil"/>
              <w:left w:val="nil"/>
              <w:bottom w:val="nil"/>
              <w:right w:val="nil"/>
            </w:tcBorders>
            <w:shd w:val="clear" w:color="auto" w:fill="auto"/>
            <w:vAlign w:val="center"/>
            <w:hideMark/>
          </w:tcPr>
          <w:p w14:paraId="7B57B396" w14:textId="77777777" w:rsidR="00B41534" w:rsidRPr="00A40E69" w:rsidRDefault="00B41534" w:rsidP="007160D4">
            <w:pPr>
              <w:pStyle w:val="NoSpacing"/>
              <w:jc w:val="center"/>
              <w:rPr>
                <w:rFonts w:ascii="Times New Roman" w:hAnsi="Times New Roman" w:cs="Times New Roman"/>
                <w:sz w:val="20"/>
                <w:szCs w:val="20"/>
                <w:lang w:val="en-US"/>
              </w:rPr>
            </w:pPr>
            <w:r w:rsidRPr="00A40E69">
              <w:rPr>
                <w:rFonts w:ascii="Times New Roman" w:hAnsi="Times New Roman" w:cs="Times New Roman"/>
                <w:sz w:val="20"/>
                <w:szCs w:val="20"/>
                <w:lang w:val="en-US"/>
              </w:rPr>
              <w:t>1182</w:t>
            </w:r>
          </w:p>
        </w:tc>
        <w:tc>
          <w:tcPr>
            <w:tcW w:w="1331" w:type="dxa"/>
            <w:tcBorders>
              <w:top w:val="nil"/>
              <w:left w:val="nil"/>
              <w:bottom w:val="nil"/>
              <w:right w:val="nil"/>
            </w:tcBorders>
            <w:shd w:val="clear" w:color="auto" w:fill="auto"/>
            <w:vAlign w:val="center"/>
            <w:hideMark/>
          </w:tcPr>
          <w:p w14:paraId="6E918404" w14:textId="77777777" w:rsidR="00B41534" w:rsidRPr="00A40E69" w:rsidRDefault="00B41534" w:rsidP="007160D4">
            <w:pPr>
              <w:pStyle w:val="NoSpacing"/>
              <w:jc w:val="center"/>
              <w:rPr>
                <w:rFonts w:ascii="Times New Roman" w:hAnsi="Times New Roman" w:cs="Times New Roman"/>
                <w:sz w:val="20"/>
                <w:szCs w:val="20"/>
                <w:lang w:val="en-US"/>
              </w:rPr>
            </w:pPr>
            <w:r w:rsidRPr="00A40E69">
              <w:rPr>
                <w:rFonts w:ascii="Times New Roman" w:hAnsi="Times New Roman" w:cs="Times New Roman"/>
                <w:sz w:val="20"/>
                <w:szCs w:val="20"/>
                <w:lang w:val="en-US"/>
              </w:rPr>
              <w:t>-64.84*</w:t>
            </w:r>
          </w:p>
        </w:tc>
        <w:tc>
          <w:tcPr>
            <w:tcW w:w="1071" w:type="dxa"/>
            <w:tcBorders>
              <w:top w:val="nil"/>
              <w:left w:val="nil"/>
              <w:bottom w:val="nil"/>
              <w:right w:val="nil"/>
            </w:tcBorders>
            <w:shd w:val="clear" w:color="auto" w:fill="auto"/>
            <w:vAlign w:val="center"/>
            <w:hideMark/>
          </w:tcPr>
          <w:p w14:paraId="5F82777A" w14:textId="77777777" w:rsidR="00B41534" w:rsidRPr="00A40E69" w:rsidRDefault="00B41534" w:rsidP="007160D4">
            <w:pPr>
              <w:pStyle w:val="NoSpacing"/>
              <w:jc w:val="center"/>
              <w:rPr>
                <w:rFonts w:ascii="Times New Roman" w:hAnsi="Times New Roman" w:cs="Times New Roman"/>
                <w:sz w:val="20"/>
                <w:szCs w:val="20"/>
                <w:lang w:val="en-US"/>
              </w:rPr>
            </w:pPr>
            <w:r w:rsidRPr="00A40E69">
              <w:rPr>
                <w:rFonts w:ascii="Times New Roman" w:hAnsi="Times New Roman" w:cs="Times New Roman"/>
                <w:sz w:val="20"/>
                <w:szCs w:val="20"/>
                <w:lang w:val="en-US"/>
              </w:rPr>
              <w:t>1320.87</w:t>
            </w:r>
          </w:p>
        </w:tc>
      </w:tr>
      <w:tr w:rsidR="00B41534" w:rsidRPr="002B0D86" w14:paraId="73EBBB38" w14:textId="77777777" w:rsidTr="007160D4">
        <w:trPr>
          <w:trHeight w:val="172"/>
        </w:trPr>
        <w:tc>
          <w:tcPr>
            <w:tcW w:w="2552" w:type="dxa"/>
            <w:tcBorders>
              <w:top w:val="nil"/>
              <w:left w:val="nil"/>
              <w:bottom w:val="nil"/>
              <w:right w:val="nil"/>
            </w:tcBorders>
            <w:shd w:val="clear" w:color="auto" w:fill="auto"/>
            <w:vAlign w:val="center"/>
            <w:hideMark/>
          </w:tcPr>
          <w:p w14:paraId="2CDB3E04" w14:textId="77777777" w:rsidR="00B41534" w:rsidRPr="00A40E69" w:rsidRDefault="00B41534" w:rsidP="007160D4">
            <w:pPr>
              <w:pStyle w:val="NoSpacing"/>
              <w:rPr>
                <w:rFonts w:ascii="Times New Roman" w:hAnsi="Times New Roman" w:cs="Times New Roman"/>
                <w:b/>
                <w:bCs/>
                <w:sz w:val="20"/>
                <w:szCs w:val="20"/>
                <w:lang w:val="en-US"/>
              </w:rPr>
            </w:pPr>
          </w:p>
        </w:tc>
        <w:tc>
          <w:tcPr>
            <w:tcW w:w="850" w:type="dxa"/>
            <w:tcBorders>
              <w:top w:val="nil"/>
              <w:left w:val="nil"/>
              <w:right w:val="nil"/>
            </w:tcBorders>
            <w:shd w:val="clear" w:color="auto" w:fill="auto"/>
            <w:noWrap/>
            <w:vAlign w:val="center"/>
            <w:hideMark/>
          </w:tcPr>
          <w:p w14:paraId="71E6EDC0" w14:textId="77777777" w:rsidR="00B41534" w:rsidRPr="00A40E69" w:rsidRDefault="00B41534" w:rsidP="007160D4">
            <w:pPr>
              <w:pStyle w:val="NoSpacing"/>
              <w:jc w:val="center"/>
              <w:rPr>
                <w:rFonts w:ascii="Times New Roman" w:hAnsi="Times New Roman" w:cs="Times New Roman"/>
                <w:sz w:val="20"/>
                <w:szCs w:val="20"/>
                <w:lang w:val="en-US"/>
              </w:rPr>
            </w:pPr>
          </w:p>
        </w:tc>
        <w:tc>
          <w:tcPr>
            <w:tcW w:w="906" w:type="dxa"/>
            <w:tcBorders>
              <w:top w:val="nil"/>
              <w:left w:val="nil"/>
              <w:right w:val="nil"/>
            </w:tcBorders>
            <w:shd w:val="clear" w:color="auto" w:fill="auto"/>
            <w:noWrap/>
            <w:vAlign w:val="center"/>
            <w:hideMark/>
          </w:tcPr>
          <w:p w14:paraId="433BD7D6"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092" w:type="dxa"/>
            <w:tcBorders>
              <w:top w:val="nil"/>
              <w:left w:val="nil"/>
              <w:right w:val="nil"/>
            </w:tcBorders>
            <w:shd w:val="clear" w:color="auto" w:fill="auto"/>
            <w:vAlign w:val="center"/>
            <w:hideMark/>
          </w:tcPr>
          <w:p w14:paraId="69D3F499" w14:textId="77777777" w:rsidR="00B41534" w:rsidRPr="00A40E69" w:rsidRDefault="00B41534" w:rsidP="007160D4">
            <w:pPr>
              <w:pStyle w:val="NoSpacing"/>
              <w:jc w:val="center"/>
              <w:rPr>
                <w:rFonts w:ascii="Times New Roman" w:hAnsi="Times New Roman" w:cs="Times New Roman"/>
                <w:sz w:val="20"/>
                <w:szCs w:val="20"/>
                <w:lang w:val="en-US"/>
              </w:rPr>
            </w:pPr>
          </w:p>
        </w:tc>
        <w:tc>
          <w:tcPr>
            <w:tcW w:w="236" w:type="dxa"/>
            <w:tcBorders>
              <w:top w:val="nil"/>
              <w:left w:val="nil"/>
              <w:bottom w:val="nil"/>
              <w:right w:val="nil"/>
            </w:tcBorders>
            <w:shd w:val="clear" w:color="auto" w:fill="auto"/>
            <w:vAlign w:val="center"/>
            <w:hideMark/>
          </w:tcPr>
          <w:p w14:paraId="035B72D8"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127" w:type="dxa"/>
            <w:tcBorders>
              <w:top w:val="nil"/>
              <w:left w:val="nil"/>
              <w:right w:val="nil"/>
            </w:tcBorders>
            <w:shd w:val="clear" w:color="auto" w:fill="auto"/>
            <w:noWrap/>
            <w:vAlign w:val="center"/>
            <w:hideMark/>
          </w:tcPr>
          <w:p w14:paraId="6651731A"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330" w:type="dxa"/>
            <w:tcBorders>
              <w:top w:val="nil"/>
              <w:left w:val="nil"/>
              <w:right w:val="nil"/>
            </w:tcBorders>
            <w:shd w:val="clear" w:color="auto" w:fill="auto"/>
            <w:noWrap/>
            <w:vAlign w:val="center"/>
            <w:hideMark/>
          </w:tcPr>
          <w:p w14:paraId="5DB993D8"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092" w:type="dxa"/>
            <w:tcBorders>
              <w:top w:val="nil"/>
              <w:left w:val="nil"/>
              <w:bottom w:val="nil"/>
              <w:right w:val="nil"/>
            </w:tcBorders>
            <w:shd w:val="clear" w:color="auto" w:fill="auto"/>
            <w:vAlign w:val="center"/>
            <w:hideMark/>
          </w:tcPr>
          <w:p w14:paraId="3369B8C9" w14:textId="77777777" w:rsidR="00B41534" w:rsidRPr="00A40E69" w:rsidRDefault="00B41534" w:rsidP="007160D4">
            <w:pPr>
              <w:pStyle w:val="NoSpacing"/>
              <w:jc w:val="center"/>
              <w:rPr>
                <w:rFonts w:ascii="Times New Roman" w:hAnsi="Times New Roman" w:cs="Times New Roman"/>
                <w:sz w:val="20"/>
                <w:szCs w:val="20"/>
                <w:lang w:val="en-US"/>
              </w:rPr>
            </w:pPr>
          </w:p>
        </w:tc>
        <w:tc>
          <w:tcPr>
            <w:tcW w:w="236" w:type="dxa"/>
            <w:tcBorders>
              <w:top w:val="nil"/>
              <w:left w:val="nil"/>
              <w:bottom w:val="nil"/>
              <w:right w:val="nil"/>
            </w:tcBorders>
            <w:shd w:val="clear" w:color="auto" w:fill="auto"/>
            <w:vAlign w:val="center"/>
            <w:hideMark/>
          </w:tcPr>
          <w:p w14:paraId="79E2BF66"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077" w:type="dxa"/>
            <w:tcBorders>
              <w:top w:val="nil"/>
              <w:left w:val="nil"/>
              <w:bottom w:val="nil"/>
              <w:right w:val="nil"/>
            </w:tcBorders>
            <w:shd w:val="clear" w:color="auto" w:fill="auto"/>
            <w:vAlign w:val="center"/>
            <w:hideMark/>
          </w:tcPr>
          <w:p w14:paraId="0AD597BB"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331" w:type="dxa"/>
            <w:tcBorders>
              <w:top w:val="nil"/>
              <w:left w:val="nil"/>
              <w:bottom w:val="nil"/>
              <w:right w:val="nil"/>
            </w:tcBorders>
            <w:shd w:val="clear" w:color="auto" w:fill="auto"/>
            <w:vAlign w:val="center"/>
            <w:hideMark/>
          </w:tcPr>
          <w:p w14:paraId="3F2A9529"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071" w:type="dxa"/>
            <w:tcBorders>
              <w:top w:val="nil"/>
              <w:left w:val="nil"/>
              <w:bottom w:val="nil"/>
              <w:right w:val="nil"/>
            </w:tcBorders>
            <w:shd w:val="clear" w:color="auto" w:fill="auto"/>
            <w:vAlign w:val="center"/>
            <w:hideMark/>
          </w:tcPr>
          <w:p w14:paraId="5FA91086" w14:textId="77777777" w:rsidR="00B41534" w:rsidRPr="00A40E69" w:rsidRDefault="00B41534" w:rsidP="007160D4">
            <w:pPr>
              <w:pStyle w:val="NoSpacing"/>
              <w:jc w:val="center"/>
              <w:rPr>
                <w:rFonts w:ascii="Times New Roman" w:hAnsi="Times New Roman" w:cs="Times New Roman"/>
                <w:sz w:val="20"/>
                <w:szCs w:val="20"/>
                <w:lang w:val="en-US"/>
              </w:rPr>
            </w:pPr>
          </w:p>
        </w:tc>
      </w:tr>
      <w:tr w:rsidR="00B41534" w:rsidRPr="002B0D86" w14:paraId="32188058" w14:textId="77777777" w:rsidTr="007160D4">
        <w:trPr>
          <w:trHeight w:val="271"/>
        </w:trPr>
        <w:tc>
          <w:tcPr>
            <w:tcW w:w="2552" w:type="dxa"/>
            <w:tcBorders>
              <w:top w:val="nil"/>
              <w:left w:val="nil"/>
              <w:bottom w:val="nil"/>
              <w:right w:val="nil"/>
            </w:tcBorders>
            <w:shd w:val="clear" w:color="auto" w:fill="auto"/>
            <w:vAlign w:val="center"/>
            <w:hideMark/>
          </w:tcPr>
          <w:p w14:paraId="357A4BAE" w14:textId="77777777" w:rsidR="00B41534" w:rsidRPr="00A40E69" w:rsidRDefault="00B41534" w:rsidP="007160D4">
            <w:pPr>
              <w:pStyle w:val="NoSpacing"/>
              <w:rPr>
                <w:rFonts w:ascii="Times New Roman" w:hAnsi="Times New Roman" w:cs="Times New Roman"/>
                <w:b/>
                <w:bCs/>
                <w:sz w:val="20"/>
                <w:szCs w:val="20"/>
                <w:lang w:val="en-US"/>
              </w:rPr>
            </w:pPr>
            <w:r w:rsidRPr="00A40E69">
              <w:rPr>
                <w:rFonts w:ascii="Times New Roman" w:hAnsi="Times New Roman" w:cs="Times New Roman"/>
                <w:b/>
                <w:bCs/>
                <w:sz w:val="20"/>
                <w:szCs w:val="20"/>
                <w:lang w:val="en-US"/>
              </w:rPr>
              <w:t>Total consumption</w:t>
            </w:r>
          </w:p>
        </w:tc>
        <w:tc>
          <w:tcPr>
            <w:tcW w:w="850" w:type="dxa"/>
            <w:tcBorders>
              <w:top w:val="nil"/>
              <w:left w:val="nil"/>
              <w:bottom w:val="nil"/>
              <w:right w:val="nil"/>
            </w:tcBorders>
            <w:shd w:val="clear" w:color="auto" w:fill="auto"/>
            <w:vAlign w:val="center"/>
            <w:hideMark/>
          </w:tcPr>
          <w:p w14:paraId="2FB62143" w14:textId="77777777" w:rsidR="00B41534" w:rsidRPr="00A40E69" w:rsidRDefault="00B41534" w:rsidP="007160D4">
            <w:pPr>
              <w:pStyle w:val="NoSpacing"/>
              <w:jc w:val="center"/>
              <w:rPr>
                <w:rFonts w:ascii="Times New Roman" w:hAnsi="Times New Roman" w:cs="Times New Roman"/>
                <w:sz w:val="20"/>
                <w:szCs w:val="20"/>
                <w:lang w:val="en-US"/>
              </w:rPr>
            </w:pPr>
            <w:r w:rsidRPr="002B0D86">
              <w:rPr>
                <w:rFonts w:ascii="Times New Roman" w:hAnsi="Times New Roman" w:cs="Times New Roman"/>
                <w:sz w:val="20"/>
                <w:szCs w:val="20"/>
                <w:lang w:val="en-US"/>
              </w:rPr>
              <w:t>1,439</w:t>
            </w:r>
          </w:p>
        </w:tc>
        <w:tc>
          <w:tcPr>
            <w:tcW w:w="906" w:type="dxa"/>
            <w:tcBorders>
              <w:top w:val="nil"/>
              <w:left w:val="nil"/>
              <w:bottom w:val="nil"/>
              <w:right w:val="nil"/>
            </w:tcBorders>
            <w:shd w:val="clear" w:color="auto" w:fill="auto"/>
            <w:vAlign w:val="center"/>
            <w:hideMark/>
          </w:tcPr>
          <w:p w14:paraId="7926D304" w14:textId="77777777" w:rsidR="00B41534" w:rsidRPr="00A40E69" w:rsidRDefault="00B41534" w:rsidP="007160D4">
            <w:pPr>
              <w:pStyle w:val="NoSpacing"/>
              <w:jc w:val="center"/>
              <w:rPr>
                <w:rFonts w:ascii="Times New Roman" w:hAnsi="Times New Roman" w:cs="Times New Roman"/>
                <w:sz w:val="20"/>
                <w:szCs w:val="20"/>
                <w:lang w:val="en-US"/>
              </w:rPr>
            </w:pPr>
            <w:r w:rsidRPr="002B0D86">
              <w:rPr>
                <w:rFonts w:ascii="Times New Roman" w:hAnsi="Times New Roman" w:cs="Times New Roman"/>
                <w:sz w:val="20"/>
                <w:szCs w:val="20"/>
                <w:lang w:val="en-US"/>
              </w:rPr>
              <w:t>22,340</w:t>
            </w:r>
          </w:p>
        </w:tc>
        <w:tc>
          <w:tcPr>
            <w:tcW w:w="1092" w:type="dxa"/>
            <w:tcBorders>
              <w:top w:val="nil"/>
              <w:left w:val="nil"/>
              <w:bottom w:val="nil"/>
              <w:right w:val="nil"/>
            </w:tcBorders>
            <w:shd w:val="clear" w:color="auto" w:fill="auto"/>
            <w:vAlign w:val="center"/>
            <w:hideMark/>
          </w:tcPr>
          <w:p w14:paraId="617A2BD3" w14:textId="77777777" w:rsidR="00B41534" w:rsidRPr="00A40E69" w:rsidRDefault="00B41534" w:rsidP="007160D4">
            <w:pPr>
              <w:pStyle w:val="NoSpacing"/>
              <w:jc w:val="center"/>
              <w:rPr>
                <w:rFonts w:ascii="Times New Roman" w:hAnsi="Times New Roman" w:cs="Times New Roman"/>
                <w:sz w:val="20"/>
                <w:szCs w:val="20"/>
                <w:lang w:val="en-US"/>
              </w:rPr>
            </w:pPr>
          </w:p>
        </w:tc>
        <w:tc>
          <w:tcPr>
            <w:tcW w:w="236" w:type="dxa"/>
            <w:tcBorders>
              <w:top w:val="nil"/>
              <w:left w:val="nil"/>
              <w:bottom w:val="nil"/>
              <w:right w:val="nil"/>
            </w:tcBorders>
            <w:shd w:val="clear" w:color="auto" w:fill="auto"/>
            <w:vAlign w:val="center"/>
            <w:hideMark/>
          </w:tcPr>
          <w:p w14:paraId="26F022BC"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127" w:type="dxa"/>
            <w:tcBorders>
              <w:top w:val="nil"/>
              <w:left w:val="nil"/>
              <w:bottom w:val="nil"/>
              <w:right w:val="nil"/>
            </w:tcBorders>
            <w:shd w:val="clear" w:color="auto" w:fill="auto"/>
            <w:vAlign w:val="center"/>
            <w:hideMark/>
          </w:tcPr>
          <w:p w14:paraId="65713B0B" w14:textId="77777777" w:rsidR="00B41534" w:rsidRPr="00A40E69" w:rsidRDefault="00B41534" w:rsidP="007160D4">
            <w:pPr>
              <w:pStyle w:val="NoSpacing"/>
              <w:jc w:val="center"/>
              <w:rPr>
                <w:rFonts w:ascii="Times New Roman" w:hAnsi="Times New Roman" w:cs="Times New Roman"/>
                <w:sz w:val="20"/>
                <w:szCs w:val="20"/>
                <w:lang w:val="en-US"/>
              </w:rPr>
            </w:pPr>
            <w:r w:rsidRPr="002B0D86">
              <w:rPr>
                <w:rFonts w:ascii="Times New Roman" w:hAnsi="Times New Roman" w:cs="Times New Roman"/>
                <w:sz w:val="20"/>
                <w:szCs w:val="20"/>
                <w:lang w:val="en-US"/>
              </w:rPr>
              <w:t>1,215</w:t>
            </w:r>
          </w:p>
        </w:tc>
        <w:tc>
          <w:tcPr>
            <w:tcW w:w="1330" w:type="dxa"/>
            <w:tcBorders>
              <w:top w:val="nil"/>
              <w:left w:val="nil"/>
              <w:bottom w:val="nil"/>
              <w:right w:val="nil"/>
            </w:tcBorders>
            <w:shd w:val="clear" w:color="auto" w:fill="auto"/>
            <w:vAlign w:val="center"/>
            <w:hideMark/>
          </w:tcPr>
          <w:p w14:paraId="43F31067" w14:textId="77777777" w:rsidR="00B41534" w:rsidRPr="00A40E69" w:rsidRDefault="00B41534" w:rsidP="007160D4">
            <w:pPr>
              <w:pStyle w:val="NoSpacing"/>
              <w:jc w:val="center"/>
              <w:rPr>
                <w:rFonts w:ascii="Times New Roman" w:hAnsi="Times New Roman" w:cs="Times New Roman"/>
                <w:sz w:val="20"/>
                <w:szCs w:val="20"/>
                <w:lang w:val="en-US"/>
              </w:rPr>
            </w:pPr>
            <w:r w:rsidRPr="002B0D86">
              <w:rPr>
                <w:rFonts w:ascii="Times New Roman" w:hAnsi="Times New Roman" w:cs="Times New Roman"/>
                <w:sz w:val="20"/>
                <w:szCs w:val="20"/>
                <w:lang w:val="en-US"/>
              </w:rPr>
              <w:t>22,274</w:t>
            </w:r>
          </w:p>
        </w:tc>
        <w:tc>
          <w:tcPr>
            <w:tcW w:w="1092" w:type="dxa"/>
            <w:tcBorders>
              <w:top w:val="nil"/>
              <w:left w:val="nil"/>
              <w:bottom w:val="nil"/>
              <w:right w:val="nil"/>
            </w:tcBorders>
            <w:shd w:val="clear" w:color="auto" w:fill="auto"/>
            <w:vAlign w:val="center"/>
            <w:hideMark/>
          </w:tcPr>
          <w:p w14:paraId="5EC91F79" w14:textId="77777777" w:rsidR="00B41534" w:rsidRPr="00A40E69" w:rsidRDefault="00B41534" w:rsidP="007160D4">
            <w:pPr>
              <w:pStyle w:val="NoSpacing"/>
              <w:jc w:val="center"/>
              <w:rPr>
                <w:rFonts w:ascii="Times New Roman" w:hAnsi="Times New Roman" w:cs="Times New Roman"/>
                <w:sz w:val="20"/>
                <w:szCs w:val="20"/>
                <w:lang w:val="en-US"/>
              </w:rPr>
            </w:pPr>
          </w:p>
        </w:tc>
        <w:tc>
          <w:tcPr>
            <w:tcW w:w="236" w:type="dxa"/>
            <w:tcBorders>
              <w:top w:val="nil"/>
              <w:left w:val="nil"/>
              <w:bottom w:val="nil"/>
              <w:right w:val="nil"/>
            </w:tcBorders>
            <w:shd w:val="clear" w:color="auto" w:fill="auto"/>
            <w:vAlign w:val="center"/>
            <w:hideMark/>
          </w:tcPr>
          <w:p w14:paraId="64C95FEA"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077" w:type="dxa"/>
            <w:tcBorders>
              <w:top w:val="nil"/>
              <w:left w:val="nil"/>
              <w:bottom w:val="nil"/>
              <w:right w:val="nil"/>
            </w:tcBorders>
            <w:shd w:val="clear" w:color="auto" w:fill="auto"/>
            <w:vAlign w:val="center"/>
            <w:hideMark/>
          </w:tcPr>
          <w:p w14:paraId="1C71709F" w14:textId="77777777" w:rsidR="00B41534" w:rsidRPr="00A40E69" w:rsidRDefault="00B41534" w:rsidP="007160D4">
            <w:pPr>
              <w:pStyle w:val="NoSpacing"/>
              <w:jc w:val="center"/>
              <w:rPr>
                <w:rFonts w:ascii="Times New Roman" w:hAnsi="Times New Roman" w:cs="Times New Roman"/>
                <w:sz w:val="20"/>
                <w:szCs w:val="20"/>
                <w:lang w:val="en-US"/>
              </w:rPr>
            </w:pPr>
            <w:r w:rsidRPr="00A40E69">
              <w:rPr>
                <w:rFonts w:ascii="Times New Roman" w:hAnsi="Times New Roman" w:cs="Times New Roman"/>
                <w:sz w:val="20"/>
                <w:szCs w:val="20"/>
                <w:lang w:val="en-US"/>
              </w:rPr>
              <w:t>1210</w:t>
            </w:r>
          </w:p>
        </w:tc>
        <w:tc>
          <w:tcPr>
            <w:tcW w:w="1331" w:type="dxa"/>
            <w:tcBorders>
              <w:top w:val="nil"/>
              <w:left w:val="nil"/>
              <w:bottom w:val="nil"/>
              <w:right w:val="nil"/>
            </w:tcBorders>
            <w:shd w:val="clear" w:color="auto" w:fill="auto"/>
            <w:vAlign w:val="center"/>
            <w:hideMark/>
          </w:tcPr>
          <w:p w14:paraId="46FA4AB8" w14:textId="77777777" w:rsidR="00B41534" w:rsidRPr="00A40E69" w:rsidRDefault="00B41534" w:rsidP="007160D4">
            <w:pPr>
              <w:pStyle w:val="NoSpacing"/>
              <w:jc w:val="center"/>
              <w:rPr>
                <w:rFonts w:ascii="Times New Roman" w:hAnsi="Times New Roman" w:cs="Times New Roman"/>
                <w:sz w:val="20"/>
                <w:szCs w:val="20"/>
                <w:lang w:val="en-US"/>
              </w:rPr>
            </w:pPr>
            <w:r w:rsidRPr="00A40E69">
              <w:rPr>
                <w:rFonts w:ascii="Times New Roman" w:hAnsi="Times New Roman" w:cs="Times New Roman"/>
                <w:sz w:val="20"/>
                <w:szCs w:val="20"/>
                <w:lang w:val="en-US"/>
              </w:rPr>
              <w:t>-32.19</w:t>
            </w:r>
          </w:p>
        </w:tc>
        <w:tc>
          <w:tcPr>
            <w:tcW w:w="1071" w:type="dxa"/>
            <w:tcBorders>
              <w:top w:val="nil"/>
              <w:left w:val="nil"/>
              <w:bottom w:val="nil"/>
              <w:right w:val="nil"/>
            </w:tcBorders>
            <w:shd w:val="clear" w:color="auto" w:fill="auto"/>
            <w:noWrap/>
            <w:vAlign w:val="center"/>
            <w:hideMark/>
          </w:tcPr>
          <w:p w14:paraId="0B114F36" w14:textId="77777777" w:rsidR="00B41534" w:rsidRPr="00A40E69" w:rsidRDefault="00B41534" w:rsidP="007160D4">
            <w:pPr>
              <w:pStyle w:val="NoSpacing"/>
              <w:jc w:val="center"/>
              <w:rPr>
                <w:rFonts w:ascii="Times New Roman" w:hAnsi="Times New Roman" w:cs="Times New Roman"/>
                <w:sz w:val="20"/>
                <w:szCs w:val="20"/>
                <w:lang w:val="en-US"/>
              </w:rPr>
            </w:pPr>
            <w:r w:rsidRPr="00A40E69">
              <w:rPr>
                <w:rFonts w:ascii="Times New Roman" w:hAnsi="Times New Roman" w:cs="Times New Roman"/>
                <w:sz w:val="20"/>
                <w:szCs w:val="20"/>
                <w:lang w:val="en-US"/>
              </w:rPr>
              <w:t>23684.81</w:t>
            </w:r>
          </w:p>
        </w:tc>
      </w:tr>
      <w:tr w:rsidR="00B41534" w:rsidRPr="002B0D86" w14:paraId="13462B64" w14:textId="77777777" w:rsidTr="007160D4">
        <w:trPr>
          <w:trHeight w:val="155"/>
        </w:trPr>
        <w:tc>
          <w:tcPr>
            <w:tcW w:w="2552" w:type="dxa"/>
            <w:tcBorders>
              <w:top w:val="nil"/>
              <w:left w:val="nil"/>
              <w:right w:val="nil"/>
            </w:tcBorders>
            <w:shd w:val="clear" w:color="auto" w:fill="auto"/>
            <w:vAlign w:val="center"/>
            <w:hideMark/>
          </w:tcPr>
          <w:p w14:paraId="71006C82" w14:textId="77777777" w:rsidR="00B41534" w:rsidRPr="00A40E69" w:rsidRDefault="00B41534" w:rsidP="007160D4">
            <w:pPr>
              <w:pStyle w:val="NoSpacing"/>
              <w:rPr>
                <w:rFonts w:ascii="Times New Roman" w:hAnsi="Times New Roman" w:cs="Times New Roman"/>
                <w:b/>
                <w:bCs/>
                <w:sz w:val="20"/>
                <w:szCs w:val="20"/>
                <w:lang w:val="en-US"/>
              </w:rPr>
            </w:pPr>
          </w:p>
        </w:tc>
        <w:tc>
          <w:tcPr>
            <w:tcW w:w="850" w:type="dxa"/>
            <w:tcBorders>
              <w:top w:val="nil"/>
              <w:left w:val="nil"/>
              <w:right w:val="nil"/>
            </w:tcBorders>
            <w:shd w:val="clear" w:color="auto" w:fill="auto"/>
            <w:noWrap/>
            <w:vAlign w:val="center"/>
            <w:hideMark/>
          </w:tcPr>
          <w:p w14:paraId="384FAE70" w14:textId="77777777" w:rsidR="00B41534" w:rsidRPr="00A40E69" w:rsidRDefault="00B41534" w:rsidP="007160D4">
            <w:pPr>
              <w:pStyle w:val="NoSpacing"/>
              <w:jc w:val="center"/>
              <w:rPr>
                <w:rFonts w:ascii="Times New Roman" w:hAnsi="Times New Roman" w:cs="Times New Roman"/>
                <w:sz w:val="20"/>
                <w:szCs w:val="20"/>
                <w:lang w:val="en-US"/>
              </w:rPr>
            </w:pPr>
          </w:p>
        </w:tc>
        <w:tc>
          <w:tcPr>
            <w:tcW w:w="906" w:type="dxa"/>
            <w:tcBorders>
              <w:top w:val="nil"/>
              <w:left w:val="nil"/>
              <w:right w:val="nil"/>
            </w:tcBorders>
            <w:shd w:val="clear" w:color="auto" w:fill="auto"/>
            <w:noWrap/>
            <w:vAlign w:val="center"/>
            <w:hideMark/>
          </w:tcPr>
          <w:p w14:paraId="63E3D83A"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092" w:type="dxa"/>
            <w:tcBorders>
              <w:top w:val="nil"/>
              <w:left w:val="nil"/>
              <w:right w:val="nil"/>
            </w:tcBorders>
            <w:shd w:val="clear" w:color="auto" w:fill="auto"/>
            <w:vAlign w:val="center"/>
            <w:hideMark/>
          </w:tcPr>
          <w:p w14:paraId="36EB053C" w14:textId="77777777" w:rsidR="00B41534" w:rsidRPr="00A40E69" w:rsidRDefault="00B41534" w:rsidP="007160D4">
            <w:pPr>
              <w:pStyle w:val="NoSpacing"/>
              <w:jc w:val="center"/>
              <w:rPr>
                <w:rFonts w:ascii="Times New Roman" w:hAnsi="Times New Roman" w:cs="Times New Roman"/>
                <w:sz w:val="20"/>
                <w:szCs w:val="20"/>
                <w:lang w:val="en-US"/>
              </w:rPr>
            </w:pPr>
          </w:p>
        </w:tc>
        <w:tc>
          <w:tcPr>
            <w:tcW w:w="236" w:type="dxa"/>
            <w:tcBorders>
              <w:top w:val="nil"/>
              <w:left w:val="nil"/>
              <w:right w:val="nil"/>
            </w:tcBorders>
            <w:shd w:val="clear" w:color="auto" w:fill="auto"/>
            <w:vAlign w:val="center"/>
            <w:hideMark/>
          </w:tcPr>
          <w:p w14:paraId="7134924E"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127" w:type="dxa"/>
            <w:tcBorders>
              <w:top w:val="nil"/>
              <w:left w:val="nil"/>
              <w:right w:val="nil"/>
            </w:tcBorders>
            <w:shd w:val="clear" w:color="auto" w:fill="auto"/>
            <w:noWrap/>
            <w:vAlign w:val="center"/>
            <w:hideMark/>
          </w:tcPr>
          <w:p w14:paraId="08DDAD6E"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330" w:type="dxa"/>
            <w:tcBorders>
              <w:top w:val="nil"/>
              <w:left w:val="nil"/>
              <w:right w:val="nil"/>
            </w:tcBorders>
            <w:shd w:val="clear" w:color="auto" w:fill="auto"/>
            <w:noWrap/>
            <w:vAlign w:val="center"/>
            <w:hideMark/>
          </w:tcPr>
          <w:p w14:paraId="3B530870"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092" w:type="dxa"/>
            <w:tcBorders>
              <w:top w:val="nil"/>
              <w:left w:val="nil"/>
              <w:right w:val="nil"/>
            </w:tcBorders>
            <w:shd w:val="clear" w:color="auto" w:fill="auto"/>
            <w:vAlign w:val="center"/>
            <w:hideMark/>
          </w:tcPr>
          <w:p w14:paraId="7B77825B" w14:textId="77777777" w:rsidR="00B41534" w:rsidRPr="00A40E69" w:rsidRDefault="00B41534" w:rsidP="007160D4">
            <w:pPr>
              <w:pStyle w:val="NoSpacing"/>
              <w:jc w:val="center"/>
              <w:rPr>
                <w:rFonts w:ascii="Times New Roman" w:hAnsi="Times New Roman" w:cs="Times New Roman"/>
                <w:sz w:val="20"/>
                <w:szCs w:val="20"/>
                <w:lang w:val="en-US"/>
              </w:rPr>
            </w:pPr>
          </w:p>
        </w:tc>
        <w:tc>
          <w:tcPr>
            <w:tcW w:w="236" w:type="dxa"/>
            <w:tcBorders>
              <w:top w:val="nil"/>
              <w:left w:val="nil"/>
              <w:right w:val="nil"/>
            </w:tcBorders>
            <w:shd w:val="clear" w:color="auto" w:fill="auto"/>
            <w:vAlign w:val="center"/>
            <w:hideMark/>
          </w:tcPr>
          <w:p w14:paraId="32D0DCD0"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077" w:type="dxa"/>
            <w:tcBorders>
              <w:top w:val="nil"/>
              <w:left w:val="nil"/>
              <w:right w:val="nil"/>
            </w:tcBorders>
            <w:shd w:val="clear" w:color="auto" w:fill="auto"/>
            <w:vAlign w:val="center"/>
            <w:hideMark/>
          </w:tcPr>
          <w:p w14:paraId="11B3E5DE"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331" w:type="dxa"/>
            <w:tcBorders>
              <w:top w:val="nil"/>
              <w:left w:val="nil"/>
              <w:right w:val="nil"/>
            </w:tcBorders>
            <w:shd w:val="clear" w:color="auto" w:fill="auto"/>
            <w:vAlign w:val="center"/>
            <w:hideMark/>
          </w:tcPr>
          <w:p w14:paraId="3D862202"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071" w:type="dxa"/>
            <w:tcBorders>
              <w:top w:val="nil"/>
              <w:left w:val="nil"/>
              <w:right w:val="nil"/>
            </w:tcBorders>
            <w:shd w:val="clear" w:color="auto" w:fill="auto"/>
            <w:vAlign w:val="center"/>
            <w:hideMark/>
          </w:tcPr>
          <w:p w14:paraId="5DD36E95" w14:textId="77777777" w:rsidR="00B41534" w:rsidRPr="00A40E69" w:rsidRDefault="00B41534" w:rsidP="007160D4">
            <w:pPr>
              <w:pStyle w:val="NoSpacing"/>
              <w:jc w:val="center"/>
              <w:rPr>
                <w:rFonts w:ascii="Times New Roman" w:hAnsi="Times New Roman" w:cs="Times New Roman"/>
                <w:sz w:val="20"/>
                <w:szCs w:val="20"/>
                <w:lang w:val="en-US"/>
              </w:rPr>
            </w:pPr>
          </w:p>
        </w:tc>
      </w:tr>
      <w:tr w:rsidR="00B41534" w:rsidRPr="002B0D86" w14:paraId="444B6358" w14:textId="77777777" w:rsidTr="007160D4">
        <w:trPr>
          <w:trHeight w:val="237"/>
        </w:trPr>
        <w:tc>
          <w:tcPr>
            <w:tcW w:w="2552" w:type="dxa"/>
            <w:tcBorders>
              <w:top w:val="nil"/>
              <w:left w:val="nil"/>
              <w:right w:val="nil"/>
            </w:tcBorders>
            <w:shd w:val="clear" w:color="auto" w:fill="auto"/>
            <w:vAlign w:val="center"/>
            <w:hideMark/>
          </w:tcPr>
          <w:p w14:paraId="05FB45F7" w14:textId="77777777" w:rsidR="00B41534" w:rsidRPr="00A40E69" w:rsidRDefault="00B41534" w:rsidP="007160D4">
            <w:pPr>
              <w:pStyle w:val="NoSpacing"/>
              <w:rPr>
                <w:rFonts w:ascii="Times New Roman" w:hAnsi="Times New Roman" w:cs="Times New Roman"/>
                <w:b/>
                <w:bCs/>
                <w:sz w:val="20"/>
                <w:szCs w:val="20"/>
                <w:highlight w:val="yellow"/>
                <w:lang w:val="en-US"/>
              </w:rPr>
            </w:pPr>
            <w:r w:rsidRPr="00A40E69">
              <w:rPr>
                <w:rFonts w:ascii="Times New Roman" w:hAnsi="Times New Roman" w:cs="Times New Roman"/>
                <w:b/>
                <w:bCs/>
                <w:sz w:val="20"/>
                <w:szCs w:val="20"/>
                <w:lang w:val="en-US"/>
              </w:rPr>
              <w:t>Non-durable consumption</w:t>
            </w:r>
          </w:p>
        </w:tc>
        <w:tc>
          <w:tcPr>
            <w:tcW w:w="850" w:type="dxa"/>
            <w:tcBorders>
              <w:top w:val="nil"/>
              <w:left w:val="nil"/>
              <w:right w:val="nil"/>
            </w:tcBorders>
            <w:shd w:val="clear" w:color="auto" w:fill="auto"/>
            <w:vAlign w:val="center"/>
            <w:hideMark/>
          </w:tcPr>
          <w:p w14:paraId="13B7D5C5" w14:textId="77777777" w:rsidR="00B41534" w:rsidRPr="00A40E69" w:rsidRDefault="00B41534" w:rsidP="007160D4">
            <w:pPr>
              <w:pStyle w:val="NoSpacing"/>
              <w:jc w:val="center"/>
              <w:rPr>
                <w:rFonts w:ascii="Times New Roman" w:hAnsi="Times New Roman" w:cs="Times New Roman"/>
                <w:sz w:val="20"/>
                <w:szCs w:val="20"/>
                <w:highlight w:val="yellow"/>
                <w:lang w:val="en-US"/>
              </w:rPr>
            </w:pPr>
            <w:r w:rsidRPr="00A40E69">
              <w:rPr>
                <w:rFonts w:ascii="Times New Roman" w:hAnsi="Times New Roman" w:cs="Times New Roman"/>
                <w:sz w:val="20"/>
                <w:szCs w:val="20"/>
                <w:lang w:val="en-US"/>
              </w:rPr>
              <w:t>1,416</w:t>
            </w:r>
          </w:p>
        </w:tc>
        <w:tc>
          <w:tcPr>
            <w:tcW w:w="906" w:type="dxa"/>
            <w:tcBorders>
              <w:top w:val="nil"/>
              <w:left w:val="nil"/>
              <w:right w:val="nil"/>
            </w:tcBorders>
            <w:shd w:val="clear" w:color="auto" w:fill="auto"/>
            <w:vAlign w:val="center"/>
            <w:hideMark/>
          </w:tcPr>
          <w:p w14:paraId="0E90B385" w14:textId="77777777" w:rsidR="00B41534" w:rsidRPr="00A40E69" w:rsidRDefault="00B41534" w:rsidP="007160D4">
            <w:pPr>
              <w:pStyle w:val="NoSpacing"/>
              <w:jc w:val="center"/>
              <w:rPr>
                <w:rFonts w:ascii="Times New Roman" w:hAnsi="Times New Roman" w:cs="Times New Roman"/>
                <w:sz w:val="20"/>
                <w:szCs w:val="20"/>
                <w:highlight w:val="yellow"/>
                <w:lang w:val="en-US"/>
              </w:rPr>
            </w:pPr>
            <w:r w:rsidRPr="00A40E69">
              <w:rPr>
                <w:rFonts w:ascii="Times New Roman" w:hAnsi="Times New Roman" w:cs="Times New Roman"/>
                <w:sz w:val="20"/>
                <w:szCs w:val="20"/>
                <w:lang w:val="en-US"/>
              </w:rPr>
              <w:t>20,546</w:t>
            </w:r>
          </w:p>
        </w:tc>
        <w:tc>
          <w:tcPr>
            <w:tcW w:w="1092" w:type="dxa"/>
            <w:tcBorders>
              <w:top w:val="nil"/>
              <w:left w:val="nil"/>
              <w:right w:val="nil"/>
            </w:tcBorders>
            <w:shd w:val="clear" w:color="auto" w:fill="auto"/>
            <w:vAlign w:val="center"/>
            <w:hideMark/>
          </w:tcPr>
          <w:p w14:paraId="6043BDB2" w14:textId="77777777" w:rsidR="00B41534" w:rsidRPr="00A40E69" w:rsidRDefault="00B41534" w:rsidP="007160D4">
            <w:pPr>
              <w:pStyle w:val="NoSpacing"/>
              <w:jc w:val="center"/>
              <w:rPr>
                <w:rFonts w:ascii="Times New Roman" w:hAnsi="Times New Roman" w:cs="Times New Roman"/>
                <w:sz w:val="20"/>
                <w:szCs w:val="20"/>
                <w:highlight w:val="yellow"/>
                <w:lang w:val="en-US"/>
              </w:rPr>
            </w:pPr>
          </w:p>
        </w:tc>
        <w:tc>
          <w:tcPr>
            <w:tcW w:w="236" w:type="dxa"/>
            <w:tcBorders>
              <w:top w:val="nil"/>
              <w:left w:val="nil"/>
              <w:right w:val="nil"/>
            </w:tcBorders>
            <w:shd w:val="clear" w:color="auto" w:fill="auto"/>
            <w:vAlign w:val="center"/>
            <w:hideMark/>
          </w:tcPr>
          <w:p w14:paraId="21D14157" w14:textId="77777777" w:rsidR="00B41534" w:rsidRPr="00A40E69" w:rsidRDefault="00B41534" w:rsidP="007160D4">
            <w:pPr>
              <w:pStyle w:val="NoSpacing"/>
              <w:jc w:val="center"/>
              <w:rPr>
                <w:rFonts w:ascii="Times New Roman" w:hAnsi="Times New Roman" w:cs="Times New Roman"/>
                <w:sz w:val="20"/>
                <w:szCs w:val="20"/>
                <w:highlight w:val="yellow"/>
                <w:lang w:val="en-US"/>
              </w:rPr>
            </w:pPr>
          </w:p>
        </w:tc>
        <w:tc>
          <w:tcPr>
            <w:tcW w:w="1127" w:type="dxa"/>
            <w:tcBorders>
              <w:top w:val="nil"/>
              <w:left w:val="nil"/>
              <w:right w:val="nil"/>
            </w:tcBorders>
            <w:shd w:val="clear" w:color="auto" w:fill="auto"/>
            <w:vAlign w:val="center"/>
            <w:hideMark/>
          </w:tcPr>
          <w:p w14:paraId="73C45AC1" w14:textId="77777777" w:rsidR="00B41534" w:rsidRPr="00A40E69" w:rsidRDefault="00B41534" w:rsidP="007160D4">
            <w:pPr>
              <w:pStyle w:val="NoSpacing"/>
              <w:jc w:val="center"/>
              <w:rPr>
                <w:rFonts w:ascii="Times New Roman" w:hAnsi="Times New Roman" w:cs="Times New Roman"/>
                <w:sz w:val="20"/>
                <w:szCs w:val="20"/>
                <w:highlight w:val="yellow"/>
                <w:lang w:val="en-US"/>
              </w:rPr>
            </w:pPr>
            <w:r w:rsidRPr="00A40E69">
              <w:rPr>
                <w:rFonts w:ascii="Times New Roman" w:hAnsi="Times New Roman" w:cs="Times New Roman"/>
                <w:sz w:val="20"/>
                <w:szCs w:val="20"/>
                <w:lang w:val="en-US"/>
              </w:rPr>
              <w:t>1,202</w:t>
            </w:r>
          </w:p>
        </w:tc>
        <w:tc>
          <w:tcPr>
            <w:tcW w:w="1330" w:type="dxa"/>
            <w:tcBorders>
              <w:top w:val="nil"/>
              <w:left w:val="nil"/>
              <w:right w:val="nil"/>
            </w:tcBorders>
            <w:shd w:val="clear" w:color="auto" w:fill="auto"/>
            <w:vAlign w:val="center"/>
            <w:hideMark/>
          </w:tcPr>
          <w:p w14:paraId="4EDA8823" w14:textId="77777777" w:rsidR="00B41534" w:rsidRPr="00A40E69" w:rsidRDefault="00B41534" w:rsidP="007160D4">
            <w:pPr>
              <w:pStyle w:val="NoSpacing"/>
              <w:jc w:val="center"/>
              <w:rPr>
                <w:rFonts w:ascii="Times New Roman" w:hAnsi="Times New Roman" w:cs="Times New Roman"/>
                <w:sz w:val="20"/>
                <w:szCs w:val="20"/>
                <w:highlight w:val="yellow"/>
                <w:lang w:val="en-US"/>
              </w:rPr>
            </w:pPr>
            <w:r w:rsidRPr="00A40E69">
              <w:rPr>
                <w:rFonts w:ascii="Times New Roman" w:hAnsi="Times New Roman" w:cs="Times New Roman"/>
                <w:sz w:val="20"/>
                <w:szCs w:val="20"/>
                <w:lang w:val="en-US"/>
              </w:rPr>
              <w:t>20,764</w:t>
            </w:r>
          </w:p>
        </w:tc>
        <w:tc>
          <w:tcPr>
            <w:tcW w:w="1092" w:type="dxa"/>
            <w:tcBorders>
              <w:top w:val="nil"/>
              <w:left w:val="nil"/>
              <w:right w:val="nil"/>
            </w:tcBorders>
            <w:shd w:val="clear" w:color="auto" w:fill="auto"/>
            <w:vAlign w:val="center"/>
            <w:hideMark/>
          </w:tcPr>
          <w:p w14:paraId="30A58174" w14:textId="77777777" w:rsidR="00B41534" w:rsidRPr="00A40E69" w:rsidRDefault="00B41534" w:rsidP="007160D4">
            <w:pPr>
              <w:pStyle w:val="NoSpacing"/>
              <w:jc w:val="center"/>
              <w:rPr>
                <w:rFonts w:ascii="Times New Roman" w:hAnsi="Times New Roman" w:cs="Times New Roman"/>
                <w:sz w:val="20"/>
                <w:szCs w:val="20"/>
                <w:highlight w:val="yellow"/>
                <w:lang w:val="en-US"/>
              </w:rPr>
            </w:pPr>
          </w:p>
        </w:tc>
        <w:tc>
          <w:tcPr>
            <w:tcW w:w="236" w:type="dxa"/>
            <w:tcBorders>
              <w:top w:val="nil"/>
              <w:left w:val="nil"/>
              <w:right w:val="nil"/>
            </w:tcBorders>
            <w:shd w:val="clear" w:color="auto" w:fill="auto"/>
            <w:vAlign w:val="center"/>
            <w:hideMark/>
          </w:tcPr>
          <w:p w14:paraId="586417B4" w14:textId="77777777" w:rsidR="00B41534" w:rsidRPr="00A40E69" w:rsidRDefault="00B41534" w:rsidP="007160D4">
            <w:pPr>
              <w:pStyle w:val="NoSpacing"/>
              <w:jc w:val="center"/>
              <w:rPr>
                <w:rFonts w:ascii="Times New Roman" w:hAnsi="Times New Roman" w:cs="Times New Roman"/>
                <w:sz w:val="20"/>
                <w:szCs w:val="20"/>
                <w:highlight w:val="yellow"/>
                <w:lang w:val="en-US"/>
              </w:rPr>
            </w:pPr>
          </w:p>
        </w:tc>
        <w:tc>
          <w:tcPr>
            <w:tcW w:w="1077" w:type="dxa"/>
            <w:tcBorders>
              <w:top w:val="nil"/>
              <w:left w:val="nil"/>
              <w:right w:val="nil"/>
            </w:tcBorders>
            <w:shd w:val="clear" w:color="auto" w:fill="auto"/>
            <w:noWrap/>
            <w:vAlign w:val="center"/>
            <w:hideMark/>
          </w:tcPr>
          <w:p w14:paraId="12EE490F" w14:textId="77777777" w:rsidR="00B41534" w:rsidRPr="00A40E69" w:rsidRDefault="00B41534" w:rsidP="007160D4">
            <w:pPr>
              <w:pStyle w:val="NoSpacing"/>
              <w:jc w:val="center"/>
              <w:rPr>
                <w:rFonts w:ascii="Times New Roman" w:hAnsi="Times New Roman" w:cs="Times New Roman"/>
                <w:sz w:val="20"/>
                <w:szCs w:val="20"/>
                <w:highlight w:val="yellow"/>
                <w:lang w:val="en-US"/>
              </w:rPr>
            </w:pPr>
            <w:r w:rsidRPr="00A40E69">
              <w:rPr>
                <w:rFonts w:ascii="Times New Roman" w:hAnsi="Times New Roman" w:cs="Times New Roman"/>
                <w:sz w:val="20"/>
                <w:szCs w:val="20"/>
                <w:lang w:val="en-US"/>
              </w:rPr>
              <w:t>1,180</w:t>
            </w:r>
          </w:p>
        </w:tc>
        <w:tc>
          <w:tcPr>
            <w:tcW w:w="1331" w:type="dxa"/>
            <w:tcBorders>
              <w:top w:val="nil"/>
              <w:left w:val="nil"/>
              <w:right w:val="nil"/>
            </w:tcBorders>
            <w:shd w:val="clear" w:color="auto" w:fill="auto"/>
            <w:vAlign w:val="center"/>
            <w:hideMark/>
          </w:tcPr>
          <w:p w14:paraId="5A7570CE" w14:textId="77777777" w:rsidR="00B41534" w:rsidRPr="00A40E69" w:rsidRDefault="00B41534" w:rsidP="007160D4">
            <w:pPr>
              <w:pStyle w:val="NoSpacing"/>
              <w:jc w:val="center"/>
              <w:rPr>
                <w:rFonts w:ascii="Times New Roman" w:hAnsi="Times New Roman" w:cs="Times New Roman"/>
                <w:sz w:val="20"/>
                <w:szCs w:val="20"/>
                <w:highlight w:val="yellow"/>
                <w:lang w:val="en-US"/>
              </w:rPr>
            </w:pPr>
            <w:r w:rsidRPr="00A40E69">
              <w:rPr>
                <w:rFonts w:ascii="Times New Roman" w:hAnsi="Times New Roman" w:cs="Times New Roman"/>
                <w:sz w:val="20"/>
                <w:szCs w:val="20"/>
                <w:lang w:val="en-US"/>
              </w:rPr>
              <w:t>205.75</w:t>
            </w:r>
          </w:p>
        </w:tc>
        <w:tc>
          <w:tcPr>
            <w:tcW w:w="1071" w:type="dxa"/>
            <w:tcBorders>
              <w:top w:val="nil"/>
              <w:left w:val="nil"/>
              <w:right w:val="nil"/>
            </w:tcBorders>
            <w:shd w:val="clear" w:color="auto" w:fill="auto"/>
            <w:vAlign w:val="center"/>
            <w:hideMark/>
          </w:tcPr>
          <w:p w14:paraId="66757D0E" w14:textId="77777777" w:rsidR="00B41534" w:rsidRPr="00A40E69" w:rsidRDefault="00B41534" w:rsidP="007160D4">
            <w:pPr>
              <w:pStyle w:val="NoSpacing"/>
              <w:jc w:val="center"/>
              <w:rPr>
                <w:rFonts w:ascii="Times New Roman" w:hAnsi="Times New Roman" w:cs="Times New Roman"/>
                <w:sz w:val="20"/>
                <w:szCs w:val="20"/>
                <w:highlight w:val="yellow"/>
                <w:lang w:val="en-US"/>
              </w:rPr>
            </w:pPr>
            <w:r w:rsidRPr="00A40E69">
              <w:rPr>
                <w:rFonts w:ascii="Times New Roman" w:hAnsi="Times New Roman" w:cs="Times New Roman"/>
                <w:sz w:val="20"/>
                <w:szCs w:val="20"/>
                <w:lang w:val="en-US"/>
              </w:rPr>
              <w:t>21362.1</w:t>
            </w:r>
          </w:p>
        </w:tc>
      </w:tr>
      <w:tr w:rsidR="00B41534" w:rsidRPr="002B0D86" w14:paraId="27787B34" w14:textId="77777777" w:rsidTr="007160D4">
        <w:trPr>
          <w:trHeight w:val="80"/>
        </w:trPr>
        <w:tc>
          <w:tcPr>
            <w:tcW w:w="2552" w:type="dxa"/>
            <w:tcBorders>
              <w:top w:val="nil"/>
              <w:left w:val="nil"/>
              <w:bottom w:val="nil"/>
              <w:right w:val="nil"/>
            </w:tcBorders>
            <w:shd w:val="clear" w:color="auto" w:fill="auto"/>
            <w:vAlign w:val="center"/>
          </w:tcPr>
          <w:p w14:paraId="1B2EF7F8" w14:textId="77777777" w:rsidR="00B41534" w:rsidRPr="00A40E69" w:rsidRDefault="00B41534" w:rsidP="007160D4">
            <w:pPr>
              <w:pStyle w:val="NoSpacing"/>
              <w:rPr>
                <w:rFonts w:ascii="Times New Roman" w:hAnsi="Times New Roman" w:cs="Times New Roman"/>
                <w:b/>
                <w:bCs/>
                <w:sz w:val="20"/>
                <w:szCs w:val="20"/>
                <w:lang w:val="en-US"/>
              </w:rPr>
            </w:pPr>
          </w:p>
        </w:tc>
        <w:tc>
          <w:tcPr>
            <w:tcW w:w="850" w:type="dxa"/>
            <w:tcBorders>
              <w:top w:val="nil"/>
              <w:left w:val="nil"/>
              <w:bottom w:val="nil"/>
              <w:right w:val="nil"/>
            </w:tcBorders>
            <w:shd w:val="clear" w:color="auto" w:fill="auto"/>
            <w:vAlign w:val="center"/>
          </w:tcPr>
          <w:p w14:paraId="73EBA621" w14:textId="77777777" w:rsidR="00B41534" w:rsidRPr="002B0D86" w:rsidRDefault="00B41534" w:rsidP="007160D4">
            <w:pPr>
              <w:pStyle w:val="NoSpacing"/>
              <w:jc w:val="center"/>
              <w:rPr>
                <w:rFonts w:ascii="Times New Roman" w:hAnsi="Times New Roman" w:cs="Times New Roman"/>
                <w:sz w:val="20"/>
                <w:szCs w:val="20"/>
                <w:lang w:val="en-US"/>
              </w:rPr>
            </w:pPr>
          </w:p>
        </w:tc>
        <w:tc>
          <w:tcPr>
            <w:tcW w:w="906" w:type="dxa"/>
            <w:tcBorders>
              <w:top w:val="nil"/>
              <w:left w:val="nil"/>
              <w:bottom w:val="nil"/>
              <w:right w:val="nil"/>
            </w:tcBorders>
            <w:shd w:val="clear" w:color="auto" w:fill="auto"/>
            <w:vAlign w:val="center"/>
          </w:tcPr>
          <w:p w14:paraId="3251334E" w14:textId="77777777" w:rsidR="00B41534" w:rsidRPr="00BE7EF3" w:rsidRDefault="00B41534" w:rsidP="007160D4">
            <w:pPr>
              <w:pStyle w:val="NoSpacing"/>
              <w:jc w:val="center"/>
              <w:rPr>
                <w:rFonts w:ascii="Times New Roman" w:hAnsi="Times New Roman" w:cs="Times New Roman"/>
                <w:sz w:val="20"/>
                <w:szCs w:val="20"/>
                <w:lang w:val="en-US"/>
              </w:rPr>
            </w:pPr>
          </w:p>
        </w:tc>
        <w:tc>
          <w:tcPr>
            <w:tcW w:w="1092" w:type="dxa"/>
            <w:tcBorders>
              <w:top w:val="nil"/>
              <w:left w:val="nil"/>
              <w:bottom w:val="nil"/>
              <w:right w:val="nil"/>
            </w:tcBorders>
            <w:shd w:val="clear" w:color="auto" w:fill="auto"/>
            <w:vAlign w:val="center"/>
          </w:tcPr>
          <w:p w14:paraId="7029FFCA" w14:textId="77777777" w:rsidR="00B41534" w:rsidRPr="00A40E69" w:rsidRDefault="00B41534" w:rsidP="007160D4">
            <w:pPr>
              <w:pStyle w:val="NoSpacing"/>
              <w:jc w:val="center"/>
              <w:rPr>
                <w:rFonts w:ascii="Times New Roman" w:hAnsi="Times New Roman" w:cs="Times New Roman"/>
                <w:sz w:val="20"/>
                <w:szCs w:val="20"/>
                <w:lang w:val="en-US"/>
              </w:rPr>
            </w:pPr>
          </w:p>
        </w:tc>
        <w:tc>
          <w:tcPr>
            <w:tcW w:w="236" w:type="dxa"/>
            <w:tcBorders>
              <w:top w:val="nil"/>
              <w:left w:val="nil"/>
              <w:bottom w:val="nil"/>
              <w:right w:val="nil"/>
            </w:tcBorders>
            <w:shd w:val="clear" w:color="auto" w:fill="auto"/>
            <w:vAlign w:val="center"/>
          </w:tcPr>
          <w:p w14:paraId="1646DB07"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127" w:type="dxa"/>
            <w:tcBorders>
              <w:top w:val="nil"/>
              <w:left w:val="nil"/>
              <w:bottom w:val="nil"/>
              <w:right w:val="nil"/>
            </w:tcBorders>
            <w:shd w:val="clear" w:color="auto" w:fill="auto"/>
            <w:vAlign w:val="center"/>
          </w:tcPr>
          <w:p w14:paraId="374D4BB9" w14:textId="77777777" w:rsidR="00B41534" w:rsidRPr="002B0D86" w:rsidRDefault="00B41534" w:rsidP="007160D4">
            <w:pPr>
              <w:pStyle w:val="NoSpacing"/>
              <w:jc w:val="center"/>
              <w:rPr>
                <w:rFonts w:ascii="Times New Roman" w:hAnsi="Times New Roman" w:cs="Times New Roman"/>
                <w:sz w:val="20"/>
                <w:szCs w:val="20"/>
                <w:lang w:val="en-US"/>
              </w:rPr>
            </w:pPr>
          </w:p>
        </w:tc>
        <w:tc>
          <w:tcPr>
            <w:tcW w:w="1330" w:type="dxa"/>
            <w:tcBorders>
              <w:top w:val="nil"/>
              <w:left w:val="nil"/>
              <w:bottom w:val="nil"/>
              <w:right w:val="nil"/>
            </w:tcBorders>
            <w:shd w:val="clear" w:color="auto" w:fill="auto"/>
            <w:vAlign w:val="center"/>
          </w:tcPr>
          <w:p w14:paraId="2B5ECA2E" w14:textId="77777777" w:rsidR="00B41534" w:rsidRPr="00BE7EF3" w:rsidRDefault="00B41534" w:rsidP="007160D4">
            <w:pPr>
              <w:pStyle w:val="NoSpacing"/>
              <w:jc w:val="center"/>
              <w:rPr>
                <w:rFonts w:ascii="Times New Roman" w:hAnsi="Times New Roman" w:cs="Times New Roman"/>
                <w:sz w:val="20"/>
                <w:szCs w:val="20"/>
                <w:lang w:val="en-US"/>
              </w:rPr>
            </w:pPr>
          </w:p>
        </w:tc>
        <w:tc>
          <w:tcPr>
            <w:tcW w:w="1092" w:type="dxa"/>
            <w:tcBorders>
              <w:top w:val="nil"/>
              <w:left w:val="nil"/>
              <w:bottom w:val="nil"/>
              <w:right w:val="nil"/>
            </w:tcBorders>
            <w:shd w:val="clear" w:color="auto" w:fill="auto"/>
            <w:vAlign w:val="center"/>
          </w:tcPr>
          <w:p w14:paraId="6E7F159C" w14:textId="77777777" w:rsidR="00B41534" w:rsidRPr="00A40E69" w:rsidRDefault="00B41534" w:rsidP="007160D4">
            <w:pPr>
              <w:pStyle w:val="NoSpacing"/>
              <w:jc w:val="center"/>
              <w:rPr>
                <w:rFonts w:ascii="Times New Roman" w:hAnsi="Times New Roman" w:cs="Times New Roman"/>
                <w:sz w:val="20"/>
                <w:szCs w:val="20"/>
                <w:lang w:val="en-US"/>
              </w:rPr>
            </w:pPr>
          </w:p>
        </w:tc>
        <w:tc>
          <w:tcPr>
            <w:tcW w:w="236" w:type="dxa"/>
            <w:tcBorders>
              <w:top w:val="nil"/>
              <w:left w:val="nil"/>
              <w:bottom w:val="nil"/>
              <w:right w:val="nil"/>
            </w:tcBorders>
            <w:shd w:val="clear" w:color="auto" w:fill="auto"/>
            <w:vAlign w:val="center"/>
          </w:tcPr>
          <w:p w14:paraId="1C6CE5C7"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077" w:type="dxa"/>
            <w:tcBorders>
              <w:top w:val="nil"/>
              <w:left w:val="nil"/>
              <w:bottom w:val="nil"/>
              <w:right w:val="nil"/>
            </w:tcBorders>
            <w:shd w:val="clear" w:color="auto" w:fill="auto"/>
            <w:vAlign w:val="center"/>
          </w:tcPr>
          <w:p w14:paraId="18B7D08C"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331" w:type="dxa"/>
            <w:tcBorders>
              <w:top w:val="nil"/>
              <w:left w:val="nil"/>
              <w:bottom w:val="nil"/>
              <w:right w:val="nil"/>
            </w:tcBorders>
            <w:shd w:val="clear" w:color="auto" w:fill="auto"/>
            <w:noWrap/>
            <w:vAlign w:val="center"/>
          </w:tcPr>
          <w:p w14:paraId="5EC848C0"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071" w:type="dxa"/>
            <w:tcBorders>
              <w:top w:val="nil"/>
              <w:left w:val="nil"/>
              <w:bottom w:val="nil"/>
              <w:right w:val="nil"/>
            </w:tcBorders>
            <w:shd w:val="clear" w:color="auto" w:fill="auto"/>
            <w:vAlign w:val="center"/>
          </w:tcPr>
          <w:p w14:paraId="449BC8F0" w14:textId="77777777" w:rsidR="00B41534" w:rsidRPr="00A40E69" w:rsidRDefault="00B41534" w:rsidP="007160D4">
            <w:pPr>
              <w:pStyle w:val="NoSpacing"/>
              <w:jc w:val="center"/>
              <w:rPr>
                <w:rFonts w:ascii="Times New Roman" w:hAnsi="Times New Roman" w:cs="Times New Roman"/>
                <w:sz w:val="20"/>
                <w:szCs w:val="20"/>
                <w:lang w:val="en-US"/>
              </w:rPr>
            </w:pPr>
          </w:p>
        </w:tc>
      </w:tr>
      <w:tr w:rsidR="00B41534" w:rsidRPr="002B0D86" w14:paraId="2AF73055" w14:textId="77777777" w:rsidTr="007160D4">
        <w:trPr>
          <w:trHeight w:val="80"/>
        </w:trPr>
        <w:tc>
          <w:tcPr>
            <w:tcW w:w="2552" w:type="dxa"/>
            <w:tcBorders>
              <w:top w:val="nil"/>
              <w:left w:val="nil"/>
              <w:bottom w:val="nil"/>
              <w:right w:val="nil"/>
            </w:tcBorders>
            <w:shd w:val="clear" w:color="auto" w:fill="auto"/>
            <w:vAlign w:val="center"/>
            <w:hideMark/>
          </w:tcPr>
          <w:p w14:paraId="541B2F77" w14:textId="77777777" w:rsidR="00B41534" w:rsidRPr="00A40E69" w:rsidRDefault="00B41534" w:rsidP="007160D4">
            <w:pPr>
              <w:pStyle w:val="NoSpacing"/>
              <w:rPr>
                <w:rFonts w:ascii="Times New Roman" w:hAnsi="Times New Roman" w:cs="Times New Roman"/>
                <w:b/>
                <w:bCs/>
                <w:sz w:val="19"/>
                <w:szCs w:val="19"/>
                <w:lang w:val="en-US"/>
              </w:rPr>
            </w:pPr>
            <w:r w:rsidRPr="00A40E69">
              <w:rPr>
                <w:rFonts w:ascii="Times New Roman" w:hAnsi="Times New Roman" w:cs="Times New Roman"/>
                <w:b/>
                <w:bCs/>
                <w:sz w:val="19"/>
                <w:szCs w:val="19"/>
                <w:lang w:val="en-US"/>
              </w:rPr>
              <w:t xml:space="preserve">Non-education consumption </w:t>
            </w:r>
          </w:p>
        </w:tc>
        <w:tc>
          <w:tcPr>
            <w:tcW w:w="850" w:type="dxa"/>
            <w:tcBorders>
              <w:top w:val="nil"/>
              <w:left w:val="nil"/>
              <w:bottom w:val="nil"/>
              <w:right w:val="nil"/>
            </w:tcBorders>
            <w:shd w:val="clear" w:color="auto" w:fill="auto"/>
            <w:vAlign w:val="center"/>
            <w:hideMark/>
          </w:tcPr>
          <w:p w14:paraId="31F8BD33" w14:textId="77777777" w:rsidR="00B41534" w:rsidRPr="00A40E69" w:rsidRDefault="00B41534" w:rsidP="007160D4">
            <w:pPr>
              <w:pStyle w:val="NoSpacing"/>
              <w:jc w:val="center"/>
              <w:rPr>
                <w:rFonts w:ascii="Times New Roman" w:hAnsi="Times New Roman" w:cs="Times New Roman"/>
                <w:sz w:val="20"/>
                <w:szCs w:val="20"/>
                <w:lang w:val="en-US"/>
              </w:rPr>
            </w:pPr>
            <w:r w:rsidRPr="002B0D86">
              <w:rPr>
                <w:rFonts w:ascii="Times New Roman" w:hAnsi="Times New Roman" w:cs="Times New Roman"/>
                <w:sz w:val="20"/>
                <w:szCs w:val="20"/>
                <w:lang w:val="en-US"/>
              </w:rPr>
              <w:t>1,399</w:t>
            </w:r>
          </w:p>
        </w:tc>
        <w:tc>
          <w:tcPr>
            <w:tcW w:w="906" w:type="dxa"/>
            <w:tcBorders>
              <w:top w:val="nil"/>
              <w:left w:val="nil"/>
              <w:bottom w:val="nil"/>
              <w:right w:val="nil"/>
            </w:tcBorders>
            <w:shd w:val="clear" w:color="auto" w:fill="auto"/>
            <w:vAlign w:val="center"/>
            <w:hideMark/>
          </w:tcPr>
          <w:p w14:paraId="2E7F269E" w14:textId="77777777" w:rsidR="00B41534" w:rsidRPr="00A40E69" w:rsidRDefault="00B41534" w:rsidP="007160D4">
            <w:pPr>
              <w:pStyle w:val="NoSpacing"/>
              <w:jc w:val="center"/>
              <w:rPr>
                <w:rFonts w:ascii="Times New Roman" w:hAnsi="Times New Roman" w:cs="Times New Roman"/>
                <w:sz w:val="20"/>
                <w:szCs w:val="20"/>
                <w:lang w:val="en-US"/>
              </w:rPr>
            </w:pPr>
            <w:r w:rsidRPr="002B0D86">
              <w:rPr>
                <w:rFonts w:ascii="Times New Roman" w:hAnsi="Times New Roman" w:cs="Times New Roman"/>
                <w:sz w:val="20"/>
                <w:szCs w:val="20"/>
                <w:lang w:val="en-US"/>
              </w:rPr>
              <w:t>20,637</w:t>
            </w:r>
          </w:p>
        </w:tc>
        <w:tc>
          <w:tcPr>
            <w:tcW w:w="1092" w:type="dxa"/>
            <w:tcBorders>
              <w:top w:val="nil"/>
              <w:left w:val="nil"/>
              <w:bottom w:val="nil"/>
              <w:right w:val="nil"/>
            </w:tcBorders>
            <w:shd w:val="clear" w:color="auto" w:fill="auto"/>
            <w:vAlign w:val="center"/>
            <w:hideMark/>
          </w:tcPr>
          <w:p w14:paraId="5EF9541D" w14:textId="77777777" w:rsidR="00B41534" w:rsidRPr="00A40E69" w:rsidRDefault="00B41534" w:rsidP="007160D4">
            <w:pPr>
              <w:pStyle w:val="NoSpacing"/>
              <w:jc w:val="center"/>
              <w:rPr>
                <w:rFonts w:ascii="Times New Roman" w:hAnsi="Times New Roman" w:cs="Times New Roman"/>
                <w:sz w:val="20"/>
                <w:szCs w:val="20"/>
                <w:lang w:val="en-US"/>
              </w:rPr>
            </w:pPr>
          </w:p>
        </w:tc>
        <w:tc>
          <w:tcPr>
            <w:tcW w:w="236" w:type="dxa"/>
            <w:tcBorders>
              <w:top w:val="nil"/>
              <w:left w:val="nil"/>
              <w:bottom w:val="nil"/>
              <w:right w:val="nil"/>
            </w:tcBorders>
            <w:shd w:val="clear" w:color="auto" w:fill="auto"/>
            <w:vAlign w:val="center"/>
            <w:hideMark/>
          </w:tcPr>
          <w:p w14:paraId="1E1CB8C6"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127" w:type="dxa"/>
            <w:tcBorders>
              <w:top w:val="nil"/>
              <w:left w:val="nil"/>
              <w:bottom w:val="nil"/>
              <w:right w:val="nil"/>
            </w:tcBorders>
            <w:shd w:val="clear" w:color="auto" w:fill="auto"/>
            <w:vAlign w:val="center"/>
            <w:hideMark/>
          </w:tcPr>
          <w:p w14:paraId="4EE94E68" w14:textId="77777777" w:rsidR="00B41534" w:rsidRPr="00A40E69" w:rsidRDefault="00B41534" w:rsidP="007160D4">
            <w:pPr>
              <w:pStyle w:val="NoSpacing"/>
              <w:jc w:val="center"/>
              <w:rPr>
                <w:rFonts w:ascii="Times New Roman" w:hAnsi="Times New Roman" w:cs="Times New Roman"/>
                <w:sz w:val="20"/>
                <w:szCs w:val="20"/>
                <w:lang w:val="en-US"/>
              </w:rPr>
            </w:pPr>
            <w:r w:rsidRPr="002B0D86">
              <w:rPr>
                <w:rFonts w:ascii="Times New Roman" w:hAnsi="Times New Roman" w:cs="Times New Roman"/>
                <w:sz w:val="20"/>
                <w:szCs w:val="20"/>
                <w:lang w:val="en-US"/>
              </w:rPr>
              <w:t>1,185</w:t>
            </w:r>
          </w:p>
        </w:tc>
        <w:tc>
          <w:tcPr>
            <w:tcW w:w="1330" w:type="dxa"/>
            <w:tcBorders>
              <w:top w:val="nil"/>
              <w:left w:val="nil"/>
              <w:bottom w:val="nil"/>
              <w:right w:val="nil"/>
            </w:tcBorders>
            <w:shd w:val="clear" w:color="auto" w:fill="auto"/>
            <w:vAlign w:val="center"/>
            <w:hideMark/>
          </w:tcPr>
          <w:p w14:paraId="6771DABF" w14:textId="77777777" w:rsidR="00B41534" w:rsidRPr="00A40E69" w:rsidRDefault="00B41534" w:rsidP="007160D4">
            <w:pPr>
              <w:pStyle w:val="NoSpacing"/>
              <w:jc w:val="center"/>
              <w:rPr>
                <w:rFonts w:ascii="Times New Roman" w:hAnsi="Times New Roman" w:cs="Times New Roman"/>
                <w:sz w:val="20"/>
                <w:szCs w:val="20"/>
                <w:lang w:val="en-US"/>
              </w:rPr>
            </w:pPr>
            <w:r w:rsidRPr="002B0D86">
              <w:rPr>
                <w:rFonts w:ascii="Times New Roman" w:hAnsi="Times New Roman" w:cs="Times New Roman"/>
                <w:sz w:val="20"/>
                <w:szCs w:val="20"/>
                <w:lang w:val="en-US"/>
              </w:rPr>
              <w:t>21,220</w:t>
            </w:r>
          </w:p>
        </w:tc>
        <w:tc>
          <w:tcPr>
            <w:tcW w:w="1092" w:type="dxa"/>
            <w:tcBorders>
              <w:top w:val="nil"/>
              <w:left w:val="nil"/>
              <w:bottom w:val="nil"/>
              <w:right w:val="nil"/>
            </w:tcBorders>
            <w:shd w:val="clear" w:color="auto" w:fill="auto"/>
            <w:vAlign w:val="center"/>
            <w:hideMark/>
          </w:tcPr>
          <w:p w14:paraId="15E1D1F7" w14:textId="77777777" w:rsidR="00B41534" w:rsidRPr="00A40E69" w:rsidRDefault="00B41534" w:rsidP="007160D4">
            <w:pPr>
              <w:pStyle w:val="NoSpacing"/>
              <w:jc w:val="center"/>
              <w:rPr>
                <w:rFonts w:ascii="Times New Roman" w:hAnsi="Times New Roman" w:cs="Times New Roman"/>
                <w:sz w:val="20"/>
                <w:szCs w:val="20"/>
                <w:lang w:val="en-US"/>
              </w:rPr>
            </w:pPr>
          </w:p>
        </w:tc>
        <w:tc>
          <w:tcPr>
            <w:tcW w:w="236" w:type="dxa"/>
            <w:tcBorders>
              <w:top w:val="nil"/>
              <w:left w:val="nil"/>
              <w:bottom w:val="nil"/>
              <w:right w:val="nil"/>
            </w:tcBorders>
            <w:shd w:val="clear" w:color="auto" w:fill="auto"/>
            <w:vAlign w:val="center"/>
            <w:hideMark/>
          </w:tcPr>
          <w:p w14:paraId="1340BEE2"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077" w:type="dxa"/>
            <w:tcBorders>
              <w:top w:val="nil"/>
              <w:left w:val="nil"/>
              <w:bottom w:val="nil"/>
              <w:right w:val="nil"/>
            </w:tcBorders>
            <w:shd w:val="clear" w:color="auto" w:fill="auto"/>
            <w:vAlign w:val="center"/>
            <w:hideMark/>
          </w:tcPr>
          <w:p w14:paraId="35E7A8E3" w14:textId="77777777" w:rsidR="00B41534" w:rsidRPr="00A40E69" w:rsidRDefault="00B41534" w:rsidP="007160D4">
            <w:pPr>
              <w:pStyle w:val="NoSpacing"/>
              <w:jc w:val="center"/>
              <w:rPr>
                <w:rFonts w:ascii="Times New Roman" w:hAnsi="Times New Roman" w:cs="Times New Roman"/>
                <w:sz w:val="20"/>
                <w:szCs w:val="20"/>
                <w:lang w:val="en-US"/>
              </w:rPr>
            </w:pPr>
            <w:r w:rsidRPr="00A40E69">
              <w:rPr>
                <w:rFonts w:ascii="Times New Roman" w:hAnsi="Times New Roman" w:cs="Times New Roman"/>
                <w:sz w:val="20"/>
                <w:szCs w:val="20"/>
                <w:lang w:val="en-US"/>
              </w:rPr>
              <w:t>1063</w:t>
            </w:r>
          </w:p>
        </w:tc>
        <w:tc>
          <w:tcPr>
            <w:tcW w:w="1331" w:type="dxa"/>
            <w:tcBorders>
              <w:top w:val="nil"/>
              <w:left w:val="nil"/>
              <w:bottom w:val="nil"/>
              <w:right w:val="nil"/>
            </w:tcBorders>
            <w:shd w:val="clear" w:color="auto" w:fill="auto"/>
            <w:noWrap/>
            <w:vAlign w:val="center"/>
            <w:hideMark/>
          </w:tcPr>
          <w:p w14:paraId="1346DC91" w14:textId="77777777" w:rsidR="00B41534" w:rsidRPr="00A40E69" w:rsidRDefault="00B41534" w:rsidP="007160D4">
            <w:pPr>
              <w:pStyle w:val="NoSpacing"/>
              <w:jc w:val="center"/>
              <w:rPr>
                <w:rFonts w:ascii="Times New Roman" w:hAnsi="Times New Roman" w:cs="Times New Roman"/>
                <w:sz w:val="20"/>
                <w:szCs w:val="20"/>
                <w:lang w:val="en-US"/>
              </w:rPr>
            </w:pPr>
            <w:r w:rsidRPr="00A40E69">
              <w:rPr>
                <w:rFonts w:ascii="Times New Roman" w:hAnsi="Times New Roman" w:cs="Times New Roman"/>
                <w:sz w:val="20"/>
                <w:szCs w:val="20"/>
                <w:lang w:val="en-US"/>
              </w:rPr>
              <w:t>-255.26</w:t>
            </w:r>
          </w:p>
        </w:tc>
        <w:tc>
          <w:tcPr>
            <w:tcW w:w="1071" w:type="dxa"/>
            <w:tcBorders>
              <w:top w:val="nil"/>
              <w:left w:val="nil"/>
              <w:bottom w:val="nil"/>
              <w:right w:val="nil"/>
            </w:tcBorders>
            <w:shd w:val="clear" w:color="auto" w:fill="auto"/>
            <w:vAlign w:val="center"/>
            <w:hideMark/>
          </w:tcPr>
          <w:p w14:paraId="208860D3" w14:textId="77777777" w:rsidR="00B41534" w:rsidRPr="00A40E69" w:rsidRDefault="00B41534" w:rsidP="007160D4">
            <w:pPr>
              <w:pStyle w:val="NoSpacing"/>
              <w:jc w:val="center"/>
              <w:rPr>
                <w:rFonts w:ascii="Times New Roman" w:hAnsi="Times New Roman" w:cs="Times New Roman"/>
                <w:sz w:val="20"/>
                <w:szCs w:val="20"/>
                <w:lang w:val="en-US"/>
              </w:rPr>
            </w:pPr>
            <w:r w:rsidRPr="00A40E69">
              <w:rPr>
                <w:rFonts w:ascii="Times New Roman" w:hAnsi="Times New Roman" w:cs="Times New Roman"/>
                <w:sz w:val="20"/>
                <w:szCs w:val="20"/>
                <w:lang w:val="en-US"/>
              </w:rPr>
              <w:t>22286.63</w:t>
            </w:r>
          </w:p>
        </w:tc>
      </w:tr>
      <w:tr w:rsidR="00B41534" w:rsidRPr="002B0D86" w14:paraId="18014FBA" w14:textId="77777777" w:rsidTr="007160D4">
        <w:trPr>
          <w:trHeight w:val="80"/>
        </w:trPr>
        <w:tc>
          <w:tcPr>
            <w:tcW w:w="2552" w:type="dxa"/>
            <w:tcBorders>
              <w:top w:val="nil"/>
              <w:left w:val="nil"/>
              <w:bottom w:val="nil"/>
              <w:right w:val="nil"/>
            </w:tcBorders>
            <w:shd w:val="clear" w:color="auto" w:fill="auto"/>
            <w:vAlign w:val="center"/>
          </w:tcPr>
          <w:p w14:paraId="6805F0C3" w14:textId="77777777" w:rsidR="00B41534" w:rsidRPr="00A40E69" w:rsidRDefault="00B41534" w:rsidP="007160D4">
            <w:pPr>
              <w:pStyle w:val="NoSpacing"/>
              <w:rPr>
                <w:rFonts w:ascii="Times New Roman" w:hAnsi="Times New Roman" w:cs="Times New Roman"/>
                <w:b/>
                <w:bCs/>
                <w:sz w:val="20"/>
                <w:szCs w:val="20"/>
                <w:lang w:val="en-US"/>
              </w:rPr>
            </w:pPr>
          </w:p>
        </w:tc>
        <w:tc>
          <w:tcPr>
            <w:tcW w:w="850" w:type="dxa"/>
            <w:tcBorders>
              <w:top w:val="nil"/>
              <w:left w:val="nil"/>
              <w:bottom w:val="nil"/>
              <w:right w:val="nil"/>
            </w:tcBorders>
            <w:shd w:val="clear" w:color="auto" w:fill="auto"/>
            <w:vAlign w:val="center"/>
          </w:tcPr>
          <w:p w14:paraId="46F25868" w14:textId="77777777" w:rsidR="00B41534" w:rsidRPr="002B0D86" w:rsidRDefault="00B41534" w:rsidP="007160D4">
            <w:pPr>
              <w:pStyle w:val="NoSpacing"/>
              <w:jc w:val="center"/>
              <w:rPr>
                <w:rFonts w:ascii="Times New Roman" w:hAnsi="Times New Roman" w:cs="Times New Roman"/>
                <w:sz w:val="20"/>
                <w:szCs w:val="20"/>
                <w:lang w:val="en-US"/>
              </w:rPr>
            </w:pPr>
          </w:p>
        </w:tc>
        <w:tc>
          <w:tcPr>
            <w:tcW w:w="906" w:type="dxa"/>
            <w:tcBorders>
              <w:top w:val="nil"/>
              <w:left w:val="nil"/>
              <w:bottom w:val="nil"/>
              <w:right w:val="nil"/>
            </w:tcBorders>
            <w:shd w:val="clear" w:color="auto" w:fill="auto"/>
            <w:vAlign w:val="center"/>
          </w:tcPr>
          <w:p w14:paraId="5A367961" w14:textId="77777777" w:rsidR="00B41534" w:rsidRPr="00BE7EF3" w:rsidRDefault="00B41534" w:rsidP="007160D4">
            <w:pPr>
              <w:pStyle w:val="NoSpacing"/>
              <w:jc w:val="center"/>
              <w:rPr>
                <w:rFonts w:ascii="Times New Roman" w:hAnsi="Times New Roman" w:cs="Times New Roman"/>
                <w:sz w:val="20"/>
                <w:szCs w:val="20"/>
                <w:lang w:val="en-US"/>
              </w:rPr>
            </w:pPr>
          </w:p>
        </w:tc>
        <w:tc>
          <w:tcPr>
            <w:tcW w:w="1092" w:type="dxa"/>
            <w:tcBorders>
              <w:top w:val="nil"/>
              <w:left w:val="nil"/>
              <w:bottom w:val="nil"/>
              <w:right w:val="nil"/>
            </w:tcBorders>
            <w:shd w:val="clear" w:color="auto" w:fill="auto"/>
            <w:vAlign w:val="center"/>
          </w:tcPr>
          <w:p w14:paraId="76DB51C8" w14:textId="77777777" w:rsidR="00B41534" w:rsidRPr="00A40E69" w:rsidRDefault="00B41534" w:rsidP="007160D4">
            <w:pPr>
              <w:pStyle w:val="NoSpacing"/>
              <w:jc w:val="center"/>
              <w:rPr>
                <w:rFonts w:ascii="Times New Roman" w:hAnsi="Times New Roman" w:cs="Times New Roman"/>
                <w:sz w:val="20"/>
                <w:szCs w:val="20"/>
                <w:lang w:val="en-US"/>
              </w:rPr>
            </w:pPr>
          </w:p>
        </w:tc>
        <w:tc>
          <w:tcPr>
            <w:tcW w:w="236" w:type="dxa"/>
            <w:tcBorders>
              <w:top w:val="nil"/>
              <w:left w:val="nil"/>
              <w:bottom w:val="nil"/>
              <w:right w:val="nil"/>
            </w:tcBorders>
            <w:shd w:val="clear" w:color="auto" w:fill="auto"/>
            <w:vAlign w:val="center"/>
          </w:tcPr>
          <w:p w14:paraId="56DD53CD"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127" w:type="dxa"/>
            <w:tcBorders>
              <w:top w:val="nil"/>
              <w:left w:val="nil"/>
              <w:bottom w:val="nil"/>
              <w:right w:val="nil"/>
            </w:tcBorders>
            <w:shd w:val="clear" w:color="auto" w:fill="auto"/>
            <w:vAlign w:val="center"/>
          </w:tcPr>
          <w:p w14:paraId="03E4B9EA" w14:textId="77777777" w:rsidR="00B41534" w:rsidRPr="002B0D86" w:rsidRDefault="00B41534" w:rsidP="007160D4">
            <w:pPr>
              <w:pStyle w:val="NoSpacing"/>
              <w:jc w:val="center"/>
              <w:rPr>
                <w:rFonts w:ascii="Times New Roman" w:hAnsi="Times New Roman" w:cs="Times New Roman"/>
                <w:sz w:val="20"/>
                <w:szCs w:val="20"/>
                <w:lang w:val="en-US"/>
              </w:rPr>
            </w:pPr>
          </w:p>
        </w:tc>
        <w:tc>
          <w:tcPr>
            <w:tcW w:w="1330" w:type="dxa"/>
            <w:tcBorders>
              <w:top w:val="nil"/>
              <w:left w:val="nil"/>
              <w:bottom w:val="nil"/>
              <w:right w:val="nil"/>
            </w:tcBorders>
            <w:shd w:val="clear" w:color="auto" w:fill="auto"/>
            <w:vAlign w:val="center"/>
          </w:tcPr>
          <w:p w14:paraId="78BD02B2" w14:textId="77777777" w:rsidR="00B41534" w:rsidRPr="00BE7EF3" w:rsidRDefault="00B41534" w:rsidP="007160D4">
            <w:pPr>
              <w:pStyle w:val="NoSpacing"/>
              <w:jc w:val="center"/>
              <w:rPr>
                <w:rFonts w:ascii="Times New Roman" w:hAnsi="Times New Roman" w:cs="Times New Roman"/>
                <w:sz w:val="20"/>
                <w:szCs w:val="20"/>
                <w:lang w:val="en-US"/>
              </w:rPr>
            </w:pPr>
          </w:p>
        </w:tc>
        <w:tc>
          <w:tcPr>
            <w:tcW w:w="1092" w:type="dxa"/>
            <w:tcBorders>
              <w:top w:val="nil"/>
              <w:left w:val="nil"/>
              <w:bottom w:val="nil"/>
              <w:right w:val="nil"/>
            </w:tcBorders>
            <w:shd w:val="clear" w:color="auto" w:fill="auto"/>
            <w:vAlign w:val="center"/>
          </w:tcPr>
          <w:p w14:paraId="061D6BD1" w14:textId="77777777" w:rsidR="00B41534" w:rsidRPr="00A40E69" w:rsidRDefault="00B41534" w:rsidP="007160D4">
            <w:pPr>
              <w:pStyle w:val="NoSpacing"/>
              <w:jc w:val="center"/>
              <w:rPr>
                <w:rFonts w:ascii="Times New Roman" w:hAnsi="Times New Roman" w:cs="Times New Roman"/>
                <w:sz w:val="20"/>
                <w:szCs w:val="20"/>
                <w:lang w:val="en-US"/>
              </w:rPr>
            </w:pPr>
          </w:p>
        </w:tc>
        <w:tc>
          <w:tcPr>
            <w:tcW w:w="236" w:type="dxa"/>
            <w:tcBorders>
              <w:top w:val="nil"/>
              <w:left w:val="nil"/>
              <w:bottom w:val="nil"/>
              <w:right w:val="nil"/>
            </w:tcBorders>
            <w:shd w:val="clear" w:color="auto" w:fill="auto"/>
            <w:vAlign w:val="center"/>
          </w:tcPr>
          <w:p w14:paraId="31BDDBDC"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077" w:type="dxa"/>
            <w:tcBorders>
              <w:top w:val="nil"/>
              <w:left w:val="nil"/>
              <w:bottom w:val="nil"/>
              <w:right w:val="nil"/>
            </w:tcBorders>
            <w:shd w:val="clear" w:color="auto" w:fill="auto"/>
            <w:vAlign w:val="center"/>
          </w:tcPr>
          <w:p w14:paraId="5BA863D5"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331" w:type="dxa"/>
            <w:tcBorders>
              <w:top w:val="nil"/>
              <w:left w:val="nil"/>
              <w:bottom w:val="nil"/>
              <w:right w:val="nil"/>
            </w:tcBorders>
            <w:shd w:val="clear" w:color="auto" w:fill="auto"/>
            <w:noWrap/>
            <w:vAlign w:val="center"/>
          </w:tcPr>
          <w:p w14:paraId="660AC535" w14:textId="77777777" w:rsidR="00B41534" w:rsidRPr="00A40E69" w:rsidRDefault="00B41534" w:rsidP="007160D4">
            <w:pPr>
              <w:pStyle w:val="NoSpacing"/>
              <w:jc w:val="center"/>
              <w:rPr>
                <w:rFonts w:ascii="Times New Roman" w:hAnsi="Times New Roman" w:cs="Times New Roman"/>
                <w:sz w:val="20"/>
                <w:szCs w:val="20"/>
                <w:lang w:val="en-US"/>
              </w:rPr>
            </w:pPr>
          </w:p>
        </w:tc>
        <w:tc>
          <w:tcPr>
            <w:tcW w:w="1071" w:type="dxa"/>
            <w:tcBorders>
              <w:top w:val="nil"/>
              <w:left w:val="nil"/>
              <w:bottom w:val="nil"/>
              <w:right w:val="nil"/>
            </w:tcBorders>
            <w:shd w:val="clear" w:color="auto" w:fill="auto"/>
            <w:vAlign w:val="center"/>
          </w:tcPr>
          <w:p w14:paraId="463C727F" w14:textId="77777777" w:rsidR="00B41534" w:rsidRPr="00A40E69" w:rsidRDefault="00B41534" w:rsidP="007160D4">
            <w:pPr>
              <w:pStyle w:val="NoSpacing"/>
              <w:jc w:val="center"/>
              <w:rPr>
                <w:rFonts w:ascii="Times New Roman" w:hAnsi="Times New Roman" w:cs="Times New Roman"/>
                <w:sz w:val="20"/>
                <w:szCs w:val="20"/>
                <w:lang w:val="en-US"/>
              </w:rPr>
            </w:pPr>
          </w:p>
        </w:tc>
      </w:tr>
      <w:tr w:rsidR="00B41534" w:rsidRPr="002B0D86" w14:paraId="158BB455" w14:textId="77777777" w:rsidTr="007160D4">
        <w:trPr>
          <w:trHeight w:val="80"/>
        </w:trPr>
        <w:tc>
          <w:tcPr>
            <w:tcW w:w="2552" w:type="dxa"/>
            <w:tcBorders>
              <w:top w:val="nil"/>
              <w:left w:val="nil"/>
              <w:bottom w:val="single" w:sz="4" w:space="0" w:color="auto"/>
              <w:right w:val="nil"/>
            </w:tcBorders>
            <w:shd w:val="clear" w:color="auto" w:fill="auto"/>
            <w:vAlign w:val="center"/>
          </w:tcPr>
          <w:p w14:paraId="055C4108" w14:textId="77777777" w:rsidR="00B41534" w:rsidRPr="00A40E69" w:rsidRDefault="00B41534" w:rsidP="007160D4">
            <w:pPr>
              <w:pStyle w:val="NoSpacing"/>
              <w:rPr>
                <w:rFonts w:ascii="Times New Roman" w:hAnsi="Times New Roman" w:cs="Times New Roman"/>
                <w:b/>
                <w:bCs/>
                <w:sz w:val="20"/>
                <w:szCs w:val="20"/>
                <w:lang w:val="en-US"/>
              </w:rPr>
            </w:pPr>
            <w:r w:rsidRPr="00A40E69">
              <w:rPr>
                <w:rFonts w:ascii="Times New Roman" w:hAnsi="Times New Roman" w:cs="Times New Roman"/>
                <w:b/>
                <w:bCs/>
                <w:sz w:val="20"/>
                <w:szCs w:val="20"/>
                <w:lang w:val="en-US"/>
              </w:rPr>
              <w:t>Non-medical consumption</w:t>
            </w:r>
          </w:p>
        </w:tc>
        <w:tc>
          <w:tcPr>
            <w:tcW w:w="850" w:type="dxa"/>
            <w:tcBorders>
              <w:top w:val="nil"/>
              <w:left w:val="nil"/>
              <w:bottom w:val="single" w:sz="4" w:space="0" w:color="auto"/>
              <w:right w:val="nil"/>
            </w:tcBorders>
            <w:shd w:val="clear" w:color="auto" w:fill="auto"/>
            <w:vAlign w:val="center"/>
          </w:tcPr>
          <w:p w14:paraId="3F3774B2" w14:textId="77777777" w:rsidR="00B41534" w:rsidRPr="002B0D86" w:rsidRDefault="00B41534" w:rsidP="007160D4">
            <w:pPr>
              <w:pStyle w:val="NoSpacing"/>
              <w:jc w:val="center"/>
              <w:rPr>
                <w:rFonts w:ascii="Times New Roman" w:hAnsi="Times New Roman" w:cs="Times New Roman"/>
                <w:sz w:val="20"/>
                <w:szCs w:val="20"/>
                <w:lang w:val="en-US"/>
              </w:rPr>
            </w:pPr>
            <w:r w:rsidRPr="002B0D86">
              <w:rPr>
                <w:rFonts w:ascii="Times New Roman" w:hAnsi="Times New Roman" w:cs="Times New Roman"/>
                <w:color w:val="000000"/>
                <w:sz w:val="20"/>
                <w:szCs w:val="20"/>
                <w:lang w:val="en-US"/>
              </w:rPr>
              <w:t>1,435</w:t>
            </w:r>
          </w:p>
        </w:tc>
        <w:tc>
          <w:tcPr>
            <w:tcW w:w="906" w:type="dxa"/>
            <w:tcBorders>
              <w:top w:val="nil"/>
              <w:left w:val="nil"/>
              <w:bottom w:val="single" w:sz="4" w:space="0" w:color="auto"/>
              <w:right w:val="nil"/>
            </w:tcBorders>
            <w:shd w:val="clear" w:color="auto" w:fill="auto"/>
            <w:vAlign w:val="center"/>
          </w:tcPr>
          <w:p w14:paraId="4D84B19F" w14:textId="77777777" w:rsidR="00B41534" w:rsidRPr="002B0D86" w:rsidRDefault="00B41534" w:rsidP="007160D4">
            <w:pPr>
              <w:pStyle w:val="NoSpacing"/>
              <w:jc w:val="center"/>
              <w:rPr>
                <w:rFonts w:ascii="Times New Roman" w:hAnsi="Times New Roman" w:cs="Times New Roman"/>
                <w:sz w:val="20"/>
                <w:szCs w:val="20"/>
                <w:lang w:val="en-US"/>
              </w:rPr>
            </w:pPr>
            <w:r w:rsidRPr="00BE7EF3">
              <w:rPr>
                <w:rFonts w:ascii="Times New Roman" w:hAnsi="Times New Roman" w:cs="Times New Roman"/>
                <w:color w:val="000000"/>
                <w:sz w:val="20"/>
                <w:szCs w:val="20"/>
                <w:lang w:val="en-US"/>
              </w:rPr>
              <w:t>18,224</w:t>
            </w:r>
          </w:p>
        </w:tc>
        <w:tc>
          <w:tcPr>
            <w:tcW w:w="1092" w:type="dxa"/>
            <w:tcBorders>
              <w:top w:val="nil"/>
              <w:left w:val="nil"/>
              <w:bottom w:val="single" w:sz="4" w:space="0" w:color="auto"/>
              <w:right w:val="nil"/>
            </w:tcBorders>
            <w:shd w:val="clear" w:color="auto" w:fill="auto"/>
            <w:vAlign w:val="center"/>
          </w:tcPr>
          <w:p w14:paraId="769EFC3F" w14:textId="77777777" w:rsidR="00B41534" w:rsidRPr="00A40E69" w:rsidRDefault="00B41534" w:rsidP="007160D4">
            <w:pPr>
              <w:pStyle w:val="NoSpacing"/>
              <w:jc w:val="center"/>
              <w:rPr>
                <w:rFonts w:ascii="Times New Roman" w:hAnsi="Times New Roman" w:cs="Times New Roman"/>
                <w:sz w:val="20"/>
                <w:szCs w:val="20"/>
                <w:lang w:val="en-US"/>
              </w:rPr>
            </w:pPr>
            <w:r w:rsidRPr="00A40E69">
              <w:rPr>
                <w:rFonts w:ascii="Times New Roman" w:hAnsi="Times New Roman" w:cs="Times New Roman"/>
                <w:color w:val="000000"/>
                <w:sz w:val="20"/>
                <w:szCs w:val="20"/>
                <w:lang w:val="en-US"/>
              </w:rPr>
              <w:t> </w:t>
            </w:r>
          </w:p>
        </w:tc>
        <w:tc>
          <w:tcPr>
            <w:tcW w:w="236" w:type="dxa"/>
            <w:tcBorders>
              <w:top w:val="nil"/>
              <w:left w:val="nil"/>
              <w:bottom w:val="single" w:sz="4" w:space="0" w:color="auto"/>
              <w:right w:val="nil"/>
            </w:tcBorders>
            <w:shd w:val="clear" w:color="auto" w:fill="auto"/>
            <w:vAlign w:val="center"/>
          </w:tcPr>
          <w:p w14:paraId="4C3FF4C6" w14:textId="77777777" w:rsidR="00B41534" w:rsidRPr="00A40E69" w:rsidRDefault="00B41534" w:rsidP="007160D4">
            <w:pPr>
              <w:pStyle w:val="NoSpacing"/>
              <w:jc w:val="center"/>
              <w:rPr>
                <w:rFonts w:ascii="Times New Roman" w:hAnsi="Times New Roman" w:cs="Times New Roman"/>
                <w:sz w:val="20"/>
                <w:szCs w:val="20"/>
                <w:lang w:val="en-US"/>
              </w:rPr>
            </w:pPr>
            <w:r w:rsidRPr="00A40E69">
              <w:rPr>
                <w:rFonts w:ascii="Times New Roman" w:hAnsi="Times New Roman" w:cs="Times New Roman"/>
                <w:color w:val="000000"/>
                <w:sz w:val="20"/>
                <w:szCs w:val="20"/>
                <w:lang w:val="en-US"/>
              </w:rPr>
              <w:t> </w:t>
            </w:r>
          </w:p>
        </w:tc>
        <w:tc>
          <w:tcPr>
            <w:tcW w:w="1127" w:type="dxa"/>
            <w:tcBorders>
              <w:top w:val="nil"/>
              <w:left w:val="nil"/>
              <w:bottom w:val="single" w:sz="4" w:space="0" w:color="auto"/>
              <w:right w:val="nil"/>
            </w:tcBorders>
            <w:shd w:val="clear" w:color="auto" w:fill="auto"/>
            <w:vAlign w:val="center"/>
          </w:tcPr>
          <w:p w14:paraId="4C9E1B62" w14:textId="77777777" w:rsidR="00B41534" w:rsidRPr="002B0D86" w:rsidRDefault="00B41534" w:rsidP="007160D4">
            <w:pPr>
              <w:pStyle w:val="NoSpacing"/>
              <w:jc w:val="center"/>
              <w:rPr>
                <w:rFonts w:ascii="Times New Roman" w:hAnsi="Times New Roman" w:cs="Times New Roman"/>
                <w:sz w:val="20"/>
                <w:szCs w:val="20"/>
                <w:lang w:val="en-US"/>
              </w:rPr>
            </w:pPr>
            <w:r w:rsidRPr="002B0D86">
              <w:rPr>
                <w:rFonts w:ascii="Times New Roman" w:hAnsi="Times New Roman" w:cs="Times New Roman"/>
                <w:color w:val="000000"/>
                <w:sz w:val="20"/>
                <w:szCs w:val="20"/>
                <w:lang w:val="en-US"/>
              </w:rPr>
              <w:t>1,212</w:t>
            </w:r>
          </w:p>
        </w:tc>
        <w:tc>
          <w:tcPr>
            <w:tcW w:w="1330" w:type="dxa"/>
            <w:tcBorders>
              <w:top w:val="nil"/>
              <w:left w:val="nil"/>
              <w:bottom w:val="single" w:sz="4" w:space="0" w:color="auto"/>
              <w:right w:val="nil"/>
            </w:tcBorders>
            <w:shd w:val="clear" w:color="auto" w:fill="auto"/>
            <w:vAlign w:val="center"/>
          </w:tcPr>
          <w:p w14:paraId="688D5511" w14:textId="77777777" w:rsidR="00B41534" w:rsidRPr="002B0D86" w:rsidRDefault="00B41534" w:rsidP="007160D4">
            <w:pPr>
              <w:pStyle w:val="NoSpacing"/>
              <w:jc w:val="center"/>
              <w:rPr>
                <w:rFonts w:ascii="Times New Roman" w:hAnsi="Times New Roman" w:cs="Times New Roman"/>
                <w:sz w:val="20"/>
                <w:szCs w:val="20"/>
                <w:lang w:val="en-US"/>
              </w:rPr>
            </w:pPr>
            <w:r w:rsidRPr="00BE7EF3">
              <w:rPr>
                <w:rFonts w:ascii="Times New Roman" w:hAnsi="Times New Roman" w:cs="Times New Roman"/>
                <w:color w:val="000000"/>
                <w:sz w:val="20"/>
                <w:szCs w:val="20"/>
                <w:lang w:val="en-US"/>
              </w:rPr>
              <w:t>19,032</w:t>
            </w:r>
          </w:p>
        </w:tc>
        <w:tc>
          <w:tcPr>
            <w:tcW w:w="1092" w:type="dxa"/>
            <w:tcBorders>
              <w:top w:val="nil"/>
              <w:left w:val="nil"/>
              <w:bottom w:val="single" w:sz="4" w:space="0" w:color="auto"/>
              <w:right w:val="nil"/>
            </w:tcBorders>
            <w:shd w:val="clear" w:color="auto" w:fill="auto"/>
            <w:vAlign w:val="center"/>
          </w:tcPr>
          <w:p w14:paraId="11055E8C" w14:textId="77777777" w:rsidR="00B41534" w:rsidRPr="00A40E69" w:rsidRDefault="00B41534" w:rsidP="007160D4">
            <w:pPr>
              <w:pStyle w:val="NoSpacing"/>
              <w:jc w:val="center"/>
              <w:rPr>
                <w:rFonts w:ascii="Times New Roman" w:hAnsi="Times New Roman" w:cs="Times New Roman"/>
                <w:sz w:val="20"/>
                <w:szCs w:val="20"/>
                <w:lang w:val="en-US"/>
              </w:rPr>
            </w:pPr>
            <w:r w:rsidRPr="00A40E69">
              <w:rPr>
                <w:rFonts w:ascii="Times New Roman" w:hAnsi="Times New Roman" w:cs="Times New Roman"/>
                <w:color w:val="000000"/>
                <w:sz w:val="20"/>
                <w:szCs w:val="20"/>
                <w:lang w:val="en-US"/>
              </w:rPr>
              <w:t> </w:t>
            </w:r>
          </w:p>
        </w:tc>
        <w:tc>
          <w:tcPr>
            <w:tcW w:w="236" w:type="dxa"/>
            <w:tcBorders>
              <w:top w:val="nil"/>
              <w:left w:val="nil"/>
              <w:bottom w:val="single" w:sz="4" w:space="0" w:color="auto"/>
              <w:right w:val="nil"/>
            </w:tcBorders>
            <w:shd w:val="clear" w:color="auto" w:fill="auto"/>
            <w:vAlign w:val="center"/>
          </w:tcPr>
          <w:p w14:paraId="1608CD85" w14:textId="77777777" w:rsidR="00B41534" w:rsidRPr="00A40E69" w:rsidRDefault="00B41534" w:rsidP="007160D4">
            <w:pPr>
              <w:pStyle w:val="NoSpacing"/>
              <w:jc w:val="center"/>
              <w:rPr>
                <w:rFonts w:ascii="Times New Roman" w:hAnsi="Times New Roman" w:cs="Times New Roman"/>
                <w:sz w:val="20"/>
                <w:szCs w:val="20"/>
                <w:lang w:val="en-US"/>
              </w:rPr>
            </w:pPr>
            <w:r w:rsidRPr="00A40E69">
              <w:rPr>
                <w:rFonts w:ascii="Times New Roman" w:hAnsi="Times New Roman" w:cs="Times New Roman"/>
                <w:color w:val="000000"/>
                <w:sz w:val="20"/>
                <w:szCs w:val="20"/>
                <w:lang w:val="en-US"/>
              </w:rPr>
              <w:t> </w:t>
            </w:r>
          </w:p>
        </w:tc>
        <w:tc>
          <w:tcPr>
            <w:tcW w:w="1077" w:type="dxa"/>
            <w:tcBorders>
              <w:top w:val="nil"/>
              <w:left w:val="nil"/>
              <w:bottom w:val="single" w:sz="4" w:space="0" w:color="auto"/>
              <w:right w:val="nil"/>
            </w:tcBorders>
            <w:shd w:val="clear" w:color="auto" w:fill="auto"/>
            <w:vAlign w:val="center"/>
          </w:tcPr>
          <w:p w14:paraId="6AC124AE" w14:textId="77777777" w:rsidR="00B41534" w:rsidRPr="00A40E69" w:rsidRDefault="00B41534" w:rsidP="007160D4">
            <w:pPr>
              <w:pStyle w:val="NoSpacing"/>
              <w:jc w:val="center"/>
              <w:rPr>
                <w:rFonts w:ascii="Times New Roman" w:hAnsi="Times New Roman" w:cs="Times New Roman"/>
                <w:sz w:val="20"/>
                <w:szCs w:val="20"/>
                <w:lang w:val="en-US"/>
              </w:rPr>
            </w:pPr>
            <w:r w:rsidRPr="00A40E69">
              <w:rPr>
                <w:rFonts w:ascii="Times New Roman" w:hAnsi="Times New Roman" w:cs="Times New Roman"/>
                <w:color w:val="000000"/>
                <w:sz w:val="20"/>
                <w:szCs w:val="20"/>
                <w:lang w:val="en-US"/>
              </w:rPr>
              <w:t>1,063</w:t>
            </w:r>
          </w:p>
        </w:tc>
        <w:tc>
          <w:tcPr>
            <w:tcW w:w="1331" w:type="dxa"/>
            <w:tcBorders>
              <w:top w:val="nil"/>
              <w:left w:val="nil"/>
              <w:bottom w:val="single" w:sz="4" w:space="0" w:color="auto"/>
              <w:right w:val="nil"/>
            </w:tcBorders>
            <w:shd w:val="clear" w:color="auto" w:fill="auto"/>
            <w:noWrap/>
            <w:vAlign w:val="center"/>
          </w:tcPr>
          <w:p w14:paraId="0EA91E5A" w14:textId="77777777" w:rsidR="00B41534" w:rsidRPr="00A40E69" w:rsidRDefault="00B41534" w:rsidP="007160D4">
            <w:pPr>
              <w:pStyle w:val="NoSpacing"/>
              <w:jc w:val="center"/>
              <w:rPr>
                <w:rFonts w:ascii="Times New Roman" w:hAnsi="Times New Roman" w:cs="Times New Roman"/>
                <w:sz w:val="20"/>
                <w:szCs w:val="20"/>
                <w:lang w:val="en-US"/>
              </w:rPr>
            </w:pPr>
            <w:r w:rsidRPr="00A40E69">
              <w:rPr>
                <w:rFonts w:ascii="Times New Roman" w:hAnsi="Times New Roman" w:cs="Times New Roman"/>
                <w:color w:val="000000"/>
                <w:sz w:val="20"/>
                <w:szCs w:val="20"/>
                <w:lang w:val="en-US"/>
              </w:rPr>
              <w:t>677.63</w:t>
            </w:r>
          </w:p>
        </w:tc>
        <w:tc>
          <w:tcPr>
            <w:tcW w:w="1071" w:type="dxa"/>
            <w:tcBorders>
              <w:top w:val="nil"/>
              <w:left w:val="nil"/>
              <w:bottom w:val="single" w:sz="4" w:space="0" w:color="auto"/>
              <w:right w:val="nil"/>
            </w:tcBorders>
            <w:shd w:val="clear" w:color="auto" w:fill="auto"/>
            <w:vAlign w:val="center"/>
          </w:tcPr>
          <w:p w14:paraId="08FE0ED5" w14:textId="77777777" w:rsidR="00B41534" w:rsidRPr="00A40E69" w:rsidRDefault="00B41534" w:rsidP="007160D4">
            <w:pPr>
              <w:pStyle w:val="NoSpacing"/>
              <w:jc w:val="center"/>
              <w:rPr>
                <w:rFonts w:ascii="Times New Roman" w:hAnsi="Times New Roman" w:cs="Times New Roman"/>
                <w:sz w:val="20"/>
                <w:szCs w:val="20"/>
                <w:lang w:val="en-US"/>
              </w:rPr>
            </w:pPr>
            <w:r w:rsidRPr="00A40E69">
              <w:rPr>
                <w:rFonts w:ascii="Times New Roman" w:hAnsi="Times New Roman" w:cs="Times New Roman"/>
                <w:color w:val="000000"/>
                <w:sz w:val="20"/>
                <w:szCs w:val="20"/>
                <w:lang w:val="en-US"/>
              </w:rPr>
              <w:t>19010.62</w:t>
            </w:r>
          </w:p>
        </w:tc>
      </w:tr>
    </w:tbl>
    <w:p w14:paraId="2B91E823" w14:textId="77777777" w:rsidR="00B41534" w:rsidRPr="00A40E69" w:rsidRDefault="00B41534" w:rsidP="00B41534">
      <w:pPr>
        <w:spacing w:after="40"/>
        <w:jc w:val="both"/>
        <w:rPr>
          <w:sz w:val="16"/>
          <w:szCs w:val="16"/>
          <w:lang w:val="en-US"/>
        </w:rPr>
      </w:pPr>
    </w:p>
    <w:p w14:paraId="17835697" w14:textId="4D5BED97" w:rsidR="00B41534" w:rsidRPr="00A40E69" w:rsidRDefault="00B41534" w:rsidP="00B41534">
      <w:pPr>
        <w:spacing w:after="40"/>
        <w:rPr>
          <w:sz w:val="16"/>
          <w:szCs w:val="16"/>
          <w:lang w:val="en-US"/>
        </w:rPr>
      </w:pPr>
      <w:r w:rsidRPr="00A40E69">
        <w:rPr>
          <w:i/>
          <w:sz w:val="16"/>
          <w:szCs w:val="16"/>
          <w:lang w:val="en-US"/>
        </w:rPr>
        <w:t>Note:</w:t>
      </w:r>
      <w:r w:rsidRPr="00A40E69">
        <w:rPr>
          <w:sz w:val="16"/>
          <w:szCs w:val="16"/>
          <w:lang w:val="en-US"/>
        </w:rPr>
        <w:t xml:space="preserve"> The sample includes households who participated in both the 2011 and 2013 waves of the survey, provided age information for every household member, and had heads aged 45 and above in both 2011 and 2013. Means of </w:t>
      </w:r>
      <w:r w:rsidRPr="00A40E69">
        <w:rPr>
          <w:noProof/>
          <w:sz w:val="16"/>
          <w:szCs w:val="16"/>
          <w:lang w:val="en-US"/>
        </w:rPr>
        <w:t>all variables are expressed in  RMB.</w:t>
      </w:r>
      <w:r w:rsidRPr="00A40E69">
        <w:rPr>
          <w:sz w:val="16"/>
          <w:szCs w:val="16"/>
          <w:lang w:val="en-US"/>
        </w:rPr>
        <w:t xml:space="preserve"> </w:t>
      </w:r>
      <w:r w:rsidR="00D43680">
        <w:rPr>
          <w:sz w:val="16"/>
          <w:szCs w:val="16"/>
          <w:lang w:val="en-US"/>
        </w:rPr>
        <w:t>All consumption aggregates</w:t>
      </w:r>
      <w:r w:rsidR="00D43680" w:rsidRPr="00D43680">
        <w:rPr>
          <w:sz w:val="16"/>
          <w:szCs w:val="16"/>
          <w:lang w:val="en-US"/>
        </w:rPr>
        <w:t xml:space="preserve"> </w:t>
      </w:r>
      <w:r w:rsidR="00D43680">
        <w:rPr>
          <w:sz w:val="16"/>
          <w:szCs w:val="16"/>
          <w:lang w:val="en-US"/>
        </w:rPr>
        <w:t xml:space="preserve">are </w:t>
      </w:r>
      <w:r w:rsidR="00D43680" w:rsidRPr="00D43680">
        <w:rPr>
          <w:sz w:val="16"/>
          <w:szCs w:val="16"/>
          <w:lang w:val="en-US"/>
        </w:rPr>
        <w:t xml:space="preserve">converted into real terms using the province-level Consumer Price Index (CPI) </w:t>
      </w:r>
      <w:r w:rsidR="00D43680" w:rsidRPr="00A40E69">
        <w:rPr>
          <w:sz w:val="16"/>
          <w:szCs w:val="16"/>
          <w:lang w:val="en-US"/>
        </w:rPr>
        <w:t>obtained from the China Statistical Yearbook</w:t>
      </w:r>
      <w:r w:rsidR="00D43680" w:rsidRPr="00D43680">
        <w:rPr>
          <w:sz w:val="16"/>
          <w:szCs w:val="16"/>
          <w:lang w:val="en-US"/>
        </w:rPr>
        <w:t xml:space="preserve"> </w:t>
      </w:r>
      <w:r w:rsidR="000A6D63">
        <w:rPr>
          <w:sz w:val="16"/>
          <w:szCs w:val="16"/>
          <w:lang w:val="en-US"/>
        </w:rPr>
        <w:t>with</w:t>
      </w:r>
      <w:r w:rsidR="00D43680" w:rsidRPr="00D43680">
        <w:rPr>
          <w:sz w:val="16"/>
          <w:szCs w:val="16"/>
          <w:lang w:val="en-US"/>
        </w:rPr>
        <w:t xml:space="preserve"> 2011 as the base year. </w:t>
      </w:r>
      <w:r w:rsidRPr="00A40E69">
        <w:rPr>
          <w:sz w:val="16"/>
          <w:szCs w:val="16"/>
          <w:lang w:val="en-US"/>
        </w:rPr>
        <w:t>See</w:t>
      </w:r>
      <w:r w:rsidRPr="00A40E69">
        <w:rPr>
          <w:lang w:val="en-US"/>
        </w:rPr>
        <w:t xml:space="preserve"> </w:t>
      </w:r>
      <w:r w:rsidRPr="00A40E69">
        <w:rPr>
          <w:sz w:val="16"/>
          <w:szCs w:val="16"/>
          <w:lang w:val="en-US"/>
        </w:rPr>
        <w:t xml:space="preserve">Table </w:t>
      </w:r>
      <w:r w:rsidR="006B10C5">
        <w:rPr>
          <w:sz w:val="16"/>
          <w:szCs w:val="16"/>
          <w:lang w:val="en-US"/>
        </w:rPr>
        <w:t>2 in the paper</w:t>
      </w:r>
      <w:r w:rsidRPr="00A40E69">
        <w:rPr>
          <w:sz w:val="16"/>
          <w:szCs w:val="16"/>
          <w:lang w:val="en-US"/>
        </w:rPr>
        <w:t xml:space="preserve"> for definitions of the consumption categories. </w:t>
      </w:r>
      <w:r w:rsidR="006753F1" w:rsidRPr="006753F1">
        <w:rPr>
          <w:sz w:val="16"/>
          <w:szCs w:val="16"/>
          <w:lang w:val="en-US"/>
        </w:rPr>
        <w:t>***, ** and * indicate significance at the 1%, 5% and 10% levels, respectively.</w:t>
      </w:r>
    </w:p>
    <w:p w14:paraId="249DAA76" w14:textId="77777777" w:rsidR="00B41534" w:rsidRPr="00A40E69" w:rsidRDefault="00B41534" w:rsidP="00B41534">
      <w:pPr>
        <w:rPr>
          <w:sz w:val="16"/>
          <w:szCs w:val="16"/>
          <w:lang w:val="en-US"/>
        </w:rPr>
        <w:sectPr w:rsidR="00B41534" w:rsidRPr="00A40E69" w:rsidSect="00A41E55">
          <w:pgSz w:w="16838" w:h="11906" w:orient="landscape"/>
          <w:pgMar w:top="1440" w:right="1440" w:bottom="1440" w:left="1440" w:header="709" w:footer="709" w:gutter="0"/>
          <w:cols w:space="708"/>
          <w:docGrid w:linePitch="360"/>
        </w:sectPr>
      </w:pPr>
      <w:r w:rsidRPr="00A40E69">
        <w:rPr>
          <w:i/>
          <w:sz w:val="16"/>
          <w:szCs w:val="16"/>
          <w:lang w:val="en-US"/>
        </w:rPr>
        <w:t>Source:</w:t>
      </w:r>
      <w:r w:rsidRPr="00A40E69">
        <w:rPr>
          <w:sz w:val="16"/>
          <w:szCs w:val="16"/>
          <w:lang w:val="en-US"/>
        </w:rPr>
        <w:t xml:space="preserve"> Authors’ calculations based on the CHARLS and the China Statistical Yearbook</w:t>
      </w:r>
    </w:p>
    <w:p w14:paraId="4FA12EE8" w14:textId="4558198D" w:rsidR="00B41534" w:rsidRDefault="00B41534" w:rsidP="00B41534">
      <w:pPr>
        <w:jc w:val="center"/>
        <w:rPr>
          <w:bCs/>
          <w:lang w:val="en-US"/>
        </w:rPr>
      </w:pPr>
      <w:r w:rsidRPr="00A40E69">
        <w:rPr>
          <w:b/>
          <w:lang w:val="en-US"/>
        </w:rPr>
        <w:lastRenderedPageBreak/>
        <w:t xml:space="preserve">Table </w:t>
      </w:r>
      <w:r w:rsidR="005F0798">
        <w:rPr>
          <w:b/>
          <w:lang w:val="en-US"/>
        </w:rPr>
        <w:t>A</w:t>
      </w:r>
      <w:r w:rsidR="00CE2A44">
        <w:rPr>
          <w:b/>
          <w:lang w:val="en-US"/>
        </w:rPr>
        <w:t>4</w:t>
      </w:r>
      <w:r w:rsidRPr="00A40E69">
        <w:rPr>
          <w:b/>
          <w:lang w:val="en-US"/>
        </w:rPr>
        <w:t xml:space="preserve">. </w:t>
      </w:r>
      <w:r w:rsidRPr="00A40E69">
        <w:rPr>
          <w:bCs/>
          <w:lang w:val="en-US"/>
        </w:rPr>
        <w:t>Household characteristics</w:t>
      </w:r>
    </w:p>
    <w:p w14:paraId="2174C08B" w14:textId="77777777" w:rsidR="008429B5" w:rsidRPr="00A40E69" w:rsidRDefault="008429B5" w:rsidP="00B41534">
      <w:pPr>
        <w:jc w:val="center"/>
        <w:rPr>
          <w:lang w:val="en-US"/>
        </w:rPr>
      </w:pPr>
    </w:p>
    <w:tbl>
      <w:tblPr>
        <w:tblW w:w="0" w:type="auto"/>
        <w:jc w:val="center"/>
        <w:tblLayout w:type="fixed"/>
        <w:tblLook w:val="04A0" w:firstRow="1" w:lastRow="0" w:firstColumn="1" w:lastColumn="0" w:noHBand="0" w:noVBand="1"/>
      </w:tblPr>
      <w:tblGrid>
        <w:gridCol w:w="4111"/>
        <w:gridCol w:w="709"/>
        <w:gridCol w:w="142"/>
        <w:gridCol w:w="992"/>
        <w:gridCol w:w="992"/>
        <w:gridCol w:w="992"/>
        <w:gridCol w:w="1088"/>
      </w:tblGrid>
      <w:tr w:rsidR="00B41534" w:rsidRPr="002B0D86" w14:paraId="45433D85" w14:textId="77777777" w:rsidTr="007160D4">
        <w:trPr>
          <w:trHeight w:val="324"/>
          <w:jc w:val="center"/>
        </w:trPr>
        <w:tc>
          <w:tcPr>
            <w:tcW w:w="4111" w:type="dxa"/>
            <w:tcBorders>
              <w:top w:val="single" w:sz="8" w:space="0" w:color="auto"/>
              <w:left w:val="nil"/>
              <w:bottom w:val="single" w:sz="8" w:space="0" w:color="auto"/>
              <w:right w:val="nil"/>
            </w:tcBorders>
            <w:shd w:val="clear" w:color="auto" w:fill="auto"/>
            <w:vAlign w:val="center"/>
            <w:hideMark/>
          </w:tcPr>
          <w:p w14:paraId="75916367" w14:textId="77777777" w:rsidR="00B41534" w:rsidRPr="00A40E69" w:rsidRDefault="00B41534" w:rsidP="007160D4">
            <w:pPr>
              <w:pStyle w:val="NoSpacing"/>
              <w:rPr>
                <w:rFonts w:ascii="Times New Roman" w:hAnsi="Times New Roman" w:cs="Times New Roman"/>
                <w:b/>
                <w:sz w:val="21"/>
                <w:lang w:val="en-US"/>
              </w:rPr>
            </w:pPr>
            <w:r w:rsidRPr="00A40E69">
              <w:rPr>
                <w:rFonts w:ascii="Times New Roman" w:hAnsi="Times New Roman" w:cs="Times New Roman"/>
                <w:b/>
                <w:sz w:val="21"/>
                <w:lang w:val="en-US"/>
              </w:rPr>
              <w:t>VARIABLES</w:t>
            </w:r>
          </w:p>
        </w:tc>
        <w:tc>
          <w:tcPr>
            <w:tcW w:w="851" w:type="dxa"/>
            <w:gridSpan w:val="2"/>
            <w:tcBorders>
              <w:top w:val="single" w:sz="8" w:space="0" w:color="auto"/>
              <w:left w:val="nil"/>
              <w:bottom w:val="single" w:sz="8" w:space="0" w:color="auto"/>
              <w:right w:val="nil"/>
            </w:tcBorders>
            <w:shd w:val="clear" w:color="auto" w:fill="auto"/>
            <w:vAlign w:val="center"/>
            <w:hideMark/>
          </w:tcPr>
          <w:p w14:paraId="659F608D" w14:textId="77777777" w:rsidR="00B41534" w:rsidRPr="00A40E69" w:rsidRDefault="00B41534" w:rsidP="007160D4">
            <w:pPr>
              <w:pStyle w:val="NoSpacing"/>
              <w:jc w:val="center"/>
              <w:rPr>
                <w:rFonts w:ascii="Times New Roman" w:hAnsi="Times New Roman" w:cs="Times New Roman"/>
                <w:b/>
                <w:sz w:val="21"/>
                <w:lang w:val="en-US"/>
              </w:rPr>
            </w:pPr>
            <w:r w:rsidRPr="00A40E69">
              <w:rPr>
                <w:rFonts w:ascii="Times New Roman" w:hAnsi="Times New Roman" w:cs="Times New Roman"/>
                <w:b/>
                <w:sz w:val="21"/>
                <w:lang w:val="en-US"/>
              </w:rPr>
              <w:t>Obs.</w:t>
            </w:r>
          </w:p>
        </w:tc>
        <w:tc>
          <w:tcPr>
            <w:tcW w:w="992" w:type="dxa"/>
            <w:tcBorders>
              <w:top w:val="single" w:sz="8" w:space="0" w:color="auto"/>
              <w:left w:val="nil"/>
              <w:bottom w:val="single" w:sz="8" w:space="0" w:color="auto"/>
              <w:right w:val="nil"/>
            </w:tcBorders>
            <w:shd w:val="clear" w:color="auto" w:fill="auto"/>
            <w:vAlign w:val="center"/>
            <w:hideMark/>
          </w:tcPr>
          <w:p w14:paraId="2E47DE0F" w14:textId="77777777" w:rsidR="00B41534" w:rsidRPr="00A40E69" w:rsidRDefault="00B41534" w:rsidP="007160D4">
            <w:pPr>
              <w:pStyle w:val="NoSpacing"/>
              <w:jc w:val="center"/>
              <w:rPr>
                <w:rFonts w:ascii="Times New Roman" w:hAnsi="Times New Roman" w:cs="Times New Roman"/>
                <w:b/>
                <w:sz w:val="21"/>
                <w:lang w:val="en-US"/>
              </w:rPr>
            </w:pPr>
            <w:r w:rsidRPr="00A40E69">
              <w:rPr>
                <w:rFonts w:ascii="Times New Roman" w:hAnsi="Times New Roman" w:cs="Times New Roman"/>
                <w:b/>
                <w:sz w:val="21"/>
                <w:lang w:val="en-US"/>
              </w:rPr>
              <w:t>Mean</w:t>
            </w:r>
          </w:p>
        </w:tc>
        <w:tc>
          <w:tcPr>
            <w:tcW w:w="992" w:type="dxa"/>
            <w:tcBorders>
              <w:top w:val="single" w:sz="8" w:space="0" w:color="auto"/>
              <w:left w:val="nil"/>
              <w:bottom w:val="single" w:sz="8" w:space="0" w:color="auto"/>
              <w:right w:val="nil"/>
            </w:tcBorders>
            <w:shd w:val="clear" w:color="auto" w:fill="auto"/>
            <w:vAlign w:val="center"/>
            <w:hideMark/>
          </w:tcPr>
          <w:p w14:paraId="161EC150" w14:textId="77777777" w:rsidR="00B41534" w:rsidRPr="00A40E69" w:rsidRDefault="00B41534" w:rsidP="007160D4">
            <w:pPr>
              <w:pStyle w:val="NoSpacing"/>
              <w:jc w:val="center"/>
              <w:rPr>
                <w:rFonts w:ascii="Times New Roman" w:hAnsi="Times New Roman" w:cs="Times New Roman"/>
                <w:b/>
                <w:sz w:val="21"/>
                <w:lang w:val="en-US"/>
              </w:rPr>
            </w:pPr>
            <w:r w:rsidRPr="00A40E69">
              <w:rPr>
                <w:rFonts w:ascii="Times New Roman" w:hAnsi="Times New Roman" w:cs="Times New Roman"/>
                <w:b/>
                <w:sz w:val="21"/>
                <w:lang w:val="en-US"/>
              </w:rPr>
              <w:t>St. Dev.</w:t>
            </w:r>
          </w:p>
        </w:tc>
        <w:tc>
          <w:tcPr>
            <w:tcW w:w="992" w:type="dxa"/>
            <w:tcBorders>
              <w:top w:val="single" w:sz="8" w:space="0" w:color="auto"/>
              <w:left w:val="nil"/>
              <w:bottom w:val="single" w:sz="8" w:space="0" w:color="auto"/>
              <w:right w:val="nil"/>
            </w:tcBorders>
            <w:shd w:val="clear" w:color="auto" w:fill="auto"/>
            <w:vAlign w:val="center"/>
            <w:hideMark/>
          </w:tcPr>
          <w:p w14:paraId="34EAE810" w14:textId="77777777" w:rsidR="00B41534" w:rsidRPr="00A40E69" w:rsidRDefault="00B41534" w:rsidP="007160D4">
            <w:pPr>
              <w:pStyle w:val="NoSpacing"/>
              <w:jc w:val="center"/>
              <w:rPr>
                <w:rFonts w:ascii="Times New Roman" w:hAnsi="Times New Roman" w:cs="Times New Roman"/>
                <w:b/>
                <w:sz w:val="21"/>
                <w:lang w:val="en-US"/>
              </w:rPr>
            </w:pPr>
            <w:r w:rsidRPr="00A40E69">
              <w:rPr>
                <w:rFonts w:ascii="Times New Roman" w:hAnsi="Times New Roman" w:cs="Times New Roman"/>
                <w:b/>
                <w:sz w:val="21"/>
                <w:lang w:val="en-US"/>
              </w:rPr>
              <w:t>Min.</w:t>
            </w:r>
          </w:p>
        </w:tc>
        <w:tc>
          <w:tcPr>
            <w:tcW w:w="1088" w:type="dxa"/>
            <w:tcBorders>
              <w:top w:val="single" w:sz="8" w:space="0" w:color="auto"/>
              <w:left w:val="nil"/>
              <w:bottom w:val="single" w:sz="8" w:space="0" w:color="auto"/>
              <w:right w:val="nil"/>
            </w:tcBorders>
            <w:shd w:val="clear" w:color="auto" w:fill="auto"/>
            <w:vAlign w:val="center"/>
            <w:hideMark/>
          </w:tcPr>
          <w:p w14:paraId="32D58B06" w14:textId="77777777" w:rsidR="00B41534" w:rsidRPr="00A40E69" w:rsidRDefault="00B41534" w:rsidP="007160D4">
            <w:pPr>
              <w:pStyle w:val="NoSpacing"/>
              <w:jc w:val="center"/>
              <w:rPr>
                <w:rFonts w:ascii="Times New Roman" w:hAnsi="Times New Roman" w:cs="Times New Roman"/>
                <w:b/>
                <w:sz w:val="21"/>
                <w:lang w:val="en-US"/>
              </w:rPr>
            </w:pPr>
            <w:r w:rsidRPr="00A40E69">
              <w:rPr>
                <w:rFonts w:ascii="Times New Roman" w:hAnsi="Times New Roman" w:cs="Times New Roman"/>
                <w:b/>
                <w:sz w:val="21"/>
                <w:lang w:val="en-US"/>
              </w:rPr>
              <w:t>Max.</w:t>
            </w:r>
          </w:p>
        </w:tc>
      </w:tr>
      <w:tr w:rsidR="00B41534" w:rsidRPr="002B0D86" w14:paraId="5D6272FC" w14:textId="77777777" w:rsidTr="007160D4">
        <w:trPr>
          <w:trHeight w:val="320"/>
          <w:jc w:val="center"/>
        </w:trPr>
        <w:tc>
          <w:tcPr>
            <w:tcW w:w="9026" w:type="dxa"/>
            <w:gridSpan w:val="7"/>
            <w:tcBorders>
              <w:top w:val="single" w:sz="8" w:space="0" w:color="auto"/>
              <w:left w:val="nil"/>
              <w:bottom w:val="nil"/>
              <w:right w:val="nil"/>
            </w:tcBorders>
            <w:shd w:val="clear" w:color="auto" w:fill="auto"/>
            <w:vAlign w:val="center"/>
            <w:hideMark/>
          </w:tcPr>
          <w:p w14:paraId="3F9BF713" w14:textId="77777777" w:rsidR="00B41534" w:rsidRPr="00A40E69" w:rsidRDefault="00B41534" w:rsidP="007160D4">
            <w:pPr>
              <w:pStyle w:val="NoSpacing"/>
              <w:rPr>
                <w:rFonts w:ascii="Times New Roman" w:hAnsi="Times New Roman" w:cs="Times New Roman"/>
                <w:b/>
                <w:sz w:val="21"/>
                <w:lang w:val="en-US"/>
              </w:rPr>
            </w:pPr>
            <w:r w:rsidRPr="00A40E69">
              <w:rPr>
                <w:rFonts w:ascii="Times New Roman" w:hAnsi="Times New Roman" w:cs="Times New Roman"/>
                <w:b/>
                <w:sz w:val="21"/>
                <w:lang w:val="en-US"/>
              </w:rPr>
              <w:t>Household head characteristics</w:t>
            </w:r>
          </w:p>
        </w:tc>
      </w:tr>
      <w:tr w:rsidR="00B41534" w:rsidRPr="002B0D86" w14:paraId="362A189C" w14:textId="77777777" w:rsidTr="007160D4">
        <w:trPr>
          <w:trHeight w:val="262"/>
          <w:jc w:val="center"/>
        </w:trPr>
        <w:tc>
          <w:tcPr>
            <w:tcW w:w="4111" w:type="dxa"/>
            <w:tcBorders>
              <w:top w:val="nil"/>
              <w:left w:val="nil"/>
              <w:bottom w:val="nil"/>
              <w:right w:val="nil"/>
            </w:tcBorders>
            <w:shd w:val="clear" w:color="auto" w:fill="auto"/>
            <w:vAlign w:val="center"/>
            <w:hideMark/>
          </w:tcPr>
          <w:p w14:paraId="24E21AA5" w14:textId="77777777" w:rsidR="00B41534" w:rsidRPr="00A40E69" w:rsidRDefault="00B41534" w:rsidP="007160D4">
            <w:pPr>
              <w:pStyle w:val="NoSpacing"/>
              <w:rPr>
                <w:rFonts w:ascii="Times New Roman" w:hAnsi="Times New Roman" w:cs="Times New Roman"/>
                <w:sz w:val="21"/>
                <w:lang w:val="en-US"/>
              </w:rPr>
            </w:pPr>
            <w:r w:rsidRPr="00A40E69">
              <w:rPr>
                <w:rFonts w:ascii="Times New Roman" w:hAnsi="Times New Roman" w:cs="Times New Roman"/>
                <w:sz w:val="21"/>
                <w:lang w:val="en-US"/>
              </w:rPr>
              <w:t>Age</w:t>
            </w:r>
          </w:p>
        </w:tc>
        <w:tc>
          <w:tcPr>
            <w:tcW w:w="851" w:type="dxa"/>
            <w:gridSpan w:val="2"/>
            <w:tcBorders>
              <w:top w:val="nil"/>
              <w:left w:val="nil"/>
              <w:bottom w:val="nil"/>
              <w:right w:val="nil"/>
            </w:tcBorders>
            <w:shd w:val="clear" w:color="auto" w:fill="auto"/>
            <w:noWrap/>
            <w:vAlign w:val="center"/>
            <w:hideMark/>
          </w:tcPr>
          <w:p w14:paraId="1124F167"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11,640</w:t>
            </w:r>
          </w:p>
        </w:tc>
        <w:tc>
          <w:tcPr>
            <w:tcW w:w="992" w:type="dxa"/>
            <w:tcBorders>
              <w:top w:val="nil"/>
              <w:left w:val="nil"/>
              <w:bottom w:val="nil"/>
              <w:right w:val="nil"/>
            </w:tcBorders>
            <w:shd w:val="clear" w:color="auto" w:fill="auto"/>
            <w:noWrap/>
            <w:vAlign w:val="center"/>
            <w:hideMark/>
          </w:tcPr>
          <w:p w14:paraId="514DBE81"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61.3392</w:t>
            </w:r>
          </w:p>
        </w:tc>
        <w:tc>
          <w:tcPr>
            <w:tcW w:w="992" w:type="dxa"/>
            <w:tcBorders>
              <w:top w:val="nil"/>
              <w:left w:val="nil"/>
              <w:bottom w:val="nil"/>
              <w:right w:val="nil"/>
            </w:tcBorders>
            <w:shd w:val="clear" w:color="auto" w:fill="auto"/>
            <w:noWrap/>
            <w:vAlign w:val="center"/>
            <w:hideMark/>
          </w:tcPr>
          <w:p w14:paraId="2E923CA5"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9.8302</w:t>
            </w:r>
          </w:p>
        </w:tc>
        <w:tc>
          <w:tcPr>
            <w:tcW w:w="992" w:type="dxa"/>
            <w:tcBorders>
              <w:top w:val="nil"/>
              <w:left w:val="nil"/>
              <w:bottom w:val="nil"/>
              <w:right w:val="nil"/>
            </w:tcBorders>
            <w:shd w:val="clear" w:color="auto" w:fill="auto"/>
            <w:noWrap/>
            <w:vAlign w:val="center"/>
            <w:hideMark/>
          </w:tcPr>
          <w:p w14:paraId="3B2D615B"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45</w:t>
            </w:r>
          </w:p>
        </w:tc>
        <w:tc>
          <w:tcPr>
            <w:tcW w:w="1088" w:type="dxa"/>
            <w:tcBorders>
              <w:top w:val="nil"/>
              <w:left w:val="nil"/>
              <w:bottom w:val="nil"/>
              <w:right w:val="nil"/>
            </w:tcBorders>
            <w:shd w:val="clear" w:color="auto" w:fill="auto"/>
            <w:noWrap/>
            <w:vAlign w:val="center"/>
            <w:hideMark/>
          </w:tcPr>
          <w:p w14:paraId="56FCAA9C"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100</w:t>
            </w:r>
          </w:p>
        </w:tc>
      </w:tr>
      <w:tr w:rsidR="00B41534" w:rsidRPr="002B0D86" w14:paraId="70C49F50" w14:textId="77777777" w:rsidTr="007160D4">
        <w:trPr>
          <w:trHeight w:val="102"/>
          <w:jc w:val="center"/>
        </w:trPr>
        <w:tc>
          <w:tcPr>
            <w:tcW w:w="4111" w:type="dxa"/>
            <w:tcBorders>
              <w:top w:val="nil"/>
              <w:left w:val="nil"/>
              <w:bottom w:val="nil"/>
              <w:right w:val="nil"/>
            </w:tcBorders>
            <w:shd w:val="clear" w:color="auto" w:fill="auto"/>
            <w:vAlign w:val="center"/>
            <w:hideMark/>
          </w:tcPr>
          <w:p w14:paraId="07FEEEC5" w14:textId="77777777" w:rsidR="00B41534" w:rsidRPr="00A40E69" w:rsidRDefault="00B41534" w:rsidP="007160D4">
            <w:pPr>
              <w:pStyle w:val="NoSpacing"/>
              <w:rPr>
                <w:rFonts w:ascii="Times New Roman" w:hAnsi="Times New Roman" w:cs="Times New Roman"/>
                <w:sz w:val="21"/>
                <w:lang w:val="en-US"/>
              </w:rPr>
            </w:pPr>
            <w:r w:rsidRPr="00A40E69">
              <w:rPr>
                <w:rFonts w:ascii="Times New Roman" w:hAnsi="Times New Roman" w:cs="Times New Roman"/>
                <w:sz w:val="21"/>
                <w:lang w:val="en-US"/>
              </w:rPr>
              <w:t>Male</w:t>
            </w:r>
          </w:p>
        </w:tc>
        <w:tc>
          <w:tcPr>
            <w:tcW w:w="851" w:type="dxa"/>
            <w:gridSpan w:val="2"/>
            <w:tcBorders>
              <w:top w:val="nil"/>
              <w:left w:val="nil"/>
              <w:bottom w:val="nil"/>
              <w:right w:val="nil"/>
            </w:tcBorders>
            <w:shd w:val="clear" w:color="auto" w:fill="auto"/>
            <w:noWrap/>
            <w:vAlign w:val="center"/>
            <w:hideMark/>
          </w:tcPr>
          <w:p w14:paraId="5A1AA3BA"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11,640</w:t>
            </w:r>
          </w:p>
        </w:tc>
        <w:tc>
          <w:tcPr>
            <w:tcW w:w="992" w:type="dxa"/>
            <w:tcBorders>
              <w:top w:val="nil"/>
              <w:left w:val="nil"/>
              <w:bottom w:val="nil"/>
              <w:right w:val="nil"/>
            </w:tcBorders>
            <w:shd w:val="clear" w:color="auto" w:fill="auto"/>
            <w:noWrap/>
            <w:vAlign w:val="center"/>
            <w:hideMark/>
          </w:tcPr>
          <w:p w14:paraId="4B07FE32"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0.4677</w:t>
            </w:r>
          </w:p>
        </w:tc>
        <w:tc>
          <w:tcPr>
            <w:tcW w:w="992" w:type="dxa"/>
            <w:tcBorders>
              <w:top w:val="nil"/>
              <w:left w:val="nil"/>
              <w:bottom w:val="nil"/>
              <w:right w:val="nil"/>
            </w:tcBorders>
            <w:shd w:val="clear" w:color="auto" w:fill="auto"/>
            <w:noWrap/>
            <w:vAlign w:val="center"/>
            <w:hideMark/>
          </w:tcPr>
          <w:p w14:paraId="0CAFA606"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0.4990</w:t>
            </w:r>
          </w:p>
        </w:tc>
        <w:tc>
          <w:tcPr>
            <w:tcW w:w="992" w:type="dxa"/>
            <w:tcBorders>
              <w:top w:val="nil"/>
              <w:left w:val="nil"/>
              <w:bottom w:val="nil"/>
              <w:right w:val="nil"/>
            </w:tcBorders>
            <w:shd w:val="clear" w:color="auto" w:fill="auto"/>
            <w:noWrap/>
            <w:vAlign w:val="center"/>
            <w:hideMark/>
          </w:tcPr>
          <w:p w14:paraId="4980F032"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0</w:t>
            </w:r>
          </w:p>
        </w:tc>
        <w:tc>
          <w:tcPr>
            <w:tcW w:w="1088" w:type="dxa"/>
            <w:tcBorders>
              <w:top w:val="nil"/>
              <w:left w:val="nil"/>
              <w:bottom w:val="nil"/>
              <w:right w:val="nil"/>
            </w:tcBorders>
            <w:shd w:val="clear" w:color="auto" w:fill="auto"/>
            <w:noWrap/>
            <w:vAlign w:val="center"/>
            <w:hideMark/>
          </w:tcPr>
          <w:p w14:paraId="728B9AF5"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1</w:t>
            </w:r>
          </w:p>
        </w:tc>
      </w:tr>
      <w:tr w:rsidR="00B41534" w:rsidRPr="002B0D86" w14:paraId="77C7E35E" w14:textId="77777777" w:rsidTr="007160D4">
        <w:trPr>
          <w:trHeight w:val="297"/>
          <w:jc w:val="center"/>
        </w:trPr>
        <w:tc>
          <w:tcPr>
            <w:tcW w:w="4111" w:type="dxa"/>
            <w:tcBorders>
              <w:top w:val="nil"/>
              <w:left w:val="nil"/>
              <w:bottom w:val="nil"/>
              <w:right w:val="nil"/>
            </w:tcBorders>
            <w:shd w:val="clear" w:color="auto" w:fill="auto"/>
            <w:vAlign w:val="center"/>
          </w:tcPr>
          <w:p w14:paraId="4220B912" w14:textId="77777777" w:rsidR="00B41534" w:rsidRPr="00A40E69" w:rsidRDefault="00B41534" w:rsidP="007160D4">
            <w:pPr>
              <w:pStyle w:val="NoSpacing"/>
              <w:rPr>
                <w:rFonts w:ascii="Times New Roman" w:hAnsi="Times New Roman" w:cs="Times New Roman"/>
                <w:sz w:val="21"/>
                <w:lang w:val="en-US"/>
              </w:rPr>
            </w:pPr>
            <w:r w:rsidRPr="00A40E69">
              <w:rPr>
                <w:rFonts w:ascii="Times New Roman" w:hAnsi="Times New Roman" w:cs="Times New Roman"/>
                <w:sz w:val="21"/>
                <w:lang w:val="en-US"/>
              </w:rPr>
              <w:t>Female (</w:t>
            </w:r>
            <w:r w:rsidRPr="00A40E69">
              <w:rPr>
                <w:rFonts w:ascii="Times New Roman" w:hAnsi="Times New Roman" w:cs="Times New Roman"/>
                <w:b/>
                <w:sz w:val="21"/>
                <w:lang w:val="en-US"/>
              </w:rPr>
              <w:t>Ref</w:t>
            </w:r>
            <w:r w:rsidRPr="00A40E69">
              <w:rPr>
                <w:rFonts w:ascii="Times New Roman" w:hAnsi="Times New Roman" w:cs="Times New Roman"/>
                <w:sz w:val="21"/>
                <w:lang w:val="en-US"/>
              </w:rPr>
              <w:t>.)</w:t>
            </w:r>
          </w:p>
        </w:tc>
        <w:tc>
          <w:tcPr>
            <w:tcW w:w="851" w:type="dxa"/>
            <w:gridSpan w:val="2"/>
            <w:tcBorders>
              <w:top w:val="nil"/>
              <w:left w:val="nil"/>
              <w:bottom w:val="nil"/>
              <w:right w:val="nil"/>
            </w:tcBorders>
            <w:shd w:val="clear" w:color="auto" w:fill="auto"/>
            <w:noWrap/>
            <w:vAlign w:val="center"/>
          </w:tcPr>
          <w:p w14:paraId="7C68CEDD"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11,640</w:t>
            </w:r>
          </w:p>
        </w:tc>
        <w:tc>
          <w:tcPr>
            <w:tcW w:w="992" w:type="dxa"/>
            <w:tcBorders>
              <w:top w:val="nil"/>
              <w:left w:val="nil"/>
              <w:bottom w:val="nil"/>
              <w:right w:val="nil"/>
            </w:tcBorders>
            <w:shd w:val="clear" w:color="auto" w:fill="auto"/>
            <w:noWrap/>
            <w:vAlign w:val="center"/>
          </w:tcPr>
          <w:p w14:paraId="5BD4E0A1"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0.5323</w:t>
            </w:r>
          </w:p>
        </w:tc>
        <w:tc>
          <w:tcPr>
            <w:tcW w:w="992" w:type="dxa"/>
            <w:tcBorders>
              <w:top w:val="nil"/>
              <w:left w:val="nil"/>
              <w:bottom w:val="nil"/>
              <w:right w:val="nil"/>
            </w:tcBorders>
            <w:shd w:val="clear" w:color="auto" w:fill="auto"/>
            <w:noWrap/>
            <w:vAlign w:val="center"/>
          </w:tcPr>
          <w:p w14:paraId="10BA7382"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0.4990</w:t>
            </w:r>
          </w:p>
        </w:tc>
        <w:tc>
          <w:tcPr>
            <w:tcW w:w="992" w:type="dxa"/>
            <w:tcBorders>
              <w:top w:val="nil"/>
              <w:left w:val="nil"/>
              <w:bottom w:val="nil"/>
              <w:right w:val="nil"/>
            </w:tcBorders>
            <w:shd w:val="clear" w:color="auto" w:fill="auto"/>
            <w:noWrap/>
            <w:vAlign w:val="center"/>
          </w:tcPr>
          <w:p w14:paraId="5BEDEEBC"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0</w:t>
            </w:r>
          </w:p>
        </w:tc>
        <w:tc>
          <w:tcPr>
            <w:tcW w:w="1088" w:type="dxa"/>
            <w:tcBorders>
              <w:top w:val="nil"/>
              <w:left w:val="nil"/>
              <w:bottom w:val="nil"/>
              <w:right w:val="nil"/>
            </w:tcBorders>
            <w:shd w:val="clear" w:color="auto" w:fill="auto"/>
            <w:noWrap/>
            <w:vAlign w:val="center"/>
          </w:tcPr>
          <w:p w14:paraId="51EC7817"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1</w:t>
            </w:r>
          </w:p>
        </w:tc>
      </w:tr>
      <w:tr w:rsidR="00B41534" w:rsidRPr="002B0D86" w14:paraId="0D13C8AB" w14:textId="77777777" w:rsidTr="007160D4">
        <w:trPr>
          <w:trHeight w:val="297"/>
          <w:jc w:val="center"/>
        </w:trPr>
        <w:tc>
          <w:tcPr>
            <w:tcW w:w="4111" w:type="dxa"/>
            <w:tcBorders>
              <w:top w:val="nil"/>
              <w:left w:val="nil"/>
              <w:bottom w:val="nil"/>
              <w:right w:val="nil"/>
            </w:tcBorders>
            <w:shd w:val="clear" w:color="auto" w:fill="auto"/>
            <w:vAlign w:val="center"/>
            <w:hideMark/>
          </w:tcPr>
          <w:p w14:paraId="4A6A8542" w14:textId="77777777" w:rsidR="00B41534" w:rsidRPr="00A40E69" w:rsidRDefault="00B41534" w:rsidP="007160D4">
            <w:pPr>
              <w:pStyle w:val="NoSpacing"/>
              <w:rPr>
                <w:rFonts w:ascii="Times New Roman" w:hAnsi="Times New Roman" w:cs="Times New Roman"/>
                <w:sz w:val="21"/>
                <w:lang w:val="en-US"/>
              </w:rPr>
            </w:pPr>
            <w:r w:rsidRPr="00A40E69">
              <w:rPr>
                <w:rFonts w:ascii="Times New Roman" w:hAnsi="Times New Roman" w:cs="Times New Roman"/>
                <w:sz w:val="21"/>
                <w:lang w:val="en-US"/>
              </w:rPr>
              <w:t>Primary education</w:t>
            </w:r>
          </w:p>
        </w:tc>
        <w:tc>
          <w:tcPr>
            <w:tcW w:w="851" w:type="dxa"/>
            <w:gridSpan w:val="2"/>
            <w:tcBorders>
              <w:top w:val="nil"/>
              <w:left w:val="nil"/>
              <w:bottom w:val="nil"/>
              <w:right w:val="nil"/>
            </w:tcBorders>
            <w:shd w:val="clear" w:color="auto" w:fill="auto"/>
            <w:noWrap/>
            <w:vAlign w:val="center"/>
            <w:hideMark/>
          </w:tcPr>
          <w:p w14:paraId="73871568"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11,640</w:t>
            </w:r>
          </w:p>
        </w:tc>
        <w:tc>
          <w:tcPr>
            <w:tcW w:w="992" w:type="dxa"/>
            <w:tcBorders>
              <w:top w:val="nil"/>
              <w:left w:val="nil"/>
              <w:bottom w:val="nil"/>
              <w:right w:val="nil"/>
            </w:tcBorders>
            <w:shd w:val="clear" w:color="auto" w:fill="auto"/>
            <w:noWrap/>
            <w:vAlign w:val="center"/>
            <w:hideMark/>
          </w:tcPr>
          <w:p w14:paraId="204D2E38"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0.5130</w:t>
            </w:r>
          </w:p>
        </w:tc>
        <w:tc>
          <w:tcPr>
            <w:tcW w:w="992" w:type="dxa"/>
            <w:tcBorders>
              <w:top w:val="nil"/>
              <w:left w:val="nil"/>
              <w:bottom w:val="nil"/>
              <w:right w:val="nil"/>
            </w:tcBorders>
            <w:shd w:val="clear" w:color="auto" w:fill="auto"/>
            <w:noWrap/>
            <w:vAlign w:val="center"/>
            <w:hideMark/>
          </w:tcPr>
          <w:p w14:paraId="4BF2E280"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0.4999</w:t>
            </w:r>
          </w:p>
        </w:tc>
        <w:tc>
          <w:tcPr>
            <w:tcW w:w="992" w:type="dxa"/>
            <w:tcBorders>
              <w:top w:val="nil"/>
              <w:left w:val="nil"/>
              <w:bottom w:val="nil"/>
              <w:right w:val="nil"/>
            </w:tcBorders>
            <w:shd w:val="clear" w:color="auto" w:fill="auto"/>
            <w:noWrap/>
            <w:vAlign w:val="center"/>
            <w:hideMark/>
          </w:tcPr>
          <w:p w14:paraId="3FE81F44"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0</w:t>
            </w:r>
          </w:p>
        </w:tc>
        <w:tc>
          <w:tcPr>
            <w:tcW w:w="1088" w:type="dxa"/>
            <w:tcBorders>
              <w:top w:val="nil"/>
              <w:left w:val="nil"/>
              <w:bottom w:val="nil"/>
              <w:right w:val="nil"/>
            </w:tcBorders>
            <w:shd w:val="clear" w:color="auto" w:fill="auto"/>
            <w:noWrap/>
            <w:vAlign w:val="center"/>
            <w:hideMark/>
          </w:tcPr>
          <w:p w14:paraId="47045A94"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1</w:t>
            </w:r>
          </w:p>
        </w:tc>
      </w:tr>
      <w:tr w:rsidR="00B41534" w:rsidRPr="002B0D86" w14:paraId="12A6E18A" w14:textId="77777777" w:rsidTr="007160D4">
        <w:trPr>
          <w:trHeight w:val="110"/>
          <w:jc w:val="center"/>
        </w:trPr>
        <w:tc>
          <w:tcPr>
            <w:tcW w:w="4111" w:type="dxa"/>
            <w:tcBorders>
              <w:top w:val="nil"/>
              <w:left w:val="nil"/>
              <w:bottom w:val="nil"/>
              <w:right w:val="nil"/>
            </w:tcBorders>
            <w:shd w:val="clear" w:color="auto" w:fill="auto"/>
            <w:vAlign w:val="center"/>
            <w:hideMark/>
          </w:tcPr>
          <w:p w14:paraId="4B0606FC" w14:textId="77777777" w:rsidR="00B41534" w:rsidRPr="00A40E69" w:rsidRDefault="00B41534" w:rsidP="007160D4">
            <w:pPr>
              <w:pStyle w:val="NoSpacing"/>
              <w:rPr>
                <w:rFonts w:ascii="Times New Roman" w:hAnsi="Times New Roman" w:cs="Times New Roman"/>
                <w:sz w:val="21"/>
                <w:lang w:val="en-US"/>
              </w:rPr>
            </w:pPr>
            <w:r w:rsidRPr="00A40E69">
              <w:rPr>
                <w:rFonts w:ascii="Times New Roman" w:hAnsi="Times New Roman" w:cs="Times New Roman"/>
                <w:sz w:val="21"/>
                <w:lang w:val="en-US"/>
              </w:rPr>
              <w:t>Married</w:t>
            </w:r>
          </w:p>
        </w:tc>
        <w:tc>
          <w:tcPr>
            <w:tcW w:w="851" w:type="dxa"/>
            <w:gridSpan w:val="2"/>
            <w:tcBorders>
              <w:top w:val="nil"/>
              <w:left w:val="nil"/>
              <w:bottom w:val="nil"/>
              <w:right w:val="nil"/>
            </w:tcBorders>
            <w:shd w:val="clear" w:color="auto" w:fill="auto"/>
            <w:noWrap/>
            <w:vAlign w:val="center"/>
            <w:hideMark/>
          </w:tcPr>
          <w:p w14:paraId="4146DA99"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11,640</w:t>
            </w:r>
          </w:p>
        </w:tc>
        <w:tc>
          <w:tcPr>
            <w:tcW w:w="992" w:type="dxa"/>
            <w:tcBorders>
              <w:top w:val="nil"/>
              <w:left w:val="nil"/>
              <w:bottom w:val="nil"/>
              <w:right w:val="nil"/>
            </w:tcBorders>
            <w:shd w:val="clear" w:color="auto" w:fill="auto"/>
            <w:noWrap/>
            <w:vAlign w:val="center"/>
            <w:hideMark/>
          </w:tcPr>
          <w:p w14:paraId="563CEC62"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0.7875</w:t>
            </w:r>
          </w:p>
        </w:tc>
        <w:tc>
          <w:tcPr>
            <w:tcW w:w="992" w:type="dxa"/>
            <w:tcBorders>
              <w:top w:val="nil"/>
              <w:left w:val="nil"/>
              <w:bottom w:val="nil"/>
              <w:right w:val="nil"/>
            </w:tcBorders>
            <w:shd w:val="clear" w:color="auto" w:fill="auto"/>
            <w:noWrap/>
            <w:vAlign w:val="center"/>
            <w:hideMark/>
          </w:tcPr>
          <w:p w14:paraId="7A454C68"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0.4091</w:t>
            </w:r>
          </w:p>
        </w:tc>
        <w:tc>
          <w:tcPr>
            <w:tcW w:w="992" w:type="dxa"/>
            <w:tcBorders>
              <w:top w:val="nil"/>
              <w:left w:val="nil"/>
              <w:bottom w:val="nil"/>
              <w:right w:val="nil"/>
            </w:tcBorders>
            <w:shd w:val="clear" w:color="auto" w:fill="auto"/>
            <w:noWrap/>
            <w:vAlign w:val="center"/>
            <w:hideMark/>
          </w:tcPr>
          <w:p w14:paraId="4F9125B2"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0</w:t>
            </w:r>
          </w:p>
        </w:tc>
        <w:tc>
          <w:tcPr>
            <w:tcW w:w="1088" w:type="dxa"/>
            <w:tcBorders>
              <w:top w:val="nil"/>
              <w:left w:val="nil"/>
              <w:bottom w:val="nil"/>
              <w:right w:val="nil"/>
            </w:tcBorders>
            <w:shd w:val="clear" w:color="auto" w:fill="auto"/>
            <w:noWrap/>
            <w:vAlign w:val="center"/>
            <w:hideMark/>
          </w:tcPr>
          <w:p w14:paraId="0E5FF782"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1</w:t>
            </w:r>
          </w:p>
        </w:tc>
      </w:tr>
      <w:tr w:rsidR="00B41534" w:rsidRPr="002B0D86" w14:paraId="1C13448E" w14:textId="77777777" w:rsidTr="007160D4">
        <w:trPr>
          <w:trHeight w:val="127"/>
          <w:jc w:val="center"/>
        </w:trPr>
        <w:tc>
          <w:tcPr>
            <w:tcW w:w="4111" w:type="dxa"/>
            <w:tcBorders>
              <w:top w:val="nil"/>
              <w:left w:val="nil"/>
              <w:bottom w:val="nil"/>
              <w:right w:val="nil"/>
            </w:tcBorders>
            <w:shd w:val="clear" w:color="auto" w:fill="auto"/>
            <w:vAlign w:val="center"/>
            <w:hideMark/>
          </w:tcPr>
          <w:p w14:paraId="27271E29" w14:textId="77777777" w:rsidR="00B41534" w:rsidRPr="00A40E69" w:rsidRDefault="00B41534" w:rsidP="007160D4">
            <w:pPr>
              <w:pStyle w:val="NoSpacing"/>
              <w:rPr>
                <w:rFonts w:ascii="Times New Roman" w:hAnsi="Times New Roman" w:cs="Times New Roman"/>
                <w:sz w:val="21"/>
                <w:lang w:val="en-US"/>
              </w:rPr>
            </w:pPr>
            <w:r w:rsidRPr="00A40E69">
              <w:rPr>
                <w:rFonts w:ascii="Times New Roman" w:hAnsi="Times New Roman" w:cs="Times New Roman"/>
                <w:sz w:val="21"/>
                <w:lang w:val="en-US"/>
              </w:rPr>
              <w:t>Widowed</w:t>
            </w:r>
          </w:p>
        </w:tc>
        <w:tc>
          <w:tcPr>
            <w:tcW w:w="851" w:type="dxa"/>
            <w:gridSpan w:val="2"/>
            <w:tcBorders>
              <w:top w:val="nil"/>
              <w:left w:val="nil"/>
              <w:bottom w:val="nil"/>
              <w:right w:val="nil"/>
            </w:tcBorders>
            <w:shd w:val="clear" w:color="auto" w:fill="auto"/>
            <w:noWrap/>
            <w:vAlign w:val="center"/>
            <w:hideMark/>
          </w:tcPr>
          <w:p w14:paraId="22BCD91F"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11,640</w:t>
            </w:r>
          </w:p>
        </w:tc>
        <w:tc>
          <w:tcPr>
            <w:tcW w:w="992" w:type="dxa"/>
            <w:tcBorders>
              <w:top w:val="nil"/>
              <w:left w:val="nil"/>
              <w:bottom w:val="nil"/>
              <w:right w:val="nil"/>
            </w:tcBorders>
            <w:shd w:val="clear" w:color="auto" w:fill="auto"/>
            <w:noWrap/>
            <w:vAlign w:val="center"/>
            <w:hideMark/>
          </w:tcPr>
          <w:p w14:paraId="41E24604"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0.1789</w:t>
            </w:r>
          </w:p>
        </w:tc>
        <w:tc>
          <w:tcPr>
            <w:tcW w:w="992" w:type="dxa"/>
            <w:tcBorders>
              <w:top w:val="nil"/>
              <w:left w:val="nil"/>
              <w:bottom w:val="nil"/>
              <w:right w:val="nil"/>
            </w:tcBorders>
            <w:shd w:val="clear" w:color="auto" w:fill="auto"/>
            <w:noWrap/>
            <w:vAlign w:val="center"/>
            <w:hideMark/>
          </w:tcPr>
          <w:p w14:paraId="20A4D36F"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0.3833</w:t>
            </w:r>
          </w:p>
        </w:tc>
        <w:tc>
          <w:tcPr>
            <w:tcW w:w="992" w:type="dxa"/>
            <w:tcBorders>
              <w:top w:val="nil"/>
              <w:left w:val="nil"/>
              <w:bottom w:val="nil"/>
              <w:right w:val="nil"/>
            </w:tcBorders>
            <w:shd w:val="clear" w:color="auto" w:fill="auto"/>
            <w:noWrap/>
            <w:vAlign w:val="center"/>
            <w:hideMark/>
          </w:tcPr>
          <w:p w14:paraId="6E5003D7"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0</w:t>
            </w:r>
          </w:p>
        </w:tc>
        <w:tc>
          <w:tcPr>
            <w:tcW w:w="1088" w:type="dxa"/>
            <w:tcBorders>
              <w:top w:val="nil"/>
              <w:left w:val="nil"/>
              <w:bottom w:val="nil"/>
              <w:right w:val="nil"/>
            </w:tcBorders>
            <w:shd w:val="clear" w:color="auto" w:fill="auto"/>
            <w:noWrap/>
            <w:vAlign w:val="center"/>
            <w:hideMark/>
          </w:tcPr>
          <w:p w14:paraId="0EB049FE"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1</w:t>
            </w:r>
          </w:p>
        </w:tc>
      </w:tr>
      <w:tr w:rsidR="00B41534" w:rsidRPr="002B0D86" w14:paraId="4F8A9176" w14:textId="77777777" w:rsidTr="007160D4">
        <w:trPr>
          <w:trHeight w:val="132"/>
          <w:jc w:val="center"/>
        </w:trPr>
        <w:tc>
          <w:tcPr>
            <w:tcW w:w="4111" w:type="dxa"/>
            <w:tcBorders>
              <w:top w:val="nil"/>
              <w:left w:val="nil"/>
              <w:bottom w:val="nil"/>
              <w:right w:val="nil"/>
            </w:tcBorders>
            <w:shd w:val="clear" w:color="auto" w:fill="auto"/>
            <w:vAlign w:val="center"/>
          </w:tcPr>
          <w:p w14:paraId="2A39C6AA" w14:textId="77777777" w:rsidR="00B41534" w:rsidRPr="00A40E69" w:rsidRDefault="00B41534" w:rsidP="007160D4">
            <w:pPr>
              <w:pStyle w:val="NoSpacing"/>
              <w:rPr>
                <w:rFonts w:ascii="Times New Roman" w:hAnsi="Times New Roman" w:cs="Times New Roman"/>
                <w:sz w:val="21"/>
                <w:lang w:val="en-US"/>
              </w:rPr>
            </w:pPr>
            <w:r w:rsidRPr="00A40E69">
              <w:rPr>
                <w:rFonts w:ascii="Times New Roman" w:hAnsi="Times New Roman" w:cs="Times New Roman"/>
                <w:sz w:val="21"/>
                <w:lang w:val="en-US"/>
              </w:rPr>
              <w:t>Single/</w:t>
            </w:r>
            <w:r>
              <w:rPr>
                <w:rFonts w:ascii="Times New Roman" w:hAnsi="Times New Roman" w:cs="Times New Roman"/>
                <w:sz w:val="21"/>
                <w:lang w:val="en-US"/>
              </w:rPr>
              <w:t>divorced</w:t>
            </w:r>
            <w:r w:rsidRPr="00A40E69">
              <w:rPr>
                <w:rFonts w:ascii="Times New Roman" w:hAnsi="Times New Roman" w:cs="Times New Roman"/>
                <w:sz w:val="21"/>
                <w:lang w:val="en-US"/>
              </w:rPr>
              <w:t xml:space="preserve"> (</w:t>
            </w:r>
            <w:r w:rsidRPr="00A40E69">
              <w:rPr>
                <w:rFonts w:ascii="Times New Roman" w:hAnsi="Times New Roman" w:cs="Times New Roman"/>
                <w:b/>
                <w:sz w:val="21"/>
                <w:lang w:val="en-US"/>
              </w:rPr>
              <w:t>Ref</w:t>
            </w:r>
            <w:r w:rsidRPr="00A40E69">
              <w:rPr>
                <w:rFonts w:ascii="Times New Roman" w:hAnsi="Times New Roman" w:cs="Times New Roman"/>
                <w:sz w:val="21"/>
                <w:lang w:val="en-US"/>
              </w:rPr>
              <w:t>.)</w:t>
            </w:r>
          </w:p>
        </w:tc>
        <w:tc>
          <w:tcPr>
            <w:tcW w:w="851" w:type="dxa"/>
            <w:gridSpan w:val="2"/>
            <w:tcBorders>
              <w:top w:val="nil"/>
              <w:left w:val="nil"/>
              <w:bottom w:val="nil"/>
              <w:right w:val="nil"/>
            </w:tcBorders>
            <w:shd w:val="clear" w:color="auto" w:fill="auto"/>
            <w:noWrap/>
            <w:vAlign w:val="center"/>
          </w:tcPr>
          <w:p w14:paraId="058741C0"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11,640</w:t>
            </w:r>
          </w:p>
        </w:tc>
        <w:tc>
          <w:tcPr>
            <w:tcW w:w="992" w:type="dxa"/>
            <w:tcBorders>
              <w:top w:val="nil"/>
              <w:left w:val="nil"/>
              <w:bottom w:val="nil"/>
              <w:right w:val="nil"/>
            </w:tcBorders>
            <w:shd w:val="clear" w:color="auto" w:fill="auto"/>
            <w:noWrap/>
            <w:vAlign w:val="center"/>
          </w:tcPr>
          <w:p w14:paraId="30F21BFF"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0.0337</w:t>
            </w:r>
          </w:p>
        </w:tc>
        <w:tc>
          <w:tcPr>
            <w:tcW w:w="992" w:type="dxa"/>
            <w:tcBorders>
              <w:top w:val="nil"/>
              <w:left w:val="nil"/>
              <w:bottom w:val="nil"/>
              <w:right w:val="nil"/>
            </w:tcBorders>
            <w:shd w:val="clear" w:color="auto" w:fill="auto"/>
            <w:noWrap/>
            <w:vAlign w:val="center"/>
          </w:tcPr>
          <w:p w14:paraId="5328D6C9"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0.1804</w:t>
            </w:r>
          </w:p>
        </w:tc>
        <w:tc>
          <w:tcPr>
            <w:tcW w:w="992" w:type="dxa"/>
            <w:tcBorders>
              <w:top w:val="nil"/>
              <w:left w:val="nil"/>
              <w:bottom w:val="nil"/>
              <w:right w:val="nil"/>
            </w:tcBorders>
            <w:shd w:val="clear" w:color="auto" w:fill="auto"/>
            <w:noWrap/>
            <w:vAlign w:val="center"/>
          </w:tcPr>
          <w:p w14:paraId="60C4ABFE"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0</w:t>
            </w:r>
          </w:p>
        </w:tc>
        <w:tc>
          <w:tcPr>
            <w:tcW w:w="1088" w:type="dxa"/>
            <w:tcBorders>
              <w:top w:val="nil"/>
              <w:left w:val="nil"/>
              <w:bottom w:val="nil"/>
              <w:right w:val="nil"/>
            </w:tcBorders>
            <w:shd w:val="clear" w:color="auto" w:fill="auto"/>
            <w:noWrap/>
            <w:vAlign w:val="center"/>
          </w:tcPr>
          <w:p w14:paraId="74071A58"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1</w:t>
            </w:r>
          </w:p>
        </w:tc>
      </w:tr>
      <w:tr w:rsidR="00B41534" w:rsidRPr="002B0D86" w14:paraId="6AFFBD5D" w14:textId="77777777" w:rsidTr="007160D4">
        <w:trPr>
          <w:trHeight w:val="132"/>
          <w:jc w:val="center"/>
        </w:trPr>
        <w:tc>
          <w:tcPr>
            <w:tcW w:w="4111" w:type="dxa"/>
            <w:tcBorders>
              <w:top w:val="nil"/>
              <w:left w:val="nil"/>
              <w:bottom w:val="nil"/>
              <w:right w:val="nil"/>
            </w:tcBorders>
            <w:shd w:val="clear" w:color="auto" w:fill="auto"/>
            <w:vAlign w:val="center"/>
            <w:hideMark/>
          </w:tcPr>
          <w:p w14:paraId="11FB4080" w14:textId="77777777" w:rsidR="00B41534" w:rsidRPr="00A40E69" w:rsidRDefault="00B41534" w:rsidP="007160D4">
            <w:pPr>
              <w:pStyle w:val="NoSpacing"/>
              <w:rPr>
                <w:rFonts w:ascii="Times New Roman" w:hAnsi="Times New Roman" w:cs="Times New Roman"/>
                <w:sz w:val="21"/>
                <w:lang w:val="en-US"/>
              </w:rPr>
            </w:pPr>
            <w:r w:rsidRPr="00A40E69">
              <w:rPr>
                <w:rFonts w:ascii="Times New Roman" w:hAnsi="Times New Roman" w:cs="Times New Roman"/>
                <w:sz w:val="21"/>
                <w:lang w:val="en-US"/>
              </w:rPr>
              <w:t>Good health</w:t>
            </w:r>
          </w:p>
        </w:tc>
        <w:tc>
          <w:tcPr>
            <w:tcW w:w="851" w:type="dxa"/>
            <w:gridSpan w:val="2"/>
            <w:tcBorders>
              <w:top w:val="nil"/>
              <w:left w:val="nil"/>
              <w:bottom w:val="nil"/>
              <w:right w:val="nil"/>
            </w:tcBorders>
            <w:shd w:val="clear" w:color="auto" w:fill="auto"/>
            <w:noWrap/>
            <w:vAlign w:val="center"/>
            <w:hideMark/>
          </w:tcPr>
          <w:p w14:paraId="6EE61FCD"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11,640</w:t>
            </w:r>
          </w:p>
        </w:tc>
        <w:tc>
          <w:tcPr>
            <w:tcW w:w="992" w:type="dxa"/>
            <w:tcBorders>
              <w:top w:val="nil"/>
              <w:left w:val="nil"/>
              <w:bottom w:val="nil"/>
              <w:right w:val="nil"/>
            </w:tcBorders>
            <w:shd w:val="clear" w:color="auto" w:fill="auto"/>
            <w:noWrap/>
            <w:vAlign w:val="center"/>
            <w:hideMark/>
          </w:tcPr>
          <w:p w14:paraId="0D5EE93F"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0.2965</w:t>
            </w:r>
          </w:p>
        </w:tc>
        <w:tc>
          <w:tcPr>
            <w:tcW w:w="992" w:type="dxa"/>
            <w:tcBorders>
              <w:top w:val="nil"/>
              <w:left w:val="nil"/>
              <w:bottom w:val="nil"/>
              <w:right w:val="nil"/>
            </w:tcBorders>
            <w:shd w:val="clear" w:color="auto" w:fill="auto"/>
            <w:noWrap/>
            <w:vAlign w:val="center"/>
            <w:hideMark/>
          </w:tcPr>
          <w:p w14:paraId="0D26CD69"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0.4567</w:t>
            </w:r>
          </w:p>
        </w:tc>
        <w:tc>
          <w:tcPr>
            <w:tcW w:w="992" w:type="dxa"/>
            <w:tcBorders>
              <w:top w:val="nil"/>
              <w:left w:val="nil"/>
              <w:bottom w:val="nil"/>
              <w:right w:val="nil"/>
            </w:tcBorders>
            <w:shd w:val="clear" w:color="auto" w:fill="auto"/>
            <w:noWrap/>
            <w:vAlign w:val="center"/>
            <w:hideMark/>
          </w:tcPr>
          <w:p w14:paraId="24A2FF7A"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0</w:t>
            </w:r>
          </w:p>
        </w:tc>
        <w:tc>
          <w:tcPr>
            <w:tcW w:w="1088" w:type="dxa"/>
            <w:tcBorders>
              <w:top w:val="nil"/>
              <w:left w:val="nil"/>
              <w:bottom w:val="nil"/>
              <w:right w:val="nil"/>
            </w:tcBorders>
            <w:shd w:val="clear" w:color="auto" w:fill="auto"/>
            <w:noWrap/>
            <w:vAlign w:val="center"/>
            <w:hideMark/>
          </w:tcPr>
          <w:p w14:paraId="1C2FA5FE"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1</w:t>
            </w:r>
          </w:p>
        </w:tc>
      </w:tr>
      <w:tr w:rsidR="00B41534" w:rsidRPr="002B0D86" w14:paraId="30C30997" w14:textId="77777777" w:rsidTr="007160D4">
        <w:trPr>
          <w:trHeight w:val="122"/>
          <w:jc w:val="center"/>
        </w:trPr>
        <w:tc>
          <w:tcPr>
            <w:tcW w:w="4111" w:type="dxa"/>
            <w:tcBorders>
              <w:top w:val="nil"/>
              <w:left w:val="nil"/>
              <w:bottom w:val="nil"/>
              <w:right w:val="nil"/>
            </w:tcBorders>
            <w:shd w:val="clear" w:color="auto" w:fill="auto"/>
            <w:vAlign w:val="center"/>
            <w:hideMark/>
          </w:tcPr>
          <w:p w14:paraId="70108C8C" w14:textId="77777777" w:rsidR="00B41534" w:rsidRPr="00A40E69" w:rsidRDefault="00B41534" w:rsidP="007160D4">
            <w:pPr>
              <w:pStyle w:val="NoSpacing"/>
              <w:rPr>
                <w:rFonts w:ascii="Times New Roman" w:hAnsi="Times New Roman" w:cs="Times New Roman"/>
                <w:sz w:val="21"/>
                <w:lang w:val="en-US"/>
              </w:rPr>
            </w:pPr>
            <w:r w:rsidRPr="00A40E69">
              <w:rPr>
                <w:rFonts w:ascii="Times New Roman" w:hAnsi="Times New Roman" w:cs="Times New Roman"/>
                <w:sz w:val="21"/>
                <w:lang w:val="en-US"/>
              </w:rPr>
              <w:t>Fair health</w:t>
            </w:r>
          </w:p>
        </w:tc>
        <w:tc>
          <w:tcPr>
            <w:tcW w:w="851" w:type="dxa"/>
            <w:gridSpan w:val="2"/>
            <w:tcBorders>
              <w:top w:val="nil"/>
              <w:left w:val="nil"/>
              <w:bottom w:val="nil"/>
              <w:right w:val="nil"/>
            </w:tcBorders>
            <w:shd w:val="clear" w:color="auto" w:fill="auto"/>
            <w:noWrap/>
            <w:vAlign w:val="center"/>
            <w:hideMark/>
          </w:tcPr>
          <w:p w14:paraId="45ECC920"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11,640</w:t>
            </w:r>
          </w:p>
        </w:tc>
        <w:tc>
          <w:tcPr>
            <w:tcW w:w="992" w:type="dxa"/>
            <w:tcBorders>
              <w:top w:val="nil"/>
              <w:left w:val="nil"/>
              <w:bottom w:val="nil"/>
              <w:right w:val="nil"/>
            </w:tcBorders>
            <w:shd w:val="clear" w:color="auto" w:fill="auto"/>
            <w:noWrap/>
            <w:vAlign w:val="center"/>
            <w:hideMark/>
          </w:tcPr>
          <w:p w14:paraId="27ECAA9E"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0.6224</w:t>
            </w:r>
          </w:p>
        </w:tc>
        <w:tc>
          <w:tcPr>
            <w:tcW w:w="992" w:type="dxa"/>
            <w:tcBorders>
              <w:top w:val="nil"/>
              <w:left w:val="nil"/>
              <w:bottom w:val="nil"/>
              <w:right w:val="nil"/>
            </w:tcBorders>
            <w:shd w:val="clear" w:color="auto" w:fill="auto"/>
            <w:noWrap/>
            <w:vAlign w:val="center"/>
            <w:hideMark/>
          </w:tcPr>
          <w:p w14:paraId="3D5A28A5"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0.4848</w:t>
            </w:r>
          </w:p>
        </w:tc>
        <w:tc>
          <w:tcPr>
            <w:tcW w:w="992" w:type="dxa"/>
            <w:tcBorders>
              <w:top w:val="nil"/>
              <w:left w:val="nil"/>
              <w:bottom w:val="nil"/>
              <w:right w:val="nil"/>
            </w:tcBorders>
            <w:shd w:val="clear" w:color="auto" w:fill="auto"/>
            <w:noWrap/>
            <w:vAlign w:val="center"/>
            <w:hideMark/>
          </w:tcPr>
          <w:p w14:paraId="46D61317"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0</w:t>
            </w:r>
          </w:p>
        </w:tc>
        <w:tc>
          <w:tcPr>
            <w:tcW w:w="1088" w:type="dxa"/>
            <w:tcBorders>
              <w:top w:val="nil"/>
              <w:left w:val="nil"/>
              <w:bottom w:val="nil"/>
              <w:right w:val="nil"/>
            </w:tcBorders>
            <w:shd w:val="clear" w:color="auto" w:fill="auto"/>
            <w:noWrap/>
            <w:vAlign w:val="center"/>
            <w:hideMark/>
          </w:tcPr>
          <w:p w14:paraId="1DA72855"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1</w:t>
            </w:r>
          </w:p>
        </w:tc>
      </w:tr>
      <w:tr w:rsidR="00B41534" w:rsidRPr="002B0D86" w14:paraId="3527FE2F" w14:textId="77777777" w:rsidTr="007160D4">
        <w:trPr>
          <w:trHeight w:val="112"/>
          <w:jc w:val="center"/>
        </w:trPr>
        <w:tc>
          <w:tcPr>
            <w:tcW w:w="4111" w:type="dxa"/>
            <w:tcBorders>
              <w:top w:val="nil"/>
              <w:left w:val="nil"/>
              <w:bottom w:val="nil"/>
              <w:right w:val="nil"/>
            </w:tcBorders>
            <w:shd w:val="clear" w:color="auto" w:fill="auto"/>
            <w:vAlign w:val="center"/>
          </w:tcPr>
          <w:p w14:paraId="4553AEFC" w14:textId="77777777" w:rsidR="00B41534" w:rsidRPr="00A40E69" w:rsidRDefault="00B41534" w:rsidP="007160D4">
            <w:pPr>
              <w:pStyle w:val="NoSpacing"/>
              <w:rPr>
                <w:rFonts w:ascii="Times New Roman" w:hAnsi="Times New Roman" w:cs="Times New Roman"/>
                <w:sz w:val="21"/>
                <w:lang w:val="en-US"/>
              </w:rPr>
            </w:pPr>
            <w:r w:rsidRPr="00A40E69">
              <w:rPr>
                <w:rFonts w:ascii="Times New Roman" w:hAnsi="Times New Roman" w:cs="Times New Roman"/>
                <w:sz w:val="21"/>
                <w:lang w:val="en-US"/>
              </w:rPr>
              <w:t>Poor health (</w:t>
            </w:r>
            <w:r w:rsidRPr="00A40E69">
              <w:rPr>
                <w:rFonts w:ascii="Times New Roman" w:hAnsi="Times New Roman" w:cs="Times New Roman"/>
                <w:b/>
                <w:sz w:val="21"/>
                <w:lang w:val="en-US"/>
              </w:rPr>
              <w:t>Ref</w:t>
            </w:r>
            <w:r w:rsidRPr="00A40E69">
              <w:rPr>
                <w:rFonts w:ascii="Times New Roman" w:hAnsi="Times New Roman" w:cs="Times New Roman"/>
                <w:sz w:val="21"/>
                <w:lang w:val="en-US"/>
              </w:rPr>
              <w:t>.)</w:t>
            </w:r>
          </w:p>
        </w:tc>
        <w:tc>
          <w:tcPr>
            <w:tcW w:w="851" w:type="dxa"/>
            <w:gridSpan w:val="2"/>
            <w:tcBorders>
              <w:top w:val="nil"/>
              <w:left w:val="nil"/>
              <w:bottom w:val="nil"/>
              <w:right w:val="nil"/>
            </w:tcBorders>
            <w:shd w:val="clear" w:color="auto" w:fill="auto"/>
            <w:noWrap/>
            <w:vAlign w:val="center"/>
          </w:tcPr>
          <w:p w14:paraId="366CDE2D"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11,640</w:t>
            </w:r>
          </w:p>
        </w:tc>
        <w:tc>
          <w:tcPr>
            <w:tcW w:w="992" w:type="dxa"/>
            <w:tcBorders>
              <w:top w:val="nil"/>
              <w:left w:val="nil"/>
              <w:bottom w:val="nil"/>
              <w:right w:val="nil"/>
            </w:tcBorders>
            <w:shd w:val="clear" w:color="auto" w:fill="auto"/>
            <w:noWrap/>
            <w:vAlign w:val="center"/>
          </w:tcPr>
          <w:p w14:paraId="09943C04"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0.0811</w:t>
            </w:r>
          </w:p>
        </w:tc>
        <w:tc>
          <w:tcPr>
            <w:tcW w:w="992" w:type="dxa"/>
            <w:tcBorders>
              <w:top w:val="nil"/>
              <w:left w:val="nil"/>
              <w:bottom w:val="nil"/>
              <w:right w:val="nil"/>
            </w:tcBorders>
            <w:shd w:val="clear" w:color="auto" w:fill="auto"/>
            <w:noWrap/>
            <w:vAlign w:val="center"/>
          </w:tcPr>
          <w:p w14:paraId="16CF2CDD"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0.2730</w:t>
            </w:r>
          </w:p>
        </w:tc>
        <w:tc>
          <w:tcPr>
            <w:tcW w:w="992" w:type="dxa"/>
            <w:tcBorders>
              <w:top w:val="nil"/>
              <w:left w:val="nil"/>
              <w:bottom w:val="nil"/>
              <w:right w:val="nil"/>
            </w:tcBorders>
            <w:shd w:val="clear" w:color="auto" w:fill="auto"/>
            <w:noWrap/>
            <w:vAlign w:val="center"/>
          </w:tcPr>
          <w:p w14:paraId="24F8D1BC"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0</w:t>
            </w:r>
          </w:p>
        </w:tc>
        <w:tc>
          <w:tcPr>
            <w:tcW w:w="1088" w:type="dxa"/>
            <w:tcBorders>
              <w:top w:val="nil"/>
              <w:left w:val="nil"/>
              <w:bottom w:val="nil"/>
              <w:right w:val="nil"/>
            </w:tcBorders>
            <w:shd w:val="clear" w:color="auto" w:fill="auto"/>
            <w:noWrap/>
            <w:vAlign w:val="center"/>
          </w:tcPr>
          <w:p w14:paraId="7892DCA7"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1</w:t>
            </w:r>
          </w:p>
        </w:tc>
      </w:tr>
      <w:tr w:rsidR="00B41534" w:rsidRPr="002B0D86" w14:paraId="6D126A65" w14:textId="77777777" w:rsidTr="007160D4">
        <w:trPr>
          <w:trHeight w:val="130"/>
          <w:jc w:val="center"/>
        </w:trPr>
        <w:tc>
          <w:tcPr>
            <w:tcW w:w="4111" w:type="dxa"/>
            <w:tcBorders>
              <w:top w:val="nil"/>
              <w:left w:val="nil"/>
              <w:bottom w:val="nil"/>
              <w:right w:val="nil"/>
            </w:tcBorders>
            <w:shd w:val="clear" w:color="auto" w:fill="auto"/>
            <w:vAlign w:val="center"/>
            <w:hideMark/>
          </w:tcPr>
          <w:p w14:paraId="5A4F334E" w14:textId="77777777" w:rsidR="00B41534" w:rsidRPr="00A40E69" w:rsidRDefault="00B41534" w:rsidP="007160D4">
            <w:pPr>
              <w:pStyle w:val="NoSpacing"/>
              <w:rPr>
                <w:rFonts w:ascii="Times New Roman" w:hAnsi="Times New Roman" w:cs="Times New Roman"/>
                <w:sz w:val="21"/>
                <w:lang w:val="en-US"/>
              </w:rPr>
            </w:pPr>
            <w:r w:rsidRPr="00A40E69">
              <w:rPr>
                <w:rFonts w:ascii="Times New Roman" w:hAnsi="Times New Roman" w:cs="Times New Roman"/>
                <w:sz w:val="21"/>
                <w:lang w:val="en-US"/>
              </w:rPr>
              <w:t>Urban</w:t>
            </w:r>
          </w:p>
        </w:tc>
        <w:tc>
          <w:tcPr>
            <w:tcW w:w="851" w:type="dxa"/>
            <w:gridSpan w:val="2"/>
            <w:tcBorders>
              <w:top w:val="nil"/>
              <w:left w:val="nil"/>
              <w:bottom w:val="nil"/>
              <w:right w:val="nil"/>
            </w:tcBorders>
            <w:shd w:val="clear" w:color="auto" w:fill="auto"/>
            <w:noWrap/>
            <w:vAlign w:val="center"/>
            <w:hideMark/>
          </w:tcPr>
          <w:p w14:paraId="2B701632"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11,640</w:t>
            </w:r>
          </w:p>
        </w:tc>
        <w:tc>
          <w:tcPr>
            <w:tcW w:w="992" w:type="dxa"/>
            <w:tcBorders>
              <w:top w:val="nil"/>
              <w:left w:val="nil"/>
              <w:bottom w:val="nil"/>
              <w:right w:val="nil"/>
            </w:tcBorders>
            <w:shd w:val="clear" w:color="auto" w:fill="auto"/>
            <w:noWrap/>
            <w:vAlign w:val="center"/>
            <w:hideMark/>
          </w:tcPr>
          <w:p w14:paraId="0610545C"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0.3747</w:t>
            </w:r>
          </w:p>
        </w:tc>
        <w:tc>
          <w:tcPr>
            <w:tcW w:w="992" w:type="dxa"/>
            <w:tcBorders>
              <w:top w:val="nil"/>
              <w:left w:val="nil"/>
              <w:bottom w:val="nil"/>
              <w:right w:val="nil"/>
            </w:tcBorders>
            <w:shd w:val="clear" w:color="auto" w:fill="auto"/>
            <w:noWrap/>
            <w:vAlign w:val="center"/>
            <w:hideMark/>
          </w:tcPr>
          <w:p w14:paraId="3B80F8E2"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0.4841</w:t>
            </w:r>
          </w:p>
        </w:tc>
        <w:tc>
          <w:tcPr>
            <w:tcW w:w="992" w:type="dxa"/>
            <w:tcBorders>
              <w:top w:val="nil"/>
              <w:left w:val="nil"/>
              <w:bottom w:val="nil"/>
              <w:right w:val="nil"/>
            </w:tcBorders>
            <w:shd w:val="clear" w:color="auto" w:fill="auto"/>
            <w:noWrap/>
            <w:vAlign w:val="center"/>
            <w:hideMark/>
          </w:tcPr>
          <w:p w14:paraId="5DD8B710"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0</w:t>
            </w:r>
          </w:p>
        </w:tc>
        <w:tc>
          <w:tcPr>
            <w:tcW w:w="1088" w:type="dxa"/>
            <w:tcBorders>
              <w:top w:val="nil"/>
              <w:left w:val="nil"/>
              <w:bottom w:val="nil"/>
              <w:right w:val="nil"/>
            </w:tcBorders>
            <w:shd w:val="clear" w:color="auto" w:fill="auto"/>
            <w:noWrap/>
            <w:vAlign w:val="center"/>
            <w:hideMark/>
          </w:tcPr>
          <w:p w14:paraId="5DF3CD28"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1</w:t>
            </w:r>
          </w:p>
        </w:tc>
      </w:tr>
      <w:tr w:rsidR="00B41534" w:rsidRPr="002B0D86" w14:paraId="5273AED4" w14:textId="77777777" w:rsidTr="007160D4">
        <w:trPr>
          <w:trHeight w:val="80"/>
          <w:jc w:val="center"/>
        </w:trPr>
        <w:tc>
          <w:tcPr>
            <w:tcW w:w="4111" w:type="dxa"/>
            <w:tcBorders>
              <w:top w:val="nil"/>
              <w:left w:val="nil"/>
              <w:bottom w:val="nil"/>
              <w:right w:val="nil"/>
            </w:tcBorders>
            <w:shd w:val="clear" w:color="auto" w:fill="auto"/>
            <w:vAlign w:val="center"/>
            <w:hideMark/>
          </w:tcPr>
          <w:p w14:paraId="76888FFC" w14:textId="77777777" w:rsidR="00B41534" w:rsidRPr="00A40E69" w:rsidRDefault="00B41534" w:rsidP="007160D4">
            <w:pPr>
              <w:pStyle w:val="NoSpacing"/>
              <w:rPr>
                <w:rFonts w:ascii="Times New Roman" w:hAnsi="Times New Roman" w:cs="Times New Roman"/>
                <w:sz w:val="21"/>
                <w:lang w:val="en-US"/>
              </w:rPr>
            </w:pPr>
          </w:p>
        </w:tc>
        <w:tc>
          <w:tcPr>
            <w:tcW w:w="851" w:type="dxa"/>
            <w:gridSpan w:val="2"/>
            <w:tcBorders>
              <w:top w:val="nil"/>
              <w:left w:val="nil"/>
              <w:bottom w:val="nil"/>
              <w:right w:val="nil"/>
            </w:tcBorders>
            <w:shd w:val="clear" w:color="auto" w:fill="auto"/>
            <w:vAlign w:val="center"/>
            <w:hideMark/>
          </w:tcPr>
          <w:p w14:paraId="7008BAF1" w14:textId="77777777" w:rsidR="00B41534" w:rsidRPr="00A40E69" w:rsidRDefault="00B41534" w:rsidP="007160D4">
            <w:pPr>
              <w:pStyle w:val="NoSpacing"/>
              <w:jc w:val="center"/>
              <w:rPr>
                <w:rFonts w:ascii="Times New Roman" w:hAnsi="Times New Roman" w:cs="Times New Roman"/>
                <w:sz w:val="21"/>
                <w:lang w:val="en-US"/>
              </w:rPr>
            </w:pPr>
          </w:p>
        </w:tc>
        <w:tc>
          <w:tcPr>
            <w:tcW w:w="992" w:type="dxa"/>
            <w:tcBorders>
              <w:top w:val="nil"/>
              <w:left w:val="nil"/>
              <w:bottom w:val="nil"/>
              <w:right w:val="nil"/>
            </w:tcBorders>
            <w:shd w:val="clear" w:color="auto" w:fill="auto"/>
            <w:vAlign w:val="center"/>
            <w:hideMark/>
          </w:tcPr>
          <w:p w14:paraId="19F8AE42" w14:textId="77777777" w:rsidR="00B41534" w:rsidRPr="00A40E69" w:rsidRDefault="00B41534" w:rsidP="007160D4">
            <w:pPr>
              <w:pStyle w:val="NoSpacing"/>
              <w:jc w:val="center"/>
              <w:rPr>
                <w:rFonts w:ascii="Times New Roman" w:hAnsi="Times New Roman" w:cs="Times New Roman"/>
                <w:sz w:val="21"/>
                <w:lang w:val="en-US"/>
              </w:rPr>
            </w:pPr>
          </w:p>
        </w:tc>
        <w:tc>
          <w:tcPr>
            <w:tcW w:w="992" w:type="dxa"/>
            <w:tcBorders>
              <w:top w:val="nil"/>
              <w:left w:val="nil"/>
              <w:bottom w:val="nil"/>
              <w:right w:val="nil"/>
            </w:tcBorders>
            <w:shd w:val="clear" w:color="auto" w:fill="auto"/>
            <w:vAlign w:val="center"/>
            <w:hideMark/>
          </w:tcPr>
          <w:p w14:paraId="7441D372" w14:textId="77777777" w:rsidR="00B41534" w:rsidRPr="00A40E69" w:rsidRDefault="00B41534" w:rsidP="007160D4">
            <w:pPr>
              <w:pStyle w:val="NoSpacing"/>
              <w:jc w:val="center"/>
              <w:rPr>
                <w:rFonts w:ascii="Times New Roman" w:hAnsi="Times New Roman" w:cs="Times New Roman"/>
                <w:sz w:val="21"/>
                <w:lang w:val="en-US"/>
              </w:rPr>
            </w:pPr>
          </w:p>
        </w:tc>
        <w:tc>
          <w:tcPr>
            <w:tcW w:w="992" w:type="dxa"/>
            <w:tcBorders>
              <w:top w:val="nil"/>
              <w:left w:val="nil"/>
              <w:bottom w:val="nil"/>
              <w:right w:val="nil"/>
            </w:tcBorders>
            <w:shd w:val="clear" w:color="auto" w:fill="auto"/>
            <w:vAlign w:val="center"/>
            <w:hideMark/>
          </w:tcPr>
          <w:p w14:paraId="1C59A278" w14:textId="77777777" w:rsidR="00B41534" w:rsidRPr="00A40E69" w:rsidRDefault="00B41534" w:rsidP="007160D4">
            <w:pPr>
              <w:pStyle w:val="NoSpacing"/>
              <w:jc w:val="center"/>
              <w:rPr>
                <w:rFonts w:ascii="Times New Roman" w:hAnsi="Times New Roman" w:cs="Times New Roman"/>
                <w:sz w:val="21"/>
                <w:lang w:val="en-US"/>
              </w:rPr>
            </w:pPr>
          </w:p>
        </w:tc>
        <w:tc>
          <w:tcPr>
            <w:tcW w:w="1088" w:type="dxa"/>
            <w:tcBorders>
              <w:top w:val="nil"/>
              <w:left w:val="nil"/>
              <w:bottom w:val="nil"/>
              <w:right w:val="nil"/>
            </w:tcBorders>
            <w:shd w:val="clear" w:color="auto" w:fill="auto"/>
            <w:vAlign w:val="center"/>
            <w:hideMark/>
          </w:tcPr>
          <w:p w14:paraId="35BA985B" w14:textId="77777777" w:rsidR="00B41534" w:rsidRPr="00A40E69" w:rsidRDefault="00B41534" w:rsidP="007160D4">
            <w:pPr>
              <w:pStyle w:val="NoSpacing"/>
              <w:jc w:val="center"/>
              <w:rPr>
                <w:rFonts w:ascii="Times New Roman" w:hAnsi="Times New Roman" w:cs="Times New Roman"/>
                <w:sz w:val="21"/>
                <w:lang w:val="en-US"/>
              </w:rPr>
            </w:pPr>
          </w:p>
        </w:tc>
      </w:tr>
      <w:tr w:rsidR="00B41534" w:rsidRPr="002B0D86" w14:paraId="108DE252" w14:textId="77777777" w:rsidTr="007160D4">
        <w:trPr>
          <w:trHeight w:val="158"/>
          <w:jc w:val="center"/>
        </w:trPr>
        <w:tc>
          <w:tcPr>
            <w:tcW w:w="9026" w:type="dxa"/>
            <w:gridSpan w:val="7"/>
            <w:tcBorders>
              <w:top w:val="nil"/>
              <w:left w:val="nil"/>
              <w:bottom w:val="nil"/>
              <w:right w:val="nil"/>
            </w:tcBorders>
            <w:shd w:val="clear" w:color="auto" w:fill="auto"/>
            <w:vAlign w:val="center"/>
            <w:hideMark/>
          </w:tcPr>
          <w:p w14:paraId="3B06D7B4" w14:textId="77777777" w:rsidR="00B41534" w:rsidRPr="00A40E69" w:rsidRDefault="00B41534" w:rsidP="007160D4">
            <w:pPr>
              <w:pStyle w:val="NoSpacing"/>
              <w:rPr>
                <w:rFonts w:ascii="Times New Roman" w:hAnsi="Times New Roman" w:cs="Times New Roman"/>
                <w:b/>
                <w:sz w:val="21"/>
                <w:lang w:val="en-US"/>
              </w:rPr>
            </w:pPr>
            <w:r w:rsidRPr="00A40E69">
              <w:rPr>
                <w:rFonts w:ascii="Times New Roman" w:hAnsi="Times New Roman" w:cs="Times New Roman"/>
                <w:b/>
                <w:sz w:val="21"/>
                <w:lang w:val="en-US"/>
              </w:rPr>
              <w:t>Financial status</w:t>
            </w:r>
          </w:p>
        </w:tc>
      </w:tr>
      <w:tr w:rsidR="00B41534" w:rsidRPr="002B0D86" w14:paraId="73DC8678" w14:textId="77777777" w:rsidTr="007160D4">
        <w:trPr>
          <w:trHeight w:val="270"/>
          <w:jc w:val="center"/>
        </w:trPr>
        <w:tc>
          <w:tcPr>
            <w:tcW w:w="4111" w:type="dxa"/>
            <w:tcBorders>
              <w:top w:val="nil"/>
              <w:left w:val="nil"/>
              <w:bottom w:val="nil"/>
              <w:right w:val="nil"/>
            </w:tcBorders>
            <w:shd w:val="clear" w:color="auto" w:fill="auto"/>
            <w:vAlign w:val="center"/>
            <w:hideMark/>
          </w:tcPr>
          <w:p w14:paraId="2E3013AB" w14:textId="77777777" w:rsidR="00B41534" w:rsidRPr="00A40E69" w:rsidRDefault="00B41534" w:rsidP="007160D4">
            <w:pPr>
              <w:pStyle w:val="NoSpacing"/>
              <w:rPr>
                <w:rFonts w:ascii="Times New Roman" w:hAnsi="Times New Roman" w:cs="Times New Roman"/>
                <w:sz w:val="21"/>
                <w:lang w:val="en-US"/>
              </w:rPr>
            </w:pPr>
            <w:r w:rsidRPr="00A40E69">
              <w:rPr>
                <w:rFonts w:ascii="Times New Roman" w:hAnsi="Times New Roman" w:cs="Times New Roman"/>
                <w:sz w:val="21"/>
                <w:lang w:val="en-US"/>
              </w:rPr>
              <w:t>Income (logarithm)</w:t>
            </w:r>
          </w:p>
        </w:tc>
        <w:tc>
          <w:tcPr>
            <w:tcW w:w="851" w:type="dxa"/>
            <w:gridSpan w:val="2"/>
            <w:tcBorders>
              <w:top w:val="nil"/>
              <w:left w:val="nil"/>
              <w:bottom w:val="nil"/>
              <w:right w:val="nil"/>
            </w:tcBorders>
            <w:shd w:val="clear" w:color="auto" w:fill="auto"/>
            <w:noWrap/>
            <w:vAlign w:val="center"/>
            <w:hideMark/>
          </w:tcPr>
          <w:p w14:paraId="056F6396"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11,640</w:t>
            </w:r>
          </w:p>
        </w:tc>
        <w:tc>
          <w:tcPr>
            <w:tcW w:w="992" w:type="dxa"/>
            <w:tcBorders>
              <w:top w:val="nil"/>
              <w:left w:val="nil"/>
              <w:bottom w:val="nil"/>
              <w:right w:val="nil"/>
            </w:tcBorders>
            <w:shd w:val="clear" w:color="auto" w:fill="auto"/>
            <w:noWrap/>
            <w:vAlign w:val="center"/>
            <w:hideMark/>
          </w:tcPr>
          <w:p w14:paraId="1D4C2A84"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9.</w:t>
            </w:r>
            <w:r>
              <w:rPr>
                <w:rFonts w:ascii="Times New Roman" w:hAnsi="Times New Roman" w:cs="Times New Roman"/>
                <w:sz w:val="21"/>
                <w:lang w:val="en-US"/>
              </w:rPr>
              <w:t>7246</w:t>
            </w:r>
          </w:p>
        </w:tc>
        <w:tc>
          <w:tcPr>
            <w:tcW w:w="992" w:type="dxa"/>
            <w:tcBorders>
              <w:top w:val="nil"/>
              <w:left w:val="nil"/>
              <w:bottom w:val="nil"/>
              <w:right w:val="nil"/>
            </w:tcBorders>
            <w:shd w:val="clear" w:color="auto" w:fill="auto"/>
            <w:noWrap/>
            <w:vAlign w:val="center"/>
            <w:hideMark/>
          </w:tcPr>
          <w:p w14:paraId="0E07C633"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1.</w:t>
            </w:r>
            <w:r>
              <w:rPr>
                <w:rFonts w:ascii="Times New Roman" w:hAnsi="Times New Roman" w:cs="Times New Roman"/>
                <w:sz w:val="21"/>
                <w:lang w:val="en-US"/>
              </w:rPr>
              <w:t>5921</w:t>
            </w:r>
          </w:p>
        </w:tc>
        <w:tc>
          <w:tcPr>
            <w:tcW w:w="992" w:type="dxa"/>
            <w:tcBorders>
              <w:top w:val="nil"/>
              <w:left w:val="nil"/>
              <w:bottom w:val="nil"/>
              <w:right w:val="nil"/>
            </w:tcBorders>
            <w:shd w:val="clear" w:color="auto" w:fill="auto"/>
            <w:noWrap/>
            <w:vAlign w:val="center"/>
            <w:hideMark/>
          </w:tcPr>
          <w:p w14:paraId="5B4B4780" w14:textId="77777777" w:rsidR="00B41534" w:rsidRPr="00A40E69" w:rsidRDefault="00B41534" w:rsidP="007160D4">
            <w:pPr>
              <w:pStyle w:val="NoSpacing"/>
              <w:jc w:val="center"/>
              <w:rPr>
                <w:rFonts w:ascii="Times New Roman" w:hAnsi="Times New Roman" w:cs="Times New Roman"/>
                <w:sz w:val="21"/>
                <w:lang w:val="en-US"/>
              </w:rPr>
            </w:pPr>
            <w:r>
              <w:rPr>
                <w:rFonts w:ascii="Times New Roman" w:hAnsi="Times New Roman" w:cs="Times New Roman"/>
                <w:sz w:val="21"/>
                <w:lang w:val="en-US"/>
              </w:rPr>
              <w:t>0</w:t>
            </w:r>
          </w:p>
        </w:tc>
        <w:tc>
          <w:tcPr>
            <w:tcW w:w="1088" w:type="dxa"/>
            <w:tcBorders>
              <w:top w:val="nil"/>
              <w:left w:val="nil"/>
              <w:bottom w:val="nil"/>
              <w:right w:val="nil"/>
            </w:tcBorders>
            <w:shd w:val="clear" w:color="auto" w:fill="auto"/>
            <w:noWrap/>
            <w:vAlign w:val="center"/>
            <w:hideMark/>
          </w:tcPr>
          <w:p w14:paraId="7202E372"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12.</w:t>
            </w:r>
            <w:r>
              <w:rPr>
                <w:rFonts w:ascii="Times New Roman" w:hAnsi="Times New Roman" w:cs="Times New Roman"/>
                <w:sz w:val="21"/>
                <w:lang w:val="en-US"/>
              </w:rPr>
              <w:t>7002</w:t>
            </w:r>
          </w:p>
        </w:tc>
      </w:tr>
      <w:tr w:rsidR="00B41534" w:rsidRPr="002B0D86" w14:paraId="4685CEF9" w14:textId="77777777" w:rsidTr="007160D4">
        <w:trPr>
          <w:trHeight w:val="231"/>
          <w:jc w:val="center"/>
        </w:trPr>
        <w:tc>
          <w:tcPr>
            <w:tcW w:w="4111" w:type="dxa"/>
            <w:tcBorders>
              <w:top w:val="nil"/>
              <w:left w:val="nil"/>
              <w:bottom w:val="nil"/>
              <w:right w:val="nil"/>
            </w:tcBorders>
            <w:shd w:val="clear" w:color="auto" w:fill="auto"/>
            <w:vAlign w:val="center"/>
          </w:tcPr>
          <w:p w14:paraId="6E1FA5BF" w14:textId="77777777" w:rsidR="00B41534" w:rsidRPr="00A40E69" w:rsidRDefault="00B41534" w:rsidP="007160D4">
            <w:pPr>
              <w:pStyle w:val="NoSpacing"/>
              <w:rPr>
                <w:rFonts w:ascii="Times New Roman" w:hAnsi="Times New Roman" w:cs="Times New Roman"/>
                <w:sz w:val="21"/>
                <w:lang w:val="en-US"/>
              </w:rPr>
            </w:pPr>
            <w:r w:rsidRPr="00A40E69">
              <w:rPr>
                <w:rFonts w:ascii="Times New Roman" w:hAnsi="Times New Roman" w:cs="Times New Roman"/>
                <w:sz w:val="21"/>
                <w:lang w:val="en-US"/>
              </w:rPr>
              <w:t>Income (Yuan)</w:t>
            </w:r>
          </w:p>
        </w:tc>
        <w:tc>
          <w:tcPr>
            <w:tcW w:w="851" w:type="dxa"/>
            <w:gridSpan w:val="2"/>
            <w:tcBorders>
              <w:top w:val="nil"/>
              <w:left w:val="nil"/>
              <w:bottom w:val="nil"/>
              <w:right w:val="nil"/>
            </w:tcBorders>
            <w:shd w:val="clear" w:color="auto" w:fill="auto"/>
            <w:noWrap/>
            <w:vAlign w:val="center"/>
          </w:tcPr>
          <w:p w14:paraId="4F268FD7"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11,640</w:t>
            </w:r>
          </w:p>
        </w:tc>
        <w:tc>
          <w:tcPr>
            <w:tcW w:w="992" w:type="dxa"/>
            <w:tcBorders>
              <w:top w:val="nil"/>
              <w:left w:val="nil"/>
              <w:bottom w:val="nil"/>
              <w:right w:val="nil"/>
            </w:tcBorders>
            <w:shd w:val="clear" w:color="auto" w:fill="auto"/>
            <w:noWrap/>
            <w:vAlign w:val="center"/>
          </w:tcPr>
          <w:p w14:paraId="156903E6"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3</w:t>
            </w:r>
            <w:r>
              <w:rPr>
                <w:rFonts w:ascii="Times New Roman" w:hAnsi="Times New Roman" w:cs="Times New Roman"/>
                <w:sz w:val="21"/>
                <w:lang w:val="en-US"/>
              </w:rPr>
              <w:t>4</w:t>
            </w:r>
            <w:r w:rsidRPr="00A40E69">
              <w:rPr>
                <w:rFonts w:ascii="Times New Roman" w:hAnsi="Times New Roman" w:cs="Times New Roman"/>
                <w:sz w:val="21"/>
                <w:lang w:val="en-US"/>
              </w:rPr>
              <w:t>,</w:t>
            </w:r>
            <w:r>
              <w:rPr>
                <w:rFonts w:ascii="Times New Roman" w:hAnsi="Times New Roman" w:cs="Times New Roman"/>
                <w:sz w:val="21"/>
                <w:lang w:val="en-US"/>
              </w:rPr>
              <w:t>345</w:t>
            </w:r>
          </w:p>
        </w:tc>
        <w:tc>
          <w:tcPr>
            <w:tcW w:w="992" w:type="dxa"/>
            <w:tcBorders>
              <w:top w:val="nil"/>
              <w:left w:val="nil"/>
              <w:bottom w:val="nil"/>
              <w:right w:val="nil"/>
            </w:tcBorders>
            <w:shd w:val="clear" w:color="auto" w:fill="auto"/>
            <w:noWrap/>
            <w:vAlign w:val="center"/>
          </w:tcPr>
          <w:p w14:paraId="78C74B65"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3</w:t>
            </w:r>
            <w:r>
              <w:rPr>
                <w:rFonts w:ascii="Times New Roman" w:hAnsi="Times New Roman" w:cs="Times New Roman"/>
                <w:sz w:val="21"/>
                <w:lang w:val="en-US"/>
              </w:rPr>
              <w:t>7442</w:t>
            </w:r>
          </w:p>
        </w:tc>
        <w:tc>
          <w:tcPr>
            <w:tcW w:w="992" w:type="dxa"/>
            <w:tcBorders>
              <w:top w:val="nil"/>
              <w:left w:val="nil"/>
              <w:bottom w:val="nil"/>
              <w:right w:val="nil"/>
            </w:tcBorders>
            <w:shd w:val="clear" w:color="auto" w:fill="auto"/>
            <w:noWrap/>
            <w:vAlign w:val="center"/>
          </w:tcPr>
          <w:p w14:paraId="10A44E6A" w14:textId="77777777" w:rsidR="00B41534" w:rsidRPr="00A40E69" w:rsidRDefault="00B41534" w:rsidP="007160D4">
            <w:pPr>
              <w:pStyle w:val="NoSpacing"/>
              <w:jc w:val="center"/>
              <w:rPr>
                <w:rFonts w:ascii="Times New Roman" w:hAnsi="Times New Roman" w:cs="Times New Roman"/>
                <w:sz w:val="21"/>
                <w:lang w:val="en-US"/>
              </w:rPr>
            </w:pPr>
            <w:r>
              <w:rPr>
                <w:rFonts w:ascii="Times New Roman" w:hAnsi="Times New Roman" w:cs="Times New Roman"/>
                <w:sz w:val="21"/>
                <w:lang w:val="en-US"/>
              </w:rPr>
              <w:t>0</w:t>
            </w:r>
          </w:p>
        </w:tc>
        <w:tc>
          <w:tcPr>
            <w:tcW w:w="1088" w:type="dxa"/>
            <w:tcBorders>
              <w:top w:val="nil"/>
              <w:left w:val="nil"/>
              <w:bottom w:val="nil"/>
              <w:right w:val="nil"/>
            </w:tcBorders>
            <w:shd w:val="clear" w:color="auto" w:fill="auto"/>
            <w:noWrap/>
            <w:vAlign w:val="center"/>
          </w:tcPr>
          <w:p w14:paraId="0A610191" w14:textId="77777777" w:rsidR="00B41534" w:rsidRPr="00A40E69" w:rsidRDefault="00B41534" w:rsidP="007160D4">
            <w:pPr>
              <w:pStyle w:val="NoSpacing"/>
              <w:jc w:val="center"/>
              <w:rPr>
                <w:rFonts w:ascii="Times New Roman" w:hAnsi="Times New Roman" w:cs="Times New Roman"/>
                <w:sz w:val="21"/>
                <w:lang w:val="en-US"/>
              </w:rPr>
            </w:pPr>
            <w:r>
              <w:rPr>
                <w:rFonts w:ascii="Times New Roman" w:hAnsi="Times New Roman" w:cs="Times New Roman"/>
                <w:sz w:val="21"/>
                <w:lang w:val="en-US"/>
              </w:rPr>
              <w:t>327,800</w:t>
            </w:r>
          </w:p>
        </w:tc>
      </w:tr>
      <w:tr w:rsidR="00B41534" w:rsidRPr="002B0D86" w14:paraId="333D338E" w14:textId="77777777" w:rsidTr="007160D4">
        <w:trPr>
          <w:trHeight w:val="194"/>
          <w:jc w:val="center"/>
        </w:trPr>
        <w:tc>
          <w:tcPr>
            <w:tcW w:w="4111" w:type="dxa"/>
            <w:tcBorders>
              <w:top w:val="nil"/>
              <w:left w:val="nil"/>
              <w:bottom w:val="nil"/>
              <w:right w:val="nil"/>
            </w:tcBorders>
            <w:shd w:val="clear" w:color="auto" w:fill="auto"/>
            <w:vAlign w:val="center"/>
            <w:hideMark/>
          </w:tcPr>
          <w:p w14:paraId="1662023F" w14:textId="77777777" w:rsidR="00B41534" w:rsidRPr="00A40E69" w:rsidRDefault="00B41534" w:rsidP="007160D4">
            <w:pPr>
              <w:pStyle w:val="NoSpacing"/>
              <w:rPr>
                <w:rFonts w:ascii="Times New Roman" w:hAnsi="Times New Roman" w:cs="Times New Roman"/>
                <w:sz w:val="21"/>
                <w:lang w:val="en-US"/>
              </w:rPr>
            </w:pPr>
            <w:r w:rsidRPr="00A40E69">
              <w:rPr>
                <w:rFonts w:ascii="Times New Roman" w:hAnsi="Times New Roman" w:cs="Times New Roman"/>
                <w:sz w:val="21"/>
                <w:lang w:val="en-US"/>
              </w:rPr>
              <w:t>Wealth (logarithm)</w:t>
            </w:r>
          </w:p>
        </w:tc>
        <w:tc>
          <w:tcPr>
            <w:tcW w:w="851" w:type="dxa"/>
            <w:gridSpan w:val="2"/>
            <w:tcBorders>
              <w:top w:val="nil"/>
              <w:left w:val="nil"/>
              <w:bottom w:val="nil"/>
              <w:right w:val="nil"/>
            </w:tcBorders>
            <w:shd w:val="clear" w:color="auto" w:fill="auto"/>
            <w:noWrap/>
            <w:vAlign w:val="center"/>
            <w:hideMark/>
          </w:tcPr>
          <w:p w14:paraId="48FCF1EB"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11,640</w:t>
            </w:r>
          </w:p>
        </w:tc>
        <w:tc>
          <w:tcPr>
            <w:tcW w:w="992" w:type="dxa"/>
            <w:tcBorders>
              <w:top w:val="nil"/>
              <w:left w:val="nil"/>
              <w:bottom w:val="nil"/>
              <w:right w:val="nil"/>
            </w:tcBorders>
            <w:shd w:val="clear" w:color="auto" w:fill="auto"/>
            <w:noWrap/>
            <w:vAlign w:val="center"/>
            <w:hideMark/>
          </w:tcPr>
          <w:p w14:paraId="2AD9A5B4"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6.1479</w:t>
            </w:r>
          </w:p>
        </w:tc>
        <w:tc>
          <w:tcPr>
            <w:tcW w:w="992" w:type="dxa"/>
            <w:tcBorders>
              <w:top w:val="nil"/>
              <w:left w:val="nil"/>
              <w:bottom w:val="nil"/>
              <w:right w:val="nil"/>
            </w:tcBorders>
            <w:shd w:val="clear" w:color="auto" w:fill="auto"/>
            <w:noWrap/>
            <w:vAlign w:val="center"/>
            <w:hideMark/>
          </w:tcPr>
          <w:p w14:paraId="7AB6C25A"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3.3184</w:t>
            </w:r>
          </w:p>
        </w:tc>
        <w:tc>
          <w:tcPr>
            <w:tcW w:w="992" w:type="dxa"/>
            <w:tcBorders>
              <w:top w:val="nil"/>
              <w:left w:val="nil"/>
              <w:bottom w:val="nil"/>
              <w:right w:val="nil"/>
            </w:tcBorders>
            <w:shd w:val="clear" w:color="auto" w:fill="auto"/>
            <w:noWrap/>
            <w:vAlign w:val="center"/>
            <w:hideMark/>
          </w:tcPr>
          <w:p w14:paraId="504B0057"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0</w:t>
            </w:r>
          </w:p>
        </w:tc>
        <w:tc>
          <w:tcPr>
            <w:tcW w:w="1088" w:type="dxa"/>
            <w:tcBorders>
              <w:top w:val="nil"/>
              <w:left w:val="nil"/>
              <w:bottom w:val="nil"/>
              <w:right w:val="nil"/>
            </w:tcBorders>
            <w:shd w:val="clear" w:color="auto" w:fill="auto"/>
            <w:noWrap/>
            <w:vAlign w:val="center"/>
            <w:hideMark/>
          </w:tcPr>
          <w:p w14:paraId="6858D701"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12.3458</w:t>
            </w:r>
          </w:p>
        </w:tc>
      </w:tr>
      <w:tr w:rsidR="00B41534" w:rsidRPr="002B0D86" w14:paraId="258B4CE2" w14:textId="77777777" w:rsidTr="007160D4">
        <w:trPr>
          <w:trHeight w:val="169"/>
          <w:jc w:val="center"/>
        </w:trPr>
        <w:tc>
          <w:tcPr>
            <w:tcW w:w="4111" w:type="dxa"/>
            <w:tcBorders>
              <w:top w:val="nil"/>
              <w:left w:val="nil"/>
              <w:bottom w:val="nil"/>
              <w:right w:val="nil"/>
            </w:tcBorders>
            <w:shd w:val="clear" w:color="auto" w:fill="auto"/>
            <w:vAlign w:val="center"/>
          </w:tcPr>
          <w:p w14:paraId="4DEFA188" w14:textId="77777777" w:rsidR="00B41534" w:rsidRPr="00A40E69" w:rsidRDefault="00B41534" w:rsidP="007160D4">
            <w:pPr>
              <w:pStyle w:val="NoSpacing"/>
              <w:rPr>
                <w:rFonts w:ascii="Times New Roman" w:hAnsi="Times New Roman" w:cs="Times New Roman"/>
                <w:sz w:val="21"/>
                <w:lang w:val="en-US"/>
              </w:rPr>
            </w:pPr>
            <w:r w:rsidRPr="00A40E69">
              <w:rPr>
                <w:rFonts w:ascii="Times New Roman" w:hAnsi="Times New Roman" w:cs="Times New Roman"/>
                <w:sz w:val="21"/>
                <w:lang w:val="en-US"/>
              </w:rPr>
              <w:t>Wealth (Yuan)</w:t>
            </w:r>
          </w:p>
        </w:tc>
        <w:tc>
          <w:tcPr>
            <w:tcW w:w="851" w:type="dxa"/>
            <w:gridSpan w:val="2"/>
            <w:tcBorders>
              <w:top w:val="nil"/>
              <w:left w:val="nil"/>
              <w:bottom w:val="nil"/>
              <w:right w:val="nil"/>
            </w:tcBorders>
            <w:shd w:val="clear" w:color="auto" w:fill="auto"/>
            <w:noWrap/>
            <w:vAlign w:val="center"/>
          </w:tcPr>
          <w:p w14:paraId="7D14BB2A"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11,640</w:t>
            </w:r>
          </w:p>
        </w:tc>
        <w:tc>
          <w:tcPr>
            <w:tcW w:w="992" w:type="dxa"/>
            <w:tcBorders>
              <w:top w:val="nil"/>
              <w:left w:val="nil"/>
              <w:bottom w:val="nil"/>
              <w:right w:val="nil"/>
            </w:tcBorders>
            <w:shd w:val="clear" w:color="auto" w:fill="auto"/>
            <w:noWrap/>
            <w:vAlign w:val="center"/>
          </w:tcPr>
          <w:p w14:paraId="1F5D3584"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9,850</w:t>
            </w:r>
          </w:p>
        </w:tc>
        <w:tc>
          <w:tcPr>
            <w:tcW w:w="992" w:type="dxa"/>
            <w:tcBorders>
              <w:top w:val="nil"/>
              <w:left w:val="nil"/>
              <w:bottom w:val="nil"/>
              <w:right w:val="nil"/>
            </w:tcBorders>
            <w:shd w:val="clear" w:color="auto" w:fill="auto"/>
            <w:noWrap/>
            <w:vAlign w:val="center"/>
          </w:tcPr>
          <w:p w14:paraId="55DADB26"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25,862</w:t>
            </w:r>
          </w:p>
        </w:tc>
        <w:tc>
          <w:tcPr>
            <w:tcW w:w="992" w:type="dxa"/>
            <w:tcBorders>
              <w:top w:val="nil"/>
              <w:left w:val="nil"/>
              <w:bottom w:val="nil"/>
              <w:right w:val="nil"/>
            </w:tcBorders>
            <w:shd w:val="clear" w:color="auto" w:fill="auto"/>
            <w:noWrap/>
            <w:vAlign w:val="center"/>
          </w:tcPr>
          <w:p w14:paraId="4816249C"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0</w:t>
            </w:r>
          </w:p>
        </w:tc>
        <w:tc>
          <w:tcPr>
            <w:tcW w:w="1088" w:type="dxa"/>
            <w:tcBorders>
              <w:top w:val="nil"/>
              <w:left w:val="nil"/>
              <w:bottom w:val="nil"/>
              <w:right w:val="nil"/>
            </w:tcBorders>
            <w:shd w:val="clear" w:color="auto" w:fill="auto"/>
            <w:noWrap/>
            <w:vAlign w:val="center"/>
          </w:tcPr>
          <w:p w14:paraId="14874C6A"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230,000</w:t>
            </w:r>
          </w:p>
        </w:tc>
      </w:tr>
      <w:tr w:rsidR="00B41534" w:rsidRPr="002B0D86" w14:paraId="7159246F" w14:textId="77777777" w:rsidTr="007160D4">
        <w:trPr>
          <w:trHeight w:val="274"/>
          <w:jc w:val="center"/>
        </w:trPr>
        <w:tc>
          <w:tcPr>
            <w:tcW w:w="4111" w:type="dxa"/>
            <w:tcBorders>
              <w:top w:val="nil"/>
              <w:left w:val="nil"/>
              <w:bottom w:val="nil"/>
              <w:right w:val="nil"/>
            </w:tcBorders>
            <w:shd w:val="clear" w:color="auto" w:fill="auto"/>
            <w:vAlign w:val="center"/>
            <w:hideMark/>
          </w:tcPr>
          <w:p w14:paraId="6C1153CA" w14:textId="77777777" w:rsidR="00B41534" w:rsidRPr="00A40E69" w:rsidRDefault="00B41534" w:rsidP="007160D4">
            <w:pPr>
              <w:pStyle w:val="NoSpacing"/>
              <w:rPr>
                <w:rFonts w:ascii="Times New Roman" w:hAnsi="Times New Roman" w:cs="Times New Roman"/>
                <w:sz w:val="21"/>
                <w:lang w:val="en-US"/>
              </w:rPr>
            </w:pPr>
            <w:r w:rsidRPr="00A40E69">
              <w:rPr>
                <w:rFonts w:ascii="Times New Roman" w:hAnsi="Times New Roman" w:cs="Times New Roman"/>
                <w:sz w:val="21"/>
                <w:lang w:val="en-US"/>
              </w:rPr>
              <w:t>Ho</w:t>
            </w:r>
            <w:r>
              <w:rPr>
                <w:rFonts w:ascii="Times New Roman" w:hAnsi="Times New Roman" w:cs="Times New Roman"/>
                <w:sz w:val="21"/>
                <w:lang w:val="en-US"/>
              </w:rPr>
              <w:t>me</w:t>
            </w:r>
            <w:r w:rsidRPr="00A40E69">
              <w:rPr>
                <w:rFonts w:ascii="Times New Roman" w:hAnsi="Times New Roman" w:cs="Times New Roman"/>
                <w:sz w:val="21"/>
                <w:lang w:val="en-US"/>
              </w:rPr>
              <w:t xml:space="preserve"> ownership</w:t>
            </w:r>
          </w:p>
        </w:tc>
        <w:tc>
          <w:tcPr>
            <w:tcW w:w="851" w:type="dxa"/>
            <w:gridSpan w:val="2"/>
            <w:tcBorders>
              <w:top w:val="nil"/>
              <w:left w:val="nil"/>
              <w:bottom w:val="nil"/>
              <w:right w:val="nil"/>
            </w:tcBorders>
            <w:shd w:val="clear" w:color="auto" w:fill="auto"/>
            <w:noWrap/>
            <w:vAlign w:val="center"/>
            <w:hideMark/>
          </w:tcPr>
          <w:p w14:paraId="6FC8567B"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11,640</w:t>
            </w:r>
          </w:p>
        </w:tc>
        <w:tc>
          <w:tcPr>
            <w:tcW w:w="992" w:type="dxa"/>
            <w:tcBorders>
              <w:top w:val="nil"/>
              <w:left w:val="nil"/>
              <w:bottom w:val="nil"/>
              <w:right w:val="nil"/>
            </w:tcBorders>
            <w:shd w:val="clear" w:color="auto" w:fill="auto"/>
            <w:noWrap/>
            <w:vAlign w:val="center"/>
            <w:hideMark/>
          </w:tcPr>
          <w:p w14:paraId="73AA8E50"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0.8902</w:t>
            </w:r>
          </w:p>
        </w:tc>
        <w:tc>
          <w:tcPr>
            <w:tcW w:w="992" w:type="dxa"/>
            <w:tcBorders>
              <w:top w:val="nil"/>
              <w:left w:val="nil"/>
              <w:bottom w:val="nil"/>
              <w:right w:val="nil"/>
            </w:tcBorders>
            <w:shd w:val="clear" w:color="auto" w:fill="auto"/>
            <w:noWrap/>
            <w:vAlign w:val="center"/>
            <w:hideMark/>
          </w:tcPr>
          <w:p w14:paraId="712286F9"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0.3126</w:t>
            </w:r>
          </w:p>
        </w:tc>
        <w:tc>
          <w:tcPr>
            <w:tcW w:w="992" w:type="dxa"/>
            <w:tcBorders>
              <w:top w:val="nil"/>
              <w:left w:val="nil"/>
              <w:bottom w:val="nil"/>
              <w:right w:val="nil"/>
            </w:tcBorders>
            <w:shd w:val="clear" w:color="auto" w:fill="auto"/>
            <w:noWrap/>
            <w:vAlign w:val="center"/>
            <w:hideMark/>
          </w:tcPr>
          <w:p w14:paraId="54A0FEA9"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0</w:t>
            </w:r>
          </w:p>
        </w:tc>
        <w:tc>
          <w:tcPr>
            <w:tcW w:w="1088" w:type="dxa"/>
            <w:tcBorders>
              <w:top w:val="nil"/>
              <w:left w:val="nil"/>
              <w:bottom w:val="nil"/>
              <w:right w:val="nil"/>
            </w:tcBorders>
            <w:shd w:val="clear" w:color="auto" w:fill="auto"/>
            <w:noWrap/>
            <w:vAlign w:val="center"/>
            <w:hideMark/>
          </w:tcPr>
          <w:p w14:paraId="3F566B24"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1</w:t>
            </w:r>
          </w:p>
        </w:tc>
      </w:tr>
      <w:tr w:rsidR="00B41534" w:rsidRPr="002B0D86" w14:paraId="48290A34" w14:textId="77777777" w:rsidTr="007160D4">
        <w:trPr>
          <w:trHeight w:hRule="exact" w:val="236"/>
          <w:jc w:val="center"/>
        </w:trPr>
        <w:tc>
          <w:tcPr>
            <w:tcW w:w="4111" w:type="dxa"/>
            <w:tcBorders>
              <w:top w:val="nil"/>
              <w:left w:val="nil"/>
              <w:bottom w:val="nil"/>
              <w:right w:val="nil"/>
            </w:tcBorders>
            <w:shd w:val="clear" w:color="auto" w:fill="auto"/>
            <w:vAlign w:val="center"/>
          </w:tcPr>
          <w:p w14:paraId="03D7A6CC" w14:textId="77777777" w:rsidR="00B41534" w:rsidRPr="00A40E69" w:rsidRDefault="00B41534" w:rsidP="007160D4">
            <w:pPr>
              <w:pStyle w:val="NoSpacing"/>
              <w:rPr>
                <w:rFonts w:ascii="Times New Roman" w:hAnsi="Times New Roman" w:cs="Times New Roman"/>
                <w:sz w:val="21"/>
                <w:lang w:val="en-US"/>
              </w:rPr>
            </w:pPr>
          </w:p>
        </w:tc>
        <w:tc>
          <w:tcPr>
            <w:tcW w:w="851" w:type="dxa"/>
            <w:gridSpan w:val="2"/>
            <w:tcBorders>
              <w:top w:val="nil"/>
              <w:left w:val="nil"/>
              <w:bottom w:val="nil"/>
              <w:right w:val="nil"/>
            </w:tcBorders>
            <w:shd w:val="clear" w:color="auto" w:fill="auto"/>
            <w:vAlign w:val="center"/>
          </w:tcPr>
          <w:p w14:paraId="032685F4" w14:textId="77777777" w:rsidR="00B41534" w:rsidRPr="00A40E69" w:rsidRDefault="00B41534" w:rsidP="007160D4">
            <w:pPr>
              <w:pStyle w:val="NoSpacing"/>
              <w:jc w:val="center"/>
              <w:rPr>
                <w:rFonts w:ascii="Times New Roman" w:hAnsi="Times New Roman" w:cs="Times New Roman"/>
                <w:sz w:val="21"/>
                <w:lang w:val="en-US"/>
              </w:rPr>
            </w:pPr>
          </w:p>
        </w:tc>
        <w:tc>
          <w:tcPr>
            <w:tcW w:w="992" w:type="dxa"/>
            <w:tcBorders>
              <w:top w:val="nil"/>
              <w:left w:val="nil"/>
              <w:bottom w:val="nil"/>
              <w:right w:val="nil"/>
            </w:tcBorders>
            <w:shd w:val="clear" w:color="auto" w:fill="auto"/>
            <w:vAlign w:val="center"/>
          </w:tcPr>
          <w:p w14:paraId="77ED8AB3" w14:textId="77777777" w:rsidR="00B41534" w:rsidRPr="00A40E69" w:rsidRDefault="00B41534" w:rsidP="007160D4">
            <w:pPr>
              <w:pStyle w:val="NoSpacing"/>
              <w:jc w:val="center"/>
              <w:rPr>
                <w:rFonts w:ascii="Times New Roman" w:hAnsi="Times New Roman" w:cs="Times New Roman"/>
                <w:sz w:val="21"/>
                <w:lang w:val="en-US"/>
              </w:rPr>
            </w:pPr>
          </w:p>
        </w:tc>
        <w:tc>
          <w:tcPr>
            <w:tcW w:w="992" w:type="dxa"/>
            <w:tcBorders>
              <w:top w:val="nil"/>
              <w:left w:val="nil"/>
              <w:bottom w:val="nil"/>
              <w:right w:val="nil"/>
            </w:tcBorders>
            <w:shd w:val="clear" w:color="auto" w:fill="auto"/>
            <w:vAlign w:val="center"/>
          </w:tcPr>
          <w:p w14:paraId="6EEEE38C" w14:textId="77777777" w:rsidR="00B41534" w:rsidRPr="00A40E69" w:rsidRDefault="00B41534" w:rsidP="007160D4">
            <w:pPr>
              <w:pStyle w:val="NoSpacing"/>
              <w:jc w:val="center"/>
              <w:rPr>
                <w:rFonts w:ascii="Times New Roman" w:hAnsi="Times New Roman" w:cs="Times New Roman"/>
                <w:sz w:val="21"/>
                <w:lang w:val="en-US"/>
              </w:rPr>
            </w:pPr>
          </w:p>
        </w:tc>
        <w:tc>
          <w:tcPr>
            <w:tcW w:w="992" w:type="dxa"/>
            <w:tcBorders>
              <w:top w:val="nil"/>
              <w:left w:val="nil"/>
              <w:bottom w:val="nil"/>
              <w:right w:val="nil"/>
            </w:tcBorders>
            <w:shd w:val="clear" w:color="auto" w:fill="auto"/>
            <w:vAlign w:val="center"/>
          </w:tcPr>
          <w:p w14:paraId="5D9C5FA1" w14:textId="77777777" w:rsidR="00B41534" w:rsidRPr="00A40E69" w:rsidRDefault="00B41534" w:rsidP="007160D4">
            <w:pPr>
              <w:pStyle w:val="NoSpacing"/>
              <w:jc w:val="center"/>
              <w:rPr>
                <w:rFonts w:ascii="Times New Roman" w:hAnsi="Times New Roman" w:cs="Times New Roman"/>
                <w:sz w:val="21"/>
                <w:lang w:val="en-US"/>
              </w:rPr>
            </w:pPr>
          </w:p>
        </w:tc>
        <w:tc>
          <w:tcPr>
            <w:tcW w:w="1088" w:type="dxa"/>
            <w:tcBorders>
              <w:top w:val="nil"/>
              <w:left w:val="nil"/>
              <w:bottom w:val="nil"/>
              <w:right w:val="nil"/>
            </w:tcBorders>
            <w:shd w:val="clear" w:color="auto" w:fill="auto"/>
            <w:vAlign w:val="center"/>
          </w:tcPr>
          <w:p w14:paraId="530D815F" w14:textId="77777777" w:rsidR="00B41534" w:rsidRPr="00A40E69" w:rsidRDefault="00B41534" w:rsidP="007160D4">
            <w:pPr>
              <w:pStyle w:val="NoSpacing"/>
              <w:jc w:val="center"/>
              <w:rPr>
                <w:rFonts w:ascii="Times New Roman" w:hAnsi="Times New Roman" w:cs="Times New Roman"/>
                <w:sz w:val="21"/>
                <w:lang w:val="en-US"/>
              </w:rPr>
            </w:pPr>
          </w:p>
        </w:tc>
      </w:tr>
      <w:tr w:rsidR="00B41534" w:rsidRPr="002B0D86" w14:paraId="6DAF3930" w14:textId="77777777" w:rsidTr="007160D4">
        <w:trPr>
          <w:trHeight w:val="184"/>
          <w:jc w:val="center"/>
        </w:trPr>
        <w:tc>
          <w:tcPr>
            <w:tcW w:w="9026" w:type="dxa"/>
            <w:gridSpan w:val="7"/>
            <w:tcBorders>
              <w:top w:val="nil"/>
              <w:left w:val="nil"/>
              <w:bottom w:val="nil"/>
              <w:right w:val="nil"/>
            </w:tcBorders>
            <w:shd w:val="clear" w:color="auto" w:fill="auto"/>
            <w:vAlign w:val="center"/>
            <w:hideMark/>
          </w:tcPr>
          <w:p w14:paraId="69794DEC" w14:textId="77777777" w:rsidR="00B41534" w:rsidRPr="00A40E69" w:rsidRDefault="00B41534" w:rsidP="007160D4">
            <w:pPr>
              <w:pStyle w:val="NoSpacing"/>
              <w:rPr>
                <w:rFonts w:ascii="Times New Roman" w:hAnsi="Times New Roman" w:cs="Times New Roman"/>
                <w:b/>
                <w:sz w:val="21"/>
                <w:lang w:val="en-US"/>
              </w:rPr>
            </w:pPr>
            <w:r w:rsidRPr="00A40E69">
              <w:rPr>
                <w:rFonts w:ascii="Times New Roman" w:hAnsi="Times New Roman" w:cs="Times New Roman"/>
                <w:b/>
                <w:sz w:val="21"/>
                <w:lang w:val="en-US"/>
              </w:rPr>
              <w:t xml:space="preserve">Household </w:t>
            </w:r>
            <w:r>
              <w:rPr>
                <w:rFonts w:ascii="Times New Roman" w:hAnsi="Times New Roman" w:cs="Times New Roman"/>
                <w:b/>
                <w:sz w:val="21"/>
                <w:lang w:val="en-US"/>
              </w:rPr>
              <w:t>outward remittances</w:t>
            </w:r>
            <w:r w:rsidRPr="00A40E69">
              <w:rPr>
                <w:rFonts w:ascii="Times New Roman" w:hAnsi="Times New Roman" w:cs="Times New Roman"/>
                <w:b/>
                <w:sz w:val="21"/>
                <w:lang w:val="en-US"/>
              </w:rPr>
              <w:t xml:space="preserve"> (2013)</w:t>
            </w:r>
          </w:p>
        </w:tc>
      </w:tr>
      <w:tr w:rsidR="00B41534" w:rsidRPr="002B0D86" w14:paraId="482A9F19" w14:textId="77777777" w:rsidTr="007160D4">
        <w:trPr>
          <w:trHeight w:val="174"/>
          <w:jc w:val="center"/>
        </w:trPr>
        <w:tc>
          <w:tcPr>
            <w:tcW w:w="4111" w:type="dxa"/>
            <w:tcBorders>
              <w:top w:val="nil"/>
              <w:left w:val="nil"/>
              <w:bottom w:val="nil"/>
              <w:right w:val="nil"/>
            </w:tcBorders>
            <w:shd w:val="clear" w:color="auto" w:fill="auto"/>
            <w:vAlign w:val="center"/>
            <w:hideMark/>
          </w:tcPr>
          <w:p w14:paraId="7631DA33" w14:textId="77777777" w:rsidR="00B41534" w:rsidRPr="00A40E69" w:rsidRDefault="00B41534" w:rsidP="007160D4">
            <w:pPr>
              <w:pStyle w:val="NoSpacing"/>
              <w:rPr>
                <w:rFonts w:ascii="Times New Roman" w:hAnsi="Times New Roman" w:cs="Times New Roman"/>
                <w:sz w:val="21"/>
                <w:lang w:val="en-US"/>
              </w:rPr>
            </w:pPr>
            <w:r>
              <w:rPr>
                <w:rFonts w:ascii="Times New Roman" w:hAnsi="Times New Roman" w:cs="Times New Roman"/>
                <w:sz w:val="21"/>
                <w:lang w:val="en-US"/>
              </w:rPr>
              <w:t>Remittances</w:t>
            </w:r>
            <w:r w:rsidRPr="00A40E69">
              <w:rPr>
                <w:rFonts w:ascii="Times New Roman" w:hAnsi="Times New Roman" w:cs="Times New Roman"/>
                <w:sz w:val="21"/>
                <w:lang w:val="en-US"/>
              </w:rPr>
              <w:t xml:space="preserve"> to younger generations (logarithm)</w:t>
            </w:r>
          </w:p>
        </w:tc>
        <w:tc>
          <w:tcPr>
            <w:tcW w:w="709" w:type="dxa"/>
            <w:tcBorders>
              <w:top w:val="nil"/>
              <w:left w:val="nil"/>
              <w:bottom w:val="nil"/>
              <w:right w:val="nil"/>
            </w:tcBorders>
            <w:shd w:val="clear" w:color="auto" w:fill="auto"/>
            <w:noWrap/>
            <w:vAlign w:val="center"/>
            <w:hideMark/>
          </w:tcPr>
          <w:p w14:paraId="718CC8CA" w14:textId="77777777" w:rsidR="00B41534" w:rsidRPr="003372C2" w:rsidRDefault="00B41534" w:rsidP="007160D4">
            <w:pPr>
              <w:pStyle w:val="NoSpacing"/>
              <w:jc w:val="center"/>
              <w:rPr>
                <w:rFonts w:ascii="Times New Roman" w:hAnsi="Times New Roman" w:cs="Times New Roman"/>
                <w:sz w:val="21"/>
                <w:szCs w:val="21"/>
                <w:lang w:val="en-US"/>
              </w:rPr>
            </w:pPr>
            <w:r w:rsidRPr="003372C2">
              <w:rPr>
                <w:rFonts w:ascii="Times New Roman" w:hAnsi="Times New Roman" w:cs="Times New Roman"/>
                <w:color w:val="000000"/>
                <w:sz w:val="21"/>
                <w:szCs w:val="21"/>
                <w:lang w:val="en-US"/>
              </w:rPr>
              <w:t>4,783</w:t>
            </w:r>
          </w:p>
        </w:tc>
        <w:tc>
          <w:tcPr>
            <w:tcW w:w="1134" w:type="dxa"/>
            <w:gridSpan w:val="2"/>
            <w:tcBorders>
              <w:top w:val="nil"/>
              <w:left w:val="nil"/>
              <w:bottom w:val="nil"/>
              <w:right w:val="nil"/>
            </w:tcBorders>
            <w:shd w:val="clear" w:color="auto" w:fill="auto"/>
            <w:noWrap/>
            <w:vAlign w:val="center"/>
            <w:hideMark/>
          </w:tcPr>
          <w:p w14:paraId="40FFEDBC" w14:textId="77777777" w:rsidR="00B41534" w:rsidRPr="003372C2" w:rsidRDefault="00B41534" w:rsidP="007160D4">
            <w:pPr>
              <w:pStyle w:val="NoSpacing"/>
              <w:jc w:val="center"/>
              <w:rPr>
                <w:rFonts w:ascii="Times New Roman" w:hAnsi="Times New Roman" w:cs="Times New Roman"/>
                <w:sz w:val="21"/>
                <w:szCs w:val="21"/>
                <w:lang w:val="en-US"/>
              </w:rPr>
            </w:pPr>
            <w:r w:rsidRPr="003372C2">
              <w:rPr>
                <w:rFonts w:ascii="Times New Roman" w:hAnsi="Times New Roman" w:cs="Times New Roman"/>
                <w:color w:val="000000"/>
                <w:sz w:val="21"/>
                <w:szCs w:val="21"/>
                <w:lang w:val="en-US"/>
              </w:rPr>
              <w:t>2.7632</w:t>
            </w:r>
          </w:p>
        </w:tc>
        <w:tc>
          <w:tcPr>
            <w:tcW w:w="992" w:type="dxa"/>
            <w:tcBorders>
              <w:top w:val="nil"/>
              <w:left w:val="nil"/>
              <w:bottom w:val="nil"/>
              <w:right w:val="nil"/>
            </w:tcBorders>
            <w:shd w:val="clear" w:color="auto" w:fill="auto"/>
            <w:noWrap/>
            <w:vAlign w:val="center"/>
            <w:hideMark/>
          </w:tcPr>
          <w:p w14:paraId="355024FB" w14:textId="77777777" w:rsidR="00B41534" w:rsidRPr="003372C2" w:rsidRDefault="00B41534" w:rsidP="007160D4">
            <w:pPr>
              <w:pStyle w:val="NoSpacing"/>
              <w:jc w:val="center"/>
              <w:rPr>
                <w:rFonts w:ascii="Times New Roman" w:hAnsi="Times New Roman" w:cs="Times New Roman"/>
                <w:sz w:val="21"/>
                <w:szCs w:val="21"/>
                <w:lang w:val="en-US"/>
              </w:rPr>
            </w:pPr>
            <w:r w:rsidRPr="003372C2">
              <w:rPr>
                <w:rFonts w:ascii="Times New Roman" w:hAnsi="Times New Roman" w:cs="Times New Roman"/>
                <w:color w:val="000000"/>
                <w:sz w:val="21"/>
                <w:szCs w:val="21"/>
                <w:lang w:val="en-US"/>
              </w:rPr>
              <w:t>3.4842</w:t>
            </w:r>
          </w:p>
        </w:tc>
        <w:tc>
          <w:tcPr>
            <w:tcW w:w="992" w:type="dxa"/>
            <w:tcBorders>
              <w:top w:val="nil"/>
              <w:left w:val="nil"/>
              <w:bottom w:val="nil"/>
              <w:right w:val="nil"/>
            </w:tcBorders>
            <w:shd w:val="clear" w:color="auto" w:fill="auto"/>
            <w:noWrap/>
            <w:vAlign w:val="center"/>
            <w:hideMark/>
          </w:tcPr>
          <w:p w14:paraId="5EA7894C" w14:textId="77777777" w:rsidR="00B41534" w:rsidRPr="003372C2" w:rsidRDefault="00B41534" w:rsidP="007160D4">
            <w:pPr>
              <w:pStyle w:val="NoSpacing"/>
              <w:jc w:val="center"/>
              <w:rPr>
                <w:rFonts w:ascii="Times New Roman" w:hAnsi="Times New Roman" w:cs="Times New Roman"/>
                <w:sz w:val="21"/>
                <w:szCs w:val="21"/>
                <w:lang w:val="en-US"/>
              </w:rPr>
            </w:pPr>
            <w:r w:rsidRPr="003372C2">
              <w:rPr>
                <w:rFonts w:ascii="Times New Roman" w:hAnsi="Times New Roman" w:cs="Times New Roman"/>
                <w:sz w:val="21"/>
                <w:szCs w:val="21"/>
                <w:lang w:val="en-US"/>
              </w:rPr>
              <w:t>0</w:t>
            </w:r>
          </w:p>
        </w:tc>
        <w:tc>
          <w:tcPr>
            <w:tcW w:w="1088" w:type="dxa"/>
            <w:tcBorders>
              <w:top w:val="nil"/>
              <w:left w:val="nil"/>
              <w:bottom w:val="nil"/>
              <w:right w:val="nil"/>
            </w:tcBorders>
            <w:shd w:val="clear" w:color="auto" w:fill="auto"/>
            <w:noWrap/>
            <w:vAlign w:val="center"/>
            <w:hideMark/>
          </w:tcPr>
          <w:p w14:paraId="5C4B19D3" w14:textId="77777777" w:rsidR="00B41534" w:rsidRPr="003372C2" w:rsidRDefault="00B41534" w:rsidP="007160D4">
            <w:pPr>
              <w:pStyle w:val="NoSpacing"/>
              <w:jc w:val="center"/>
              <w:rPr>
                <w:rFonts w:ascii="Times New Roman" w:hAnsi="Times New Roman" w:cs="Times New Roman"/>
                <w:sz w:val="21"/>
                <w:szCs w:val="21"/>
                <w:lang w:val="en-US"/>
              </w:rPr>
            </w:pPr>
            <w:r w:rsidRPr="003372C2">
              <w:rPr>
                <w:rFonts w:ascii="Times New Roman" w:hAnsi="Times New Roman" w:cs="Times New Roman"/>
                <w:color w:val="000000"/>
                <w:sz w:val="21"/>
                <w:szCs w:val="21"/>
                <w:lang w:val="en-US"/>
              </w:rPr>
              <w:t>10.2922</w:t>
            </w:r>
          </w:p>
        </w:tc>
      </w:tr>
      <w:tr w:rsidR="00B41534" w:rsidRPr="002B0D86" w14:paraId="3B7E478B" w14:textId="77777777" w:rsidTr="007160D4">
        <w:trPr>
          <w:trHeight w:val="277"/>
          <w:jc w:val="center"/>
        </w:trPr>
        <w:tc>
          <w:tcPr>
            <w:tcW w:w="4111" w:type="dxa"/>
            <w:tcBorders>
              <w:top w:val="nil"/>
              <w:left w:val="nil"/>
              <w:bottom w:val="nil"/>
              <w:right w:val="nil"/>
            </w:tcBorders>
            <w:shd w:val="clear" w:color="auto" w:fill="auto"/>
            <w:vAlign w:val="center"/>
          </w:tcPr>
          <w:p w14:paraId="26266E0E" w14:textId="77777777" w:rsidR="00B41534" w:rsidRPr="00A40E69" w:rsidRDefault="00B41534" w:rsidP="007160D4">
            <w:pPr>
              <w:pStyle w:val="NoSpacing"/>
              <w:rPr>
                <w:rFonts w:ascii="Times New Roman" w:hAnsi="Times New Roman" w:cs="Times New Roman"/>
                <w:sz w:val="21"/>
                <w:lang w:val="en-US"/>
              </w:rPr>
            </w:pPr>
            <w:r>
              <w:rPr>
                <w:rFonts w:ascii="Times New Roman" w:hAnsi="Times New Roman" w:cs="Times New Roman"/>
                <w:sz w:val="21"/>
                <w:lang w:val="en-US"/>
              </w:rPr>
              <w:t>Remittances</w:t>
            </w:r>
            <w:r w:rsidRPr="00A40E69">
              <w:rPr>
                <w:rFonts w:ascii="Times New Roman" w:hAnsi="Times New Roman" w:cs="Times New Roman"/>
                <w:sz w:val="21"/>
                <w:lang w:val="en-US"/>
              </w:rPr>
              <w:t xml:space="preserve"> to younger generations (Yuan)</w:t>
            </w:r>
          </w:p>
        </w:tc>
        <w:tc>
          <w:tcPr>
            <w:tcW w:w="709" w:type="dxa"/>
            <w:tcBorders>
              <w:top w:val="nil"/>
              <w:left w:val="nil"/>
              <w:bottom w:val="nil"/>
              <w:right w:val="nil"/>
            </w:tcBorders>
            <w:shd w:val="clear" w:color="auto" w:fill="auto"/>
            <w:noWrap/>
            <w:vAlign w:val="center"/>
          </w:tcPr>
          <w:p w14:paraId="2B58DF1C" w14:textId="77777777" w:rsidR="00B41534" w:rsidRPr="003372C2" w:rsidRDefault="00B41534" w:rsidP="007160D4">
            <w:pPr>
              <w:pStyle w:val="NoSpacing"/>
              <w:jc w:val="center"/>
              <w:rPr>
                <w:rFonts w:ascii="Times New Roman" w:hAnsi="Times New Roman" w:cs="Times New Roman"/>
                <w:sz w:val="21"/>
                <w:szCs w:val="21"/>
                <w:lang w:val="en-US"/>
              </w:rPr>
            </w:pPr>
            <w:r w:rsidRPr="003372C2">
              <w:rPr>
                <w:rFonts w:ascii="Times New Roman" w:hAnsi="Times New Roman" w:cs="Times New Roman"/>
                <w:color w:val="000000"/>
                <w:sz w:val="21"/>
                <w:szCs w:val="21"/>
                <w:lang w:val="en-US"/>
              </w:rPr>
              <w:t>4,783</w:t>
            </w:r>
          </w:p>
        </w:tc>
        <w:tc>
          <w:tcPr>
            <w:tcW w:w="1134" w:type="dxa"/>
            <w:gridSpan w:val="2"/>
            <w:tcBorders>
              <w:top w:val="nil"/>
              <w:left w:val="nil"/>
              <w:bottom w:val="nil"/>
              <w:right w:val="nil"/>
            </w:tcBorders>
            <w:shd w:val="clear" w:color="auto" w:fill="auto"/>
            <w:noWrap/>
            <w:vAlign w:val="center"/>
          </w:tcPr>
          <w:p w14:paraId="0B740EB7" w14:textId="77777777" w:rsidR="00B41534" w:rsidRPr="003372C2" w:rsidRDefault="00B41534" w:rsidP="007160D4">
            <w:pPr>
              <w:pStyle w:val="NoSpacing"/>
              <w:jc w:val="center"/>
              <w:rPr>
                <w:rFonts w:ascii="Times New Roman" w:hAnsi="Times New Roman" w:cs="Times New Roman"/>
                <w:sz w:val="21"/>
                <w:szCs w:val="21"/>
                <w:lang w:val="en-US"/>
              </w:rPr>
            </w:pPr>
            <w:r w:rsidRPr="003372C2">
              <w:rPr>
                <w:rFonts w:ascii="Times New Roman" w:hAnsi="Times New Roman" w:cs="Times New Roman"/>
                <w:color w:val="000000"/>
                <w:sz w:val="21"/>
                <w:szCs w:val="21"/>
                <w:lang w:val="en-US"/>
              </w:rPr>
              <w:t>1019</w:t>
            </w:r>
          </w:p>
        </w:tc>
        <w:tc>
          <w:tcPr>
            <w:tcW w:w="992" w:type="dxa"/>
            <w:tcBorders>
              <w:top w:val="nil"/>
              <w:left w:val="nil"/>
              <w:bottom w:val="nil"/>
              <w:right w:val="nil"/>
            </w:tcBorders>
            <w:shd w:val="clear" w:color="auto" w:fill="auto"/>
            <w:noWrap/>
            <w:vAlign w:val="center"/>
          </w:tcPr>
          <w:p w14:paraId="7E653847" w14:textId="77777777" w:rsidR="00B41534" w:rsidRPr="003372C2" w:rsidRDefault="00B41534" w:rsidP="007160D4">
            <w:pPr>
              <w:pStyle w:val="NoSpacing"/>
              <w:jc w:val="center"/>
              <w:rPr>
                <w:rFonts w:ascii="Times New Roman" w:hAnsi="Times New Roman" w:cs="Times New Roman"/>
                <w:sz w:val="21"/>
                <w:szCs w:val="21"/>
                <w:lang w:val="en-US"/>
              </w:rPr>
            </w:pPr>
            <w:r w:rsidRPr="003372C2">
              <w:rPr>
                <w:rFonts w:ascii="Times New Roman" w:hAnsi="Times New Roman" w:cs="Times New Roman"/>
                <w:color w:val="000000"/>
                <w:sz w:val="21"/>
                <w:szCs w:val="21"/>
                <w:lang w:val="en-US"/>
              </w:rPr>
              <w:t>2910</w:t>
            </w:r>
          </w:p>
        </w:tc>
        <w:tc>
          <w:tcPr>
            <w:tcW w:w="992" w:type="dxa"/>
            <w:tcBorders>
              <w:top w:val="nil"/>
              <w:left w:val="nil"/>
              <w:bottom w:val="nil"/>
              <w:right w:val="nil"/>
            </w:tcBorders>
            <w:shd w:val="clear" w:color="auto" w:fill="auto"/>
            <w:noWrap/>
            <w:vAlign w:val="center"/>
          </w:tcPr>
          <w:p w14:paraId="0C2CE5AC" w14:textId="77777777" w:rsidR="00B41534" w:rsidRPr="003372C2" w:rsidRDefault="00B41534" w:rsidP="007160D4">
            <w:pPr>
              <w:pStyle w:val="NoSpacing"/>
              <w:jc w:val="center"/>
              <w:rPr>
                <w:rFonts w:ascii="Times New Roman" w:hAnsi="Times New Roman" w:cs="Times New Roman"/>
                <w:sz w:val="21"/>
                <w:szCs w:val="21"/>
                <w:lang w:val="en-US"/>
              </w:rPr>
            </w:pPr>
            <w:r w:rsidRPr="003372C2">
              <w:rPr>
                <w:rFonts w:ascii="Times New Roman" w:hAnsi="Times New Roman" w:cs="Times New Roman"/>
                <w:sz w:val="21"/>
                <w:szCs w:val="21"/>
                <w:lang w:val="en-US"/>
              </w:rPr>
              <w:t>0</w:t>
            </w:r>
          </w:p>
        </w:tc>
        <w:tc>
          <w:tcPr>
            <w:tcW w:w="1088" w:type="dxa"/>
            <w:tcBorders>
              <w:top w:val="nil"/>
              <w:left w:val="nil"/>
              <w:bottom w:val="nil"/>
              <w:right w:val="nil"/>
            </w:tcBorders>
            <w:shd w:val="clear" w:color="auto" w:fill="auto"/>
            <w:noWrap/>
            <w:vAlign w:val="center"/>
          </w:tcPr>
          <w:p w14:paraId="31739DEC" w14:textId="77777777" w:rsidR="00B41534" w:rsidRPr="003372C2" w:rsidRDefault="00B41534" w:rsidP="007160D4">
            <w:pPr>
              <w:pStyle w:val="NoSpacing"/>
              <w:jc w:val="center"/>
              <w:rPr>
                <w:rFonts w:ascii="Times New Roman" w:hAnsi="Times New Roman" w:cs="Times New Roman"/>
                <w:sz w:val="21"/>
                <w:szCs w:val="21"/>
                <w:lang w:val="en-US"/>
              </w:rPr>
            </w:pPr>
            <w:r w:rsidRPr="003372C2">
              <w:rPr>
                <w:rFonts w:ascii="Times New Roman" w:hAnsi="Times New Roman" w:cs="Times New Roman"/>
                <w:color w:val="000000"/>
                <w:sz w:val="21"/>
                <w:szCs w:val="21"/>
                <w:lang w:val="en-US"/>
              </w:rPr>
              <w:t>28331</w:t>
            </w:r>
          </w:p>
        </w:tc>
      </w:tr>
      <w:tr w:rsidR="00B41534" w:rsidRPr="002B0D86" w14:paraId="34392AD5" w14:textId="77777777" w:rsidTr="007160D4">
        <w:trPr>
          <w:trHeight w:hRule="exact" w:val="192"/>
          <w:jc w:val="center"/>
        </w:trPr>
        <w:tc>
          <w:tcPr>
            <w:tcW w:w="4111" w:type="dxa"/>
            <w:tcBorders>
              <w:top w:val="nil"/>
              <w:left w:val="nil"/>
              <w:bottom w:val="nil"/>
              <w:right w:val="nil"/>
            </w:tcBorders>
            <w:shd w:val="clear" w:color="auto" w:fill="auto"/>
            <w:vAlign w:val="center"/>
            <w:hideMark/>
          </w:tcPr>
          <w:p w14:paraId="768B6D0B" w14:textId="77777777" w:rsidR="00B41534" w:rsidRPr="00A40E69" w:rsidRDefault="00B41534" w:rsidP="007160D4">
            <w:pPr>
              <w:pStyle w:val="NoSpacing"/>
              <w:rPr>
                <w:rFonts w:ascii="Times New Roman" w:hAnsi="Times New Roman" w:cs="Times New Roman"/>
                <w:sz w:val="21"/>
                <w:lang w:val="en-US"/>
              </w:rPr>
            </w:pPr>
          </w:p>
        </w:tc>
        <w:tc>
          <w:tcPr>
            <w:tcW w:w="851" w:type="dxa"/>
            <w:gridSpan w:val="2"/>
            <w:tcBorders>
              <w:top w:val="nil"/>
              <w:left w:val="nil"/>
              <w:bottom w:val="nil"/>
              <w:right w:val="nil"/>
            </w:tcBorders>
            <w:shd w:val="clear" w:color="auto" w:fill="auto"/>
            <w:vAlign w:val="center"/>
            <w:hideMark/>
          </w:tcPr>
          <w:p w14:paraId="5DE33F1F" w14:textId="77777777" w:rsidR="00B41534" w:rsidRPr="00A40E69" w:rsidRDefault="00B41534" w:rsidP="007160D4">
            <w:pPr>
              <w:pStyle w:val="NoSpacing"/>
              <w:jc w:val="center"/>
              <w:rPr>
                <w:rFonts w:ascii="Times New Roman" w:hAnsi="Times New Roman" w:cs="Times New Roman"/>
                <w:sz w:val="21"/>
                <w:lang w:val="en-US"/>
              </w:rPr>
            </w:pPr>
          </w:p>
        </w:tc>
        <w:tc>
          <w:tcPr>
            <w:tcW w:w="992" w:type="dxa"/>
            <w:tcBorders>
              <w:top w:val="nil"/>
              <w:left w:val="nil"/>
              <w:bottom w:val="nil"/>
              <w:right w:val="nil"/>
            </w:tcBorders>
            <w:shd w:val="clear" w:color="auto" w:fill="auto"/>
            <w:vAlign w:val="center"/>
            <w:hideMark/>
          </w:tcPr>
          <w:p w14:paraId="71F9797A" w14:textId="77777777" w:rsidR="00B41534" w:rsidRPr="00A40E69" w:rsidRDefault="00B41534" w:rsidP="007160D4">
            <w:pPr>
              <w:pStyle w:val="NoSpacing"/>
              <w:jc w:val="center"/>
              <w:rPr>
                <w:rFonts w:ascii="Times New Roman" w:hAnsi="Times New Roman" w:cs="Times New Roman"/>
                <w:sz w:val="21"/>
                <w:lang w:val="en-US"/>
              </w:rPr>
            </w:pPr>
          </w:p>
        </w:tc>
        <w:tc>
          <w:tcPr>
            <w:tcW w:w="992" w:type="dxa"/>
            <w:tcBorders>
              <w:top w:val="nil"/>
              <w:left w:val="nil"/>
              <w:bottom w:val="nil"/>
              <w:right w:val="nil"/>
            </w:tcBorders>
            <w:shd w:val="clear" w:color="auto" w:fill="auto"/>
            <w:vAlign w:val="center"/>
            <w:hideMark/>
          </w:tcPr>
          <w:p w14:paraId="0AB628C5" w14:textId="77777777" w:rsidR="00B41534" w:rsidRPr="00A40E69" w:rsidRDefault="00B41534" w:rsidP="007160D4">
            <w:pPr>
              <w:pStyle w:val="NoSpacing"/>
              <w:jc w:val="center"/>
              <w:rPr>
                <w:rFonts w:ascii="Times New Roman" w:hAnsi="Times New Roman" w:cs="Times New Roman"/>
                <w:sz w:val="21"/>
                <w:lang w:val="en-US"/>
              </w:rPr>
            </w:pPr>
          </w:p>
        </w:tc>
        <w:tc>
          <w:tcPr>
            <w:tcW w:w="992" w:type="dxa"/>
            <w:tcBorders>
              <w:top w:val="nil"/>
              <w:left w:val="nil"/>
              <w:bottom w:val="nil"/>
              <w:right w:val="nil"/>
            </w:tcBorders>
            <w:shd w:val="clear" w:color="auto" w:fill="auto"/>
            <w:vAlign w:val="center"/>
            <w:hideMark/>
          </w:tcPr>
          <w:p w14:paraId="0946D354" w14:textId="77777777" w:rsidR="00B41534" w:rsidRPr="00A40E69" w:rsidRDefault="00B41534" w:rsidP="007160D4">
            <w:pPr>
              <w:pStyle w:val="NoSpacing"/>
              <w:jc w:val="center"/>
              <w:rPr>
                <w:rFonts w:ascii="Times New Roman" w:hAnsi="Times New Roman" w:cs="Times New Roman"/>
                <w:sz w:val="21"/>
                <w:lang w:val="en-US"/>
              </w:rPr>
            </w:pPr>
          </w:p>
        </w:tc>
        <w:tc>
          <w:tcPr>
            <w:tcW w:w="1088" w:type="dxa"/>
            <w:tcBorders>
              <w:top w:val="nil"/>
              <w:left w:val="nil"/>
              <w:bottom w:val="nil"/>
              <w:right w:val="nil"/>
            </w:tcBorders>
            <w:shd w:val="clear" w:color="auto" w:fill="auto"/>
            <w:vAlign w:val="center"/>
            <w:hideMark/>
          </w:tcPr>
          <w:p w14:paraId="7D25F51C" w14:textId="77777777" w:rsidR="00B41534" w:rsidRPr="00A40E69" w:rsidRDefault="00B41534" w:rsidP="007160D4">
            <w:pPr>
              <w:pStyle w:val="NoSpacing"/>
              <w:jc w:val="center"/>
              <w:rPr>
                <w:rFonts w:ascii="Times New Roman" w:hAnsi="Times New Roman" w:cs="Times New Roman"/>
                <w:sz w:val="21"/>
                <w:lang w:val="en-US"/>
              </w:rPr>
            </w:pPr>
          </w:p>
        </w:tc>
      </w:tr>
      <w:tr w:rsidR="00B41534" w:rsidRPr="002B0D86" w14:paraId="2AF37B96" w14:textId="77777777" w:rsidTr="007160D4">
        <w:trPr>
          <w:trHeight w:val="320"/>
          <w:jc w:val="center"/>
        </w:trPr>
        <w:tc>
          <w:tcPr>
            <w:tcW w:w="9026" w:type="dxa"/>
            <w:gridSpan w:val="7"/>
            <w:tcBorders>
              <w:top w:val="nil"/>
              <w:left w:val="nil"/>
              <w:bottom w:val="nil"/>
              <w:right w:val="nil"/>
            </w:tcBorders>
            <w:shd w:val="clear" w:color="auto" w:fill="auto"/>
            <w:vAlign w:val="center"/>
            <w:hideMark/>
          </w:tcPr>
          <w:p w14:paraId="102D0A5E" w14:textId="77777777" w:rsidR="00B41534" w:rsidRPr="00A40E69" w:rsidRDefault="00B41534" w:rsidP="007160D4">
            <w:pPr>
              <w:pStyle w:val="NoSpacing"/>
              <w:rPr>
                <w:rFonts w:ascii="Times New Roman" w:hAnsi="Times New Roman" w:cs="Times New Roman"/>
                <w:b/>
                <w:sz w:val="21"/>
                <w:lang w:val="en-US"/>
              </w:rPr>
            </w:pPr>
            <w:r w:rsidRPr="00A40E69">
              <w:rPr>
                <w:rFonts w:ascii="Times New Roman" w:hAnsi="Times New Roman" w:cs="Times New Roman"/>
                <w:b/>
                <w:sz w:val="21"/>
                <w:lang w:val="en-US"/>
              </w:rPr>
              <w:t>Household demography</w:t>
            </w:r>
          </w:p>
        </w:tc>
      </w:tr>
      <w:tr w:rsidR="00B41534" w:rsidRPr="002B0D86" w14:paraId="6575925A" w14:textId="77777777" w:rsidTr="007160D4">
        <w:trPr>
          <w:trHeight w:val="278"/>
          <w:jc w:val="center"/>
        </w:trPr>
        <w:tc>
          <w:tcPr>
            <w:tcW w:w="4111" w:type="dxa"/>
            <w:tcBorders>
              <w:top w:val="nil"/>
              <w:left w:val="nil"/>
              <w:bottom w:val="nil"/>
              <w:right w:val="nil"/>
            </w:tcBorders>
            <w:shd w:val="clear" w:color="auto" w:fill="auto"/>
            <w:vAlign w:val="center"/>
          </w:tcPr>
          <w:p w14:paraId="59D8EF40" w14:textId="77777777" w:rsidR="00B41534" w:rsidRPr="00A40E69" w:rsidRDefault="00B41534" w:rsidP="007160D4">
            <w:pPr>
              <w:pStyle w:val="NoSpacing"/>
              <w:rPr>
                <w:rFonts w:ascii="Times New Roman" w:hAnsi="Times New Roman" w:cs="Times New Roman"/>
                <w:sz w:val="21"/>
                <w:lang w:val="en-US"/>
              </w:rPr>
            </w:pPr>
            <w:r w:rsidRPr="00A40E69">
              <w:rPr>
                <w:rFonts w:ascii="Times New Roman" w:hAnsi="Times New Roman" w:cs="Times New Roman"/>
                <w:sz w:val="21"/>
                <w:lang w:val="en-US"/>
              </w:rPr>
              <w:t>Household size</w:t>
            </w:r>
          </w:p>
        </w:tc>
        <w:tc>
          <w:tcPr>
            <w:tcW w:w="851" w:type="dxa"/>
            <w:gridSpan w:val="2"/>
            <w:tcBorders>
              <w:top w:val="nil"/>
              <w:left w:val="nil"/>
              <w:bottom w:val="nil"/>
              <w:right w:val="nil"/>
            </w:tcBorders>
            <w:shd w:val="clear" w:color="auto" w:fill="auto"/>
            <w:noWrap/>
          </w:tcPr>
          <w:p w14:paraId="725F4835" w14:textId="77777777" w:rsidR="00B41534" w:rsidRPr="00A40E69" w:rsidRDefault="00B41534" w:rsidP="007160D4">
            <w:pPr>
              <w:pStyle w:val="NoSpacing"/>
              <w:jc w:val="center"/>
              <w:rPr>
                <w:rFonts w:ascii="Times New Roman" w:hAnsi="Times New Roman" w:cs="Times New Roman"/>
                <w:sz w:val="21"/>
                <w:szCs w:val="21"/>
                <w:lang w:val="en-US"/>
              </w:rPr>
            </w:pPr>
            <w:r w:rsidRPr="00A40E69">
              <w:rPr>
                <w:rFonts w:ascii="Times New Roman" w:hAnsi="Times New Roman" w:cs="Times New Roman"/>
                <w:sz w:val="21"/>
                <w:szCs w:val="21"/>
                <w:lang w:val="en-US"/>
              </w:rPr>
              <w:t>11,640</w:t>
            </w:r>
          </w:p>
        </w:tc>
        <w:tc>
          <w:tcPr>
            <w:tcW w:w="992" w:type="dxa"/>
            <w:tcBorders>
              <w:top w:val="nil"/>
              <w:left w:val="nil"/>
              <w:bottom w:val="nil"/>
              <w:right w:val="nil"/>
            </w:tcBorders>
            <w:shd w:val="clear" w:color="auto" w:fill="auto"/>
            <w:noWrap/>
          </w:tcPr>
          <w:p w14:paraId="4C6210EA" w14:textId="77777777" w:rsidR="00B41534" w:rsidRPr="00A40E69" w:rsidRDefault="00B41534" w:rsidP="007160D4">
            <w:pPr>
              <w:pStyle w:val="NoSpacing"/>
              <w:jc w:val="center"/>
              <w:rPr>
                <w:rFonts w:ascii="Times New Roman" w:hAnsi="Times New Roman" w:cs="Times New Roman"/>
                <w:sz w:val="21"/>
                <w:szCs w:val="21"/>
                <w:lang w:val="en-US"/>
              </w:rPr>
            </w:pPr>
            <w:r w:rsidRPr="00A40E69">
              <w:rPr>
                <w:rFonts w:ascii="Times New Roman" w:hAnsi="Times New Roman" w:cs="Times New Roman"/>
                <w:sz w:val="21"/>
                <w:szCs w:val="21"/>
                <w:lang w:val="en-US"/>
              </w:rPr>
              <w:t>3.3936</w:t>
            </w:r>
          </w:p>
        </w:tc>
        <w:tc>
          <w:tcPr>
            <w:tcW w:w="992" w:type="dxa"/>
            <w:tcBorders>
              <w:top w:val="nil"/>
              <w:left w:val="nil"/>
              <w:bottom w:val="nil"/>
              <w:right w:val="nil"/>
            </w:tcBorders>
            <w:shd w:val="clear" w:color="auto" w:fill="auto"/>
            <w:noWrap/>
          </w:tcPr>
          <w:p w14:paraId="692FBDFE" w14:textId="77777777" w:rsidR="00B41534" w:rsidRPr="00A40E69" w:rsidRDefault="00B41534" w:rsidP="007160D4">
            <w:pPr>
              <w:pStyle w:val="NoSpacing"/>
              <w:jc w:val="center"/>
              <w:rPr>
                <w:rFonts w:ascii="Times New Roman" w:hAnsi="Times New Roman" w:cs="Times New Roman"/>
                <w:sz w:val="21"/>
                <w:szCs w:val="21"/>
                <w:lang w:val="en-US"/>
              </w:rPr>
            </w:pPr>
            <w:r w:rsidRPr="00A40E69">
              <w:rPr>
                <w:rFonts w:ascii="Times New Roman" w:hAnsi="Times New Roman" w:cs="Times New Roman"/>
                <w:sz w:val="21"/>
                <w:szCs w:val="21"/>
                <w:lang w:val="en-US"/>
              </w:rPr>
              <w:t>1.7515</w:t>
            </w:r>
          </w:p>
        </w:tc>
        <w:tc>
          <w:tcPr>
            <w:tcW w:w="992" w:type="dxa"/>
            <w:tcBorders>
              <w:top w:val="nil"/>
              <w:left w:val="nil"/>
              <w:bottom w:val="nil"/>
              <w:right w:val="nil"/>
            </w:tcBorders>
            <w:shd w:val="clear" w:color="auto" w:fill="auto"/>
            <w:noWrap/>
          </w:tcPr>
          <w:p w14:paraId="6798A312" w14:textId="77777777" w:rsidR="00B41534" w:rsidRPr="00A40E69" w:rsidRDefault="00B41534" w:rsidP="007160D4">
            <w:pPr>
              <w:pStyle w:val="NoSpacing"/>
              <w:jc w:val="center"/>
              <w:rPr>
                <w:rFonts w:ascii="Times New Roman" w:hAnsi="Times New Roman" w:cs="Times New Roman"/>
                <w:sz w:val="21"/>
                <w:szCs w:val="21"/>
                <w:lang w:val="en-US"/>
              </w:rPr>
            </w:pPr>
            <w:r w:rsidRPr="00A40E69">
              <w:rPr>
                <w:rFonts w:ascii="Times New Roman" w:hAnsi="Times New Roman" w:cs="Times New Roman"/>
                <w:sz w:val="21"/>
                <w:szCs w:val="21"/>
                <w:lang w:val="en-US"/>
              </w:rPr>
              <w:t>1</w:t>
            </w:r>
          </w:p>
        </w:tc>
        <w:tc>
          <w:tcPr>
            <w:tcW w:w="1088" w:type="dxa"/>
            <w:tcBorders>
              <w:top w:val="nil"/>
              <w:left w:val="nil"/>
              <w:bottom w:val="nil"/>
              <w:right w:val="nil"/>
            </w:tcBorders>
            <w:shd w:val="clear" w:color="auto" w:fill="auto"/>
            <w:noWrap/>
          </w:tcPr>
          <w:p w14:paraId="65B4D5A9" w14:textId="77777777" w:rsidR="00B41534" w:rsidRPr="00A40E69" w:rsidRDefault="00B41534" w:rsidP="007160D4">
            <w:pPr>
              <w:pStyle w:val="NoSpacing"/>
              <w:jc w:val="center"/>
              <w:rPr>
                <w:rFonts w:ascii="Times New Roman" w:hAnsi="Times New Roman" w:cs="Times New Roman"/>
                <w:sz w:val="21"/>
                <w:szCs w:val="21"/>
                <w:lang w:val="en-US"/>
              </w:rPr>
            </w:pPr>
            <w:r w:rsidRPr="00A40E69">
              <w:rPr>
                <w:rFonts w:ascii="Times New Roman" w:hAnsi="Times New Roman" w:cs="Times New Roman"/>
                <w:sz w:val="21"/>
                <w:szCs w:val="21"/>
                <w:lang w:val="en-US"/>
              </w:rPr>
              <w:t>13</w:t>
            </w:r>
          </w:p>
        </w:tc>
      </w:tr>
      <w:tr w:rsidR="00B41534" w:rsidRPr="002B0D86" w14:paraId="601BC50A" w14:textId="77777777" w:rsidTr="007160D4">
        <w:trPr>
          <w:trHeight w:val="278"/>
          <w:jc w:val="center"/>
        </w:trPr>
        <w:tc>
          <w:tcPr>
            <w:tcW w:w="4111" w:type="dxa"/>
            <w:tcBorders>
              <w:top w:val="nil"/>
              <w:left w:val="nil"/>
              <w:bottom w:val="nil"/>
              <w:right w:val="nil"/>
            </w:tcBorders>
            <w:shd w:val="clear" w:color="auto" w:fill="auto"/>
            <w:vAlign w:val="center"/>
          </w:tcPr>
          <w:p w14:paraId="5FCD370A" w14:textId="77777777" w:rsidR="00B41534" w:rsidRPr="00A40E69" w:rsidRDefault="00B41534" w:rsidP="007160D4">
            <w:pPr>
              <w:pStyle w:val="NoSpacing"/>
              <w:rPr>
                <w:rFonts w:ascii="Times New Roman" w:hAnsi="Times New Roman" w:cs="Times New Roman"/>
                <w:sz w:val="21"/>
                <w:lang w:val="en-US"/>
              </w:rPr>
            </w:pPr>
            <w:proofErr w:type="spellStart"/>
            <w:r w:rsidRPr="00A40E69">
              <w:rPr>
                <w:rFonts w:ascii="Times New Roman" w:hAnsi="Times New Roman" w:cs="Times New Roman"/>
                <w:sz w:val="21"/>
                <w:lang w:val="en-US"/>
              </w:rPr>
              <w:t>YoungMove</w:t>
            </w:r>
            <w:proofErr w:type="spellEnd"/>
          </w:p>
        </w:tc>
        <w:tc>
          <w:tcPr>
            <w:tcW w:w="851" w:type="dxa"/>
            <w:gridSpan w:val="2"/>
            <w:tcBorders>
              <w:top w:val="nil"/>
              <w:left w:val="nil"/>
              <w:bottom w:val="nil"/>
              <w:right w:val="nil"/>
            </w:tcBorders>
            <w:shd w:val="clear" w:color="auto" w:fill="auto"/>
            <w:noWrap/>
          </w:tcPr>
          <w:p w14:paraId="5EC5561E" w14:textId="77777777" w:rsidR="00B41534" w:rsidRPr="00A40E69" w:rsidRDefault="00B41534" w:rsidP="007160D4">
            <w:pPr>
              <w:pStyle w:val="NoSpacing"/>
              <w:jc w:val="center"/>
              <w:rPr>
                <w:rFonts w:ascii="Times New Roman" w:hAnsi="Times New Roman" w:cs="Times New Roman"/>
                <w:sz w:val="21"/>
                <w:szCs w:val="21"/>
                <w:lang w:val="en-US"/>
              </w:rPr>
            </w:pPr>
            <w:r w:rsidRPr="00A40E69">
              <w:rPr>
                <w:rFonts w:ascii="Times New Roman" w:hAnsi="Times New Roman" w:cs="Times New Roman"/>
                <w:sz w:val="21"/>
                <w:szCs w:val="21"/>
                <w:lang w:val="en-US"/>
              </w:rPr>
              <w:t>11,640</w:t>
            </w:r>
          </w:p>
        </w:tc>
        <w:tc>
          <w:tcPr>
            <w:tcW w:w="992" w:type="dxa"/>
            <w:tcBorders>
              <w:top w:val="nil"/>
              <w:left w:val="nil"/>
              <w:bottom w:val="nil"/>
              <w:right w:val="nil"/>
            </w:tcBorders>
            <w:shd w:val="clear" w:color="auto" w:fill="auto"/>
            <w:noWrap/>
          </w:tcPr>
          <w:p w14:paraId="5385B4C8" w14:textId="77777777" w:rsidR="00B41534" w:rsidRPr="00A40E69" w:rsidRDefault="00B41534" w:rsidP="007160D4">
            <w:pPr>
              <w:pStyle w:val="NoSpacing"/>
              <w:jc w:val="center"/>
              <w:rPr>
                <w:rFonts w:ascii="Times New Roman" w:hAnsi="Times New Roman" w:cs="Times New Roman"/>
                <w:sz w:val="21"/>
                <w:szCs w:val="21"/>
                <w:lang w:val="en-US"/>
              </w:rPr>
            </w:pPr>
            <w:r w:rsidRPr="00A40E69">
              <w:rPr>
                <w:rFonts w:ascii="Times New Roman" w:hAnsi="Times New Roman" w:cs="Times New Roman"/>
                <w:sz w:val="21"/>
                <w:szCs w:val="21"/>
                <w:lang w:val="en-US"/>
              </w:rPr>
              <w:t>0.1753</w:t>
            </w:r>
          </w:p>
        </w:tc>
        <w:tc>
          <w:tcPr>
            <w:tcW w:w="992" w:type="dxa"/>
            <w:tcBorders>
              <w:top w:val="nil"/>
              <w:left w:val="nil"/>
              <w:bottom w:val="nil"/>
              <w:right w:val="nil"/>
            </w:tcBorders>
            <w:shd w:val="clear" w:color="auto" w:fill="auto"/>
            <w:noWrap/>
          </w:tcPr>
          <w:p w14:paraId="4B754E79" w14:textId="77777777" w:rsidR="00B41534" w:rsidRPr="00A40E69" w:rsidRDefault="00B41534" w:rsidP="007160D4">
            <w:pPr>
              <w:pStyle w:val="NoSpacing"/>
              <w:jc w:val="center"/>
              <w:rPr>
                <w:rFonts w:ascii="Times New Roman" w:hAnsi="Times New Roman" w:cs="Times New Roman"/>
                <w:sz w:val="21"/>
                <w:szCs w:val="21"/>
                <w:lang w:val="en-US"/>
              </w:rPr>
            </w:pPr>
            <w:r w:rsidRPr="00A40E69">
              <w:rPr>
                <w:rFonts w:ascii="Times New Roman" w:hAnsi="Times New Roman" w:cs="Times New Roman"/>
                <w:sz w:val="21"/>
                <w:szCs w:val="21"/>
                <w:lang w:val="en-US"/>
              </w:rPr>
              <w:t>0.6608</w:t>
            </w:r>
          </w:p>
        </w:tc>
        <w:tc>
          <w:tcPr>
            <w:tcW w:w="992" w:type="dxa"/>
            <w:tcBorders>
              <w:top w:val="nil"/>
              <w:left w:val="nil"/>
              <w:bottom w:val="nil"/>
              <w:right w:val="nil"/>
            </w:tcBorders>
            <w:shd w:val="clear" w:color="auto" w:fill="auto"/>
            <w:noWrap/>
          </w:tcPr>
          <w:p w14:paraId="6E504E6C" w14:textId="77777777" w:rsidR="00B41534" w:rsidRPr="00A40E69" w:rsidRDefault="00B41534" w:rsidP="007160D4">
            <w:pPr>
              <w:pStyle w:val="NoSpacing"/>
              <w:jc w:val="center"/>
              <w:rPr>
                <w:rFonts w:ascii="Times New Roman" w:hAnsi="Times New Roman" w:cs="Times New Roman"/>
                <w:sz w:val="21"/>
                <w:szCs w:val="21"/>
                <w:lang w:val="en-US"/>
              </w:rPr>
            </w:pPr>
            <w:r w:rsidRPr="00A40E69">
              <w:rPr>
                <w:rFonts w:ascii="Times New Roman" w:hAnsi="Times New Roman" w:cs="Times New Roman"/>
                <w:sz w:val="21"/>
                <w:szCs w:val="21"/>
                <w:lang w:val="en-US"/>
              </w:rPr>
              <w:t>0</w:t>
            </w:r>
          </w:p>
        </w:tc>
        <w:tc>
          <w:tcPr>
            <w:tcW w:w="1088" w:type="dxa"/>
            <w:tcBorders>
              <w:top w:val="nil"/>
              <w:left w:val="nil"/>
              <w:bottom w:val="nil"/>
              <w:right w:val="nil"/>
            </w:tcBorders>
            <w:shd w:val="clear" w:color="auto" w:fill="auto"/>
            <w:noWrap/>
          </w:tcPr>
          <w:p w14:paraId="19DD769B" w14:textId="77777777" w:rsidR="00B41534" w:rsidRPr="00A40E69" w:rsidRDefault="00B41534" w:rsidP="007160D4">
            <w:pPr>
              <w:pStyle w:val="NoSpacing"/>
              <w:jc w:val="center"/>
              <w:rPr>
                <w:rFonts w:ascii="Times New Roman" w:hAnsi="Times New Roman" w:cs="Times New Roman"/>
                <w:sz w:val="21"/>
                <w:szCs w:val="21"/>
                <w:lang w:val="en-US"/>
              </w:rPr>
            </w:pPr>
            <w:r w:rsidRPr="00A40E69">
              <w:rPr>
                <w:rFonts w:ascii="Times New Roman" w:hAnsi="Times New Roman" w:cs="Times New Roman"/>
                <w:sz w:val="21"/>
                <w:szCs w:val="21"/>
                <w:lang w:val="en-US"/>
              </w:rPr>
              <w:t>9</w:t>
            </w:r>
          </w:p>
        </w:tc>
      </w:tr>
      <w:tr w:rsidR="00B41534" w:rsidRPr="002B0D86" w14:paraId="021820D2" w14:textId="77777777" w:rsidTr="007160D4">
        <w:trPr>
          <w:trHeight w:val="239"/>
          <w:jc w:val="center"/>
        </w:trPr>
        <w:tc>
          <w:tcPr>
            <w:tcW w:w="4111" w:type="dxa"/>
            <w:tcBorders>
              <w:top w:val="nil"/>
              <w:left w:val="nil"/>
              <w:bottom w:val="nil"/>
              <w:right w:val="nil"/>
            </w:tcBorders>
            <w:shd w:val="clear" w:color="auto" w:fill="auto"/>
            <w:vAlign w:val="center"/>
            <w:hideMark/>
          </w:tcPr>
          <w:p w14:paraId="2462FB55" w14:textId="77777777" w:rsidR="00B41534" w:rsidRPr="00A40E69" w:rsidRDefault="00B41534" w:rsidP="007160D4">
            <w:pPr>
              <w:pStyle w:val="NoSpacing"/>
              <w:rPr>
                <w:rFonts w:ascii="Times New Roman" w:hAnsi="Times New Roman" w:cs="Times New Roman"/>
                <w:sz w:val="21"/>
                <w:lang w:val="en-US"/>
              </w:rPr>
            </w:pPr>
            <w:r w:rsidRPr="00A40E69">
              <w:rPr>
                <w:rFonts w:ascii="Times New Roman" w:hAnsi="Times New Roman" w:cs="Times New Roman"/>
                <w:sz w:val="21"/>
                <w:lang w:val="en-US"/>
              </w:rPr>
              <w:t>No. of non-offspring members</w:t>
            </w:r>
          </w:p>
        </w:tc>
        <w:tc>
          <w:tcPr>
            <w:tcW w:w="851" w:type="dxa"/>
            <w:gridSpan w:val="2"/>
            <w:tcBorders>
              <w:top w:val="nil"/>
              <w:left w:val="nil"/>
              <w:bottom w:val="nil"/>
              <w:right w:val="nil"/>
            </w:tcBorders>
            <w:shd w:val="clear" w:color="auto" w:fill="auto"/>
            <w:noWrap/>
            <w:vAlign w:val="center"/>
            <w:hideMark/>
          </w:tcPr>
          <w:p w14:paraId="0450B889"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11,640</w:t>
            </w:r>
          </w:p>
        </w:tc>
        <w:tc>
          <w:tcPr>
            <w:tcW w:w="992" w:type="dxa"/>
            <w:tcBorders>
              <w:top w:val="nil"/>
              <w:left w:val="nil"/>
              <w:bottom w:val="nil"/>
              <w:right w:val="nil"/>
            </w:tcBorders>
            <w:shd w:val="clear" w:color="auto" w:fill="auto"/>
            <w:noWrap/>
            <w:vAlign w:val="center"/>
            <w:hideMark/>
          </w:tcPr>
          <w:p w14:paraId="27C40C47"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1.8465</w:t>
            </w:r>
          </w:p>
        </w:tc>
        <w:tc>
          <w:tcPr>
            <w:tcW w:w="992" w:type="dxa"/>
            <w:tcBorders>
              <w:top w:val="nil"/>
              <w:left w:val="nil"/>
              <w:bottom w:val="nil"/>
              <w:right w:val="nil"/>
            </w:tcBorders>
            <w:shd w:val="clear" w:color="auto" w:fill="auto"/>
            <w:noWrap/>
            <w:vAlign w:val="center"/>
            <w:hideMark/>
          </w:tcPr>
          <w:p w14:paraId="2717D596"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0.5497</w:t>
            </w:r>
          </w:p>
        </w:tc>
        <w:tc>
          <w:tcPr>
            <w:tcW w:w="992" w:type="dxa"/>
            <w:tcBorders>
              <w:top w:val="nil"/>
              <w:left w:val="nil"/>
              <w:bottom w:val="nil"/>
              <w:right w:val="nil"/>
            </w:tcBorders>
            <w:shd w:val="clear" w:color="auto" w:fill="auto"/>
            <w:noWrap/>
            <w:vAlign w:val="center"/>
            <w:hideMark/>
          </w:tcPr>
          <w:p w14:paraId="5869B481"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1</w:t>
            </w:r>
          </w:p>
        </w:tc>
        <w:tc>
          <w:tcPr>
            <w:tcW w:w="1088" w:type="dxa"/>
            <w:tcBorders>
              <w:top w:val="nil"/>
              <w:left w:val="nil"/>
              <w:bottom w:val="nil"/>
              <w:right w:val="nil"/>
            </w:tcBorders>
            <w:shd w:val="clear" w:color="auto" w:fill="auto"/>
            <w:noWrap/>
            <w:vAlign w:val="center"/>
            <w:hideMark/>
          </w:tcPr>
          <w:p w14:paraId="6A3EB0F9"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10</w:t>
            </w:r>
          </w:p>
        </w:tc>
      </w:tr>
      <w:tr w:rsidR="00B41534" w:rsidRPr="002B0D86" w14:paraId="0ECA6E50" w14:textId="77777777" w:rsidTr="007160D4">
        <w:trPr>
          <w:trHeight w:val="284"/>
          <w:jc w:val="center"/>
        </w:trPr>
        <w:tc>
          <w:tcPr>
            <w:tcW w:w="4111" w:type="dxa"/>
            <w:tcBorders>
              <w:top w:val="nil"/>
              <w:left w:val="nil"/>
              <w:bottom w:val="nil"/>
              <w:right w:val="nil"/>
            </w:tcBorders>
            <w:shd w:val="clear" w:color="auto" w:fill="auto"/>
            <w:vAlign w:val="center"/>
            <w:hideMark/>
          </w:tcPr>
          <w:p w14:paraId="7ABE6B62" w14:textId="48A0CC63" w:rsidR="00B41534" w:rsidRPr="00A40E69" w:rsidRDefault="00B41534" w:rsidP="007160D4">
            <w:pPr>
              <w:pStyle w:val="NoSpacing"/>
              <w:rPr>
                <w:rFonts w:ascii="Times New Roman" w:hAnsi="Times New Roman" w:cs="Times New Roman"/>
                <w:sz w:val="21"/>
                <w:lang w:val="en-US"/>
              </w:rPr>
            </w:pPr>
            <w:r w:rsidRPr="00A40E69">
              <w:rPr>
                <w:rFonts w:ascii="Times New Roman" w:hAnsi="Times New Roman" w:cs="Times New Roman"/>
                <w:sz w:val="21"/>
                <w:lang w:val="en-US"/>
              </w:rPr>
              <w:t>YoungMove0</w:t>
            </w:r>
            <w:r w:rsidR="00451C71">
              <w:rPr>
                <w:rFonts w:ascii="Times New Roman" w:hAnsi="Times New Roman" w:cs="Times New Roman"/>
                <w:sz w:val="21"/>
                <w:lang w:val="en-US"/>
              </w:rPr>
              <w:t>-</w:t>
            </w:r>
            <w:r w:rsidRPr="00A40E69">
              <w:rPr>
                <w:rFonts w:ascii="Times New Roman" w:hAnsi="Times New Roman" w:cs="Times New Roman"/>
                <w:sz w:val="21"/>
                <w:lang w:val="en-US"/>
              </w:rPr>
              <w:t>16</w:t>
            </w:r>
          </w:p>
        </w:tc>
        <w:tc>
          <w:tcPr>
            <w:tcW w:w="851" w:type="dxa"/>
            <w:gridSpan w:val="2"/>
            <w:tcBorders>
              <w:top w:val="nil"/>
              <w:left w:val="nil"/>
              <w:bottom w:val="nil"/>
              <w:right w:val="nil"/>
            </w:tcBorders>
            <w:shd w:val="clear" w:color="auto" w:fill="auto"/>
            <w:noWrap/>
            <w:vAlign w:val="center"/>
            <w:hideMark/>
          </w:tcPr>
          <w:p w14:paraId="762A77A6"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11,640</w:t>
            </w:r>
          </w:p>
        </w:tc>
        <w:tc>
          <w:tcPr>
            <w:tcW w:w="992" w:type="dxa"/>
            <w:tcBorders>
              <w:top w:val="nil"/>
              <w:left w:val="nil"/>
              <w:bottom w:val="nil"/>
              <w:right w:val="nil"/>
            </w:tcBorders>
            <w:shd w:val="clear" w:color="auto" w:fill="auto"/>
            <w:noWrap/>
            <w:vAlign w:val="center"/>
            <w:hideMark/>
          </w:tcPr>
          <w:p w14:paraId="563D0E9E"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0.0364</w:t>
            </w:r>
          </w:p>
        </w:tc>
        <w:tc>
          <w:tcPr>
            <w:tcW w:w="992" w:type="dxa"/>
            <w:tcBorders>
              <w:top w:val="nil"/>
              <w:left w:val="nil"/>
              <w:bottom w:val="nil"/>
              <w:right w:val="nil"/>
            </w:tcBorders>
            <w:shd w:val="clear" w:color="auto" w:fill="auto"/>
            <w:noWrap/>
            <w:vAlign w:val="center"/>
            <w:hideMark/>
          </w:tcPr>
          <w:p w14:paraId="7F66B237"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0.2393</w:t>
            </w:r>
          </w:p>
        </w:tc>
        <w:tc>
          <w:tcPr>
            <w:tcW w:w="992" w:type="dxa"/>
            <w:tcBorders>
              <w:top w:val="nil"/>
              <w:left w:val="nil"/>
              <w:bottom w:val="nil"/>
              <w:right w:val="nil"/>
            </w:tcBorders>
            <w:shd w:val="clear" w:color="auto" w:fill="auto"/>
            <w:noWrap/>
            <w:vAlign w:val="center"/>
            <w:hideMark/>
          </w:tcPr>
          <w:p w14:paraId="21CFDA9F"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0</w:t>
            </w:r>
          </w:p>
        </w:tc>
        <w:tc>
          <w:tcPr>
            <w:tcW w:w="1088" w:type="dxa"/>
            <w:tcBorders>
              <w:top w:val="nil"/>
              <w:left w:val="nil"/>
              <w:bottom w:val="nil"/>
              <w:right w:val="nil"/>
            </w:tcBorders>
            <w:shd w:val="clear" w:color="auto" w:fill="auto"/>
            <w:noWrap/>
            <w:vAlign w:val="center"/>
            <w:hideMark/>
          </w:tcPr>
          <w:p w14:paraId="3E02DC4E"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5</w:t>
            </w:r>
          </w:p>
        </w:tc>
      </w:tr>
      <w:tr w:rsidR="00B41534" w:rsidRPr="002B0D86" w14:paraId="69A2A8F3" w14:textId="77777777" w:rsidTr="007160D4">
        <w:trPr>
          <w:trHeight w:val="276"/>
          <w:jc w:val="center"/>
        </w:trPr>
        <w:tc>
          <w:tcPr>
            <w:tcW w:w="4111" w:type="dxa"/>
            <w:tcBorders>
              <w:top w:val="nil"/>
              <w:left w:val="nil"/>
              <w:bottom w:val="nil"/>
              <w:right w:val="nil"/>
            </w:tcBorders>
            <w:shd w:val="clear" w:color="auto" w:fill="auto"/>
            <w:vAlign w:val="center"/>
            <w:hideMark/>
          </w:tcPr>
          <w:p w14:paraId="06F69B9A" w14:textId="298DFEEB" w:rsidR="00B41534" w:rsidRPr="00A40E69" w:rsidRDefault="00B41534" w:rsidP="007160D4">
            <w:pPr>
              <w:pStyle w:val="NoSpacing"/>
              <w:rPr>
                <w:rFonts w:ascii="Times New Roman" w:hAnsi="Times New Roman" w:cs="Times New Roman"/>
                <w:sz w:val="21"/>
                <w:lang w:val="en-US"/>
              </w:rPr>
            </w:pPr>
            <w:r w:rsidRPr="00A40E69">
              <w:rPr>
                <w:rFonts w:ascii="Times New Roman" w:hAnsi="Times New Roman" w:cs="Times New Roman"/>
                <w:sz w:val="21"/>
                <w:lang w:val="en-US"/>
              </w:rPr>
              <w:t>YoungMove17</w:t>
            </w:r>
            <w:r w:rsidR="00451C71">
              <w:rPr>
                <w:rFonts w:ascii="Times New Roman" w:hAnsi="Times New Roman" w:cs="Times New Roman"/>
                <w:sz w:val="21"/>
                <w:lang w:val="en-US"/>
              </w:rPr>
              <w:t>-</w:t>
            </w:r>
            <w:r w:rsidRPr="00A40E69">
              <w:rPr>
                <w:rFonts w:ascii="Times New Roman" w:hAnsi="Times New Roman" w:cs="Times New Roman"/>
                <w:sz w:val="21"/>
                <w:lang w:val="en-US"/>
              </w:rPr>
              <w:t>24</w:t>
            </w:r>
          </w:p>
        </w:tc>
        <w:tc>
          <w:tcPr>
            <w:tcW w:w="851" w:type="dxa"/>
            <w:gridSpan w:val="2"/>
            <w:tcBorders>
              <w:top w:val="nil"/>
              <w:left w:val="nil"/>
              <w:bottom w:val="nil"/>
              <w:right w:val="nil"/>
            </w:tcBorders>
            <w:shd w:val="clear" w:color="auto" w:fill="auto"/>
            <w:noWrap/>
            <w:vAlign w:val="center"/>
            <w:hideMark/>
          </w:tcPr>
          <w:p w14:paraId="3DBC20B0"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11,640</w:t>
            </w:r>
          </w:p>
        </w:tc>
        <w:tc>
          <w:tcPr>
            <w:tcW w:w="992" w:type="dxa"/>
            <w:tcBorders>
              <w:top w:val="nil"/>
              <w:left w:val="nil"/>
              <w:bottom w:val="nil"/>
              <w:right w:val="nil"/>
            </w:tcBorders>
            <w:shd w:val="clear" w:color="auto" w:fill="auto"/>
            <w:noWrap/>
            <w:vAlign w:val="center"/>
            <w:hideMark/>
          </w:tcPr>
          <w:p w14:paraId="753ECD30"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0.0347</w:t>
            </w:r>
          </w:p>
        </w:tc>
        <w:tc>
          <w:tcPr>
            <w:tcW w:w="992" w:type="dxa"/>
            <w:tcBorders>
              <w:top w:val="nil"/>
              <w:left w:val="nil"/>
              <w:bottom w:val="nil"/>
              <w:right w:val="nil"/>
            </w:tcBorders>
            <w:shd w:val="clear" w:color="auto" w:fill="auto"/>
            <w:noWrap/>
            <w:vAlign w:val="center"/>
            <w:hideMark/>
          </w:tcPr>
          <w:p w14:paraId="05528EB2"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0.2085</w:t>
            </w:r>
          </w:p>
        </w:tc>
        <w:tc>
          <w:tcPr>
            <w:tcW w:w="992" w:type="dxa"/>
            <w:tcBorders>
              <w:top w:val="nil"/>
              <w:left w:val="nil"/>
              <w:bottom w:val="nil"/>
              <w:right w:val="nil"/>
            </w:tcBorders>
            <w:shd w:val="clear" w:color="auto" w:fill="auto"/>
            <w:noWrap/>
            <w:vAlign w:val="center"/>
            <w:hideMark/>
          </w:tcPr>
          <w:p w14:paraId="4B38F7A3"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0</w:t>
            </w:r>
          </w:p>
        </w:tc>
        <w:tc>
          <w:tcPr>
            <w:tcW w:w="1088" w:type="dxa"/>
            <w:tcBorders>
              <w:top w:val="nil"/>
              <w:left w:val="nil"/>
              <w:bottom w:val="nil"/>
              <w:right w:val="nil"/>
            </w:tcBorders>
            <w:shd w:val="clear" w:color="auto" w:fill="auto"/>
            <w:noWrap/>
            <w:vAlign w:val="center"/>
            <w:hideMark/>
          </w:tcPr>
          <w:p w14:paraId="63811229"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3</w:t>
            </w:r>
          </w:p>
        </w:tc>
      </w:tr>
      <w:tr w:rsidR="00B41534" w:rsidRPr="002B0D86" w14:paraId="29152786" w14:textId="77777777" w:rsidTr="007160D4">
        <w:trPr>
          <w:trHeight w:val="268"/>
          <w:jc w:val="center"/>
        </w:trPr>
        <w:tc>
          <w:tcPr>
            <w:tcW w:w="4111" w:type="dxa"/>
            <w:tcBorders>
              <w:top w:val="nil"/>
              <w:left w:val="nil"/>
              <w:bottom w:val="nil"/>
              <w:right w:val="nil"/>
            </w:tcBorders>
            <w:shd w:val="clear" w:color="auto" w:fill="auto"/>
            <w:vAlign w:val="center"/>
            <w:hideMark/>
          </w:tcPr>
          <w:p w14:paraId="20386E5C" w14:textId="107059B4" w:rsidR="00B41534" w:rsidRPr="00A40E69" w:rsidRDefault="00B41534" w:rsidP="007160D4">
            <w:pPr>
              <w:pStyle w:val="NoSpacing"/>
              <w:rPr>
                <w:rFonts w:ascii="Times New Roman" w:hAnsi="Times New Roman" w:cs="Times New Roman"/>
                <w:sz w:val="21"/>
                <w:lang w:val="en-US"/>
              </w:rPr>
            </w:pPr>
            <w:r w:rsidRPr="00A40E69">
              <w:rPr>
                <w:rFonts w:ascii="Times New Roman" w:hAnsi="Times New Roman" w:cs="Times New Roman"/>
                <w:sz w:val="21"/>
                <w:lang w:val="en-US"/>
              </w:rPr>
              <w:t>YoungMove25</w:t>
            </w:r>
            <w:r w:rsidR="00451C71">
              <w:rPr>
                <w:rFonts w:ascii="Times New Roman" w:hAnsi="Times New Roman" w:cs="Times New Roman"/>
                <w:sz w:val="21"/>
                <w:lang w:val="en-US"/>
              </w:rPr>
              <w:t>-</w:t>
            </w:r>
            <w:r w:rsidRPr="00A40E69">
              <w:rPr>
                <w:rFonts w:ascii="Times New Roman" w:hAnsi="Times New Roman" w:cs="Times New Roman"/>
                <w:sz w:val="21"/>
                <w:lang w:val="en-US"/>
              </w:rPr>
              <w:t>30</w:t>
            </w:r>
          </w:p>
        </w:tc>
        <w:tc>
          <w:tcPr>
            <w:tcW w:w="851" w:type="dxa"/>
            <w:gridSpan w:val="2"/>
            <w:tcBorders>
              <w:top w:val="nil"/>
              <w:left w:val="nil"/>
              <w:bottom w:val="nil"/>
              <w:right w:val="nil"/>
            </w:tcBorders>
            <w:shd w:val="clear" w:color="auto" w:fill="auto"/>
            <w:noWrap/>
            <w:vAlign w:val="center"/>
            <w:hideMark/>
          </w:tcPr>
          <w:p w14:paraId="2FEE9178"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11,640</w:t>
            </w:r>
          </w:p>
        </w:tc>
        <w:tc>
          <w:tcPr>
            <w:tcW w:w="992" w:type="dxa"/>
            <w:tcBorders>
              <w:top w:val="nil"/>
              <w:left w:val="nil"/>
              <w:bottom w:val="nil"/>
              <w:right w:val="nil"/>
            </w:tcBorders>
            <w:shd w:val="clear" w:color="auto" w:fill="auto"/>
            <w:noWrap/>
            <w:vAlign w:val="center"/>
            <w:hideMark/>
          </w:tcPr>
          <w:p w14:paraId="6E4F7E76"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0.0463</w:t>
            </w:r>
          </w:p>
        </w:tc>
        <w:tc>
          <w:tcPr>
            <w:tcW w:w="992" w:type="dxa"/>
            <w:tcBorders>
              <w:top w:val="nil"/>
              <w:left w:val="nil"/>
              <w:bottom w:val="nil"/>
              <w:right w:val="nil"/>
            </w:tcBorders>
            <w:shd w:val="clear" w:color="auto" w:fill="auto"/>
            <w:noWrap/>
            <w:vAlign w:val="center"/>
            <w:hideMark/>
          </w:tcPr>
          <w:p w14:paraId="7AB354D9"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0.2559</w:t>
            </w:r>
          </w:p>
        </w:tc>
        <w:tc>
          <w:tcPr>
            <w:tcW w:w="992" w:type="dxa"/>
            <w:tcBorders>
              <w:top w:val="nil"/>
              <w:left w:val="nil"/>
              <w:bottom w:val="nil"/>
              <w:right w:val="nil"/>
            </w:tcBorders>
            <w:shd w:val="clear" w:color="auto" w:fill="auto"/>
            <w:noWrap/>
            <w:vAlign w:val="center"/>
            <w:hideMark/>
          </w:tcPr>
          <w:p w14:paraId="4CCAFCE5"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0</w:t>
            </w:r>
          </w:p>
        </w:tc>
        <w:tc>
          <w:tcPr>
            <w:tcW w:w="1088" w:type="dxa"/>
            <w:tcBorders>
              <w:top w:val="nil"/>
              <w:left w:val="nil"/>
              <w:bottom w:val="nil"/>
              <w:right w:val="nil"/>
            </w:tcBorders>
            <w:shd w:val="clear" w:color="auto" w:fill="auto"/>
            <w:noWrap/>
            <w:vAlign w:val="center"/>
            <w:hideMark/>
          </w:tcPr>
          <w:p w14:paraId="2254C4F8"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4</w:t>
            </w:r>
          </w:p>
        </w:tc>
      </w:tr>
      <w:tr w:rsidR="00B41534" w:rsidRPr="002B0D86" w14:paraId="4D0796DA" w14:textId="77777777" w:rsidTr="007160D4">
        <w:trPr>
          <w:trHeight w:val="301"/>
          <w:jc w:val="center"/>
        </w:trPr>
        <w:tc>
          <w:tcPr>
            <w:tcW w:w="4111" w:type="dxa"/>
            <w:tcBorders>
              <w:top w:val="nil"/>
              <w:left w:val="nil"/>
              <w:bottom w:val="single" w:sz="4" w:space="0" w:color="auto"/>
              <w:right w:val="nil"/>
            </w:tcBorders>
            <w:shd w:val="clear" w:color="auto" w:fill="auto"/>
            <w:vAlign w:val="center"/>
            <w:hideMark/>
          </w:tcPr>
          <w:p w14:paraId="2B9A19D2" w14:textId="77777777" w:rsidR="00B41534" w:rsidRPr="00A40E69" w:rsidRDefault="00B41534" w:rsidP="007160D4">
            <w:pPr>
              <w:pStyle w:val="NoSpacing"/>
              <w:rPr>
                <w:rFonts w:ascii="Times New Roman" w:hAnsi="Times New Roman" w:cs="Times New Roman"/>
                <w:sz w:val="21"/>
                <w:lang w:val="en-US"/>
              </w:rPr>
            </w:pPr>
            <w:r w:rsidRPr="00A40E69">
              <w:rPr>
                <w:rFonts w:ascii="Times New Roman" w:hAnsi="Times New Roman" w:cs="Times New Roman"/>
                <w:sz w:val="21"/>
                <w:lang w:val="en-US"/>
              </w:rPr>
              <w:t>YoungMove31</w:t>
            </w:r>
            <w:r>
              <w:rPr>
                <w:rFonts w:ascii="Times New Roman" w:hAnsi="Times New Roman" w:cs="Times New Roman"/>
                <w:sz w:val="21"/>
                <w:lang w:val="en-US"/>
              </w:rPr>
              <w:t>+</w:t>
            </w:r>
          </w:p>
        </w:tc>
        <w:tc>
          <w:tcPr>
            <w:tcW w:w="851" w:type="dxa"/>
            <w:gridSpan w:val="2"/>
            <w:tcBorders>
              <w:top w:val="nil"/>
              <w:left w:val="nil"/>
              <w:bottom w:val="single" w:sz="4" w:space="0" w:color="auto"/>
              <w:right w:val="nil"/>
            </w:tcBorders>
            <w:shd w:val="clear" w:color="auto" w:fill="auto"/>
            <w:noWrap/>
            <w:vAlign w:val="center"/>
            <w:hideMark/>
          </w:tcPr>
          <w:p w14:paraId="51DD5478"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11,640</w:t>
            </w:r>
          </w:p>
        </w:tc>
        <w:tc>
          <w:tcPr>
            <w:tcW w:w="992" w:type="dxa"/>
            <w:tcBorders>
              <w:top w:val="nil"/>
              <w:left w:val="nil"/>
              <w:bottom w:val="single" w:sz="4" w:space="0" w:color="auto"/>
              <w:right w:val="nil"/>
            </w:tcBorders>
            <w:shd w:val="clear" w:color="auto" w:fill="auto"/>
            <w:noWrap/>
            <w:vAlign w:val="center"/>
            <w:hideMark/>
          </w:tcPr>
          <w:p w14:paraId="32FE6EDD"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0.0578</w:t>
            </w:r>
          </w:p>
        </w:tc>
        <w:tc>
          <w:tcPr>
            <w:tcW w:w="992" w:type="dxa"/>
            <w:tcBorders>
              <w:top w:val="nil"/>
              <w:left w:val="nil"/>
              <w:bottom w:val="single" w:sz="4" w:space="0" w:color="auto"/>
              <w:right w:val="nil"/>
            </w:tcBorders>
            <w:shd w:val="clear" w:color="auto" w:fill="auto"/>
            <w:noWrap/>
            <w:vAlign w:val="center"/>
            <w:hideMark/>
          </w:tcPr>
          <w:p w14:paraId="65EFE402"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0.3230</w:t>
            </w:r>
          </w:p>
        </w:tc>
        <w:tc>
          <w:tcPr>
            <w:tcW w:w="992" w:type="dxa"/>
            <w:tcBorders>
              <w:top w:val="nil"/>
              <w:left w:val="nil"/>
              <w:bottom w:val="single" w:sz="4" w:space="0" w:color="auto"/>
              <w:right w:val="nil"/>
            </w:tcBorders>
            <w:shd w:val="clear" w:color="auto" w:fill="auto"/>
            <w:noWrap/>
            <w:vAlign w:val="center"/>
            <w:hideMark/>
          </w:tcPr>
          <w:p w14:paraId="3F0B04C2"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0</w:t>
            </w:r>
          </w:p>
        </w:tc>
        <w:tc>
          <w:tcPr>
            <w:tcW w:w="1088" w:type="dxa"/>
            <w:tcBorders>
              <w:top w:val="nil"/>
              <w:left w:val="nil"/>
              <w:bottom w:val="single" w:sz="4" w:space="0" w:color="auto"/>
              <w:right w:val="nil"/>
            </w:tcBorders>
            <w:shd w:val="clear" w:color="auto" w:fill="auto"/>
            <w:noWrap/>
            <w:vAlign w:val="center"/>
            <w:hideMark/>
          </w:tcPr>
          <w:p w14:paraId="24C24CC3" w14:textId="77777777" w:rsidR="00B41534" w:rsidRPr="00A40E69" w:rsidRDefault="00B41534" w:rsidP="007160D4">
            <w:pPr>
              <w:pStyle w:val="NoSpacing"/>
              <w:jc w:val="center"/>
              <w:rPr>
                <w:rFonts w:ascii="Times New Roman" w:hAnsi="Times New Roman" w:cs="Times New Roman"/>
                <w:sz w:val="21"/>
                <w:lang w:val="en-US"/>
              </w:rPr>
            </w:pPr>
            <w:r w:rsidRPr="00A40E69">
              <w:rPr>
                <w:rFonts w:ascii="Times New Roman" w:hAnsi="Times New Roman" w:cs="Times New Roman"/>
                <w:sz w:val="21"/>
                <w:lang w:val="en-US"/>
              </w:rPr>
              <w:t>4</w:t>
            </w:r>
          </w:p>
        </w:tc>
      </w:tr>
    </w:tbl>
    <w:p w14:paraId="37330402" w14:textId="77777777" w:rsidR="00B41534" w:rsidRPr="00A40E69" w:rsidRDefault="00B41534" w:rsidP="00B41534">
      <w:pPr>
        <w:spacing w:after="40"/>
        <w:jc w:val="both"/>
        <w:rPr>
          <w:sz w:val="16"/>
          <w:szCs w:val="16"/>
          <w:lang w:val="en-US"/>
        </w:rPr>
      </w:pPr>
    </w:p>
    <w:p w14:paraId="3B2DA043" w14:textId="0588EB22" w:rsidR="00B41534" w:rsidRPr="00A40E69" w:rsidRDefault="00B41534" w:rsidP="006753F1">
      <w:pPr>
        <w:spacing w:after="40"/>
        <w:jc w:val="both"/>
        <w:rPr>
          <w:sz w:val="16"/>
          <w:szCs w:val="16"/>
          <w:lang w:val="en-US"/>
        </w:rPr>
      </w:pPr>
      <w:r w:rsidRPr="00A40E69">
        <w:rPr>
          <w:i/>
          <w:sz w:val="16"/>
          <w:szCs w:val="16"/>
          <w:lang w:val="en-US"/>
        </w:rPr>
        <w:t>Note:</w:t>
      </w:r>
      <w:r w:rsidRPr="00A40E69">
        <w:rPr>
          <w:sz w:val="16"/>
          <w:szCs w:val="16"/>
          <w:lang w:val="en-US"/>
        </w:rPr>
        <w:t xml:space="preserve"> The sample includes households who participated in both the 2011 and 2013 waves of the survey, provided age information for every household member, and had heads aged 45 and above in both the 2011 and 2013 waves.</w:t>
      </w:r>
      <w:r w:rsidR="00D43680">
        <w:rPr>
          <w:sz w:val="16"/>
          <w:szCs w:val="16"/>
          <w:lang w:val="en-US"/>
        </w:rPr>
        <w:t xml:space="preserve"> Income, </w:t>
      </w:r>
      <w:proofErr w:type="gramStart"/>
      <w:r w:rsidR="00D43680">
        <w:rPr>
          <w:sz w:val="16"/>
          <w:szCs w:val="16"/>
          <w:lang w:val="en-US"/>
        </w:rPr>
        <w:t>wealth</w:t>
      </w:r>
      <w:proofErr w:type="gramEnd"/>
      <w:r w:rsidR="00D43680">
        <w:rPr>
          <w:sz w:val="16"/>
          <w:szCs w:val="16"/>
          <w:lang w:val="en-US"/>
        </w:rPr>
        <w:t xml:space="preserve"> and remittances are </w:t>
      </w:r>
      <w:r w:rsidR="00D43680" w:rsidRPr="00D43680">
        <w:rPr>
          <w:sz w:val="16"/>
          <w:szCs w:val="16"/>
          <w:lang w:val="en-US"/>
        </w:rPr>
        <w:t xml:space="preserve">converted into real terms using the province-level Consumer Price Index (CPI) </w:t>
      </w:r>
      <w:r w:rsidR="00D43680" w:rsidRPr="00A40E69">
        <w:rPr>
          <w:sz w:val="16"/>
          <w:szCs w:val="16"/>
          <w:lang w:val="en-US"/>
        </w:rPr>
        <w:t>obtained from the China Statistical Yearbook</w:t>
      </w:r>
      <w:r w:rsidR="00D43680" w:rsidRPr="00D43680">
        <w:rPr>
          <w:sz w:val="16"/>
          <w:szCs w:val="16"/>
          <w:lang w:val="en-US"/>
        </w:rPr>
        <w:t xml:space="preserve"> </w:t>
      </w:r>
      <w:r w:rsidR="000A6D63">
        <w:rPr>
          <w:sz w:val="16"/>
          <w:szCs w:val="16"/>
          <w:lang w:val="en-US"/>
        </w:rPr>
        <w:t>with</w:t>
      </w:r>
      <w:r w:rsidR="00D43680" w:rsidRPr="00D43680">
        <w:rPr>
          <w:sz w:val="16"/>
          <w:szCs w:val="16"/>
          <w:lang w:val="en-US"/>
        </w:rPr>
        <w:t xml:space="preserve"> 2011 as the base year.</w:t>
      </w:r>
      <w:r w:rsidR="00D43680">
        <w:rPr>
          <w:sz w:val="16"/>
          <w:szCs w:val="16"/>
          <w:lang w:val="en-US"/>
        </w:rPr>
        <w:t xml:space="preserve"> </w:t>
      </w:r>
      <w:r w:rsidRPr="00A40E69">
        <w:rPr>
          <w:sz w:val="16"/>
          <w:szCs w:val="16"/>
          <w:lang w:val="en-US"/>
        </w:rPr>
        <w:t>See Table A</w:t>
      </w:r>
      <w:r w:rsidR="006B10C5">
        <w:rPr>
          <w:sz w:val="16"/>
          <w:szCs w:val="16"/>
          <w:lang w:val="en-US"/>
        </w:rPr>
        <w:t>1</w:t>
      </w:r>
      <w:r w:rsidRPr="00A40E69">
        <w:rPr>
          <w:sz w:val="16"/>
          <w:szCs w:val="16"/>
          <w:lang w:val="en-US"/>
        </w:rPr>
        <w:t xml:space="preserve"> for definitions of all variables.</w:t>
      </w:r>
    </w:p>
    <w:p w14:paraId="6069F484" w14:textId="77777777" w:rsidR="00B41534" w:rsidRPr="00A40E69" w:rsidRDefault="00B41534" w:rsidP="006753F1">
      <w:pPr>
        <w:jc w:val="both"/>
        <w:rPr>
          <w:lang w:val="en-US"/>
        </w:rPr>
      </w:pPr>
      <w:r w:rsidRPr="00A40E69">
        <w:rPr>
          <w:i/>
          <w:sz w:val="16"/>
          <w:szCs w:val="16"/>
          <w:lang w:val="en-US"/>
        </w:rPr>
        <w:t>Source:</w:t>
      </w:r>
      <w:r w:rsidRPr="00A40E69">
        <w:rPr>
          <w:sz w:val="16"/>
          <w:szCs w:val="16"/>
          <w:lang w:val="en-US"/>
        </w:rPr>
        <w:t xml:space="preserve"> Authors’ calculations based on the CHARLS and the China Statistical Yearbook.</w:t>
      </w:r>
    </w:p>
    <w:p w14:paraId="5BD66569" w14:textId="65407B2B" w:rsidR="00B41534" w:rsidRDefault="00B41534" w:rsidP="00B41534">
      <w:pPr>
        <w:rPr>
          <w:lang w:val="en-US"/>
        </w:rPr>
      </w:pPr>
    </w:p>
    <w:p w14:paraId="75C2198D" w14:textId="77777777" w:rsidR="006753F1" w:rsidRPr="00A40E69" w:rsidRDefault="006753F1" w:rsidP="00B41534">
      <w:pPr>
        <w:rPr>
          <w:lang w:val="en-US"/>
        </w:rPr>
      </w:pPr>
    </w:p>
    <w:p w14:paraId="4AFD57D8" w14:textId="77777777" w:rsidR="00B41534" w:rsidRDefault="00B41534" w:rsidP="00B41534">
      <w:pPr>
        <w:pStyle w:val="Caption"/>
        <w:rPr>
          <w:sz w:val="22"/>
          <w:szCs w:val="22"/>
          <w:lang w:val="en-US"/>
        </w:rPr>
      </w:pPr>
    </w:p>
    <w:p w14:paraId="741FC61E" w14:textId="77777777" w:rsidR="00B41534" w:rsidRDefault="00B41534" w:rsidP="00B41534">
      <w:pPr>
        <w:pStyle w:val="Caption"/>
        <w:rPr>
          <w:sz w:val="22"/>
          <w:szCs w:val="22"/>
          <w:lang w:val="en-US"/>
        </w:rPr>
      </w:pPr>
    </w:p>
    <w:p w14:paraId="02006623" w14:textId="77777777" w:rsidR="00B41534" w:rsidRDefault="00B41534" w:rsidP="00B41534">
      <w:pPr>
        <w:pStyle w:val="Caption"/>
        <w:rPr>
          <w:sz w:val="22"/>
          <w:szCs w:val="22"/>
          <w:lang w:val="en-US"/>
        </w:rPr>
      </w:pPr>
    </w:p>
    <w:p w14:paraId="077A4BAB" w14:textId="77777777" w:rsidR="004476C3" w:rsidRDefault="004476C3" w:rsidP="00B41534">
      <w:pPr>
        <w:pStyle w:val="Caption"/>
        <w:rPr>
          <w:sz w:val="22"/>
          <w:szCs w:val="22"/>
          <w:lang w:val="en-US"/>
        </w:rPr>
        <w:sectPr w:rsidR="004476C3" w:rsidSect="00A41E55">
          <w:headerReference w:type="default" r:id="rId12"/>
          <w:pgSz w:w="11906" w:h="16838"/>
          <w:pgMar w:top="1440" w:right="1440" w:bottom="1440" w:left="1440" w:header="709" w:footer="709" w:gutter="0"/>
          <w:cols w:space="708"/>
          <w:docGrid w:linePitch="360"/>
        </w:sectPr>
      </w:pPr>
    </w:p>
    <w:p w14:paraId="3EBFF111" w14:textId="781B9147" w:rsidR="004476C3" w:rsidRPr="00CE2A44" w:rsidRDefault="004476C3" w:rsidP="004476C3">
      <w:pPr>
        <w:jc w:val="center"/>
        <w:rPr>
          <w:rFonts w:ascii="Calibri" w:hAnsi="Calibri" w:cs="Calibri"/>
          <w:bCs/>
          <w:sz w:val="22"/>
          <w:szCs w:val="22"/>
          <w:lang w:val="en-US"/>
        </w:rPr>
      </w:pPr>
      <w:r w:rsidRPr="00CE2A44">
        <w:rPr>
          <w:b/>
          <w:lang w:val="en-US"/>
        </w:rPr>
        <w:lastRenderedPageBreak/>
        <w:t xml:space="preserve">Table </w:t>
      </w:r>
      <w:r w:rsidR="00CE2A44" w:rsidRPr="00CE2A44">
        <w:rPr>
          <w:b/>
          <w:lang w:val="en-US"/>
        </w:rPr>
        <w:t>A</w:t>
      </w:r>
      <w:r w:rsidR="00FC05BF">
        <w:rPr>
          <w:b/>
          <w:lang w:val="en-US"/>
        </w:rPr>
        <w:t>5</w:t>
      </w:r>
      <w:r w:rsidRPr="00CE2A44">
        <w:rPr>
          <w:b/>
          <w:lang w:val="en-US"/>
        </w:rPr>
        <w:t>.</w:t>
      </w:r>
      <w:r w:rsidRPr="00CD031F">
        <w:rPr>
          <w:rFonts w:ascii="Calibri" w:hAnsi="Calibri" w:cs="Calibri"/>
          <w:b/>
          <w:sz w:val="22"/>
          <w:szCs w:val="22"/>
          <w:lang w:val="en-US"/>
        </w:rPr>
        <w:t xml:space="preserve"> </w:t>
      </w:r>
      <w:r w:rsidRPr="00CE2A44">
        <w:rPr>
          <w:bCs/>
          <w:lang w:val="en-US"/>
        </w:rPr>
        <w:t xml:space="preserve">Young leavers and household consumption </w:t>
      </w:r>
      <w:r w:rsidR="00CE2A44" w:rsidRPr="00CE2A44">
        <w:rPr>
          <w:bCs/>
          <w:lang w:val="en-US"/>
        </w:rPr>
        <w:t xml:space="preserve">differentiating leavers by age; </w:t>
      </w:r>
      <w:r w:rsidRPr="00CE2A44">
        <w:rPr>
          <w:bCs/>
          <w:lang w:val="en-US"/>
        </w:rPr>
        <w:t>weight</w:t>
      </w:r>
      <w:r w:rsidR="00CE2A44" w:rsidRPr="00CE2A44">
        <w:rPr>
          <w:bCs/>
          <w:lang w:val="en-US"/>
        </w:rPr>
        <w:t xml:space="preserve">ed </w:t>
      </w:r>
      <w:proofErr w:type="gramStart"/>
      <w:r w:rsidR="00CE2A44" w:rsidRPr="00CE2A44">
        <w:rPr>
          <w:bCs/>
          <w:lang w:val="en-US"/>
        </w:rPr>
        <w:t>regression</w:t>
      </w:r>
      <w:proofErr w:type="gramEnd"/>
      <w:r w:rsidRPr="00CE2A44">
        <w:rPr>
          <w:rFonts w:ascii="Calibri" w:hAnsi="Calibri" w:cs="Calibri"/>
          <w:bCs/>
          <w:sz w:val="22"/>
          <w:szCs w:val="22"/>
          <w:lang w:val="en-US"/>
        </w:rPr>
        <w:t xml:space="preserve"> </w:t>
      </w:r>
    </w:p>
    <w:p w14:paraId="648FF376" w14:textId="77777777" w:rsidR="004476C3" w:rsidRDefault="004476C3" w:rsidP="004476C3">
      <w:pPr>
        <w:jc w:val="both"/>
        <w:rPr>
          <w:lang w:val="en-US"/>
        </w:rPr>
      </w:pPr>
    </w:p>
    <w:tbl>
      <w:tblPr>
        <w:tblW w:w="0" w:type="auto"/>
        <w:jc w:val="center"/>
        <w:tblCellMar>
          <w:left w:w="75" w:type="dxa"/>
          <w:right w:w="75" w:type="dxa"/>
        </w:tblCellMar>
        <w:tblLook w:val="0000" w:firstRow="0" w:lastRow="0" w:firstColumn="0" w:lastColumn="0" w:noHBand="0" w:noVBand="0"/>
      </w:tblPr>
      <w:tblGrid>
        <w:gridCol w:w="1785"/>
        <w:gridCol w:w="1397"/>
        <w:gridCol w:w="1961"/>
        <w:gridCol w:w="2049"/>
        <w:gridCol w:w="1397"/>
        <w:gridCol w:w="1961"/>
        <w:gridCol w:w="2349"/>
      </w:tblGrid>
      <w:tr w:rsidR="004476C3" w:rsidRPr="0088783A" w14:paraId="6746A7F8" w14:textId="77777777" w:rsidTr="005B4673">
        <w:trPr>
          <w:jc w:val="center"/>
        </w:trPr>
        <w:tc>
          <w:tcPr>
            <w:tcW w:w="1785" w:type="dxa"/>
            <w:tcBorders>
              <w:top w:val="single" w:sz="6" w:space="0" w:color="auto"/>
              <w:left w:val="nil"/>
              <w:bottom w:val="nil"/>
              <w:right w:val="nil"/>
            </w:tcBorders>
          </w:tcPr>
          <w:p w14:paraId="017BF15A" w14:textId="77777777" w:rsidR="004476C3" w:rsidRPr="0088783A" w:rsidRDefault="004476C3" w:rsidP="005B4673">
            <w:pPr>
              <w:widowControl w:val="0"/>
              <w:autoSpaceDE w:val="0"/>
              <w:autoSpaceDN w:val="0"/>
              <w:adjustRightInd w:val="0"/>
              <w:rPr>
                <w:sz w:val="16"/>
                <w:szCs w:val="16"/>
              </w:rPr>
            </w:pPr>
          </w:p>
        </w:tc>
        <w:tc>
          <w:tcPr>
            <w:tcW w:w="0" w:type="auto"/>
            <w:tcBorders>
              <w:top w:val="single" w:sz="6" w:space="0" w:color="auto"/>
              <w:left w:val="nil"/>
              <w:bottom w:val="nil"/>
              <w:right w:val="nil"/>
            </w:tcBorders>
            <w:vAlign w:val="center"/>
          </w:tcPr>
          <w:p w14:paraId="0AE6CA5D" w14:textId="77777777" w:rsidR="004476C3" w:rsidRPr="0088783A" w:rsidRDefault="004476C3" w:rsidP="005B4673">
            <w:pPr>
              <w:widowControl w:val="0"/>
              <w:autoSpaceDE w:val="0"/>
              <w:autoSpaceDN w:val="0"/>
              <w:adjustRightInd w:val="0"/>
              <w:jc w:val="center"/>
              <w:rPr>
                <w:rFonts w:ascii="Calibri" w:hAnsi="Calibri" w:cs="Calibri"/>
                <w:b/>
                <w:sz w:val="16"/>
                <w:szCs w:val="16"/>
                <w:lang w:val="en-US"/>
              </w:rPr>
            </w:pPr>
            <w:r w:rsidRPr="0088783A">
              <w:rPr>
                <w:rFonts w:ascii="Calibri" w:hAnsi="Calibri" w:cs="Calibri"/>
                <w:b/>
                <w:sz w:val="16"/>
                <w:szCs w:val="16"/>
                <w:lang w:val="en-US"/>
              </w:rPr>
              <w:t>(1)</w:t>
            </w:r>
          </w:p>
        </w:tc>
        <w:tc>
          <w:tcPr>
            <w:tcW w:w="0" w:type="auto"/>
            <w:tcBorders>
              <w:top w:val="single" w:sz="6" w:space="0" w:color="auto"/>
              <w:left w:val="nil"/>
              <w:bottom w:val="nil"/>
              <w:right w:val="nil"/>
            </w:tcBorders>
            <w:vAlign w:val="center"/>
          </w:tcPr>
          <w:p w14:paraId="52EDFBE5" w14:textId="77777777" w:rsidR="004476C3" w:rsidRPr="0088783A" w:rsidRDefault="004476C3" w:rsidP="005B4673">
            <w:pPr>
              <w:widowControl w:val="0"/>
              <w:autoSpaceDE w:val="0"/>
              <w:autoSpaceDN w:val="0"/>
              <w:adjustRightInd w:val="0"/>
              <w:jc w:val="center"/>
              <w:rPr>
                <w:rFonts w:ascii="Calibri" w:hAnsi="Calibri" w:cs="Calibri"/>
                <w:b/>
                <w:sz w:val="16"/>
                <w:szCs w:val="16"/>
                <w:lang w:val="en-US"/>
              </w:rPr>
            </w:pPr>
            <w:r w:rsidRPr="0088783A">
              <w:rPr>
                <w:rFonts w:ascii="Calibri" w:hAnsi="Calibri" w:cs="Calibri"/>
                <w:b/>
                <w:sz w:val="16"/>
                <w:szCs w:val="16"/>
                <w:lang w:val="en-US"/>
              </w:rPr>
              <w:t>(2)</w:t>
            </w:r>
          </w:p>
        </w:tc>
        <w:tc>
          <w:tcPr>
            <w:tcW w:w="0" w:type="auto"/>
            <w:tcBorders>
              <w:top w:val="single" w:sz="6" w:space="0" w:color="auto"/>
              <w:left w:val="nil"/>
              <w:bottom w:val="nil"/>
              <w:right w:val="nil"/>
            </w:tcBorders>
            <w:vAlign w:val="center"/>
          </w:tcPr>
          <w:p w14:paraId="0EE568AF" w14:textId="77777777" w:rsidR="004476C3" w:rsidRPr="0088783A" w:rsidRDefault="004476C3" w:rsidP="005B4673">
            <w:pPr>
              <w:widowControl w:val="0"/>
              <w:autoSpaceDE w:val="0"/>
              <w:autoSpaceDN w:val="0"/>
              <w:adjustRightInd w:val="0"/>
              <w:jc w:val="center"/>
              <w:rPr>
                <w:rFonts w:ascii="Calibri" w:hAnsi="Calibri" w:cs="Calibri"/>
                <w:b/>
                <w:sz w:val="16"/>
                <w:szCs w:val="16"/>
                <w:lang w:val="en-US"/>
              </w:rPr>
            </w:pPr>
            <w:r w:rsidRPr="0088783A">
              <w:rPr>
                <w:rFonts w:ascii="Calibri" w:hAnsi="Calibri" w:cs="Calibri"/>
                <w:b/>
                <w:sz w:val="16"/>
                <w:szCs w:val="16"/>
                <w:lang w:val="en-US"/>
              </w:rPr>
              <w:t>(3)</w:t>
            </w:r>
          </w:p>
        </w:tc>
        <w:tc>
          <w:tcPr>
            <w:tcW w:w="0" w:type="auto"/>
            <w:tcBorders>
              <w:top w:val="single" w:sz="6" w:space="0" w:color="auto"/>
              <w:left w:val="nil"/>
              <w:bottom w:val="nil"/>
              <w:right w:val="nil"/>
            </w:tcBorders>
            <w:vAlign w:val="center"/>
          </w:tcPr>
          <w:p w14:paraId="11EDAD56" w14:textId="5D0E455B"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b/>
                <w:sz w:val="16"/>
                <w:szCs w:val="16"/>
                <w:lang w:val="en-US"/>
              </w:rPr>
              <w:t>(</w:t>
            </w:r>
            <w:r w:rsidR="006B10C5">
              <w:rPr>
                <w:rFonts w:ascii="Calibri" w:hAnsi="Calibri" w:cs="Calibri"/>
                <w:b/>
                <w:sz w:val="16"/>
                <w:szCs w:val="16"/>
                <w:lang w:val="en-US"/>
              </w:rPr>
              <w:t>4</w:t>
            </w:r>
            <w:r w:rsidRPr="0088783A">
              <w:rPr>
                <w:rFonts w:ascii="Calibri" w:hAnsi="Calibri" w:cs="Calibri"/>
                <w:b/>
                <w:sz w:val="16"/>
                <w:szCs w:val="16"/>
                <w:lang w:val="en-US"/>
              </w:rPr>
              <w:t>)</w:t>
            </w:r>
          </w:p>
        </w:tc>
        <w:tc>
          <w:tcPr>
            <w:tcW w:w="0" w:type="auto"/>
            <w:tcBorders>
              <w:top w:val="single" w:sz="6" w:space="0" w:color="auto"/>
              <w:left w:val="nil"/>
              <w:bottom w:val="nil"/>
              <w:right w:val="nil"/>
            </w:tcBorders>
            <w:vAlign w:val="center"/>
          </w:tcPr>
          <w:p w14:paraId="661F72B7" w14:textId="76C5DD70"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b/>
                <w:sz w:val="16"/>
                <w:szCs w:val="16"/>
                <w:lang w:val="en-US"/>
              </w:rPr>
              <w:t>(</w:t>
            </w:r>
            <w:r w:rsidR="006B10C5">
              <w:rPr>
                <w:rFonts w:ascii="Calibri" w:hAnsi="Calibri" w:cs="Calibri"/>
                <w:b/>
                <w:sz w:val="16"/>
                <w:szCs w:val="16"/>
                <w:lang w:val="en-US"/>
              </w:rPr>
              <w:t>5</w:t>
            </w:r>
            <w:r w:rsidRPr="0088783A">
              <w:rPr>
                <w:rFonts w:ascii="Calibri" w:hAnsi="Calibri" w:cs="Calibri"/>
                <w:b/>
                <w:sz w:val="16"/>
                <w:szCs w:val="16"/>
                <w:lang w:val="en-US"/>
              </w:rPr>
              <w:t>)</w:t>
            </w:r>
          </w:p>
        </w:tc>
        <w:tc>
          <w:tcPr>
            <w:tcW w:w="0" w:type="auto"/>
            <w:tcBorders>
              <w:top w:val="single" w:sz="6" w:space="0" w:color="auto"/>
              <w:left w:val="nil"/>
              <w:bottom w:val="nil"/>
              <w:right w:val="nil"/>
            </w:tcBorders>
            <w:vAlign w:val="center"/>
          </w:tcPr>
          <w:p w14:paraId="5F80B257" w14:textId="194848BF"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b/>
                <w:sz w:val="16"/>
                <w:szCs w:val="16"/>
                <w:lang w:val="en-US"/>
              </w:rPr>
              <w:t>(</w:t>
            </w:r>
            <w:r w:rsidR="006B10C5">
              <w:rPr>
                <w:rFonts w:ascii="Calibri" w:hAnsi="Calibri" w:cs="Calibri"/>
                <w:b/>
                <w:sz w:val="16"/>
                <w:szCs w:val="16"/>
                <w:lang w:val="en-US"/>
              </w:rPr>
              <w:t>6</w:t>
            </w:r>
            <w:r w:rsidRPr="0088783A">
              <w:rPr>
                <w:rFonts w:ascii="Calibri" w:hAnsi="Calibri" w:cs="Calibri"/>
                <w:b/>
                <w:sz w:val="16"/>
                <w:szCs w:val="16"/>
                <w:lang w:val="en-US"/>
              </w:rPr>
              <w:t>)</w:t>
            </w:r>
          </w:p>
        </w:tc>
      </w:tr>
      <w:tr w:rsidR="004476C3" w:rsidRPr="0088783A" w14:paraId="27EDDBAD" w14:textId="77777777" w:rsidTr="005B4673">
        <w:trPr>
          <w:jc w:val="center"/>
        </w:trPr>
        <w:tc>
          <w:tcPr>
            <w:tcW w:w="1785" w:type="dxa"/>
            <w:tcBorders>
              <w:top w:val="nil"/>
              <w:left w:val="nil"/>
              <w:bottom w:val="single" w:sz="6" w:space="0" w:color="auto"/>
              <w:right w:val="nil"/>
            </w:tcBorders>
          </w:tcPr>
          <w:p w14:paraId="1CA6B24F" w14:textId="77777777" w:rsidR="004476C3" w:rsidRPr="0088783A" w:rsidRDefault="004476C3" w:rsidP="005B4673">
            <w:pPr>
              <w:widowControl w:val="0"/>
              <w:autoSpaceDE w:val="0"/>
              <w:autoSpaceDN w:val="0"/>
              <w:adjustRightInd w:val="0"/>
              <w:rPr>
                <w:sz w:val="16"/>
                <w:szCs w:val="16"/>
              </w:rPr>
            </w:pPr>
          </w:p>
        </w:tc>
        <w:tc>
          <w:tcPr>
            <w:tcW w:w="0" w:type="auto"/>
            <w:tcBorders>
              <w:top w:val="nil"/>
              <w:left w:val="nil"/>
              <w:bottom w:val="single" w:sz="6" w:space="0" w:color="auto"/>
              <w:right w:val="nil"/>
            </w:tcBorders>
            <w:vAlign w:val="center"/>
          </w:tcPr>
          <w:p w14:paraId="421332AD" w14:textId="77777777" w:rsidR="004476C3" w:rsidRPr="0088783A" w:rsidRDefault="004476C3" w:rsidP="005B4673">
            <w:pPr>
              <w:widowControl w:val="0"/>
              <w:autoSpaceDE w:val="0"/>
              <w:autoSpaceDN w:val="0"/>
              <w:adjustRightInd w:val="0"/>
              <w:jc w:val="center"/>
              <w:rPr>
                <w:rFonts w:ascii="Calibri" w:hAnsi="Calibri" w:cs="Calibri"/>
                <w:b/>
                <w:sz w:val="16"/>
                <w:szCs w:val="16"/>
                <w:lang w:val="en-US"/>
              </w:rPr>
            </w:pPr>
            <w:r w:rsidRPr="0088783A">
              <w:rPr>
                <w:rFonts w:ascii="Calibri" w:hAnsi="Calibri" w:cs="Calibri"/>
                <w:b/>
                <w:sz w:val="16"/>
                <w:szCs w:val="16"/>
                <w:lang w:val="en-US"/>
              </w:rPr>
              <w:t>Total consumption</w:t>
            </w:r>
          </w:p>
        </w:tc>
        <w:tc>
          <w:tcPr>
            <w:tcW w:w="0" w:type="auto"/>
            <w:tcBorders>
              <w:top w:val="nil"/>
              <w:left w:val="nil"/>
              <w:bottom w:val="single" w:sz="6" w:space="0" w:color="auto"/>
              <w:right w:val="nil"/>
            </w:tcBorders>
            <w:vAlign w:val="center"/>
          </w:tcPr>
          <w:p w14:paraId="758BF69A" w14:textId="77777777" w:rsidR="004476C3" w:rsidRPr="0088783A" w:rsidRDefault="004476C3" w:rsidP="005B4673">
            <w:pPr>
              <w:widowControl w:val="0"/>
              <w:autoSpaceDE w:val="0"/>
              <w:autoSpaceDN w:val="0"/>
              <w:adjustRightInd w:val="0"/>
              <w:jc w:val="center"/>
              <w:rPr>
                <w:rFonts w:ascii="Calibri" w:hAnsi="Calibri" w:cs="Calibri"/>
                <w:b/>
                <w:sz w:val="16"/>
                <w:szCs w:val="16"/>
                <w:lang w:val="en-US"/>
              </w:rPr>
            </w:pPr>
            <w:r w:rsidRPr="0088783A">
              <w:rPr>
                <w:rFonts w:ascii="Calibri" w:hAnsi="Calibri" w:cs="Calibri"/>
                <w:b/>
                <w:sz w:val="16"/>
                <w:szCs w:val="16"/>
                <w:lang w:val="en-US"/>
              </w:rPr>
              <w:t>Non-durables consumption</w:t>
            </w:r>
          </w:p>
        </w:tc>
        <w:tc>
          <w:tcPr>
            <w:tcW w:w="0" w:type="auto"/>
            <w:tcBorders>
              <w:top w:val="nil"/>
              <w:left w:val="nil"/>
              <w:bottom w:val="single" w:sz="6" w:space="0" w:color="auto"/>
              <w:right w:val="nil"/>
            </w:tcBorders>
            <w:vAlign w:val="center"/>
          </w:tcPr>
          <w:p w14:paraId="15807765" w14:textId="77777777" w:rsidR="004476C3" w:rsidRPr="0088783A" w:rsidRDefault="004476C3" w:rsidP="005B4673">
            <w:pPr>
              <w:widowControl w:val="0"/>
              <w:autoSpaceDE w:val="0"/>
              <w:autoSpaceDN w:val="0"/>
              <w:adjustRightInd w:val="0"/>
              <w:jc w:val="center"/>
              <w:rPr>
                <w:rFonts w:ascii="Calibri" w:hAnsi="Calibri" w:cs="Calibri"/>
                <w:b/>
                <w:sz w:val="16"/>
                <w:szCs w:val="16"/>
                <w:lang w:val="en-US"/>
              </w:rPr>
            </w:pPr>
            <w:r w:rsidRPr="0088783A">
              <w:rPr>
                <w:rFonts w:ascii="Calibri" w:hAnsi="Calibri" w:cs="Calibri"/>
                <w:b/>
                <w:sz w:val="16"/>
                <w:szCs w:val="16"/>
                <w:lang w:val="en-US"/>
              </w:rPr>
              <w:t>Non-education consumption</w:t>
            </w:r>
          </w:p>
        </w:tc>
        <w:tc>
          <w:tcPr>
            <w:tcW w:w="0" w:type="auto"/>
            <w:tcBorders>
              <w:top w:val="nil"/>
              <w:left w:val="nil"/>
              <w:bottom w:val="single" w:sz="6" w:space="0" w:color="auto"/>
              <w:right w:val="nil"/>
            </w:tcBorders>
            <w:vAlign w:val="center"/>
          </w:tcPr>
          <w:p w14:paraId="7C71247F" w14:textId="77777777" w:rsidR="004476C3" w:rsidRPr="0088783A" w:rsidRDefault="004476C3" w:rsidP="005B4673">
            <w:pPr>
              <w:pStyle w:val="NoSpacing"/>
              <w:jc w:val="center"/>
              <w:rPr>
                <w:rFonts w:ascii="Calibri" w:hAnsi="Calibri" w:cs="Calibri"/>
                <w:b/>
                <w:sz w:val="16"/>
                <w:szCs w:val="16"/>
                <w:lang w:val="en-US"/>
              </w:rPr>
            </w:pPr>
            <w:r w:rsidRPr="0088783A">
              <w:rPr>
                <w:rFonts w:ascii="Calibri" w:hAnsi="Calibri" w:cs="Calibri"/>
                <w:b/>
                <w:sz w:val="16"/>
                <w:szCs w:val="16"/>
                <w:lang w:val="en-US"/>
              </w:rPr>
              <w:t>Total consumption</w:t>
            </w:r>
          </w:p>
          <w:p w14:paraId="1B920EEE"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b/>
                <w:sz w:val="16"/>
                <w:szCs w:val="16"/>
                <w:lang w:val="en-US"/>
              </w:rPr>
              <w:t>EQS</w:t>
            </w:r>
          </w:p>
        </w:tc>
        <w:tc>
          <w:tcPr>
            <w:tcW w:w="0" w:type="auto"/>
            <w:tcBorders>
              <w:top w:val="nil"/>
              <w:left w:val="nil"/>
              <w:bottom w:val="single" w:sz="6" w:space="0" w:color="auto"/>
              <w:right w:val="nil"/>
            </w:tcBorders>
            <w:vAlign w:val="center"/>
          </w:tcPr>
          <w:p w14:paraId="4D537E6D" w14:textId="77777777" w:rsidR="004476C3" w:rsidRPr="0088783A" w:rsidRDefault="004476C3" w:rsidP="005B4673">
            <w:pPr>
              <w:pStyle w:val="NoSpacing"/>
              <w:jc w:val="center"/>
              <w:rPr>
                <w:rFonts w:ascii="Calibri" w:hAnsi="Calibri" w:cs="Calibri"/>
                <w:b/>
                <w:sz w:val="16"/>
                <w:szCs w:val="16"/>
                <w:lang w:val="en-US"/>
              </w:rPr>
            </w:pPr>
            <w:r w:rsidRPr="0088783A">
              <w:rPr>
                <w:rFonts w:ascii="Calibri" w:hAnsi="Calibri" w:cs="Calibri"/>
                <w:b/>
                <w:sz w:val="16"/>
                <w:szCs w:val="16"/>
                <w:lang w:val="en-US"/>
              </w:rPr>
              <w:t>Non-durables consumption</w:t>
            </w:r>
          </w:p>
          <w:p w14:paraId="1725FDC2"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b/>
                <w:sz w:val="16"/>
                <w:szCs w:val="16"/>
                <w:lang w:val="en-US"/>
              </w:rPr>
              <w:t>EQS</w:t>
            </w:r>
          </w:p>
        </w:tc>
        <w:tc>
          <w:tcPr>
            <w:tcW w:w="0" w:type="auto"/>
            <w:tcBorders>
              <w:top w:val="nil"/>
              <w:left w:val="nil"/>
              <w:bottom w:val="single" w:sz="6" w:space="0" w:color="auto"/>
              <w:right w:val="nil"/>
            </w:tcBorders>
            <w:vAlign w:val="center"/>
          </w:tcPr>
          <w:p w14:paraId="2784AD02"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b/>
                <w:sz w:val="16"/>
                <w:szCs w:val="16"/>
                <w:lang w:val="en-US"/>
              </w:rPr>
              <w:t>Non-education consumption EQS</w:t>
            </w:r>
          </w:p>
        </w:tc>
      </w:tr>
      <w:tr w:rsidR="004476C3" w:rsidRPr="0088783A" w14:paraId="3DBE6358" w14:textId="77777777" w:rsidTr="005B4673">
        <w:trPr>
          <w:jc w:val="center"/>
        </w:trPr>
        <w:tc>
          <w:tcPr>
            <w:tcW w:w="1785" w:type="dxa"/>
            <w:tcBorders>
              <w:top w:val="nil"/>
              <w:left w:val="nil"/>
              <w:bottom w:val="nil"/>
              <w:right w:val="nil"/>
            </w:tcBorders>
          </w:tcPr>
          <w:p w14:paraId="6B114D4B" w14:textId="77777777" w:rsidR="004476C3" w:rsidRPr="0088783A" w:rsidRDefault="004476C3" w:rsidP="005B4673">
            <w:pPr>
              <w:widowControl w:val="0"/>
              <w:autoSpaceDE w:val="0"/>
              <w:autoSpaceDN w:val="0"/>
              <w:adjustRightInd w:val="0"/>
              <w:rPr>
                <w:sz w:val="16"/>
                <w:szCs w:val="16"/>
              </w:rPr>
            </w:pPr>
          </w:p>
        </w:tc>
        <w:tc>
          <w:tcPr>
            <w:tcW w:w="0" w:type="auto"/>
            <w:tcBorders>
              <w:top w:val="nil"/>
              <w:left w:val="nil"/>
              <w:bottom w:val="nil"/>
              <w:right w:val="nil"/>
            </w:tcBorders>
          </w:tcPr>
          <w:p w14:paraId="11CF2119" w14:textId="77777777" w:rsidR="004476C3" w:rsidRPr="0088783A" w:rsidRDefault="004476C3" w:rsidP="005B4673">
            <w:pPr>
              <w:widowControl w:val="0"/>
              <w:autoSpaceDE w:val="0"/>
              <w:autoSpaceDN w:val="0"/>
              <w:adjustRightInd w:val="0"/>
              <w:jc w:val="center"/>
              <w:rPr>
                <w:sz w:val="16"/>
                <w:szCs w:val="16"/>
              </w:rPr>
            </w:pPr>
          </w:p>
        </w:tc>
        <w:tc>
          <w:tcPr>
            <w:tcW w:w="0" w:type="auto"/>
            <w:tcBorders>
              <w:top w:val="nil"/>
              <w:left w:val="nil"/>
              <w:bottom w:val="nil"/>
              <w:right w:val="nil"/>
            </w:tcBorders>
          </w:tcPr>
          <w:p w14:paraId="52357075" w14:textId="77777777" w:rsidR="004476C3" w:rsidRPr="0088783A" w:rsidRDefault="004476C3" w:rsidP="005B4673">
            <w:pPr>
              <w:widowControl w:val="0"/>
              <w:autoSpaceDE w:val="0"/>
              <w:autoSpaceDN w:val="0"/>
              <w:adjustRightInd w:val="0"/>
              <w:jc w:val="center"/>
              <w:rPr>
                <w:sz w:val="16"/>
                <w:szCs w:val="16"/>
              </w:rPr>
            </w:pPr>
          </w:p>
        </w:tc>
        <w:tc>
          <w:tcPr>
            <w:tcW w:w="0" w:type="auto"/>
            <w:tcBorders>
              <w:top w:val="nil"/>
              <w:left w:val="nil"/>
              <w:bottom w:val="nil"/>
              <w:right w:val="nil"/>
            </w:tcBorders>
          </w:tcPr>
          <w:p w14:paraId="67281111" w14:textId="77777777" w:rsidR="004476C3" w:rsidRPr="0088783A" w:rsidRDefault="004476C3" w:rsidP="005B4673">
            <w:pPr>
              <w:widowControl w:val="0"/>
              <w:autoSpaceDE w:val="0"/>
              <w:autoSpaceDN w:val="0"/>
              <w:adjustRightInd w:val="0"/>
              <w:jc w:val="center"/>
              <w:rPr>
                <w:sz w:val="16"/>
                <w:szCs w:val="16"/>
              </w:rPr>
            </w:pPr>
          </w:p>
        </w:tc>
        <w:tc>
          <w:tcPr>
            <w:tcW w:w="0" w:type="auto"/>
            <w:tcBorders>
              <w:top w:val="nil"/>
              <w:left w:val="nil"/>
              <w:bottom w:val="nil"/>
              <w:right w:val="nil"/>
            </w:tcBorders>
          </w:tcPr>
          <w:p w14:paraId="0723ADD8" w14:textId="77777777" w:rsidR="004476C3" w:rsidRPr="0088783A" w:rsidRDefault="004476C3" w:rsidP="005B4673">
            <w:pPr>
              <w:widowControl w:val="0"/>
              <w:autoSpaceDE w:val="0"/>
              <w:autoSpaceDN w:val="0"/>
              <w:adjustRightInd w:val="0"/>
              <w:jc w:val="center"/>
              <w:rPr>
                <w:sz w:val="16"/>
                <w:szCs w:val="16"/>
              </w:rPr>
            </w:pPr>
          </w:p>
        </w:tc>
        <w:tc>
          <w:tcPr>
            <w:tcW w:w="0" w:type="auto"/>
            <w:tcBorders>
              <w:top w:val="nil"/>
              <w:left w:val="nil"/>
              <w:bottom w:val="nil"/>
              <w:right w:val="nil"/>
            </w:tcBorders>
          </w:tcPr>
          <w:p w14:paraId="7ED0E3D3" w14:textId="77777777" w:rsidR="004476C3" w:rsidRPr="0088783A" w:rsidRDefault="004476C3" w:rsidP="005B4673">
            <w:pPr>
              <w:widowControl w:val="0"/>
              <w:autoSpaceDE w:val="0"/>
              <w:autoSpaceDN w:val="0"/>
              <w:adjustRightInd w:val="0"/>
              <w:jc w:val="center"/>
              <w:rPr>
                <w:sz w:val="16"/>
                <w:szCs w:val="16"/>
              </w:rPr>
            </w:pPr>
          </w:p>
        </w:tc>
        <w:tc>
          <w:tcPr>
            <w:tcW w:w="0" w:type="auto"/>
            <w:tcBorders>
              <w:top w:val="nil"/>
              <w:left w:val="nil"/>
              <w:bottom w:val="nil"/>
              <w:right w:val="nil"/>
            </w:tcBorders>
          </w:tcPr>
          <w:p w14:paraId="2EC103E0" w14:textId="77777777" w:rsidR="004476C3" w:rsidRPr="0088783A" w:rsidRDefault="004476C3" w:rsidP="005B4673">
            <w:pPr>
              <w:widowControl w:val="0"/>
              <w:autoSpaceDE w:val="0"/>
              <w:autoSpaceDN w:val="0"/>
              <w:adjustRightInd w:val="0"/>
              <w:jc w:val="center"/>
              <w:rPr>
                <w:sz w:val="16"/>
                <w:szCs w:val="16"/>
              </w:rPr>
            </w:pPr>
          </w:p>
        </w:tc>
      </w:tr>
      <w:tr w:rsidR="004476C3" w:rsidRPr="0088783A" w14:paraId="3CA28C83" w14:textId="77777777" w:rsidTr="005B4673">
        <w:trPr>
          <w:jc w:val="center"/>
        </w:trPr>
        <w:tc>
          <w:tcPr>
            <w:tcW w:w="1785" w:type="dxa"/>
            <w:tcBorders>
              <w:top w:val="nil"/>
              <w:left w:val="nil"/>
              <w:bottom w:val="nil"/>
              <w:right w:val="nil"/>
            </w:tcBorders>
          </w:tcPr>
          <w:p w14:paraId="4BF5FEEF" w14:textId="77777777" w:rsidR="004476C3" w:rsidRPr="0088783A" w:rsidRDefault="004476C3" w:rsidP="005B4673">
            <w:pPr>
              <w:widowControl w:val="0"/>
              <w:autoSpaceDE w:val="0"/>
              <w:autoSpaceDN w:val="0"/>
              <w:adjustRightInd w:val="0"/>
              <w:rPr>
                <w:sz w:val="16"/>
                <w:szCs w:val="16"/>
              </w:rPr>
            </w:pPr>
            <w:r w:rsidRPr="0088783A">
              <w:rPr>
                <w:rFonts w:ascii="Calibri" w:hAnsi="Calibri" w:cs="Calibri"/>
                <w:b/>
                <w:sz w:val="16"/>
                <w:szCs w:val="16"/>
                <w:lang w:val="en-US"/>
              </w:rPr>
              <w:t>Age</w:t>
            </w:r>
          </w:p>
        </w:tc>
        <w:tc>
          <w:tcPr>
            <w:tcW w:w="0" w:type="auto"/>
            <w:tcBorders>
              <w:top w:val="nil"/>
              <w:left w:val="nil"/>
              <w:bottom w:val="nil"/>
              <w:right w:val="nil"/>
            </w:tcBorders>
          </w:tcPr>
          <w:p w14:paraId="3741FA1B"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-0.0300</w:t>
            </w:r>
          </w:p>
        </w:tc>
        <w:tc>
          <w:tcPr>
            <w:tcW w:w="0" w:type="auto"/>
            <w:tcBorders>
              <w:top w:val="nil"/>
              <w:left w:val="nil"/>
              <w:bottom w:val="nil"/>
              <w:right w:val="nil"/>
            </w:tcBorders>
          </w:tcPr>
          <w:p w14:paraId="7924AB22"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-0.0286</w:t>
            </w:r>
          </w:p>
        </w:tc>
        <w:tc>
          <w:tcPr>
            <w:tcW w:w="0" w:type="auto"/>
            <w:tcBorders>
              <w:top w:val="nil"/>
              <w:left w:val="nil"/>
              <w:bottom w:val="nil"/>
              <w:right w:val="nil"/>
            </w:tcBorders>
          </w:tcPr>
          <w:p w14:paraId="0EC62294"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-0.0342</w:t>
            </w:r>
          </w:p>
        </w:tc>
        <w:tc>
          <w:tcPr>
            <w:tcW w:w="0" w:type="auto"/>
            <w:tcBorders>
              <w:top w:val="nil"/>
              <w:left w:val="nil"/>
              <w:bottom w:val="nil"/>
              <w:right w:val="nil"/>
            </w:tcBorders>
          </w:tcPr>
          <w:p w14:paraId="6229388B"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-0.0266</w:t>
            </w:r>
          </w:p>
        </w:tc>
        <w:tc>
          <w:tcPr>
            <w:tcW w:w="0" w:type="auto"/>
            <w:tcBorders>
              <w:top w:val="nil"/>
              <w:left w:val="nil"/>
              <w:bottom w:val="nil"/>
              <w:right w:val="nil"/>
            </w:tcBorders>
          </w:tcPr>
          <w:p w14:paraId="626B0FD9"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-0.0251</w:t>
            </w:r>
          </w:p>
        </w:tc>
        <w:tc>
          <w:tcPr>
            <w:tcW w:w="0" w:type="auto"/>
            <w:tcBorders>
              <w:top w:val="nil"/>
              <w:left w:val="nil"/>
              <w:bottom w:val="nil"/>
              <w:right w:val="nil"/>
            </w:tcBorders>
          </w:tcPr>
          <w:p w14:paraId="404BF27D"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-0.0308</w:t>
            </w:r>
          </w:p>
        </w:tc>
      </w:tr>
      <w:tr w:rsidR="004476C3" w:rsidRPr="0088783A" w14:paraId="0115ADE5" w14:textId="77777777" w:rsidTr="005B4673">
        <w:trPr>
          <w:jc w:val="center"/>
        </w:trPr>
        <w:tc>
          <w:tcPr>
            <w:tcW w:w="1785" w:type="dxa"/>
            <w:tcBorders>
              <w:top w:val="nil"/>
              <w:left w:val="nil"/>
              <w:bottom w:val="nil"/>
              <w:right w:val="nil"/>
            </w:tcBorders>
          </w:tcPr>
          <w:p w14:paraId="42F55508" w14:textId="77777777" w:rsidR="004476C3" w:rsidRPr="0088783A" w:rsidRDefault="004476C3" w:rsidP="005B4673">
            <w:pPr>
              <w:widowControl w:val="0"/>
              <w:autoSpaceDE w:val="0"/>
              <w:autoSpaceDN w:val="0"/>
              <w:adjustRightInd w:val="0"/>
              <w:rPr>
                <w:sz w:val="16"/>
                <w:szCs w:val="16"/>
              </w:rPr>
            </w:pPr>
          </w:p>
        </w:tc>
        <w:tc>
          <w:tcPr>
            <w:tcW w:w="0" w:type="auto"/>
            <w:tcBorders>
              <w:top w:val="nil"/>
              <w:left w:val="nil"/>
              <w:bottom w:val="nil"/>
              <w:right w:val="nil"/>
            </w:tcBorders>
          </w:tcPr>
          <w:p w14:paraId="58CBECC5"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(0.0292)</w:t>
            </w:r>
          </w:p>
        </w:tc>
        <w:tc>
          <w:tcPr>
            <w:tcW w:w="0" w:type="auto"/>
            <w:tcBorders>
              <w:top w:val="nil"/>
              <w:left w:val="nil"/>
              <w:bottom w:val="nil"/>
              <w:right w:val="nil"/>
            </w:tcBorders>
          </w:tcPr>
          <w:p w14:paraId="22472BBE"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(0.0308)</w:t>
            </w:r>
          </w:p>
        </w:tc>
        <w:tc>
          <w:tcPr>
            <w:tcW w:w="0" w:type="auto"/>
            <w:tcBorders>
              <w:top w:val="nil"/>
              <w:left w:val="nil"/>
              <w:bottom w:val="nil"/>
              <w:right w:val="nil"/>
            </w:tcBorders>
          </w:tcPr>
          <w:p w14:paraId="1F65DA43"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(0.0243)</w:t>
            </w:r>
          </w:p>
        </w:tc>
        <w:tc>
          <w:tcPr>
            <w:tcW w:w="0" w:type="auto"/>
            <w:tcBorders>
              <w:top w:val="nil"/>
              <w:left w:val="nil"/>
              <w:bottom w:val="nil"/>
              <w:right w:val="nil"/>
            </w:tcBorders>
          </w:tcPr>
          <w:p w14:paraId="217305B2"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(0.0275)</w:t>
            </w:r>
          </w:p>
        </w:tc>
        <w:tc>
          <w:tcPr>
            <w:tcW w:w="0" w:type="auto"/>
            <w:tcBorders>
              <w:top w:val="nil"/>
              <w:left w:val="nil"/>
              <w:bottom w:val="nil"/>
              <w:right w:val="nil"/>
            </w:tcBorders>
          </w:tcPr>
          <w:p w14:paraId="54AE50D5"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(0.0291)</w:t>
            </w:r>
          </w:p>
        </w:tc>
        <w:tc>
          <w:tcPr>
            <w:tcW w:w="0" w:type="auto"/>
            <w:tcBorders>
              <w:top w:val="nil"/>
              <w:left w:val="nil"/>
              <w:bottom w:val="nil"/>
              <w:right w:val="nil"/>
            </w:tcBorders>
          </w:tcPr>
          <w:p w14:paraId="3E5FED0C"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(0.0227)</w:t>
            </w:r>
          </w:p>
        </w:tc>
      </w:tr>
      <w:tr w:rsidR="004476C3" w:rsidRPr="0088783A" w14:paraId="6510ACE2" w14:textId="77777777" w:rsidTr="005B4673">
        <w:trPr>
          <w:jc w:val="center"/>
        </w:trPr>
        <w:tc>
          <w:tcPr>
            <w:tcW w:w="1785" w:type="dxa"/>
            <w:tcBorders>
              <w:top w:val="nil"/>
              <w:left w:val="nil"/>
              <w:bottom w:val="nil"/>
              <w:right w:val="nil"/>
            </w:tcBorders>
          </w:tcPr>
          <w:p w14:paraId="37BCD713" w14:textId="77777777" w:rsidR="004476C3" w:rsidRPr="0088783A" w:rsidRDefault="004476C3" w:rsidP="005B4673">
            <w:pPr>
              <w:widowControl w:val="0"/>
              <w:autoSpaceDE w:val="0"/>
              <w:autoSpaceDN w:val="0"/>
              <w:adjustRightInd w:val="0"/>
              <w:rPr>
                <w:sz w:val="16"/>
                <w:szCs w:val="16"/>
              </w:rPr>
            </w:pPr>
            <w:r w:rsidRPr="0088783A">
              <w:rPr>
                <w:rFonts w:ascii="Calibri" w:hAnsi="Calibri" w:cs="Calibri"/>
                <w:b/>
                <w:sz w:val="16"/>
                <w:szCs w:val="16"/>
                <w:lang w:val="en-US"/>
              </w:rPr>
              <w:t>Married</w:t>
            </w:r>
          </w:p>
        </w:tc>
        <w:tc>
          <w:tcPr>
            <w:tcW w:w="0" w:type="auto"/>
            <w:tcBorders>
              <w:top w:val="nil"/>
              <w:left w:val="nil"/>
              <w:bottom w:val="nil"/>
              <w:right w:val="nil"/>
            </w:tcBorders>
          </w:tcPr>
          <w:p w14:paraId="6293C62C"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0.462***</w:t>
            </w:r>
          </w:p>
        </w:tc>
        <w:tc>
          <w:tcPr>
            <w:tcW w:w="0" w:type="auto"/>
            <w:tcBorders>
              <w:top w:val="nil"/>
              <w:left w:val="nil"/>
              <w:bottom w:val="nil"/>
              <w:right w:val="nil"/>
            </w:tcBorders>
          </w:tcPr>
          <w:p w14:paraId="5A267C38"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0.440***</w:t>
            </w:r>
          </w:p>
        </w:tc>
        <w:tc>
          <w:tcPr>
            <w:tcW w:w="0" w:type="auto"/>
            <w:tcBorders>
              <w:top w:val="nil"/>
              <w:left w:val="nil"/>
              <w:bottom w:val="nil"/>
              <w:right w:val="nil"/>
            </w:tcBorders>
          </w:tcPr>
          <w:p w14:paraId="11786250"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0.450***</w:t>
            </w:r>
          </w:p>
        </w:tc>
        <w:tc>
          <w:tcPr>
            <w:tcW w:w="0" w:type="auto"/>
            <w:tcBorders>
              <w:top w:val="nil"/>
              <w:left w:val="nil"/>
              <w:bottom w:val="nil"/>
              <w:right w:val="nil"/>
            </w:tcBorders>
          </w:tcPr>
          <w:p w14:paraId="5260551A"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0.443***</w:t>
            </w:r>
          </w:p>
        </w:tc>
        <w:tc>
          <w:tcPr>
            <w:tcW w:w="0" w:type="auto"/>
            <w:tcBorders>
              <w:top w:val="nil"/>
              <w:left w:val="nil"/>
              <w:bottom w:val="nil"/>
              <w:right w:val="nil"/>
            </w:tcBorders>
          </w:tcPr>
          <w:p w14:paraId="54ADAF92"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0.421***</w:t>
            </w:r>
          </w:p>
        </w:tc>
        <w:tc>
          <w:tcPr>
            <w:tcW w:w="0" w:type="auto"/>
            <w:tcBorders>
              <w:top w:val="nil"/>
              <w:left w:val="nil"/>
              <w:bottom w:val="nil"/>
              <w:right w:val="nil"/>
            </w:tcBorders>
          </w:tcPr>
          <w:p w14:paraId="263547D0"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0.430***</w:t>
            </w:r>
          </w:p>
        </w:tc>
      </w:tr>
      <w:tr w:rsidR="004476C3" w:rsidRPr="0088783A" w14:paraId="0ED03FFA" w14:textId="77777777" w:rsidTr="005B4673">
        <w:trPr>
          <w:jc w:val="center"/>
        </w:trPr>
        <w:tc>
          <w:tcPr>
            <w:tcW w:w="1785" w:type="dxa"/>
            <w:tcBorders>
              <w:top w:val="nil"/>
              <w:left w:val="nil"/>
              <w:bottom w:val="nil"/>
              <w:right w:val="nil"/>
            </w:tcBorders>
          </w:tcPr>
          <w:p w14:paraId="4BC54E64" w14:textId="77777777" w:rsidR="004476C3" w:rsidRPr="0088783A" w:rsidRDefault="004476C3" w:rsidP="005B4673">
            <w:pPr>
              <w:widowControl w:val="0"/>
              <w:autoSpaceDE w:val="0"/>
              <w:autoSpaceDN w:val="0"/>
              <w:adjustRightInd w:val="0"/>
              <w:rPr>
                <w:sz w:val="16"/>
                <w:szCs w:val="16"/>
              </w:rPr>
            </w:pPr>
          </w:p>
        </w:tc>
        <w:tc>
          <w:tcPr>
            <w:tcW w:w="0" w:type="auto"/>
            <w:tcBorders>
              <w:top w:val="nil"/>
              <w:left w:val="nil"/>
              <w:bottom w:val="nil"/>
              <w:right w:val="nil"/>
            </w:tcBorders>
          </w:tcPr>
          <w:p w14:paraId="6B5D2891"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(0.143)</w:t>
            </w:r>
          </w:p>
        </w:tc>
        <w:tc>
          <w:tcPr>
            <w:tcW w:w="0" w:type="auto"/>
            <w:tcBorders>
              <w:top w:val="nil"/>
              <w:left w:val="nil"/>
              <w:bottom w:val="nil"/>
              <w:right w:val="nil"/>
            </w:tcBorders>
          </w:tcPr>
          <w:p w14:paraId="6FEA457F"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(0.139)</w:t>
            </w:r>
          </w:p>
        </w:tc>
        <w:tc>
          <w:tcPr>
            <w:tcW w:w="0" w:type="auto"/>
            <w:tcBorders>
              <w:top w:val="nil"/>
              <w:left w:val="nil"/>
              <w:bottom w:val="nil"/>
              <w:right w:val="nil"/>
            </w:tcBorders>
          </w:tcPr>
          <w:p w14:paraId="09791F0A"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(0.148)</w:t>
            </w:r>
          </w:p>
        </w:tc>
        <w:tc>
          <w:tcPr>
            <w:tcW w:w="0" w:type="auto"/>
            <w:tcBorders>
              <w:top w:val="nil"/>
              <w:left w:val="nil"/>
              <w:bottom w:val="nil"/>
              <w:right w:val="nil"/>
            </w:tcBorders>
          </w:tcPr>
          <w:p w14:paraId="06A86687"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(0.144)</w:t>
            </w:r>
          </w:p>
        </w:tc>
        <w:tc>
          <w:tcPr>
            <w:tcW w:w="0" w:type="auto"/>
            <w:tcBorders>
              <w:top w:val="nil"/>
              <w:left w:val="nil"/>
              <w:bottom w:val="nil"/>
              <w:right w:val="nil"/>
            </w:tcBorders>
          </w:tcPr>
          <w:p w14:paraId="0571FCBF"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(0.140)</w:t>
            </w:r>
          </w:p>
        </w:tc>
        <w:tc>
          <w:tcPr>
            <w:tcW w:w="0" w:type="auto"/>
            <w:tcBorders>
              <w:top w:val="nil"/>
              <w:left w:val="nil"/>
              <w:bottom w:val="nil"/>
              <w:right w:val="nil"/>
            </w:tcBorders>
          </w:tcPr>
          <w:p w14:paraId="00F9EB9B"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(0.148)</w:t>
            </w:r>
          </w:p>
        </w:tc>
      </w:tr>
      <w:tr w:rsidR="004476C3" w:rsidRPr="0088783A" w14:paraId="6B691D9B" w14:textId="77777777" w:rsidTr="005B4673">
        <w:trPr>
          <w:jc w:val="center"/>
        </w:trPr>
        <w:tc>
          <w:tcPr>
            <w:tcW w:w="1785" w:type="dxa"/>
            <w:tcBorders>
              <w:top w:val="nil"/>
              <w:left w:val="nil"/>
              <w:bottom w:val="nil"/>
              <w:right w:val="nil"/>
            </w:tcBorders>
          </w:tcPr>
          <w:p w14:paraId="663302CE" w14:textId="77777777" w:rsidR="004476C3" w:rsidRPr="0088783A" w:rsidRDefault="004476C3" w:rsidP="005B4673">
            <w:pPr>
              <w:widowControl w:val="0"/>
              <w:autoSpaceDE w:val="0"/>
              <w:autoSpaceDN w:val="0"/>
              <w:adjustRightInd w:val="0"/>
              <w:rPr>
                <w:sz w:val="16"/>
                <w:szCs w:val="16"/>
              </w:rPr>
            </w:pPr>
            <w:r w:rsidRPr="0088783A">
              <w:rPr>
                <w:rFonts w:ascii="Calibri" w:hAnsi="Calibri" w:cs="Calibri"/>
                <w:b/>
                <w:sz w:val="16"/>
                <w:szCs w:val="16"/>
                <w:lang w:val="en-US"/>
              </w:rPr>
              <w:t>Widowed</w:t>
            </w:r>
          </w:p>
        </w:tc>
        <w:tc>
          <w:tcPr>
            <w:tcW w:w="0" w:type="auto"/>
            <w:tcBorders>
              <w:top w:val="nil"/>
              <w:left w:val="nil"/>
              <w:bottom w:val="nil"/>
              <w:right w:val="nil"/>
            </w:tcBorders>
          </w:tcPr>
          <w:p w14:paraId="4DFF8BE3"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0.452***</w:t>
            </w:r>
          </w:p>
        </w:tc>
        <w:tc>
          <w:tcPr>
            <w:tcW w:w="0" w:type="auto"/>
            <w:tcBorders>
              <w:top w:val="nil"/>
              <w:left w:val="nil"/>
              <w:bottom w:val="nil"/>
              <w:right w:val="nil"/>
            </w:tcBorders>
          </w:tcPr>
          <w:p w14:paraId="5FA66CF6"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0.363***</w:t>
            </w:r>
          </w:p>
        </w:tc>
        <w:tc>
          <w:tcPr>
            <w:tcW w:w="0" w:type="auto"/>
            <w:tcBorders>
              <w:top w:val="nil"/>
              <w:left w:val="nil"/>
              <w:bottom w:val="nil"/>
              <w:right w:val="nil"/>
            </w:tcBorders>
          </w:tcPr>
          <w:p w14:paraId="0EAF0FFB"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0.469***</w:t>
            </w:r>
          </w:p>
        </w:tc>
        <w:tc>
          <w:tcPr>
            <w:tcW w:w="0" w:type="auto"/>
            <w:tcBorders>
              <w:top w:val="nil"/>
              <w:left w:val="nil"/>
              <w:bottom w:val="nil"/>
              <w:right w:val="nil"/>
            </w:tcBorders>
          </w:tcPr>
          <w:p w14:paraId="6D04D843"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0.522***</w:t>
            </w:r>
          </w:p>
        </w:tc>
        <w:tc>
          <w:tcPr>
            <w:tcW w:w="0" w:type="auto"/>
            <w:tcBorders>
              <w:top w:val="nil"/>
              <w:left w:val="nil"/>
              <w:bottom w:val="nil"/>
              <w:right w:val="nil"/>
            </w:tcBorders>
          </w:tcPr>
          <w:p w14:paraId="6DE97880"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0.432***</w:t>
            </w:r>
          </w:p>
        </w:tc>
        <w:tc>
          <w:tcPr>
            <w:tcW w:w="0" w:type="auto"/>
            <w:tcBorders>
              <w:top w:val="nil"/>
              <w:left w:val="nil"/>
              <w:bottom w:val="nil"/>
              <w:right w:val="nil"/>
            </w:tcBorders>
          </w:tcPr>
          <w:p w14:paraId="30C0B193"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0.540***</w:t>
            </w:r>
          </w:p>
        </w:tc>
      </w:tr>
      <w:tr w:rsidR="004476C3" w:rsidRPr="0088783A" w14:paraId="2F36C22C" w14:textId="77777777" w:rsidTr="005B4673">
        <w:trPr>
          <w:jc w:val="center"/>
        </w:trPr>
        <w:tc>
          <w:tcPr>
            <w:tcW w:w="1785" w:type="dxa"/>
            <w:tcBorders>
              <w:top w:val="nil"/>
              <w:left w:val="nil"/>
              <w:bottom w:val="nil"/>
              <w:right w:val="nil"/>
            </w:tcBorders>
          </w:tcPr>
          <w:p w14:paraId="3AA1AEE8" w14:textId="77777777" w:rsidR="004476C3" w:rsidRPr="0088783A" w:rsidRDefault="004476C3" w:rsidP="005B4673">
            <w:pPr>
              <w:widowControl w:val="0"/>
              <w:autoSpaceDE w:val="0"/>
              <w:autoSpaceDN w:val="0"/>
              <w:adjustRightInd w:val="0"/>
              <w:rPr>
                <w:sz w:val="16"/>
                <w:szCs w:val="16"/>
              </w:rPr>
            </w:pPr>
          </w:p>
        </w:tc>
        <w:tc>
          <w:tcPr>
            <w:tcW w:w="0" w:type="auto"/>
            <w:tcBorders>
              <w:top w:val="nil"/>
              <w:left w:val="nil"/>
              <w:bottom w:val="nil"/>
              <w:right w:val="nil"/>
            </w:tcBorders>
          </w:tcPr>
          <w:p w14:paraId="67BFCDD3"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(0.154)</w:t>
            </w:r>
          </w:p>
        </w:tc>
        <w:tc>
          <w:tcPr>
            <w:tcW w:w="0" w:type="auto"/>
            <w:tcBorders>
              <w:top w:val="nil"/>
              <w:left w:val="nil"/>
              <w:bottom w:val="nil"/>
              <w:right w:val="nil"/>
            </w:tcBorders>
          </w:tcPr>
          <w:p w14:paraId="444805CC"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(0.139)</w:t>
            </w:r>
          </w:p>
        </w:tc>
        <w:tc>
          <w:tcPr>
            <w:tcW w:w="0" w:type="auto"/>
            <w:tcBorders>
              <w:top w:val="nil"/>
              <w:left w:val="nil"/>
              <w:bottom w:val="nil"/>
              <w:right w:val="nil"/>
            </w:tcBorders>
          </w:tcPr>
          <w:p w14:paraId="1A133D67"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(0.155)</w:t>
            </w:r>
          </w:p>
        </w:tc>
        <w:tc>
          <w:tcPr>
            <w:tcW w:w="0" w:type="auto"/>
            <w:tcBorders>
              <w:top w:val="nil"/>
              <w:left w:val="nil"/>
              <w:bottom w:val="nil"/>
              <w:right w:val="nil"/>
            </w:tcBorders>
          </w:tcPr>
          <w:p w14:paraId="6F27472C"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(0.155)</w:t>
            </w:r>
          </w:p>
        </w:tc>
        <w:tc>
          <w:tcPr>
            <w:tcW w:w="0" w:type="auto"/>
            <w:tcBorders>
              <w:top w:val="nil"/>
              <w:left w:val="nil"/>
              <w:bottom w:val="nil"/>
              <w:right w:val="nil"/>
            </w:tcBorders>
          </w:tcPr>
          <w:p w14:paraId="50E24A03"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(0.141)</w:t>
            </w:r>
          </w:p>
        </w:tc>
        <w:tc>
          <w:tcPr>
            <w:tcW w:w="0" w:type="auto"/>
            <w:tcBorders>
              <w:top w:val="nil"/>
              <w:left w:val="nil"/>
              <w:bottom w:val="nil"/>
              <w:right w:val="nil"/>
            </w:tcBorders>
          </w:tcPr>
          <w:p w14:paraId="143E25A4"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(0.156)</w:t>
            </w:r>
          </w:p>
        </w:tc>
      </w:tr>
      <w:tr w:rsidR="004476C3" w:rsidRPr="0088783A" w14:paraId="529B8403" w14:textId="77777777" w:rsidTr="005B4673">
        <w:trPr>
          <w:jc w:val="center"/>
        </w:trPr>
        <w:tc>
          <w:tcPr>
            <w:tcW w:w="1785" w:type="dxa"/>
            <w:tcBorders>
              <w:top w:val="nil"/>
              <w:left w:val="nil"/>
              <w:bottom w:val="nil"/>
              <w:right w:val="nil"/>
            </w:tcBorders>
          </w:tcPr>
          <w:p w14:paraId="62C3D14C" w14:textId="77777777" w:rsidR="004476C3" w:rsidRPr="0088783A" w:rsidRDefault="004476C3" w:rsidP="005B4673">
            <w:pPr>
              <w:widowControl w:val="0"/>
              <w:autoSpaceDE w:val="0"/>
              <w:autoSpaceDN w:val="0"/>
              <w:adjustRightInd w:val="0"/>
              <w:rPr>
                <w:sz w:val="16"/>
                <w:szCs w:val="16"/>
              </w:rPr>
            </w:pPr>
            <w:r w:rsidRPr="0088783A">
              <w:rPr>
                <w:rFonts w:ascii="Calibri" w:hAnsi="Calibri" w:cs="Calibri"/>
                <w:b/>
                <w:sz w:val="16"/>
                <w:szCs w:val="16"/>
                <w:lang w:val="en-US"/>
              </w:rPr>
              <w:t>Income</w:t>
            </w:r>
          </w:p>
        </w:tc>
        <w:tc>
          <w:tcPr>
            <w:tcW w:w="0" w:type="auto"/>
            <w:tcBorders>
              <w:top w:val="nil"/>
              <w:left w:val="nil"/>
              <w:bottom w:val="nil"/>
              <w:right w:val="nil"/>
            </w:tcBorders>
          </w:tcPr>
          <w:p w14:paraId="0D413D1C"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0.0409***</w:t>
            </w:r>
          </w:p>
        </w:tc>
        <w:tc>
          <w:tcPr>
            <w:tcW w:w="0" w:type="auto"/>
            <w:tcBorders>
              <w:top w:val="nil"/>
              <w:left w:val="nil"/>
              <w:bottom w:val="nil"/>
              <w:right w:val="nil"/>
            </w:tcBorders>
          </w:tcPr>
          <w:p w14:paraId="1AD20F40"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0.0353***</w:t>
            </w:r>
          </w:p>
        </w:tc>
        <w:tc>
          <w:tcPr>
            <w:tcW w:w="0" w:type="auto"/>
            <w:tcBorders>
              <w:top w:val="nil"/>
              <w:left w:val="nil"/>
              <w:bottom w:val="nil"/>
              <w:right w:val="nil"/>
            </w:tcBorders>
          </w:tcPr>
          <w:p w14:paraId="079FC6F2"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0.0422***</w:t>
            </w:r>
          </w:p>
        </w:tc>
        <w:tc>
          <w:tcPr>
            <w:tcW w:w="0" w:type="auto"/>
            <w:tcBorders>
              <w:top w:val="nil"/>
              <w:left w:val="nil"/>
              <w:bottom w:val="nil"/>
              <w:right w:val="nil"/>
            </w:tcBorders>
          </w:tcPr>
          <w:p w14:paraId="179FEA56"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0.0382***</w:t>
            </w:r>
          </w:p>
        </w:tc>
        <w:tc>
          <w:tcPr>
            <w:tcW w:w="0" w:type="auto"/>
            <w:tcBorders>
              <w:top w:val="nil"/>
              <w:left w:val="nil"/>
              <w:bottom w:val="nil"/>
              <w:right w:val="nil"/>
            </w:tcBorders>
          </w:tcPr>
          <w:p w14:paraId="6CEDB676"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0.0326***</w:t>
            </w:r>
          </w:p>
        </w:tc>
        <w:tc>
          <w:tcPr>
            <w:tcW w:w="0" w:type="auto"/>
            <w:tcBorders>
              <w:top w:val="nil"/>
              <w:left w:val="nil"/>
              <w:bottom w:val="nil"/>
              <w:right w:val="nil"/>
            </w:tcBorders>
          </w:tcPr>
          <w:p w14:paraId="767DC92C"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0.0394***</w:t>
            </w:r>
          </w:p>
        </w:tc>
      </w:tr>
      <w:tr w:rsidR="004476C3" w:rsidRPr="0088783A" w14:paraId="755B3076" w14:textId="77777777" w:rsidTr="005B4673">
        <w:trPr>
          <w:jc w:val="center"/>
        </w:trPr>
        <w:tc>
          <w:tcPr>
            <w:tcW w:w="1785" w:type="dxa"/>
            <w:tcBorders>
              <w:top w:val="nil"/>
              <w:left w:val="nil"/>
              <w:bottom w:val="nil"/>
              <w:right w:val="nil"/>
            </w:tcBorders>
          </w:tcPr>
          <w:p w14:paraId="332437A4" w14:textId="77777777" w:rsidR="004476C3" w:rsidRPr="0088783A" w:rsidRDefault="004476C3" w:rsidP="005B4673">
            <w:pPr>
              <w:widowControl w:val="0"/>
              <w:autoSpaceDE w:val="0"/>
              <w:autoSpaceDN w:val="0"/>
              <w:adjustRightInd w:val="0"/>
              <w:rPr>
                <w:sz w:val="16"/>
                <w:szCs w:val="16"/>
              </w:rPr>
            </w:pPr>
          </w:p>
        </w:tc>
        <w:tc>
          <w:tcPr>
            <w:tcW w:w="0" w:type="auto"/>
            <w:tcBorders>
              <w:top w:val="nil"/>
              <w:left w:val="nil"/>
              <w:bottom w:val="nil"/>
              <w:right w:val="nil"/>
            </w:tcBorders>
          </w:tcPr>
          <w:p w14:paraId="0F774C2C"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(0.00926)</w:t>
            </w:r>
          </w:p>
        </w:tc>
        <w:tc>
          <w:tcPr>
            <w:tcW w:w="0" w:type="auto"/>
            <w:tcBorders>
              <w:top w:val="nil"/>
              <w:left w:val="nil"/>
              <w:bottom w:val="nil"/>
              <w:right w:val="nil"/>
            </w:tcBorders>
          </w:tcPr>
          <w:p w14:paraId="6EB1F34C"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(0.00928)</w:t>
            </w:r>
          </w:p>
        </w:tc>
        <w:tc>
          <w:tcPr>
            <w:tcW w:w="0" w:type="auto"/>
            <w:tcBorders>
              <w:top w:val="nil"/>
              <w:left w:val="nil"/>
              <w:bottom w:val="nil"/>
              <w:right w:val="nil"/>
            </w:tcBorders>
          </w:tcPr>
          <w:p w14:paraId="3BCF971B"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(0.00926)</w:t>
            </w:r>
          </w:p>
        </w:tc>
        <w:tc>
          <w:tcPr>
            <w:tcW w:w="0" w:type="auto"/>
            <w:tcBorders>
              <w:top w:val="nil"/>
              <w:left w:val="nil"/>
              <w:bottom w:val="nil"/>
              <w:right w:val="nil"/>
            </w:tcBorders>
          </w:tcPr>
          <w:p w14:paraId="25E4C140"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(0.00927)</w:t>
            </w:r>
          </w:p>
        </w:tc>
        <w:tc>
          <w:tcPr>
            <w:tcW w:w="0" w:type="auto"/>
            <w:tcBorders>
              <w:top w:val="nil"/>
              <w:left w:val="nil"/>
              <w:bottom w:val="nil"/>
              <w:right w:val="nil"/>
            </w:tcBorders>
          </w:tcPr>
          <w:p w14:paraId="53D670F1"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(0.00931)</w:t>
            </w:r>
          </w:p>
        </w:tc>
        <w:tc>
          <w:tcPr>
            <w:tcW w:w="0" w:type="auto"/>
            <w:tcBorders>
              <w:top w:val="nil"/>
              <w:left w:val="nil"/>
              <w:bottom w:val="nil"/>
              <w:right w:val="nil"/>
            </w:tcBorders>
          </w:tcPr>
          <w:p w14:paraId="64B7AC55"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(0.00928)</w:t>
            </w:r>
          </w:p>
        </w:tc>
      </w:tr>
      <w:tr w:rsidR="004476C3" w:rsidRPr="0088783A" w14:paraId="2486383E" w14:textId="77777777" w:rsidTr="005B4673">
        <w:trPr>
          <w:jc w:val="center"/>
        </w:trPr>
        <w:tc>
          <w:tcPr>
            <w:tcW w:w="1785" w:type="dxa"/>
            <w:tcBorders>
              <w:top w:val="nil"/>
              <w:left w:val="nil"/>
              <w:bottom w:val="nil"/>
              <w:right w:val="nil"/>
            </w:tcBorders>
          </w:tcPr>
          <w:p w14:paraId="465F1B2C" w14:textId="77777777" w:rsidR="004476C3" w:rsidRPr="0088783A" w:rsidRDefault="004476C3" w:rsidP="005B4673">
            <w:pPr>
              <w:widowControl w:val="0"/>
              <w:autoSpaceDE w:val="0"/>
              <w:autoSpaceDN w:val="0"/>
              <w:adjustRightInd w:val="0"/>
              <w:rPr>
                <w:sz w:val="16"/>
                <w:szCs w:val="16"/>
              </w:rPr>
            </w:pPr>
            <w:r w:rsidRPr="0088783A">
              <w:rPr>
                <w:rFonts w:ascii="Calibri" w:hAnsi="Calibri" w:cs="Calibri"/>
                <w:b/>
                <w:sz w:val="16"/>
                <w:szCs w:val="16"/>
                <w:lang w:val="en-US"/>
              </w:rPr>
              <w:t>Wealth</w:t>
            </w:r>
          </w:p>
        </w:tc>
        <w:tc>
          <w:tcPr>
            <w:tcW w:w="0" w:type="auto"/>
            <w:tcBorders>
              <w:top w:val="nil"/>
              <w:left w:val="nil"/>
              <w:bottom w:val="nil"/>
              <w:right w:val="nil"/>
            </w:tcBorders>
          </w:tcPr>
          <w:p w14:paraId="49A24E03"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0.0156***</w:t>
            </w:r>
          </w:p>
        </w:tc>
        <w:tc>
          <w:tcPr>
            <w:tcW w:w="0" w:type="auto"/>
            <w:tcBorders>
              <w:top w:val="nil"/>
              <w:left w:val="nil"/>
              <w:bottom w:val="nil"/>
              <w:right w:val="nil"/>
            </w:tcBorders>
          </w:tcPr>
          <w:p w14:paraId="7297998F"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0.0147***</w:t>
            </w:r>
          </w:p>
        </w:tc>
        <w:tc>
          <w:tcPr>
            <w:tcW w:w="0" w:type="auto"/>
            <w:tcBorders>
              <w:top w:val="nil"/>
              <w:left w:val="nil"/>
              <w:bottom w:val="nil"/>
              <w:right w:val="nil"/>
            </w:tcBorders>
          </w:tcPr>
          <w:p w14:paraId="3CEB064D"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0.0180***</w:t>
            </w:r>
          </w:p>
        </w:tc>
        <w:tc>
          <w:tcPr>
            <w:tcW w:w="0" w:type="auto"/>
            <w:tcBorders>
              <w:top w:val="nil"/>
              <w:left w:val="nil"/>
              <w:bottom w:val="nil"/>
              <w:right w:val="nil"/>
            </w:tcBorders>
          </w:tcPr>
          <w:p w14:paraId="1F5D7B7C"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0.0160***</w:t>
            </w:r>
          </w:p>
        </w:tc>
        <w:tc>
          <w:tcPr>
            <w:tcW w:w="0" w:type="auto"/>
            <w:tcBorders>
              <w:top w:val="nil"/>
              <w:left w:val="nil"/>
              <w:bottom w:val="nil"/>
              <w:right w:val="nil"/>
            </w:tcBorders>
          </w:tcPr>
          <w:p w14:paraId="605710C6"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0.0153***</w:t>
            </w:r>
          </w:p>
        </w:tc>
        <w:tc>
          <w:tcPr>
            <w:tcW w:w="0" w:type="auto"/>
            <w:tcBorders>
              <w:top w:val="nil"/>
              <w:left w:val="nil"/>
              <w:bottom w:val="nil"/>
              <w:right w:val="nil"/>
            </w:tcBorders>
          </w:tcPr>
          <w:p w14:paraId="072B55C6"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0.0184***</w:t>
            </w:r>
          </w:p>
        </w:tc>
      </w:tr>
      <w:tr w:rsidR="004476C3" w:rsidRPr="0088783A" w14:paraId="5003CE46" w14:textId="77777777" w:rsidTr="005B4673">
        <w:trPr>
          <w:jc w:val="center"/>
        </w:trPr>
        <w:tc>
          <w:tcPr>
            <w:tcW w:w="1785" w:type="dxa"/>
            <w:tcBorders>
              <w:top w:val="nil"/>
              <w:left w:val="nil"/>
              <w:bottom w:val="nil"/>
              <w:right w:val="nil"/>
            </w:tcBorders>
          </w:tcPr>
          <w:p w14:paraId="4C28558D" w14:textId="77777777" w:rsidR="004476C3" w:rsidRPr="0088783A" w:rsidRDefault="004476C3" w:rsidP="005B4673">
            <w:pPr>
              <w:widowControl w:val="0"/>
              <w:autoSpaceDE w:val="0"/>
              <w:autoSpaceDN w:val="0"/>
              <w:adjustRightInd w:val="0"/>
              <w:rPr>
                <w:sz w:val="16"/>
                <w:szCs w:val="16"/>
              </w:rPr>
            </w:pPr>
          </w:p>
        </w:tc>
        <w:tc>
          <w:tcPr>
            <w:tcW w:w="0" w:type="auto"/>
            <w:tcBorders>
              <w:top w:val="nil"/>
              <w:left w:val="nil"/>
              <w:bottom w:val="nil"/>
              <w:right w:val="nil"/>
            </w:tcBorders>
          </w:tcPr>
          <w:p w14:paraId="4266D073"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(0.00477)</w:t>
            </w:r>
          </w:p>
        </w:tc>
        <w:tc>
          <w:tcPr>
            <w:tcW w:w="0" w:type="auto"/>
            <w:tcBorders>
              <w:top w:val="nil"/>
              <w:left w:val="nil"/>
              <w:bottom w:val="nil"/>
              <w:right w:val="nil"/>
            </w:tcBorders>
          </w:tcPr>
          <w:p w14:paraId="7D579787"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(0.00469)</w:t>
            </w:r>
          </w:p>
        </w:tc>
        <w:tc>
          <w:tcPr>
            <w:tcW w:w="0" w:type="auto"/>
            <w:tcBorders>
              <w:top w:val="nil"/>
              <w:left w:val="nil"/>
              <w:bottom w:val="nil"/>
              <w:right w:val="nil"/>
            </w:tcBorders>
          </w:tcPr>
          <w:p w14:paraId="245D0863"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(0.00453)</w:t>
            </w:r>
          </w:p>
        </w:tc>
        <w:tc>
          <w:tcPr>
            <w:tcW w:w="0" w:type="auto"/>
            <w:tcBorders>
              <w:top w:val="nil"/>
              <w:left w:val="nil"/>
              <w:bottom w:val="nil"/>
              <w:right w:val="nil"/>
            </w:tcBorders>
          </w:tcPr>
          <w:p w14:paraId="201778A3"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(0.00476)</w:t>
            </w:r>
          </w:p>
        </w:tc>
        <w:tc>
          <w:tcPr>
            <w:tcW w:w="0" w:type="auto"/>
            <w:tcBorders>
              <w:top w:val="nil"/>
              <w:left w:val="nil"/>
              <w:bottom w:val="nil"/>
              <w:right w:val="nil"/>
            </w:tcBorders>
          </w:tcPr>
          <w:p w14:paraId="3F7BC14F"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(0.00467)</w:t>
            </w:r>
          </w:p>
        </w:tc>
        <w:tc>
          <w:tcPr>
            <w:tcW w:w="0" w:type="auto"/>
            <w:tcBorders>
              <w:top w:val="nil"/>
              <w:left w:val="nil"/>
              <w:bottom w:val="nil"/>
              <w:right w:val="nil"/>
            </w:tcBorders>
          </w:tcPr>
          <w:p w14:paraId="09B3C11B"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(0.00452)</w:t>
            </w:r>
          </w:p>
        </w:tc>
      </w:tr>
      <w:tr w:rsidR="004476C3" w:rsidRPr="0088783A" w14:paraId="22DB0A25" w14:textId="77777777" w:rsidTr="005B4673">
        <w:trPr>
          <w:jc w:val="center"/>
        </w:trPr>
        <w:tc>
          <w:tcPr>
            <w:tcW w:w="1785" w:type="dxa"/>
            <w:tcBorders>
              <w:top w:val="nil"/>
              <w:left w:val="nil"/>
              <w:bottom w:val="nil"/>
              <w:right w:val="nil"/>
            </w:tcBorders>
          </w:tcPr>
          <w:p w14:paraId="3D0D2660" w14:textId="77777777" w:rsidR="004476C3" w:rsidRPr="0088783A" w:rsidRDefault="004476C3" w:rsidP="005B4673">
            <w:pPr>
              <w:widowControl w:val="0"/>
              <w:autoSpaceDE w:val="0"/>
              <w:autoSpaceDN w:val="0"/>
              <w:adjustRightInd w:val="0"/>
              <w:rPr>
                <w:sz w:val="16"/>
                <w:szCs w:val="16"/>
              </w:rPr>
            </w:pPr>
            <w:r w:rsidRPr="0088783A">
              <w:rPr>
                <w:rFonts w:ascii="Calibri" w:hAnsi="Calibri" w:cs="Calibri"/>
                <w:b/>
                <w:sz w:val="16"/>
                <w:szCs w:val="16"/>
                <w:lang w:val="en-US"/>
              </w:rPr>
              <w:t>Home ownership</w:t>
            </w:r>
          </w:p>
        </w:tc>
        <w:tc>
          <w:tcPr>
            <w:tcW w:w="0" w:type="auto"/>
            <w:tcBorders>
              <w:top w:val="nil"/>
              <w:left w:val="nil"/>
              <w:bottom w:val="nil"/>
              <w:right w:val="nil"/>
            </w:tcBorders>
          </w:tcPr>
          <w:p w14:paraId="3C860DA3"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0.00421</w:t>
            </w:r>
          </w:p>
        </w:tc>
        <w:tc>
          <w:tcPr>
            <w:tcW w:w="0" w:type="auto"/>
            <w:tcBorders>
              <w:top w:val="nil"/>
              <w:left w:val="nil"/>
              <w:bottom w:val="nil"/>
              <w:right w:val="nil"/>
            </w:tcBorders>
          </w:tcPr>
          <w:p w14:paraId="7DC5FB1B"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0.0228</w:t>
            </w:r>
          </w:p>
        </w:tc>
        <w:tc>
          <w:tcPr>
            <w:tcW w:w="0" w:type="auto"/>
            <w:tcBorders>
              <w:top w:val="nil"/>
              <w:left w:val="nil"/>
              <w:bottom w:val="nil"/>
              <w:right w:val="nil"/>
            </w:tcBorders>
          </w:tcPr>
          <w:p w14:paraId="2F3F334B"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0.0145</w:t>
            </w:r>
          </w:p>
        </w:tc>
        <w:tc>
          <w:tcPr>
            <w:tcW w:w="0" w:type="auto"/>
            <w:tcBorders>
              <w:top w:val="nil"/>
              <w:left w:val="nil"/>
              <w:bottom w:val="nil"/>
              <w:right w:val="nil"/>
            </w:tcBorders>
          </w:tcPr>
          <w:p w14:paraId="269FA116"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-0.00761</w:t>
            </w:r>
          </w:p>
        </w:tc>
        <w:tc>
          <w:tcPr>
            <w:tcW w:w="0" w:type="auto"/>
            <w:tcBorders>
              <w:top w:val="nil"/>
              <w:left w:val="nil"/>
              <w:bottom w:val="nil"/>
              <w:right w:val="nil"/>
            </w:tcBorders>
          </w:tcPr>
          <w:p w14:paraId="54F37E7D"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0.0108</w:t>
            </w:r>
          </w:p>
        </w:tc>
        <w:tc>
          <w:tcPr>
            <w:tcW w:w="0" w:type="auto"/>
            <w:tcBorders>
              <w:top w:val="nil"/>
              <w:left w:val="nil"/>
              <w:bottom w:val="nil"/>
              <w:right w:val="nil"/>
            </w:tcBorders>
          </w:tcPr>
          <w:p w14:paraId="1C4875C7"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0.00276</w:t>
            </w:r>
          </w:p>
        </w:tc>
      </w:tr>
      <w:tr w:rsidR="004476C3" w:rsidRPr="0088783A" w14:paraId="2551A339" w14:textId="77777777" w:rsidTr="005B4673">
        <w:trPr>
          <w:jc w:val="center"/>
        </w:trPr>
        <w:tc>
          <w:tcPr>
            <w:tcW w:w="1785" w:type="dxa"/>
            <w:tcBorders>
              <w:top w:val="nil"/>
              <w:left w:val="nil"/>
              <w:bottom w:val="nil"/>
              <w:right w:val="nil"/>
            </w:tcBorders>
          </w:tcPr>
          <w:p w14:paraId="4820DF6B" w14:textId="77777777" w:rsidR="004476C3" w:rsidRPr="0088783A" w:rsidRDefault="004476C3" w:rsidP="005B4673">
            <w:pPr>
              <w:widowControl w:val="0"/>
              <w:autoSpaceDE w:val="0"/>
              <w:autoSpaceDN w:val="0"/>
              <w:adjustRightInd w:val="0"/>
              <w:rPr>
                <w:sz w:val="16"/>
                <w:szCs w:val="16"/>
              </w:rPr>
            </w:pPr>
          </w:p>
        </w:tc>
        <w:tc>
          <w:tcPr>
            <w:tcW w:w="0" w:type="auto"/>
            <w:tcBorders>
              <w:top w:val="nil"/>
              <w:left w:val="nil"/>
              <w:bottom w:val="nil"/>
              <w:right w:val="nil"/>
            </w:tcBorders>
          </w:tcPr>
          <w:p w14:paraId="3027EBA1"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(0.0506)</w:t>
            </w:r>
          </w:p>
        </w:tc>
        <w:tc>
          <w:tcPr>
            <w:tcW w:w="0" w:type="auto"/>
            <w:tcBorders>
              <w:top w:val="nil"/>
              <w:left w:val="nil"/>
              <w:bottom w:val="nil"/>
              <w:right w:val="nil"/>
            </w:tcBorders>
          </w:tcPr>
          <w:p w14:paraId="06875E93"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(0.0522)</w:t>
            </w:r>
          </w:p>
        </w:tc>
        <w:tc>
          <w:tcPr>
            <w:tcW w:w="0" w:type="auto"/>
            <w:tcBorders>
              <w:top w:val="nil"/>
              <w:left w:val="nil"/>
              <w:bottom w:val="nil"/>
              <w:right w:val="nil"/>
            </w:tcBorders>
          </w:tcPr>
          <w:p w14:paraId="1243F423"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(0.0508)</w:t>
            </w:r>
          </w:p>
        </w:tc>
        <w:tc>
          <w:tcPr>
            <w:tcW w:w="0" w:type="auto"/>
            <w:tcBorders>
              <w:top w:val="nil"/>
              <w:left w:val="nil"/>
              <w:bottom w:val="nil"/>
              <w:right w:val="nil"/>
            </w:tcBorders>
          </w:tcPr>
          <w:p w14:paraId="53F9A82C"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(0.0510)</w:t>
            </w:r>
          </w:p>
        </w:tc>
        <w:tc>
          <w:tcPr>
            <w:tcW w:w="0" w:type="auto"/>
            <w:tcBorders>
              <w:top w:val="nil"/>
              <w:left w:val="nil"/>
              <w:bottom w:val="nil"/>
              <w:right w:val="nil"/>
            </w:tcBorders>
          </w:tcPr>
          <w:p w14:paraId="2BB58870"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(0.0523)</w:t>
            </w:r>
          </w:p>
        </w:tc>
        <w:tc>
          <w:tcPr>
            <w:tcW w:w="0" w:type="auto"/>
            <w:tcBorders>
              <w:top w:val="nil"/>
              <w:left w:val="nil"/>
              <w:bottom w:val="nil"/>
              <w:right w:val="nil"/>
            </w:tcBorders>
          </w:tcPr>
          <w:p w14:paraId="6E3FEC1A"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(0.0512)</w:t>
            </w:r>
          </w:p>
        </w:tc>
      </w:tr>
      <w:tr w:rsidR="004476C3" w:rsidRPr="0088783A" w14:paraId="131A5795" w14:textId="77777777" w:rsidTr="005B4673">
        <w:trPr>
          <w:jc w:val="center"/>
        </w:trPr>
        <w:tc>
          <w:tcPr>
            <w:tcW w:w="1785" w:type="dxa"/>
            <w:tcBorders>
              <w:top w:val="nil"/>
              <w:left w:val="nil"/>
              <w:bottom w:val="nil"/>
              <w:right w:val="nil"/>
            </w:tcBorders>
          </w:tcPr>
          <w:p w14:paraId="47EF8C43" w14:textId="77777777" w:rsidR="004476C3" w:rsidRPr="0088783A" w:rsidRDefault="004476C3" w:rsidP="005B4673">
            <w:pPr>
              <w:widowControl w:val="0"/>
              <w:autoSpaceDE w:val="0"/>
              <w:autoSpaceDN w:val="0"/>
              <w:adjustRightInd w:val="0"/>
              <w:rPr>
                <w:sz w:val="16"/>
                <w:szCs w:val="16"/>
              </w:rPr>
            </w:pPr>
            <w:r w:rsidRPr="0088783A">
              <w:rPr>
                <w:rFonts w:ascii="Calibri" w:hAnsi="Calibri" w:cs="Calibri"/>
                <w:b/>
                <w:sz w:val="16"/>
                <w:szCs w:val="16"/>
                <w:lang w:val="en-US"/>
              </w:rPr>
              <w:t>Good health</w:t>
            </w:r>
          </w:p>
        </w:tc>
        <w:tc>
          <w:tcPr>
            <w:tcW w:w="0" w:type="auto"/>
            <w:tcBorders>
              <w:top w:val="nil"/>
              <w:left w:val="nil"/>
              <w:bottom w:val="nil"/>
              <w:right w:val="nil"/>
            </w:tcBorders>
          </w:tcPr>
          <w:p w14:paraId="4BE4B5EA"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0.0663</w:t>
            </w:r>
          </w:p>
        </w:tc>
        <w:tc>
          <w:tcPr>
            <w:tcW w:w="0" w:type="auto"/>
            <w:tcBorders>
              <w:top w:val="nil"/>
              <w:left w:val="nil"/>
              <w:bottom w:val="nil"/>
              <w:right w:val="nil"/>
            </w:tcBorders>
          </w:tcPr>
          <w:p w14:paraId="2023A81A"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0.0909</w:t>
            </w:r>
          </w:p>
        </w:tc>
        <w:tc>
          <w:tcPr>
            <w:tcW w:w="0" w:type="auto"/>
            <w:tcBorders>
              <w:top w:val="nil"/>
              <w:left w:val="nil"/>
              <w:bottom w:val="nil"/>
              <w:right w:val="nil"/>
            </w:tcBorders>
          </w:tcPr>
          <w:p w14:paraId="12F4BBF9"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0.0675</w:t>
            </w:r>
          </w:p>
        </w:tc>
        <w:tc>
          <w:tcPr>
            <w:tcW w:w="0" w:type="auto"/>
            <w:tcBorders>
              <w:top w:val="nil"/>
              <w:left w:val="nil"/>
              <w:bottom w:val="nil"/>
              <w:right w:val="nil"/>
            </w:tcBorders>
          </w:tcPr>
          <w:p w14:paraId="51DC00B8"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0.0637</w:t>
            </w:r>
          </w:p>
        </w:tc>
        <w:tc>
          <w:tcPr>
            <w:tcW w:w="0" w:type="auto"/>
            <w:tcBorders>
              <w:top w:val="nil"/>
              <w:left w:val="nil"/>
              <w:bottom w:val="nil"/>
              <w:right w:val="nil"/>
            </w:tcBorders>
          </w:tcPr>
          <w:p w14:paraId="001474B4"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0.0876</w:t>
            </w:r>
          </w:p>
        </w:tc>
        <w:tc>
          <w:tcPr>
            <w:tcW w:w="0" w:type="auto"/>
            <w:tcBorders>
              <w:top w:val="nil"/>
              <w:left w:val="nil"/>
              <w:bottom w:val="nil"/>
              <w:right w:val="nil"/>
            </w:tcBorders>
          </w:tcPr>
          <w:p w14:paraId="2BCDD969"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0.0650</w:t>
            </w:r>
          </w:p>
        </w:tc>
      </w:tr>
      <w:tr w:rsidR="004476C3" w:rsidRPr="0088783A" w14:paraId="16F7892B" w14:textId="77777777" w:rsidTr="005B4673">
        <w:trPr>
          <w:jc w:val="center"/>
        </w:trPr>
        <w:tc>
          <w:tcPr>
            <w:tcW w:w="1785" w:type="dxa"/>
            <w:tcBorders>
              <w:top w:val="nil"/>
              <w:left w:val="nil"/>
              <w:bottom w:val="nil"/>
              <w:right w:val="nil"/>
            </w:tcBorders>
          </w:tcPr>
          <w:p w14:paraId="749EA659" w14:textId="77777777" w:rsidR="004476C3" w:rsidRPr="0088783A" w:rsidRDefault="004476C3" w:rsidP="005B4673">
            <w:pPr>
              <w:widowControl w:val="0"/>
              <w:autoSpaceDE w:val="0"/>
              <w:autoSpaceDN w:val="0"/>
              <w:adjustRightInd w:val="0"/>
              <w:rPr>
                <w:sz w:val="16"/>
                <w:szCs w:val="16"/>
              </w:rPr>
            </w:pPr>
          </w:p>
        </w:tc>
        <w:tc>
          <w:tcPr>
            <w:tcW w:w="0" w:type="auto"/>
            <w:tcBorders>
              <w:top w:val="nil"/>
              <w:left w:val="nil"/>
              <w:bottom w:val="nil"/>
              <w:right w:val="nil"/>
            </w:tcBorders>
          </w:tcPr>
          <w:p w14:paraId="05609F85"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(0.0563)</w:t>
            </w:r>
          </w:p>
        </w:tc>
        <w:tc>
          <w:tcPr>
            <w:tcW w:w="0" w:type="auto"/>
            <w:tcBorders>
              <w:top w:val="nil"/>
              <w:left w:val="nil"/>
              <w:bottom w:val="nil"/>
              <w:right w:val="nil"/>
            </w:tcBorders>
          </w:tcPr>
          <w:p w14:paraId="66D4561B"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(0.0573)</w:t>
            </w:r>
          </w:p>
        </w:tc>
        <w:tc>
          <w:tcPr>
            <w:tcW w:w="0" w:type="auto"/>
            <w:tcBorders>
              <w:top w:val="nil"/>
              <w:left w:val="nil"/>
              <w:bottom w:val="nil"/>
              <w:right w:val="nil"/>
            </w:tcBorders>
          </w:tcPr>
          <w:p w14:paraId="7AF82AC3"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(0.0549)</w:t>
            </w:r>
          </w:p>
        </w:tc>
        <w:tc>
          <w:tcPr>
            <w:tcW w:w="0" w:type="auto"/>
            <w:tcBorders>
              <w:top w:val="nil"/>
              <w:left w:val="nil"/>
              <w:bottom w:val="nil"/>
              <w:right w:val="nil"/>
            </w:tcBorders>
          </w:tcPr>
          <w:p w14:paraId="1D8D7CB1"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(0.0561)</w:t>
            </w:r>
          </w:p>
        </w:tc>
        <w:tc>
          <w:tcPr>
            <w:tcW w:w="0" w:type="auto"/>
            <w:tcBorders>
              <w:top w:val="nil"/>
              <w:left w:val="nil"/>
              <w:bottom w:val="nil"/>
              <w:right w:val="nil"/>
            </w:tcBorders>
          </w:tcPr>
          <w:p w14:paraId="57F563E6"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(0.0571)</w:t>
            </w:r>
          </w:p>
        </w:tc>
        <w:tc>
          <w:tcPr>
            <w:tcW w:w="0" w:type="auto"/>
            <w:tcBorders>
              <w:top w:val="nil"/>
              <w:left w:val="nil"/>
              <w:bottom w:val="nil"/>
              <w:right w:val="nil"/>
            </w:tcBorders>
          </w:tcPr>
          <w:p w14:paraId="7C0640F9"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(0.0548)</w:t>
            </w:r>
          </w:p>
        </w:tc>
      </w:tr>
      <w:tr w:rsidR="004476C3" w:rsidRPr="0088783A" w14:paraId="4A523FD9" w14:textId="77777777" w:rsidTr="005B4673">
        <w:trPr>
          <w:jc w:val="center"/>
        </w:trPr>
        <w:tc>
          <w:tcPr>
            <w:tcW w:w="1785" w:type="dxa"/>
            <w:tcBorders>
              <w:top w:val="nil"/>
              <w:left w:val="nil"/>
              <w:bottom w:val="nil"/>
              <w:right w:val="nil"/>
            </w:tcBorders>
          </w:tcPr>
          <w:p w14:paraId="31560213" w14:textId="77777777" w:rsidR="004476C3" w:rsidRPr="0088783A" w:rsidRDefault="004476C3" w:rsidP="005B4673">
            <w:pPr>
              <w:widowControl w:val="0"/>
              <w:autoSpaceDE w:val="0"/>
              <w:autoSpaceDN w:val="0"/>
              <w:adjustRightInd w:val="0"/>
              <w:rPr>
                <w:sz w:val="16"/>
                <w:szCs w:val="16"/>
              </w:rPr>
            </w:pPr>
            <w:r w:rsidRPr="0088783A">
              <w:rPr>
                <w:rFonts w:ascii="Calibri" w:hAnsi="Calibri" w:cs="Calibri"/>
                <w:b/>
                <w:sz w:val="16"/>
                <w:szCs w:val="16"/>
                <w:lang w:val="en-US"/>
              </w:rPr>
              <w:t>Fair health</w:t>
            </w:r>
          </w:p>
        </w:tc>
        <w:tc>
          <w:tcPr>
            <w:tcW w:w="0" w:type="auto"/>
            <w:tcBorders>
              <w:top w:val="nil"/>
              <w:left w:val="nil"/>
              <w:bottom w:val="nil"/>
              <w:right w:val="nil"/>
            </w:tcBorders>
          </w:tcPr>
          <w:p w14:paraId="4B9A695F"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0.0113</w:t>
            </w:r>
          </w:p>
        </w:tc>
        <w:tc>
          <w:tcPr>
            <w:tcW w:w="0" w:type="auto"/>
            <w:tcBorders>
              <w:top w:val="nil"/>
              <w:left w:val="nil"/>
              <w:bottom w:val="nil"/>
              <w:right w:val="nil"/>
            </w:tcBorders>
          </w:tcPr>
          <w:p w14:paraId="7DC92C83"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0.0323</w:t>
            </w:r>
          </w:p>
        </w:tc>
        <w:tc>
          <w:tcPr>
            <w:tcW w:w="0" w:type="auto"/>
            <w:tcBorders>
              <w:top w:val="nil"/>
              <w:left w:val="nil"/>
              <w:bottom w:val="nil"/>
              <w:right w:val="nil"/>
            </w:tcBorders>
          </w:tcPr>
          <w:p w14:paraId="29BD96FA"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0.000565</w:t>
            </w:r>
          </w:p>
        </w:tc>
        <w:tc>
          <w:tcPr>
            <w:tcW w:w="0" w:type="auto"/>
            <w:tcBorders>
              <w:top w:val="nil"/>
              <w:left w:val="nil"/>
              <w:bottom w:val="nil"/>
              <w:right w:val="nil"/>
            </w:tcBorders>
          </w:tcPr>
          <w:p w14:paraId="6955B22F"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0.0122</w:t>
            </w:r>
          </w:p>
        </w:tc>
        <w:tc>
          <w:tcPr>
            <w:tcW w:w="0" w:type="auto"/>
            <w:tcBorders>
              <w:top w:val="nil"/>
              <w:left w:val="nil"/>
              <w:bottom w:val="nil"/>
              <w:right w:val="nil"/>
            </w:tcBorders>
          </w:tcPr>
          <w:p w14:paraId="17A1AC37"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0.0326</w:t>
            </w:r>
          </w:p>
        </w:tc>
        <w:tc>
          <w:tcPr>
            <w:tcW w:w="0" w:type="auto"/>
            <w:tcBorders>
              <w:top w:val="nil"/>
              <w:left w:val="nil"/>
              <w:bottom w:val="nil"/>
              <w:right w:val="nil"/>
            </w:tcBorders>
          </w:tcPr>
          <w:p w14:paraId="3058661D"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0.00158</w:t>
            </w:r>
          </w:p>
        </w:tc>
      </w:tr>
      <w:tr w:rsidR="004476C3" w:rsidRPr="0088783A" w14:paraId="5732621B" w14:textId="77777777" w:rsidTr="005B4673">
        <w:trPr>
          <w:jc w:val="center"/>
        </w:trPr>
        <w:tc>
          <w:tcPr>
            <w:tcW w:w="1785" w:type="dxa"/>
            <w:tcBorders>
              <w:top w:val="nil"/>
              <w:left w:val="nil"/>
              <w:bottom w:val="nil"/>
              <w:right w:val="nil"/>
            </w:tcBorders>
          </w:tcPr>
          <w:p w14:paraId="50685574" w14:textId="77777777" w:rsidR="004476C3" w:rsidRPr="0088783A" w:rsidRDefault="004476C3" w:rsidP="005B4673">
            <w:pPr>
              <w:widowControl w:val="0"/>
              <w:autoSpaceDE w:val="0"/>
              <w:autoSpaceDN w:val="0"/>
              <w:adjustRightInd w:val="0"/>
              <w:rPr>
                <w:sz w:val="16"/>
                <w:szCs w:val="16"/>
              </w:rPr>
            </w:pPr>
          </w:p>
        </w:tc>
        <w:tc>
          <w:tcPr>
            <w:tcW w:w="0" w:type="auto"/>
            <w:tcBorders>
              <w:top w:val="nil"/>
              <w:left w:val="nil"/>
              <w:bottom w:val="nil"/>
              <w:right w:val="nil"/>
            </w:tcBorders>
          </w:tcPr>
          <w:p w14:paraId="4DA31304"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(0.0470)</w:t>
            </w:r>
          </w:p>
        </w:tc>
        <w:tc>
          <w:tcPr>
            <w:tcW w:w="0" w:type="auto"/>
            <w:tcBorders>
              <w:top w:val="nil"/>
              <w:left w:val="nil"/>
              <w:bottom w:val="nil"/>
              <w:right w:val="nil"/>
            </w:tcBorders>
          </w:tcPr>
          <w:p w14:paraId="041D4C0F"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(0.0479)</w:t>
            </w:r>
          </w:p>
        </w:tc>
        <w:tc>
          <w:tcPr>
            <w:tcW w:w="0" w:type="auto"/>
            <w:tcBorders>
              <w:top w:val="nil"/>
              <w:left w:val="nil"/>
              <w:bottom w:val="nil"/>
              <w:right w:val="nil"/>
            </w:tcBorders>
          </w:tcPr>
          <w:p w14:paraId="72FB997D"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(0.0453)</w:t>
            </w:r>
          </w:p>
        </w:tc>
        <w:tc>
          <w:tcPr>
            <w:tcW w:w="0" w:type="auto"/>
            <w:tcBorders>
              <w:top w:val="nil"/>
              <w:left w:val="nil"/>
              <w:bottom w:val="nil"/>
              <w:right w:val="nil"/>
            </w:tcBorders>
          </w:tcPr>
          <w:p w14:paraId="393C3989"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(0.0466)</w:t>
            </w:r>
          </w:p>
        </w:tc>
        <w:tc>
          <w:tcPr>
            <w:tcW w:w="0" w:type="auto"/>
            <w:tcBorders>
              <w:top w:val="nil"/>
              <w:left w:val="nil"/>
              <w:bottom w:val="nil"/>
              <w:right w:val="nil"/>
            </w:tcBorders>
          </w:tcPr>
          <w:p w14:paraId="5678109D"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(0.0475)</w:t>
            </w:r>
          </w:p>
        </w:tc>
        <w:tc>
          <w:tcPr>
            <w:tcW w:w="0" w:type="auto"/>
            <w:tcBorders>
              <w:top w:val="nil"/>
              <w:left w:val="nil"/>
              <w:bottom w:val="nil"/>
              <w:right w:val="nil"/>
            </w:tcBorders>
          </w:tcPr>
          <w:p w14:paraId="57223AB0"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(0.0450)</w:t>
            </w:r>
          </w:p>
        </w:tc>
      </w:tr>
      <w:tr w:rsidR="004476C3" w:rsidRPr="006C7818" w14:paraId="053B2489" w14:textId="77777777" w:rsidTr="005B4673">
        <w:trPr>
          <w:jc w:val="center"/>
        </w:trPr>
        <w:tc>
          <w:tcPr>
            <w:tcW w:w="1785" w:type="dxa"/>
            <w:tcBorders>
              <w:top w:val="nil"/>
              <w:left w:val="nil"/>
              <w:bottom w:val="nil"/>
              <w:right w:val="nil"/>
            </w:tcBorders>
          </w:tcPr>
          <w:p w14:paraId="42EA7C6D" w14:textId="63167829" w:rsidR="004476C3" w:rsidRPr="006C7818" w:rsidRDefault="004476C3" w:rsidP="005B4673">
            <w:pPr>
              <w:widowControl w:val="0"/>
              <w:autoSpaceDE w:val="0"/>
              <w:autoSpaceDN w:val="0"/>
              <w:adjustRightInd w:val="0"/>
              <w:rPr>
                <w:sz w:val="16"/>
                <w:szCs w:val="16"/>
              </w:rPr>
            </w:pPr>
            <w:r w:rsidRPr="006C7818">
              <w:rPr>
                <w:rFonts w:ascii="Calibri" w:hAnsi="Calibri" w:cs="Calibri"/>
                <w:b/>
                <w:bCs/>
                <w:sz w:val="16"/>
                <w:szCs w:val="16"/>
                <w:lang w:val="en-US"/>
              </w:rPr>
              <w:t>YoungMove0_16</w:t>
            </w:r>
          </w:p>
        </w:tc>
        <w:tc>
          <w:tcPr>
            <w:tcW w:w="0" w:type="auto"/>
            <w:tcBorders>
              <w:top w:val="nil"/>
              <w:left w:val="nil"/>
              <w:bottom w:val="nil"/>
              <w:right w:val="nil"/>
            </w:tcBorders>
          </w:tcPr>
          <w:p w14:paraId="38B43A8A" w14:textId="77777777" w:rsidR="004476C3" w:rsidRPr="006C7818" w:rsidRDefault="004476C3" w:rsidP="005B4673">
            <w:pPr>
              <w:widowControl w:val="0"/>
              <w:autoSpaceDE w:val="0"/>
              <w:autoSpaceDN w:val="0"/>
              <w:adjustRightInd w:val="0"/>
              <w:jc w:val="center"/>
              <w:rPr>
                <w:sz w:val="16"/>
                <w:szCs w:val="16"/>
              </w:rPr>
            </w:pPr>
            <w:r w:rsidRPr="006C7818">
              <w:rPr>
                <w:sz w:val="16"/>
                <w:szCs w:val="16"/>
              </w:rPr>
              <w:t>-0.206***</w:t>
            </w:r>
          </w:p>
        </w:tc>
        <w:tc>
          <w:tcPr>
            <w:tcW w:w="0" w:type="auto"/>
            <w:tcBorders>
              <w:top w:val="nil"/>
              <w:left w:val="nil"/>
              <w:bottom w:val="nil"/>
              <w:right w:val="nil"/>
            </w:tcBorders>
          </w:tcPr>
          <w:p w14:paraId="75368AE9" w14:textId="77777777" w:rsidR="004476C3" w:rsidRPr="006C7818" w:rsidRDefault="004476C3" w:rsidP="005B4673">
            <w:pPr>
              <w:widowControl w:val="0"/>
              <w:autoSpaceDE w:val="0"/>
              <w:autoSpaceDN w:val="0"/>
              <w:adjustRightInd w:val="0"/>
              <w:jc w:val="center"/>
              <w:rPr>
                <w:sz w:val="16"/>
                <w:szCs w:val="16"/>
              </w:rPr>
            </w:pPr>
            <w:r w:rsidRPr="006C7818">
              <w:rPr>
                <w:sz w:val="16"/>
                <w:szCs w:val="16"/>
              </w:rPr>
              <w:t>-0.236***</w:t>
            </w:r>
          </w:p>
        </w:tc>
        <w:tc>
          <w:tcPr>
            <w:tcW w:w="0" w:type="auto"/>
            <w:tcBorders>
              <w:top w:val="nil"/>
              <w:left w:val="nil"/>
              <w:bottom w:val="nil"/>
              <w:right w:val="nil"/>
            </w:tcBorders>
          </w:tcPr>
          <w:p w14:paraId="487BF120" w14:textId="77777777" w:rsidR="004476C3" w:rsidRPr="006C7818" w:rsidRDefault="004476C3" w:rsidP="005B4673">
            <w:pPr>
              <w:widowControl w:val="0"/>
              <w:autoSpaceDE w:val="0"/>
              <w:autoSpaceDN w:val="0"/>
              <w:adjustRightInd w:val="0"/>
              <w:jc w:val="center"/>
              <w:rPr>
                <w:sz w:val="16"/>
                <w:szCs w:val="16"/>
              </w:rPr>
            </w:pPr>
            <w:r w:rsidRPr="006C7818">
              <w:rPr>
                <w:sz w:val="16"/>
                <w:szCs w:val="16"/>
              </w:rPr>
              <w:t>-0.183***</w:t>
            </w:r>
          </w:p>
        </w:tc>
        <w:tc>
          <w:tcPr>
            <w:tcW w:w="0" w:type="auto"/>
            <w:tcBorders>
              <w:top w:val="nil"/>
              <w:left w:val="nil"/>
              <w:bottom w:val="nil"/>
              <w:right w:val="nil"/>
            </w:tcBorders>
          </w:tcPr>
          <w:p w14:paraId="55DE226E"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0.0273</w:t>
            </w:r>
          </w:p>
        </w:tc>
        <w:tc>
          <w:tcPr>
            <w:tcW w:w="0" w:type="auto"/>
            <w:tcBorders>
              <w:top w:val="nil"/>
              <w:left w:val="nil"/>
              <w:bottom w:val="nil"/>
              <w:right w:val="nil"/>
            </w:tcBorders>
          </w:tcPr>
          <w:p w14:paraId="45DBAC94"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-0.00190</w:t>
            </w:r>
          </w:p>
        </w:tc>
        <w:tc>
          <w:tcPr>
            <w:tcW w:w="0" w:type="auto"/>
            <w:tcBorders>
              <w:top w:val="nil"/>
              <w:left w:val="nil"/>
              <w:bottom w:val="nil"/>
              <w:right w:val="nil"/>
            </w:tcBorders>
          </w:tcPr>
          <w:p w14:paraId="177882B5"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0.0499</w:t>
            </w:r>
          </w:p>
        </w:tc>
      </w:tr>
      <w:tr w:rsidR="004476C3" w:rsidRPr="006C7818" w14:paraId="66284A9D" w14:textId="77777777" w:rsidTr="005B4673">
        <w:trPr>
          <w:jc w:val="center"/>
        </w:trPr>
        <w:tc>
          <w:tcPr>
            <w:tcW w:w="1785" w:type="dxa"/>
            <w:tcBorders>
              <w:top w:val="nil"/>
              <w:left w:val="nil"/>
              <w:bottom w:val="nil"/>
              <w:right w:val="nil"/>
            </w:tcBorders>
          </w:tcPr>
          <w:p w14:paraId="48F559E3" w14:textId="77777777" w:rsidR="004476C3" w:rsidRPr="006C7818" w:rsidRDefault="004476C3" w:rsidP="005B4673">
            <w:pPr>
              <w:widowControl w:val="0"/>
              <w:autoSpaceDE w:val="0"/>
              <w:autoSpaceDN w:val="0"/>
              <w:adjustRightInd w:val="0"/>
              <w:rPr>
                <w:sz w:val="16"/>
                <w:szCs w:val="16"/>
              </w:rPr>
            </w:pPr>
          </w:p>
        </w:tc>
        <w:tc>
          <w:tcPr>
            <w:tcW w:w="0" w:type="auto"/>
            <w:tcBorders>
              <w:top w:val="nil"/>
              <w:left w:val="nil"/>
              <w:bottom w:val="nil"/>
              <w:right w:val="nil"/>
            </w:tcBorders>
          </w:tcPr>
          <w:p w14:paraId="07862333" w14:textId="77777777" w:rsidR="004476C3" w:rsidRPr="006C7818" w:rsidRDefault="004476C3" w:rsidP="005B4673">
            <w:pPr>
              <w:widowControl w:val="0"/>
              <w:autoSpaceDE w:val="0"/>
              <w:autoSpaceDN w:val="0"/>
              <w:adjustRightInd w:val="0"/>
              <w:jc w:val="center"/>
              <w:rPr>
                <w:sz w:val="16"/>
                <w:szCs w:val="16"/>
              </w:rPr>
            </w:pPr>
            <w:r w:rsidRPr="006C7818">
              <w:rPr>
                <w:sz w:val="16"/>
                <w:szCs w:val="16"/>
              </w:rPr>
              <w:t>(0.0588)</w:t>
            </w:r>
          </w:p>
        </w:tc>
        <w:tc>
          <w:tcPr>
            <w:tcW w:w="0" w:type="auto"/>
            <w:tcBorders>
              <w:top w:val="nil"/>
              <w:left w:val="nil"/>
              <w:bottom w:val="nil"/>
              <w:right w:val="nil"/>
            </w:tcBorders>
          </w:tcPr>
          <w:p w14:paraId="400104D0" w14:textId="77777777" w:rsidR="004476C3" w:rsidRPr="006C7818" w:rsidRDefault="004476C3" w:rsidP="005B4673">
            <w:pPr>
              <w:widowControl w:val="0"/>
              <w:autoSpaceDE w:val="0"/>
              <w:autoSpaceDN w:val="0"/>
              <w:adjustRightInd w:val="0"/>
              <w:jc w:val="center"/>
              <w:rPr>
                <w:sz w:val="16"/>
                <w:szCs w:val="16"/>
              </w:rPr>
            </w:pPr>
            <w:r w:rsidRPr="006C7818">
              <w:rPr>
                <w:sz w:val="16"/>
                <w:szCs w:val="16"/>
              </w:rPr>
              <w:t>(0.0638)</w:t>
            </w:r>
          </w:p>
        </w:tc>
        <w:tc>
          <w:tcPr>
            <w:tcW w:w="0" w:type="auto"/>
            <w:tcBorders>
              <w:top w:val="nil"/>
              <w:left w:val="nil"/>
              <w:bottom w:val="nil"/>
              <w:right w:val="nil"/>
            </w:tcBorders>
          </w:tcPr>
          <w:p w14:paraId="02227CA1" w14:textId="77777777" w:rsidR="004476C3" w:rsidRPr="006C7818" w:rsidRDefault="004476C3" w:rsidP="005B4673">
            <w:pPr>
              <w:widowControl w:val="0"/>
              <w:autoSpaceDE w:val="0"/>
              <w:autoSpaceDN w:val="0"/>
              <w:adjustRightInd w:val="0"/>
              <w:jc w:val="center"/>
              <w:rPr>
                <w:sz w:val="16"/>
                <w:szCs w:val="16"/>
              </w:rPr>
            </w:pPr>
            <w:r w:rsidRPr="006C7818">
              <w:rPr>
                <w:sz w:val="16"/>
                <w:szCs w:val="16"/>
              </w:rPr>
              <w:t>(0.0575)</w:t>
            </w:r>
          </w:p>
        </w:tc>
        <w:tc>
          <w:tcPr>
            <w:tcW w:w="0" w:type="auto"/>
            <w:tcBorders>
              <w:top w:val="nil"/>
              <w:left w:val="nil"/>
              <w:bottom w:val="nil"/>
              <w:right w:val="nil"/>
            </w:tcBorders>
          </w:tcPr>
          <w:p w14:paraId="0013D088"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(0.0606)</w:t>
            </w:r>
          </w:p>
        </w:tc>
        <w:tc>
          <w:tcPr>
            <w:tcW w:w="0" w:type="auto"/>
            <w:tcBorders>
              <w:top w:val="nil"/>
              <w:left w:val="nil"/>
              <w:bottom w:val="nil"/>
              <w:right w:val="nil"/>
            </w:tcBorders>
          </w:tcPr>
          <w:p w14:paraId="1333B30D"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(0.0655)</w:t>
            </w:r>
          </w:p>
        </w:tc>
        <w:tc>
          <w:tcPr>
            <w:tcW w:w="0" w:type="auto"/>
            <w:tcBorders>
              <w:top w:val="nil"/>
              <w:left w:val="nil"/>
              <w:bottom w:val="nil"/>
              <w:right w:val="nil"/>
            </w:tcBorders>
          </w:tcPr>
          <w:p w14:paraId="4168A254"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(0.0591)</w:t>
            </w:r>
          </w:p>
        </w:tc>
      </w:tr>
      <w:tr w:rsidR="004476C3" w:rsidRPr="006C7818" w14:paraId="458E4A69" w14:textId="77777777" w:rsidTr="005B4673">
        <w:trPr>
          <w:jc w:val="center"/>
        </w:trPr>
        <w:tc>
          <w:tcPr>
            <w:tcW w:w="1785" w:type="dxa"/>
            <w:tcBorders>
              <w:top w:val="nil"/>
              <w:left w:val="nil"/>
              <w:bottom w:val="nil"/>
              <w:right w:val="nil"/>
            </w:tcBorders>
          </w:tcPr>
          <w:p w14:paraId="32C36651" w14:textId="3BD4FF13" w:rsidR="004476C3" w:rsidRPr="006C7818" w:rsidRDefault="004476C3" w:rsidP="005B4673">
            <w:pPr>
              <w:widowControl w:val="0"/>
              <w:autoSpaceDE w:val="0"/>
              <w:autoSpaceDN w:val="0"/>
              <w:adjustRightInd w:val="0"/>
              <w:rPr>
                <w:sz w:val="16"/>
                <w:szCs w:val="16"/>
              </w:rPr>
            </w:pPr>
            <w:r w:rsidRPr="006C7818">
              <w:rPr>
                <w:rFonts w:ascii="Calibri" w:hAnsi="Calibri" w:cs="Calibri"/>
                <w:b/>
                <w:bCs/>
                <w:sz w:val="16"/>
                <w:szCs w:val="16"/>
                <w:lang w:val="en-US"/>
              </w:rPr>
              <w:t>YoungMove17_24</w:t>
            </w:r>
          </w:p>
        </w:tc>
        <w:tc>
          <w:tcPr>
            <w:tcW w:w="0" w:type="auto"/>
            <w:tcBorders>
              <w:top w:val="nil"/>
              <w:left w:val="nil"/>
              <w:bottom w:val="nil"/>
              <w:right w:val="nil"/>
            </w:tcBorders>
          </w:tcPr>
          <w:p w14:paraId="0D38FFE1" w14:textId="77777777" w:rsidR="004476C3" w:rsidRPr="006C7818" w:rsidRDefault="004476C3" w:rsidP="005B4673">
            <w:pPr>
              <w:widowControl w:val="0"/>
              <w:autoSpaceDE w:val="0"/>
              <w:autoSpaceDN w:val="0"/>
              <w:adjustRightInd w:val="0"/>
              <w:jc w:val="center"/>
              <w:rPr>
                <w:sz w:val="16"/>
                <w:szCs w:val="16"/>
              </w:rPr>
            </w:pPr>
            <w:r w:rsidRPr="006C7818">
              <w:rPr>
                <w:sz w:val="16"/>
                <w:szCs w:val="16"/>
              </w:rPr>
              <w:t>-0.189***</w:t>
            </w:r>
          </w:p>
        </w:tc>
        <w:tc>
          <w:tcPr>
            <w:tcW w:w="0" w:type="auto"/>
            <w:tcBorders>
              <w:top w:val="nil"/>
              <w:left w:val="nil"/>
              <w:bottom w:val="nil"/>
              <w:right w:val="nil"/>
            </w:tcBorders>
          </w:tcPr>
          <w:p w14:paraId="5EBD1508" w14:textId="77777777" w:rsidR="004476C3" w:rsidRPr="006C7818" w:rsidRDefault="004476C3" w:rsidP="005B4673">
            <w:pPr>
              <w:widowControl w:val="0"/>
              <w:autoSpaceDE w:val="0"/>
              <w:autoSpaceDN w:val="0"/>
              <w:adjustRightInd w:val="0"/>
              <w:jc w:val="center"/>
              <w:rPr>
                <w:sz w:val="16"/>
                <w:szCs w:val="16"/>
              </w:rPr>
            </w:pPr>
            <w:r w:rsidRPr="006C7818">
              <w:rPr>
                <w:sz w:val="16"/>
                <w:szCs w:val="16"/>
              </w:rPr>
              <w:t>-0.219***</w:t>
            </w:r>
          </w:p>
        </w:tc>
        <w:tc>
          <w:tcPr>
            <w:tcW w:w="0" w:type="auto"/>
            <w:tcBorders>
              <w:top w:val="nil"/>
              <w:left w:val="nil"/>
              <w:bottom w:val="nil"/>
              <w:right w:val="nil"/>
            </w:tcBorders>
          </w:tcPr>
          <w:p w14:paraId="16DCB9E3" w14:textId="77777777" w:rsidR="004476C3" w:rsidRPr="006C7818" w:rsidRDefault="004476C3" w:rsidP="005B4673">
            <w:pPr>
              <w:widowControl w:val="0"/>
              <w:autoSpaceDE w:val="0"/>
              <w:autoSpaceDN w:val="0"/>
              <w:adjustRightInd w:val="0"/>
              <w:jc w:val="center"/>
              <w:rPr>
                <w:sz w:val="16"/>
                <w:szCs w:val="16"/>
              </w:rPr>
            </w:pPr>
            <w:r w:rsidRPr="006C7818">
              <w:rPr>
                <w:sz w:val="16"/>
                <w:szCs w:val="16"/>
              </w:rPr>
              <w:t>-0.144***</w:t>
            </w:r>
          </w:p>
        </w:tc>
        <w:tc>
          <w:tcPr>
            <w:tcW w:w="0" w:type="auto"/>
            <w:tcBorders>
              <w:top w:val="nil"/>
              <w:left w:val="nil"/>
              <w:bottom w:val="nil"/>
              <w:right w:val="nil"/>
            </w:tcBorders>
          </w:tcPr>
          <w:p w14:paraId="2CD3F51C"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0.0486</w:t>
            </w:r>
          </w:p>
        </w:tc>
        <w:tc>
          <w:tcPr>
            <w:tcW w:w="0" w:type="auto"/>
            <w:tcBorders>
              <w:top w:val="nil"/>
              <w:left w:val="nil"/>
              <w:bottom w:val="nil"/>
              <w:right w:val="nil"/>
            </w:tcBorders>
          </w:tcPr>
          <w:p w14:paraId="5A6EFD20"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0.0177</w:t>
            </w:r>
          </w:p>
        </w:tc>
        <w:tc>
          <w:tcPr>
            <w:tcW w:w="0" w:type="auto"/>
            <w:tcBorders>
              <w:top w:val="nil"/>
              <w:left w:val="nil"/>
              <w:bottom w:val="nil"/>
              <w:right w:val="nil"/>
            </w:tcBorders>
          </w:tcPr>
          <w:p w14:paraId="6EF1992D"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0.0939*</w:t>
            </w:r>
          </w:p>
        </w:tc>
      </w:tr>
      <w:tr w:rsidR="004476C3" w:rsidRPr="006C7818" w14:paraId="7F21DB93" w14:textId="77777777" w:rsidTr="005B4673">
        <w:trPr>
          <w:jc w:val="center"/>
        </w:trPr>
        <w:tc>
          <w:tcPr>
            <w:tcW w:w="1785" w:type="dxa"/>
            <w:tcBorders>
              <w:top w:val="nil"/>
              <w:left w:val="nil"/>
              <w:bottom w:val="nil"/>
              <w:right w:val="nil"/>
            </w:tcBorders>
          </w:tcPr>
          <w:p w14:paraId="7EC969BE" w14:textId="77777777" w:rsidR="004476C3" w:rsidRPr="006C7818" w:rsidRDefault="004476C3" w:rsidP="005B4673">
            <w:pPr>
              <w:widowControl w:val="0"/>
              <w:autoSpaceDE w:val="0"/>
              <w:autoSpaceDN w:val="0"/>
              <w:adjustRightInd w:val="0"/>
              <w:rPr>
                <w:sz w:val="16"/>
                <w:szCs w:val="16"/>
              </w:rPr>
            </w:pPr>
          </w:p>
        </w:tc>
        <w:tc>
          <w:tcPr>
            <w:tcW w:w="0" w:type="auto"/>
            <w:tcBorders>
              <w:top w:val="nil"/>
              <w:left w:val="nil"/>
              <w:bottom w:val="nil"/>
              <w:right w:val="nil"/>
            </w:tcBorders>
          </w:tcPr>
          <w:p w14:paraId="0FEAA8CB" w14:textId="77777777" w:rsidR="004476C3" w:rsidRPr="006C7818" w:rsidRDefault="004476C3" w:rsidP="005B4673">
            <w:pPr>
              <w:widowControl w:val="0"/>
              <w:autoSpaceDE w:val="0"/>
              <w:autoSpaceDN w:val="0"/>
              <w:adjustRightInd w:val="0"/>
              <w:jc w:val="center"/>
              <w:rPr>
                <w:sz w:val="16"/>
                <w:szCs w:val="16"/>
              </w:rPr>
            </w:pPr>
            <w:r w:rsidRPr="006C7818">
              <w:rPr>
                <w:sz w:val="16"/>
                <w:szCs w:val="16"/>
              </w:rPr>
              <w:t>(0.0578)</w:t>
            </w:r>
          </w:p>
        </w:tc>
        <w:tc>
          <w:tcPr>
            <w:tcW w:w="0" w:type="auto"/>
            <w:tcBorders>
              <w:top w:val="nil"/>
              <w:left w:val="nil"/>
              <w:bottom w:val="nil"/>
              <w:right w:val="nil"/>
            </w:tcBorders>
          </w:tcPr>
          <w:p w14:paraId="385A3682" w14:textId="77777777" w:rsidR="004476C3" w:rsidRPr="006C7818" w:rsidRDefault="004476C3" w:rsidP="005B4673">
            <w:pPr>
              <w:widowControl w:val="0"/>
              <w:autoSpaceDE w:val="0"/>
              <w:autoSpaceDN w:val="0"/>
              <w:adjustRightInd w:val="0"/>
              <w:jc w:val="center"/>
              <w:rPr>
                <w:sz w:val="16"/>
                <w:szCs w:val="16"/>
              </w:rPr>
            </w:pPr>
            <w:r w:rsidRPr="006C7818">
              <w:rPr>
                <w:sz w:val="16"/>
                <w:szCs w:val="16"/>
              </w:rPr>
              <w:t>(0.0562)</w:t>
            </w:r>
          </w:p>
        </w:tc>
        <w:tc>
          <w:tcPr>
            <w:tcW w:w="0" w:type="auto"/>
            <w:tcBorders>
              <w:top w:val="nil"/>
              <w:left w:val="nil"/>
              <w:bottom w:val="nil"/>
              <w:right w:val="nil"/>
            </w:tcBorders>
          </w:tcPr>
          <w:p w14:paraId="77E9ECFE" w14:textId="77777777" w:rsidR="004476C3" w:rsidRPr="006C7818" w:rsidRDefault="004476C3" w:rsidP="005B4673">
            <w:pPr>
              <w:widowControl w:val="0"/>
              <w:autoSpaceDE w:val="0"/>
              <w:autoSpaceDN w:val="0"/>
              <w:adjustRightInd w:val="0"/>
              <w:jc w:val="center"/>
              <w:rPr>
                <w:sz w:val="16"/>
                <w:szCs w:val="16"/>
              </w:rPr>
            </w:pPr>
            <w:r w:rsidRPr="006C7818">
              <w:rPr>
                <w:sz w:val="16"/>
                <w:szCs w:val="16"/>
              </w:rPr>
              <w:t>(0.0536)</w:t>
            </w:r>
          </w:p>
        </w:tc>
        <w:tc>
          <w:tcPr>
            <w:tcW w:w="0" w:type="auto"/>
            <w:tcBorders>
              <w:top w:val="nil"/>
              <w:left w:val="nil"/>
              <w:bottom w:val="nil"/>
              <w:right w:val="nil"/>
            </w:tcBorders>
          </w:tcPr>
          <w:p w14:paraId="6435CF52"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(0.0577)</w:t>
            </w:r>
          </w:p>
        </w:tc>
        <w:tc>
          <w:tcPr>
            <w:tcW w:w="0" w:type="auto"/>
            <w:tcBorders>
              <w:top w:val="nil"/>
              <w:left w:val="nil"/>
              <w:bottom w:val="nil"/>
              <w:right w:val="nil"/>
            </w:tcBorders>
          </w:tcPr>
          <w:p w14:paraId="7F5F7126"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(0.0557)</w:t>
            </w:r>
          </w:p>
        </w:tc>
        <w:tc>
          <w:tcPr>
            <w:tcW w:w="0" w:type="auto"/>
            <w:tcBorders>
              <w:top w:val="nil"/>
              <w:left w:val="nil"/>
              <w:bottom w:val="nil"/>
              <w:right w:val="nil"/>
            </w:tcBorders>
          </w:tcPr>
          <w:p w14:paraId="0B84C262"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(0.0539)</w:t>
            </w:r>
          </w:p>
        </w:tc>
      </w:tr>
      <w:tr w:rsidR="004476C3" w:rsidRPr="006C7818" w14:paraId="4BBB3A5B" w14:textId="77777777" w:rsidTr="005B4673">
        <w:trPr>
          <w:jc w:val="center"/>
        </w:trPr>
        <w:tc>
          <w:tcPr>
            <w:tcW w:w="1785" w:type="dxa"/>
            <w:tcBorders>
              <w:top w:val="nil"/>
              <w:left w:val="nil"/>
              <w:bottom w:val="nil"/>
              <w:right w:val="nil"/>
            </w:tcBorders>
          </w:tcPr>
          <w:p w14:paraId="50F19C86" w14:textId="68994042" w:rsidR="004476C3" w:rsidRPr="006C7818" w:rsidRDefault="004476C3" w:rsidP="005B4673">
            <w:pPr>
              <w:widowControl w:val="0"/>
              <w:autoSpaceDE w:val="0"/>
              <w:autoSpaceDN w:val="0"/>
              <w:adjustRightInd w:val="0"/>
              <w:rPr>
                <w:sz w:val="16"/>
                <w:szCs w:val="16"/>
              </w:rPr>
            </w:pPr>
            <w:r w:rsidRPr="006C7818">
              <w:rPr>
                <w:rFonts w:ascii="Calibri" w:hAnsi="Calibri" w:cs="Calibri"/>
                <w:b/>
                <w:bCs/>
                <w:sz w:val="16"/>
                <w:szCs w:val="16"/>
                <w:lang w:val="en-US"/>
              </w:rPr>
              <w:t>YoungMove25_30</w:t>
            </w:r>
          </w:p>
        </w:tc>
        <w:tc>
          <w:tcPr>
            <w:tcW w:w="0" w:type="auto"/>
            <w:tcBorders>
              <w:top w:val="nil"/>
              <w:left w:val="nil"/>
              <w:bottom w:val="nil"/>
              <w:right w:val="nil"/>
            </w:tcBorders>
          </w:tcPr>
          <w:p w14:paraId="600E9FE9" w14:textId="77777777" w:rsidR="004476C3" w:rsidRPr="006C7818" w:rsidRDefault="004476C3" w:rsidP="005B4673">
            <w:pPr>
              <w:widowControl w:val="0"/>
              <w:autoSpaceDE w:val="0"/>
              <w:autoSpaceDN w:val="0"/>
              <w:adjustRightInd w:val="0"/>
              <w:jc w:val="center"/>
              <w:rPr>
                <w:sz w:val="16"/>
                <w:szCs w:val="16"/>
              </w:rPr>
            </w:pPr>
            <w:r w:rsidRPr="006C7818">
              <w:rPr>
                <w:sz w:val="16"/>
                <w:szCs w:val="16"/>
              </w:rPr>
              <w:t>-0.0743</w:t>
            </w:r>
          </w:p>
        </w:tc>
        <w:tc>
          <w:tcPr>
            <w:tcW w:w="0" w:type="auto"/>
            <w:tcBorders>
              <w:top w:val="nil"/>
              <w:left w:val="nil"/>
              <w:bottom w:val="nil"/>
              <w:right w:val="nil"/>
            </w:tcBorders>
          </w:tcPr>
          <w:p w14:paraId="2C19A8AE" w14:textId="77777777" w:rsidR="004476C3" w:rsidRPr="006C7818" w:rsidRDefault="004476C3" w:rsidP="005B4673">
            <w:pPr>
              <w:widowControl w:val="0"/>
              <w:autoSpaceDE w:val="0"/>
              <w:autoSpaceDN w:val="0"/>
              <w:adjustRightInd w:val="0"/>
              <w:jc w:val="center"/>
              <w:rPr>
                <w:sz w:val="16"/>
                <w:szCs w:val="16"/>
              </w:rPr>
            </w:pPr>
            <w:r w:rsidRPr="006C7818">
              <w:rPr>
                <w:sz w:val="16"/>
                <w:szCs w:val="16"/>
              </w:rPr>
              <w:t>-0.0636</w:t>
            </w:r>
          </w:p>
        </w:tc>
        <w:tc>
          <w:tcPr>
            <w:tcW w:w="0" w:type="auto"/>
            <w:tcBorders>
              <w:top w:val="nil"/>
              <w:left w:val="nil"/>
              <w:bottom w:val="nil"/>
              <w:right w:val="nil"/>
            </w:tcBorders>
          </w:tcPr>
          <w:p w14:paraId="6F68D86D" w14:textId="77777777" w:rsidR="004476C3" w:rsidRPr="006C7818" w:rsidRDefault="004476C3" w:rsidP="005B4673">
            <w:pPr>
              <w:widowControl w:val="0"/>
              <w:autoSpaceDE w:val="0"/>
              <w:autoSpaceDN w:val="0"/>
              <w:adjustRightInd w:val="0"/>
              <w:jc w:val="center"/>
              <w:rPr>
                <w:sz w:val="16"/>
                <w:szCs w:val="16"/>
              </w:rPr>
            </w:pPr>
            <w:r w:rsidRPr="006C7818">
              <w:rPr>
                <w:sz w:val="16"/>
                <w:szCs w:val="16"/>
              </w:rPr>
              <w:t>-0.0541</w:t>
            </w:r>
          </w:p>
        </w:tc>
        <w:tc>
          <w:tcPr>
            <w:tcW w:w="0" w:type="auto"/>
            <w:tcBorders>
              <w:top w:val="nil"/>
              <w:left w:val="nil"/>
              <w:bottom w:val="nil"/>
              <w:right w:val="nil"/>
            </w:tcBorders>
          </w:tcPr>
          <w:p w14:paraId="2443B6CD"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0.155***</w:t>
            </w:r>
          </w:p>
        </w:tc>
        <w:tc>
          <w:tcPr>
            <w:tcW w:w="0" w:type="auto"/>
            <w:tcBorders>
              <w:top w:val="nil"/>
              <w:left w:val="nil"/>
              <w:bottom w:val="nil"/>
              <w:right w:val="nil"/>
            </w:tcBorders>
          </w:tcPr>
          <w:p w14:paraId="54C88AD9"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0.165***</w:t>
            </w:r>
          </w:p>
        </w:tc>
        <w:tc>
          <w:tcPr>
            <w:tcW w:w="0" w:type="auto"/>
            <w:tcBorders>
              <w:top w:val="nil"/>
              <w:left w:val="nil"/>
              <w:bottom w:val="nil"/>
              <w:right w:val="nil"/>
            </w:tcBorders>
          </w:tcPr>
          <w:p w14:paraId="2C837F66"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0.175***</w:t>
            </w:r>
          </w:p>
        </w:tc>
      </w:tr>
      <w:tr w:rsidR="004476C3" w:rsidRPr="006C7818" w14:paraId="63186EAB" w14:textId="77777777" w:rsidTr="005B4673">
        <w:trPr>
          <w:jc w:val="center"/>
        </w:trPr>
        <w:tc>
          <w:tcPr>
            <w:tcW w:w="1785" w:type="dxa"/>
            <w:tcBorders>
              <w:top w:val="nil"/>
              <w:left w:val="nil"/>
              <w:bottom w:val="nil"/>
              <w:right w:val="nil"/>
            </w:tcBorders>
          </w:tcPr>
          <w:p w14:paraId="68BA87C7" w14:textId="77777777" w:rsidR="004476C3" w:rsidRPr="006C7818" w:rsidRDefault="004476C3" w:rsidP="005B4673">
            <w:pPr>
              <w:widowControl w:val="0"/>
              <w:autoSpaceDE w:val="0"/>
              <w:autoSpaceDN w:val="0"/>
              <w:adjustRightInd w:val="0"/>
              <w:rPr>
                <w:sz w:val="16"/>
                <w:szCs w:val="16"/>
              </w:rPr>
            </w:pPr>
          </w:p>
        </w:tc>
        <w:tc>
          <w:tcPr>
            <w:tcW w:w="0" w:type="auto"/>
            <w:tcBorders>
              <w:top w:val="nil"/>
              <w:left w:val="nil"/>
              <w:bottom w:val="nil"/>
              <w:right w:val="nil"/>
            </w:tcBorders>
          </w:tcPr>
          <w:p w14:paraId="56F7CB83" w14:textId="77777777" w:rsidR="004476C3" w:rsidRPr="006C7818" w:rsidRDefault="004476C3" w:rsidP="005B4673">
            <w:pPr>
              <w:widowControl w:val="0"/>
              <w:autoSpaceDE w:val="0"/>
              <w:autoSpaceDN w:val="0"/>
              <w:adjustRightInd w:val="0"/>
              <w:jc w:val="center"/>
              <w:rPr>
                <w:sz w:val="16"/>
                <w:szCs w:val="16"/>
              </w:rPr>
            </w:pPr>
            <w:r w:rsidRPr="006C7818">
              <w:rPr>
                <w:sz w:val="16"/>
                <w:szCs w:val="16"/>
              </w:rPr>
              <w:t>(0.0452)</w:t>
            </w:r>
          </w:p>
        </w:tc>
        <w:tc>
          <w:tcPr>
            <w:tcW w:w="0" w:type="auto"/>
            <w:tcBorders>
              <w:top w:val="nil"/>
              <w:left w:val="nil"/>
              <w:bottom w:val="nil"/>
              <w:right w:val="nil"/>
            </w:tcBorders>
          </w:tcPr>
          <w:p w14:paraId="7B4741D8" w14:textId="77777777" w:rsidR="004476C3" w:rsidRPr="006C7818" w:rsidRDefault="004476C3" w:rsidP="005B4673">
            <w:pPr>
              <w:widowControl w:val="0"/>
              <w:autoSpaceDE w:val="0"/>
              <w:autoSpaceDN w:val="0"/>
              <w:adjustRightInd w:val="0"/>
              <w:jc w:val="center"/>
              <w:rPr>
                <w:sz w:val="16"/>
                <w:szCs w:val="16"/>
              </w:rPr>
            </w:pPr>
            <w:r w:rsidRPr="006C7818">
              <w:rPr>
                <w:sz w:val="16"/>
                <w:szCs w:val="16"/>
              </w:rPr>
              <w:t>(0.0474)</w:t>
            </w:r>
          </w:p>
        </w:tc>
        <w:tc>
          <w:tcPr>
            <w:tcW w:w="0" w:type="auto"/>
            <w:tcBorders>
              <w:top w:val="nil"/>
              <w:left w:val="nil"/>
              <w:bottom w:val="nil"/>
              <w:right w:val="nil"/>
            </w:tcBorders>
          </w:tcPr>
          <w:p w14:paraId="77B5F2D4" w14:textId="77777777" w:rsidR="004476C3" w:rsidRPr="006C7818" w:rsidRDefault="004476C3" w:rsidP="005B4673">
            <w:pPr>
              <w:widowControl w:val="0"/>
              <w:autoSpaceDE w:val="0"/>
              <w:autoSpaceDN w:val="0"/>
              <w:adjustRightInd w:val="0"/>
              <w:jc w:val="center"/>
              <w:rPr>
                <w:sz w:val="16"/>
                <w:szCs w:val="16"/>
              </w:rPr>
            </w:pPr>
            <w:r w:rsidRPr="006C7818">
              <w:rPr>
                <w:sz w:val="16"/>
                <w:szCs w:val="16"/>
              </w:rPr>
              <w:t>(0.0424)</w:t>
            </w:r>
          </w:p>
        </w:tc>
        <w:tc>
          <w:tcPr>
            <w:tcW w:w="0" w:type="auto"/>
            <w:tcBorders>
              <w:top w:val="nil"/>
              <w:left w:val="nil"/>
              <w:bottom w:val="nil"/>
              <w:right w:val="nil"/>
            </w:tcBorders>
          </w:tcPr>
          <w:p w14:paraId="1A31967F"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(0.0456)</w:t>
            </w:r>
          </w:p>
        </w:tc>
        <w:tc>
          <w:tcPr>
            <w:tcW w:w="0" w:type="auto"/>
            <w:tcBorders>
              <w:top w:val="nil"/>
              <w:left w:val="nil"/>
              <w:bottom w:val="nil"/>
              <w:right w:val="nil"/>
            </w:tcBorders>
          </w:tcPr>
          <w:p w14:paraId="7B6733C4"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(0.0478)</w:t>
            </w:r>
          </w:p>
        </w:tc>
        <w:tc>
          <w:tcPr>
            <w:tcW w:w="0" w:type="auto"/>
            <w:tcBorders>
              <w:top w:val="nil"/>
              <w:left w:val="nil"/>
              <w:bottom w:val="nil"/>
              <w:right w:val="nil"/>
            </w:tcBorders>
          </w:tcPr>
          <w:p w14:paraId="4139D7CB"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(0.0429)</w:t>
            </w:r>
          </w:p>
        </w:tc>
      </w:tr>
      <w:tr w:rsidR="004476C3" w:rsidRPr="006C7818" w14:paraId="743CD4C0" w14:textId="77777777" w:rsidTr="005B4673">
        <w:trPr>
          <w:jc w:val="center"/>
        </w:trPr>
        <w:tc>
          <w:tcPr>
            <w:tcW w:w="1785" w:type="dxa"/>
            <w:tcBorders>
              <w:top w:val="nil"/>
              <w:left w:val="nil"/>
              <w:bottom w:val="nil"/>
              <w:right w:val="nil"/>
            </w:tcBorders>
          </w:tcPr>
          <w:p w14:paraId="3B5A93DA" w14:textId="6F15F09B" w:rsidR="004476C3" w:rsidRPr="006C7818" w:rsidRDefault="004476C3" w:rsidP="005B4673">
            <w:pPr>
              <w:widowControl w:val="0"/>
              <w:autoSpaceDE w:val="0"/>
              <w:autoSpaceDN w:val="0"/>
              <w:adjustRightInd w:val="0"/>
              <w:rPr>
                <w:sz w:val="16"/>
                <w:szCs w:val="16"/>
              </w:rPr>
            </w:pPr>
            <w:r w:rsidRPr="006C7818">
              <w:rPr>
                <w:rFonts w:ascii="Calibri" w:hAnsi="Calibri" w:cs="Calibri"/>
                <w:b/>
                <w:bCs/>
                <w:sz w:val="16"/>
                <w:szCs w:val="16"/>
                <w:lang w:val="en-US"/>
              </w:rPr>
              <w:t>YoungMove31+</w:t>
            </w:r>
          </w:p>
        </w:tc>
        <w:tc>
          <w:tcPr>
            <w:tcW w:w="0" w:type="auto"/>
            <w:tcBorders>
              <w:top w:val="nil"/>
              <w:left w:val="nil"/>
              <w:bottom w:val="nil"/>
              <w:right w:val="nil"/>
            </w:tcBorders>
          </w:tcPr>
          <w:p w14:paraId="1CE6E418" w14:textId="77777777" w:rsidR="004476C3" w:rsidRPr="006C7818" w:rsidRDefault="004476C3" w:rsidP="005B4673">
            <w:pPr>
              <w:widowControl w:val="0"/>
              <w:autoSpaceDE w:val="0"/>
              <w:autoSpaceDN w:val="0"/>
              <w:adjustRightInd w:val="0"/>
              <w:jc w:val="center"/>
              <w:rPr>
                <w:sz w:val="16"/>
                <w:szCs w:val="16"/>
              </w:rPr>
            </w:pPr>
            <w:r w:rsidRPr="006C7818">
              <w:rPr>
                <w:sz w:val="16"/>
                <w:szCs w:val="16"/>
              </w:rPr>
              <w:t>-0.0493</w:t>
            </w:r>
          </w:p>
        </w:tc>
        <w:tc>
          <w:tcPr>
            <w:tcW w:w="0" w:type="auto"/>
            <w:tcBorders>
              <w:top w:val="nil"/>
              <w:left w:val="nil"/>
              <w:bottom w:val="nil"/>
              <w:right w:val="nil"/>
            </w:tcBorders>
          </w:tcPr>
          <w:p w14:paraId="60C934A6" w14:textId="77777777" w:rsidR="004476C3" w:rsidRPr="006C7818" w:rsidRDefault="004476C3" w:rsidP="005B4673">
            <w:pPr>
              <w:widowControl w:val="0"/>
              <w:autoSpaceDE w:val="0"/>
              <w:autoSpaceDN w:val="0"/>
              <w:adjustRightInd w:val="0"/>
              <w:jc w:val="center"/>
              <w:rPr>
                <w:sz w:val="16"/>
                <w:szCs w:val="16"/>
              </w:rPr>
            </w:pPr>
            <w:r w:rsidRPr="006C7818">
              <w:rPr>
                <w:sz w:val="16"/>
                <w:szCs w:val="16"/>
              </w:rPr>
              <w:t>-0.0203</w:t>
            </w:r>
          </w:p>
        </w:tc>
        <w:tc>
          <w:tcPr>
            <w:tcW w:w="0" w:type="auto"/>
            <w:tcBorders>
              <w:top w:val="nil"/>
              <w:left w:val="nil"/>
              <w:bottom w:val="nil"/>
              <w:right w:val="nil"/>
            </w:tcBorders>
          </w:tcPr>
          <w:p w14:paraId="21F5AC88" w14:textId="77777777" w:rsidR="004476C3" w:rsidRPr="006C7818" w:rsidRDefault="004476C3" w:rsidP="005B4673">
            <w:pPr>
              <w:widowControl w:val="0"/>
              <w:autoSpaceDE w:val="0"/>
              <w:autoSpaceDN w:val="0"/>
              <w:adjustRightInd w:val="0"/>
              <w:jc w:val="center"/>
              <w:rPr>
                <w:sz w:val="16"/>
                <w:szCs w:val="16"/>
              </w:rPr>
            </w:pPr>
            <w:r w:rsidRPr="006C7818">
              <w:rPr>
                <w:sz w:val="16"/>
                <w:szCs w:val="16"/>
              </w:rPr>
              <w:t>-0.0460</w:t>
            </w:r>
          </w:p>
        </w:tc>
        <w:tc>
          <w:tcPr>
            <w:tcW w:w="0" w:type="auto"/>
            <w:tcBorders>
              <w:top w:val="nil"/>
              <w:left w:val="nil"/>
              <w:bottom w:val="nil"/>
              <w:right w:val="nil"/>
            </w:tcBorders>
          </w:tcPr>
          <w:p w14:paraId="68E8AA48"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0.184***</w:t>
            </w:r>
          </w:p>
        </w:tc>
        <w:tc>
          <w:tcPr>
            <w:tcW w:w="0" w:type="auto"/>
            <w:tcBorders>
              <w:top w:val="nil"/>
              <w:left w:val="nil"/>
              <w:bottom w:val="nil"/>
              <w:right w:val="nil"/>
            </w:tcBorders>
          </w:tcPr>
          <w:p w14:paraId="40D973EF"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0.213***</w:t>
            </w:r>
          </w:p>
        </w:tc>
        <w:tc>
          <w:tcPr>
            <w:tcW w:w="0" w:type="auto"/>
            <w:tcBorders>
              <w:top w:val="nil"/>
              <w:left w:val="nil"/>
              <w:bottom w:val="nil"/>
              <w:right w:val="nil"/>
            </w:tcBorders>
          </w:tcPr>
          <w:p w14:paraId="71416140"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0.187***</w:t>
            </w:r>
          </w:p>
        </w:tc>
      </w:tr>
      <w:tr w:rsidR="004476C3" w:rsidRPr="0088783A" w14:paraId="5FFE73E5" w14:textId="77777777" w:rsidTr="005B4673">
        <w:trPr>
          <w:jc w:val="center"/>
        </w:trPr>
        <w:tc>
          <w:tcPr>
            <w:tcW w:w="1785" w:type="dxa"/>
            <w:tcBorders>
              <w:top w:val="nil"/>
              <w:left w:val="nil"/>
              <w:bottom w:val="nil"/>
              <w:right w:val="nil"/>
            </w:tcBorders>
          </w:tcPr>
          <w:p w14:paraId="5CBAB75E" w14:textId="77777777" w:rsidR="004476C3" w:rsidRPr="006C7818" w:rsidRDefault="004476C3" w:rsidP="005B4673">
            <w:pPr>
              <w:widowControl w:val="0"/>
              <w:autoSpaceDE w:val="0"/>
              <w:autoSpaceDN w:val="0"/>
              <w:adjustRightInd w:val="0"/>
              <w:rPr>
                <w:sz w:val="16"/>
                <w:szCs w:val="16"/>
              </w:rPr>
            </w:pPr>
          </w:p>
        </w:tc>
        <w:tc>
          <w:tcPr>
            <w:tcW w:w="0" w:type="auto"/>
            <w:tcBorders>
              <w:top w:val="nil"/>
              <w:left w:val="nil"/>
              <w:bottom w:val="nil"/>
              <w:right w:val="nil"/>
            </w:tcBorders>
          </w:tcPr>
          <w:p w14:paraId="02198777" w14:textId="77777777" w:rsidR="004476C3" w:rsidRPr="006C7818" w:rsidRDefault="004476C3" w:rsidP="005B4673">
            <w:pPr>
              <w:widowControl w:val="0"/>
              <w:autoSpaceDE w:val="0"/>
              <w:autoSpaceDN w:val="0"/>
              <w:adjustRightInd w:val="0"/>
              <w:jc w:val="center"/>
              <w:rPr>
                <w:sz w:val="16"/>
                <w:szCs w:val="16"/>
              </w:rPr>
            </w:pPr>
            <w:r w:rsidRPr="006C7818">
              <w:rPr>
                <w:sz w:val="16"/>
                <w:szCs w:val="16"/>
              </w:rPr>
              <w:t>(0.0415)</w:t>
            </w:r>
          </w:p>
        </w:tc>
        <w:tc>
          <w:tcPr>
            <w:tcW w:w="0" w:type="auto"/>
            <w:tcBorders>
              <w:top w:val="nil"/>
              <w:left w:val="nil"/>
              <w:bottom w:val="nil"/>
              <w:right w:val="nil"/>
            </w:tcBorders>
          </w:tcPr>
          <w:p w14:paraId="286E8C71" w14:textId="77777777" w:rsidR="004476C3" w:rsidRPr="006C7818" w:rsidRDefault="004476C3" w:rsidP="005B4673">
            <w:pPr>
              <w:widowControl w:val="0"/>
              <w:autoSpaceDE w:val="0"/>
              <w:autoSpaceDN w:val="0"/>
              <w:adjustRightInd w:val="0"/>
              <w:jc w:val="center"/>
              <w:rPr>
                <w:sz w:val="16"/>
                <w:szCs w:val="16"/>
              </w:rPr>
            </w:pPr>
            <w:r w:rsidRPr="006C7818">
              <w:rPr>
                <w:sz w:val="16"/>
                <w:szCs w:val="16"/>
              </w:rPr>
              <w:t>(0.0415)</w:t>
            </w:r>
          </w:p>
        </w:tc>
        <w:tc>
          <w:tcPr>
            <w:tcW w:w="0" w:type="auto"/>
            <w:tcBorders>
              <w:top w:val="nil"/>
              <w:left w:val="nil"/>
              <w:bottom w:val="nil"/>
              <w:right w:val="nil"/>
            </w:tcBorders>
          </w:tcPr>
          <w:p w14:paraId="340E84F9" w14:textId="77777777" w:rsidR="004476C3" w:rsidRPr="006C7818" w:rsidRDefault="004476C3" w:rsidP="005B4673">
            <w:pPr>
              <w:widowControl w:val="0"/>
              <w:autoSpaceDE w:val="0"/>
              <w:autoSpaceDN w:val="0"/>
              <w:adjustRightInd w:val="0"/>
              <w:jc w:val="center"/>
              <w:rPr>
                <w:sz w:val="16"/>
                <w:szCs w:val="16"/>
              </w:rPr>
            </w:pPr>
            <w:r w:rsidRPr="006C7818">
              <w:rPr>
                <w:sz w:val="16"/>
                <w:szCs w:val="16"/>
              </w:rPr>
              <w:t>(0.0412)</w:t>
            </w:r>
          </w:p>
        </w:tc>
        <w:tc>
          <w:tcPr>
            <w:tcW w:w="0" w:type="auto"/>
            <w:tcBorders>
              <w:top w:val="nil"/>
              <w:left w:val="nil"/>
              <w:bottom w:val="nil"/>
              <w:right w:val="nil"/>
            </w:tcBorders>
          </w:tcPr>
          <w:p w14:paraId="2C101E99"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(0.0432)</w:t>
            </w:r>
          </w:p>
        </w:tc>
        <w:tc>
          <w:tcPr>
            <w:tcW w:w="0" w:type="auto"/>
            <w:tcBorders>
              <w:top w:val="nil"/>
              <w:left w:val="nil"/>
              <w:bottom w:val="nil"/>
              <w:right w:val="nil"/>
            </w:tcBorders>
          </w:tcPr>
          <w:p w14:paraId="01729AC5"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(0.0434)</w:t>
            </w:r>
          </w:p>
        </w:tc>
        <w:tc>
          <w:tcPr>
            <w:tcW w:w="0" w:type="auto"/>
            <w:tcBorders>
              <w:top w:val="nil"/>
              <w:left w:val="nil"/>
              <w:bottom w:val="nil"/>
              <w:right w:val="nil"/>
            </w:tcBorders>
          </w:tcPr>
          <w:p w14:paraId="24A81A1C"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(0.0429)</w:t>
            </w:r>
          </w:p>
        </w:tc>
      </w:tr>
      <w:tr w:rsidR="004476C3" w:rsidRPr="0088783A" w14:paraId="59E8ED60" w14:textId="77777777" w:rsidTr="005B4673">
        <w:trPr>
          <w:jc w:val="center"/>
        </w:trPr>
        <w:tc>
          <w:tcPr>
            <w:tcW w:w="1785" w:type="dxa"/>
            <w:tcBorders>
              <w:top w:val="nil"/>
              <w:left w:val="nil"/>
              <w:bottom w:val="nil"/>
              <w:right w:val="nil"/>
            </w:tcBorders>
          </w:tcPr>
          <w:p w14:paraId="3FB107B9" w14:textId="77777777" w:rsidR="004476C3" w:rsidRPr="0088783A" w:rsidRDefault="004476C3" w:rsidP="005B4673">
            <w:pPr>
              <w:widowControl w:val="0"/>
              <w:autoSpaceDE w:val="0"/>
              <w:autoSpaceDN w:val="0"/>
              <w:adjustRightInd w:val="0"/>
              <w:rPr>
                <w:sz w:val="16"/>
                <w:szCs w:val="16"/>
              </w:rPr>
            </w:pPr>
            <w:r w:rsidRPr="0088783A">
              <w:rPr>
                <w:rFonts w:ascii="Calibri" w:hAnsi="Calibri" w:cs="Calibri"/>
                <w:b/>
                <w:sz w:val="16"/>
                <w:szCs w:val="16"/>
                <w:lang w:val="en-US"/>
              </w:rPr>
              <w:t xml:space="preserve">No. of non-offspring </w:t>
            </w:r>
          </w:p>
        </w:tc>
        <w:tc>
          <w:tcPr>
            <w:tcW w:w="0" w:type="auto"/>
            <w:tcBorders>
              <w:top w:val="nil"/>
              <w:left w:val="nil"/>
              <w:bottom w:val="nil"/>
              <w:right w:val="nil"/>
            </w:tcBorders>
          </w:tcPr>
          <w:p w14:paraId="0582192E"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0.111*</w:t>
            </w:r>
          </w:p>
        </w:tc>
        <w:tc>
          <w:tcPr>
            <w:tcW w:w="0" w:type="auto"/>
            <w:tcBorders>
              <w:top w:val="nil"/>
              <w:left w:val="nil"/>
              <w:bottom w:val="nil"/>
              <w:right w:val="nil"/>
            </w:tcBorders>
          </w:tcPr>
          <w:p w14:paraId="6B0CAC6F"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0.121**</w:t>
            </w:r>
          </w:p>
        </w:tc>
        <w:tc>
          <w:tcPr>
            <w:tcW w:w="0" w:type="auto"/>
            <w:tcBorders>
              <w:top w:val="nil"/>
              <w:left w:val="nil"/>
              <w:bottom w:val="nil"/>
              <w:right w:val="nil"/>
            </w:tcBorders>
          </w:tcPr>
          <w:p w14:paraId="60401D67"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0.119**</w:t>
            </w:r>
          </w:p>
        </w:tc>
        <w:tc>
          <w:tcPr>
            <w:tcW w:w="0" w:type="auto"/>
            <w:tcBorders>
              <w:top w:val="nil"/>
              <w:left w:val="nil"/>
              <w:bottom w:val="nil"/>
              <w:right w:val="nil"/>
            </w:tcBorders>
          </w:tcPr>
          <w:p w14:paraId="16B4D4A8"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-0.124**</w:t>
            </w:r>
          </w:p>
        </w:tc>
        <w:tc>
          <w:tcPr>
            <w:tcW w:w="0" w:type="auto"/>
            <w:tcBorders>
              <w:top w:val="nil"/>
              <w:left w:val="nil"/>
              <w:bottom w:val="nil"/>
              <w:right w:val="nil"/>
            </w:tcBorders>
          </w:tcPr>
          <w:p w14:paraId="324EFB83"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-0.115*</w:t>
            </w:r>
          </w:p>
        </w:tc>
        <w:tc>
          <w:tcPr>
            <w:tcW w:w="0" w:type="auto"/>
            <w:tcBorders>
              <w:top w:val="nil"/>
              <w:left w:val="nil"/>
              <w:bottom w:val="nil"/>
              <w:right w:val="nil"/>
            </w:tcBorders>
          </w:tcPr>
          <w:p w14:paraId="1B139933"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-0.116*</w:t>
            </w:r>
          </w:p>
        </w:tc>
      </w:tr>
      <w:tr w:rsidR="004476C3" w:rsidRPr="0088783A" w14:paraId="7FAA270A" w14:textId="77777777" w:rsidTr="005B4673">
        <w:trPr>
          <w:jc w:val="center"/>
        </w:trPr>
        <w:tc>
          <w:tcPr>
            <w:tcW w:w="1785" w:type="dxa"/>
            <w:tcBorders>
              <w:top w:val="nil"/>
              <w:left w:val="nil"/>
              <w:bottom w:val="nil"/>
              <w:right w:val="nil"/>
            </w:tcBorders>
          </w:tcPr>
          <w:p w14:paraId="57E77063" w14:textId="77777777" w:rsidR="004476C3" w:rsidRPr="0088783A" w:rsidRDefault="004476C3" w:rsidP="005B4673">
            <w:pPr>
              <w:widowControl w:val="0"/>
              <w:autoSpaceDE w:val="0"/>
              <w:autoSpaceDN w:val="0"/>
              <w:adjustRightInd w:val="0"/>
              <w:rPr>
                <w:sz w:val="16"/>
                <w:szCs w:val="16"/>
              </w:rPr>
            </w:pPr>
            <w:r w:rsidRPr="0088783A">
              <w:rPr>
                <w:rFonts w:ascii="Calibri" w:hAnsi="Calibri" w:cs="Calibri"/>
                <w:b/>
                <w:sz w:val="16"/>
                <w:szCs w:val="16"/>
                <w:lang w:val="en-US"/>
              </w:rPr>
              <w:t>Members</w:t>
            </w:r>
          </w:p>
        </w:tc>
        <w:tc>
          <w:tcPr>
            <w:tcW w:w="0" w:type="auto"/>
            <w:tcBorders>
              <w:top w:val="nil"/>
              <w:left w:val="nil"/>
              <w:bottom w:val="nil"/>
              <w:right w:val="nil"/>
            </w:tcBorders>
          </w:tcPr>
          <w:p w14:paraId="64CF711C"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(0.0610)</w:t>
            </w:r>
          </w:p>
        </w:tc>
        <w:tc>
          <w:tcPr>
            <w:tcW w:w="0" w:type="auto"/>
            <w:tcBorders>
              <w:top w:val="nil"/>
              <w:left w:val="nil"/>
              <w:bottom w:val="nil"/>
              <w:right w:val="nil"/>
            </w:tcBorders>
          </w:tcPr>
          <w:p w14:paraId="053335A3"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(0.0607)</w:t>
            </w:r>
          </w:p>
        </w:tc>
        <w:tc>
          <w:tcPr>
            <w:tcW w:w="0" w:type="auto"/>
            <w:tcBorders>
              <w:top w:val="nil"/>
              <w:left w:val="nil"/>
              <w:bottom w:val="nil"/>
              <w:right w:val="nil"/>
            </w:tcBorders>
          </w:tcPr>
          <w:p w14:paraId="189D685D"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(0.0599)</w:t>
            </w:r>
          </w:p>
        </w:tc>
        <w:tc>
          <w:tcPr>
            <w:tcW w:w="0" w:type="auto"/>
            <w:tcBorders>
              <w:top w:val="nil"/>
              <w:left w:val="nil"/>
              <w:bottom w:val="nil"/>
              <w:right w:val="nil"/>
            </w:tcBorders>
          </w:tcPr>
          <w:p w14:paraId="69B96976"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(0.0631)</w:t>
            </w:r>
          </w:p>
        </w:tc>
        <w:tc>
          <w:tcPr>
            <w:tcW w:w="0" w:type="auto"/>
            <w:tcBorders>
              <w:top w:val="nil"/>
              <w:left w:val="nil"/>
              <w:bottom w:val="nil"/>
              <w:right w:val="nil"/>
            </w:tcBorders>
          </w:tcPr>
          <w:p w14:paraId="090FBE1F"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(0.0638)</w:t>
            </w:r>
          </w:p>
        </w:tc>
        <w:tc>
          <w:tcPr>
            <w:tcW w:w="0" w:type="auto"/>
            <w:tcBorders>
              <w:top w:val="nil"/>
              <w:left w:val="nil"/>
              <w:bottom w:val="nil"/>
              <w:right w:val="nil"/>
            </w:tcBorders>
          </w:tcPr>
          <w:p w14:paraId="3BFD4E1B"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(0.0626)</w:t>
            </w:r>
          </w:p>
        </w:tc>
      </w:tr>
      <w:tr w:rsidR="004476C3" w:rsidRPr="0088783A" w14:paraId="006E4B3C" w14:textId="77777777" w:rsidTr="005B4673">
        <w:trPr>
          <w:jc w:val="center"/>
        </w:trPr>
        <w:tc>
          <w:tcPr>
            <w:tcW w:w="1785" w:type="dxa"/>
            <w:tcBorders>
              <w:top w:val="nil"/>
              <w:left w:val="nil"/>
              <w:bottom w:val="nil"/>
              <w:right w:val="nil"/>
            </w:tcBorders>
          </w:tcPr>
          <w:p w14:paraId="3DA8A48B" w14:textId="77777777" w:rsidR="004476C3" w:rsidRPr="0088783A" w:rsidRDefault="004476C3" w:rsidP="005B4673">
            <w:pPr>
              <w:widowControl w:val="0"/>
              <w:autoSpaceDE w:val="0"/>
              <w:autoSpaceDN w:val="0"/>
              <w:adjustRightInd w:val="0"/>
              <w:rPr>
                <w:sz w:val="16"/>
                <w:szCs w:val="16"/>
              </w:rPr>
            </w:pPr>
            <w:r w:rsidRPr="0088783A">
              <w:rPr>
                <w:rFonts w:ascii="Calibri" w:hAnsi="Calibri" w:cs="Calibri"/>
                <w:b/>
                <w:sz w:val="16"/>
                <w:szCs w:val="16"/>
                <w:lang w:val="en-US"/>
              </w:rPr>
              <w:t>Constant</w:t>
            </w:r>
          </w:p>
        </w:tc>
        <w:tc>
          <w:tcPr>
            <w:tcW w:w="0" w:type="auto"/>
            <w:tcBorders>
              <w:top w:val="nil"/>
              <w:left w:val="nil"/>
              <w:bottom w:val="nil"/>
              <w:right w:val="nil"/>
            </w:tcBorders>
          </w:tcPr>
          <w:p w14:paraId="09BD305B"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10.27***</w:t>
            </w:r>
          </w:p>
        </w:tc>
        <w:tc>
          <w:tcPr>
            <w:tcW w:w="0" w:type="auto"/>
            <w:tcBorders>
              <w:top w:val="nil"/>
              <w:left w:val="nil"/>
              <w:bottom w:val="nil"/>
              <w:right w:val="nil"/>
            </w:tcBorders>
          </w:tcPr>
          <w:p w14:paraId="39F4CDF4"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10.18***</w:t>
            </w:r>
          </w:p>
        </w:tc>
        <w:tc>
          <w:tcPr>
            <w:tcW w:w="0" w:type="auto"/>
            <w:tcBorders>
              <w:top w:val="nil"/>
              <w:left w:val="nil"/>
              <w:bottom w:val="nil"/>
              <w:right w:val="nil"/>
            </w:tcBorders>
          </w:tcPr>
          <w:p w14:paraId="7F8DDAA2"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10.41***</w:t>
            </w:r>
          </w:p>
        </w:tc>
        <w:tc>
          <w:tcPr>
            <w:tcW w:w="0" w:type="auto"/>
            <w:tcBorders>
              <w:top w:val="nil"/>
              <w:left w:val="nil"/>
              <w:bottom w:val="nil"/>
              <w:right w:val="nil"/>
            </w:tcBorders>
          </w:tcPr>
          <w:p w14:paraId="0009869F"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9.677***</w:t>
            </w:r>
          </w:p>
        </w:tc>
        <w:tc>
          <w:tcPr>
            <w:tcW w:w="0" w:type="auto"/>
            <w:tcBorders>
              <w:top w:val="nil"/>
              <w:left w:val="nil"/>
              <w:bottom w:val="nil"/>
              <w:right w:val="nil"/>
            </w:tcBorders>
          </w:tcPr>
          <w:p w14:paraId="087E285A"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9.580***</w:t>
            </w:r>
          </w:p>
        </w:tc>
        <w:tc>
          <w:tcPr>
            <w:tcW w:w="0" w:type="auto"/>
            <w:tcBorders>
              <w:top w:val="nil"/>
              <w:left w:val="nil"/>
              <w:bottom w:val="nil"/>
              <w:right w:val="nil"/>
            </w:tcBorders>
          </w:tcPr>
          <w:p w14:paraId="6ADECD13"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9.816***</w:t>
            </w:r>
          </w:p>
        </w:tc>
      </w:tr>
      <w:tr w:rsidR="004476C3" w:rsidRPr="0088783A" w14:paraId="1C0E35C9" w14:textId="77777777" w:rsidTr="005B4673">
        <w:trPr>
          <w:jc w:val="center"/>
        </w:trPr>
        <w:tc>
          <w:tcPr>
            <w:tcW w:w="1785" w:type="dxa"/>
            <w:tcBorders>
              <w:top w:val="nil"/>
              <w:left w:val="nil"/>
              <w:bottom w:val="nil"/>
              <w:right w:val="nil"/>
            </w:tcBorders>
          </w:tcPr>
          <w:p w14:paraId="2248EB7B" w14:textId="77777777" w:rsidR="004476C3" w:rsidRPr="0088783A" w:rsidRDefault="004476C3" w:rsidP="005B4673">
            <w:pPr>
              <w:widowControl w:val="0"/>
              <w:autoSpaceDE w:val="0"/>
              <w:autoSpaceDN w:val="0"/>
              <w:adjustRightInd w:val="0"/>
              <w:rPr>
                <w:sz w:val="16"/>
                <w:szCs w:val="16"/>
              </w:rPr>
            </w:pPr>
          </w:p>
        </w:tc>
        <w:tc>
          <w:tcPr>
            <w:tcW w:w="0" w:type="auto"/>
            <w:tcBorders>
              <w:top w:val="nil"/>
              <w:left w:val="nil"/>
              <w:bottom w:val="nil"/>
              <w:right w:val="nil"/>
            </w:tcBorders>
          </w:tcPr>
          <w:p w14:paraId="627E8761"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(1.780)</w:t>
            </w:r>
          </w:p>
        </w:tc>
        <w:tc>
          <w:tcPr>
            <w:tcW w:w="0" w:type="auto"/>
            <w:tcBorders>
              <w:top w:val="nil"/>
              <w:left w:val="nil"/>
              <w:bottom w:val="nil"/>
              <w:right w:val="nil"/>
            </w:tcBorders>
          </w:tcPr>
          <w:p w14:paraId="2B1C7456"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(1.877)</w:t>
            </w:r>
          </w:p>
        </w:tc>
        <w:tc>
          <w:tcPr>
            <w:tcW w:w="0" w:type="auto"/>
            <w:tcBorders>
              <w:top w:val="nil"/>
              <w:left w:val="nil"/>
              <w:bottom w:val="nil"/>
              <w:right w:val="nil"/>
            </w:tcBorders>
          </w:tcPr>
          <w:p w14:paraId="7DA7CC2C"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(1.495)</w:t>
            </w:r>
          </w:p>
        </w:tc>
        <w:tc>
          <w:tcPr>
            <w:tcW w:w="0" w:type="auto"/>
            <w:tcBorders>
              <w:top w:val="nil"/>
              <w:left w:val="nil"/>
              <w:bottom w:val="nil"/>
              <w:right w:val="nil"/>
            </w:tcBorders>
          </w:tcPr>
          <w:p w14:paraId="2950B862"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(1.680)</w:t>
            </w:r>
          </w:p>
        </w:tc>
        <w:tc>
          <w:tcPr>
            <w:tcW w:w="0" w:type="auto"/>
            <w:tcBorders>
              <w:top w:val="nil"/>
              <w:left w:val="nil"/>
              <w:bottom w:val="nil"/>
              <w:right w:val="nil"/>
            </w:tcBorders>
          </w:tcPr>
          <w:p w14:paraId="18BE5FF2"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(1.777)</w:t>
            </w:r>
          </w:p>
        </w:tc>
        <w:tc>
          <w:tcPr>
            <w:tcW w:w="0" w:type="auto"/>
            <w:tcBorders>
              <w:top w:val="nil"/>
              <w:left w:val="nil"/>
              <w:bottom w:val="nil"/>
              <w:right w:val="nil"/>
            </w:tcBorders>
          </w:tcPr>
          <w:p w14:paraId="5A73804F"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(1.392)</w:t>
            </w:r>
          </w:p>
        </w:tc>
      </w:tr>
      <w:tr w:rsidR="004476C3" w:rsidRPr="0088783A" w14:paraId="4B4C9110" w14:textId="77777777" w:rsidTr="005B4673">
        <w:trPr>
          <w:jc w:val="center"/>
        </w:trPr>
        <w:tc>
          <w:tcPr>
            <w:tcW w:w="1785" w:type="dxa"/>
            <w:tcBorders>
              <w:top w:val="nil"/>
              <w:left w:val="nil"/>
              <w:bottom w:val="nil"/>
              <w:right w:val="nil"/>
            </w:tcBorders>
          </w:tcPr>
          <w:p w14:paraId="683226C0" w14:textId="77777777" w:rsidR="004476C3" w:rsidRPr="0088783A" w:rsidRDefault="004476C3" w:rsidP="005B4673">
            <w:pPr>
              <w:widowControl w:val="0"/>
              <w:autoSpaceDE w:val="0"/>
              <w:autoSpaceDN w:val="0"/>
              <w:adjustRightInd w:val="0"/>
              <w:rPr>
                <w:sz w:val="16"/>
                <w:szCs w:val="16"/>
              </w:rPr>
            </w:pPr>
          </w:p>
        </w:tc>
        <w:tc>
          <w:tcPr>
            <w:tcW w:w="0" w:type="auto"/>
            <w:tcBorders>
              <w:top w:val="nil"/>
              <w:left w:val="nil"/>
              <w:bottom w:val="nil"/>
              <w:right w:val="nil"/>
            </w:tcBorders>
          </w:tcPr>
          <w:p w14:paraId="67057F92" w14:textId="77777777" w:rsidR="004476C3" w:rsidRPr="0088783A" w:rsidRDefault="004476C3" w:rsidP="005B4673">
            <w:pPr>
              <w:widowControl w:val="0"/>
              <w:autoSpaceDE w:val="0"/>
              <w:autoSpaceDN w:val="0"/>
              <w:adjustRightInd w:val="0"/>
              <w:jc w:val="center"/>
              <w:rPr>
                <w:sz w:val="16"/>
                <w:szCs w:val="16"/>
              </w:rPr>
            </w:pPr>
          </w:p>
        </w:tc>
        <w:tc>
          <w:tcPr>
            <w:tcW w:w="0" w:type="auto"/>
            <w:tcBorders>
              <w:top w:val="nil"/>
              <w:left w:val="nil"/>
              <w:bottom w:val="nil"/>
              <w:right w:val="nil"/>
            </w:tcBorders>
          </w:tcPr>
          <w:p w14:paraId="58FBEC7D" w14:textId="77777777" w:rsidR="004476C3" w:rsidRPr="0088783A" w:rsidRDefault="004476C3" w:rsidP="005B4673">
            <w:pPr>
              <w:widowControl w:val="0"/>
              <w:autoSpaceDE w:val="0"/>
              <w:autoSpaceDN w:val="0"/>
              <w:adjustRightInd w:val="0"/>
              <w:jc w:val="center"/>
              <w:rPr>
                <w:sz w:val="16"/>
                <w:szCs w:val="16"/>
              </w:rPr>
            </w:pPr>
          </w:p>
        </w:tc>
        <w:tc>
          <w:tcPr>
            <w:tcW w:w="0" w:type="auto"/>
            <w:tcBorders>
              <w:top w:val="nil"/>
              <w:left w:val="nil"/>
              <w:bottom w:val="nil"/>
              <w:right w:val="nil"/>
            </w:tcBorders>
          </w:tcPr>
          <w:p w14:paraId="53AC5931" w14:textId="77777777" w:rsidR="004476C3" w:rsidRPr="0088783A" w:rsidRDefault="004476C3" w:rsidP="005B4673">
            <w:pPr>
              <w:widowControl w:val="0"/>
              <w:autoSpaceDE w:val="0"/>
              <w:autoSpaceDN w:val="0"/>
              <w:adjustRightInd w:val="0"/>
              <w:jc w:val="center"/>
              <w:rPr>
                <w:sz w:val="16"/>
                <w:szCs w:val="16"/>
              </w:rPr>
            </w:pPr>
          </w:p>
        </w:tc>
        <w:tc>
          <w:tcPr>
            <w:tcW w:w="0" w:type="auto"/>
            <w:tcBorders>
              <w:top w:val="nil"/>
              <w:left w:val="nil"/>
              <w:bottom w:val="nil"/>
              <w:right w:val="nil"/>
            </w:tcBorders>
          </w:tcPr>
          <w:p w14:paraId="15E68837" w14:textId="77777777" w:rsidR="004476C3" w:rsidRPr="0088783A" w:rsidRDefault="004476C3" w:rsidP="005B4673">
            <w:pPr>
              <w:widowControl w:val="0"/>
              <w:autoSpaceDE w:val="0"/>
              <w:autoSpaceDN w:val="0"/>
              <w:adjustRightInd w:val="0"/>
              <w:jc w:val="center"/>
              <w:rPr>
                <w:sz w:val="16"/>
                <w:szCs w:val="16"/>
              </w:rPr>
            </w:pPr>
          </w:p>
        </w:tc>
        <w:tc>
          <w:tcPr>
            <w:tcW w:w="0" w:type="auto"/>
            <w:tcBorders>
              <w:top w:val="nil"/>
              <w:left w:val="nil"/>
              <w:bottom w:val="nil"/>
              <w:right w:val="nil"/>
            </w:tcBorders>
          </w:tcPr>
          <w:p w14:paraId="48047089" w14:textId="77777777" w:rsidR="004476C3" w:rsidRPr="0088783A" w:rsidRDefault="004476C3" w:rsidP="005B4673">
            <w:pPr>
              <w:widowControl w:val="0"/>
              <w:autoSpaceDE w:val="0"/>
              <w:autoSpaceDN w:val="0"/>
              <w:adjustRightInd w:val="0"/>
              <w:jc w:val="center"/>
              <w:rPr>
                <w:sz w:val="16"/>
                <w:szCs w:val="16"/>
              </w:rPr>
            </w:pPr>
          </w:p>
        </w:tc>
        <w:tc>
          <w:tcPr>
            <w:tcW w:w="0" w:type="auto"/>
            <w:tcBorders>
              <w:top w:val="nil"/>
              <w:left w:val="nil"/>
              <w:bottom w:val="nil"/>
              <w:right w:val="nil"/>
            </w:tcBorders>
          </w:tcPr>
          <w:p w14:paraId="6D5E0757" w14:textId="77777777" w:rsidR="004476C3" w:rsidRPr="0088783A" w:rsidRDefault="004476C3" w:rsidP="005B4673">
            <w:pPr>
              <w:widowControl w:val="0"/>
              <w:autoSpaceDE w:val="0"/>
              <w:autoSpaceDN w:val="0"/>
              <w:adjustRightInd w:val="0"/>
              <w:jc w:val="center"/>
              <w:rPr>
                <w:sz w:val="16"/>
                <w:szCs w:val="16"/>
              </w:rPr>
            </w:pPr>
          </w:p>
        </w:tc>
      </w:tr>
      <w:tr w:rsidR="004476C3" w:rsidRPr="0088783A" w14:paraId="3CA4CDA4" w14:textId="77777777" w:rsidTr="005B4673">
        <w:trPr>
          <w:jc w:val="center"/>
        </w:trPr>
        <w:tc>
          <w:tcPr>
            <w:tcW w:w="1785" w:type="dxa"/>
            <w:tcBorders>
              <w:top w:val="nil"/>
              <w:left w:val="nil"/>
              <w:bottom w:val="nil"/>
              <w:right w:val="nil"/>
            </w:tcBorders>
          </w:tcPr>
          <w:p w14:paraId="5365E169" w14:textId="77777777" w:rsidR="004476C3" w:rsidRPr="0088783A" w:rsidRDefault="004476C3" w:rsidP="005B4673">
            <w:pPr>
              <w:widowControl w:val="0"/>
              <w:autoSpaceDE w:val="0"/>
              <w:autoSpaceDN w:val="0"/>
              <w:adjustRightInd w:val="0"/>
              <w:rPr>
                <w:sz w:val="16"/>
                <w:szCs w:val="16"/>
              </w:rPr>
            </w:pPr>
            <w:r w:rsidRPr="0088783A">
              <w:rPr>
                <w:rFonts w:ascii="Calibri" w:hAnsi="Calibri" w:cs="Calibri"/>
                <w:b/>
                <w:sz w:val="16"/>
                <w:szCs w:val="16"/>
                <w:lang w:val="en-US"/>
              </w:rPr>
              <w:t>Obs.</w:t>
            </w:r>
          </w:p>
        </w:tc>
        <w:tc>
          <w:tcPr>
            <w:tcW w:w="0" w:type="auto"/>
            <w:tcBorders>
              <w:top w:val="nil"/>
              <w:left w:val="nil"/>
              <w:bottom w:val="nil"/>
              <w:right w:val="nil"/>
            </w:tcBorders>
          </w:tcPr>
          <w:p w14:paraId="068567BE"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11,639</w:t>
            </w:r>
          </w:p>
        </w:tc>
        <w:tc>
          <w:tcPr>
            <w:tcW w:w="0" w:type="auto"/>
            <w:tcBorders>
              <w:top w:val="nil"/>
              <w:left w:val="nil"/>
              <w:bottom w:val="nil"/>
              <w:right w:val="nil"/>
            </w:tcBorders>
          </w:tcPr>
          <w:p w14:paraId="46E99B65"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11,474</w:t>
            </w:r>
          </w:p>
        </w:tc>
        <w:tc>
          <w:tcPr>
            <w:tcW w:w="0" w:type="auto"/>
            <w:tcBorders>
              <w:top w:val="nil"/>
              <w:left w:val="nil"/>
              <w:bottom w:val="nil"/>
              <w:right w:val="nil"/>
            </w:tcBorders>
          </w:tcPr>
          <w:p w14:paraId="0AFB5473"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11,603</w:t>
            </w:r>
          </w:p>
        </w:tc>
        <w:tc>
          <w:tcPr>
            <w:tcW w:w="0" w:type="auto"/>
            <w:tcBorders>
              <w:top w:val="nil"/>
              <w:left w:val="nil"/>
              <w:bottom w:val="nil"/>
              <w:right w:val="nil"/>
            </w:tcBorders>
          </w:tcPr>
          <w:p w14:paraId="66E382B0"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11,639</w:t>
            </w:r>
          </w:p>
        </w:tc>
        <w:tc>
          <w:tcPr>
            <w:tcW w:w="0" w:type="auto"/>
            <w:tcBorders>
              <w:top w:val="nil"/>
              <w:left w:val="nil"/>
              <w:bottom w:val="nil"/>
              <w:right w:val="nil"/>
            </w:tcBorders>
          </w:tcPr>
          <w:p w14:paraId="41197BA5"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11,474</w:t>
            </w:r>
          </w:p>
        </w:tc>
        <w:tc>
          <w:tcPr>
            <w:tcW w:w="0" w:type="auto"/>
            <w:tcBorders>
              <w:top w:val="nil"/>
              <w:left w:val="nil"/>
              <w:bottom w:val="nil"/>
              <w:right w:val="nil"/>
            </w:tcBorders>
          </w:tcPr>
          <w:p w14:paraId="09A93D64"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11,603</w:t>
            </w:r>
          </w:p>
        </w:tc>
      </w:tr>
      <w:tr w:rsidR="004476C3" w:rsidRPr="0088783A" w14:paraId="3A7797FE" w14:textId="77777777" w:rsidTr="005B4673">
        <w:tblPrEx>
          <w:tblBorders>
            <w:bottom w:val="single" w:sz="6" w:space="0" w:color="auto"/>
          </w:tblBorders>
        </w:tblPrEx>
        <w:trPr>
          <w:jc w:val="center"/>
        </w:trPr>
        <w:tc>
          <w:tcPr>
            <w:tcW w:w="1785" w:type="dxa"/>
            <w:tcBorders>
              <w:top w:val="nil"/>
              <w:left w:val="nil"/>
              <w:bottom w:val="single" w:sz="6" w:space="0" w:color="auto"/>
              <w:right w:val="nil"/>
            </w:tcBorders>
          </w:tcPr>
          <w:p w14:paraId="1971DBC8" w14:textId="77777777" w:rsidR="004476C3" w:rsidRPr="0088783A" w:rsidRDefault="004476C3" w:rsidP="005B4673">
            <w:pPr>
              <w:widowControl w:val="0"/>
              <w:autoSpaceDE w:val="0"/>
              <w:autoSpaceDN w:val="0"/>
              <w:adjustRightInd w:val="0"/>
              <w:rPr>
                <w:sz w:val="16"/>
                <w:szCs w:val="16"/>
              </w:rPr>
            </w:pPr>
            <w:r w:rsidRPr="0088783A">
              <w:rPr>
                <w:rFonts w:ascii="Calibri" w:hAnsi="Calibri" w:cs="Calibri"/>
                <w:b/>
                <w:sz w:val="16"/>
                <w:szCs w:val="16"/>
                <w:lang w:val="en-US"/>
              </w:rPr>
              <w:t>Number of households</w:t>
            </w:r>
          </w:p>
        </w:tc>
        <w:tc>
          <w:tcPr>
            <w:tcW w:w="0" w:type="auto"/>
            <w:tcBorders>
              <w:top w:val="nil"/>
              <w:left w:val="nil"/>
              <w:bottom w:val="single" w:sz="6" w:space="0" w:color="auto"/>
              <w:right w:val="nil"/>
            </w:tcBorders>
          </w:tcPr>
          <w:p w14:paraId="40093AE8"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6,583</w:t>
            </w:r>
          </w:p>
        </w:tc>
        <w:tc>
          <w:tcPr>
            <w:tcW w:w="0" w:type="auto"/>
            <w:tcBorders>
              <w:top w:val="nil"/>
              <w:left w:val="nil"/>
              <w:bottom w:val="single" w:sz="6" w:space="0" w:color="auto"/>
              <w:right w:val="nil"/>
            </w:tcBorders>
          </w:tcPr>
          <w:p w14:paraId="3D25B969"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6,556</w:t>
            </w:r>
          </w:p>
        </w:tc>
        <w:tc>
          <w:tcPr>
            <w:tcW w:w="0" w:type="auto"/>
            <w:tcBorders>
              <w:top w:val="nil"/>
              <w:left w:val="nil"/>
              <w:bottom w:val="single" w:sz="6" w:space="0" w:color="auto"/>
              <w:right w:val="nil"/>
            </w:tcBorders>
          </w:tcPr>
          <w:p w14:paraId="6B46D6E5" w14:textId="77777777" w:rsidR="004476C3" w:rsidRPr="0088783A" w:rsidRDefault="004476C3" w:rsidP="005B4673">
            <w:pPr>
              <w:widowControl w:val="0"/>
              <w:autoSpaceDE w:val="0"/>
              <w:autoSpaceDN w:val="0"/>
              <w:adjustRightInd w:val="0"/>
              <w:jc w:val="center"/>
              <w:rPr>
                <w:sz w:val="16"/>
                <w:szCs w:val="16"/>
              </w:rPr>
            </w:pPr>
            <w:r w:rsidRPr="0088783A">
              <w:rPr>
                <w:sz w:val="16"/>
                <w:szCs w:val="16"/>
              </w:rPr>
              <w:t>6,575</w:t>
            </w:r>
          </w:p>
        </w:tc>
        <w:tc>
          <w:tcPr>
            <w:tcW w:w="0" w:type="auto"/>
            <w:tcBorders>
              <w:top w:val="nil"/>
              <w:left w:val="nil"/>
              <w:bottom w:val="single" w:sz="6" w:space="0" w:color="auto"/>
              <w:right w:val="nil"/>
            </w:tcBorders>
          </w:tcPr>
          <w:p w14:paraId="17AF02A9"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6,583</w:t>
            </w:r>
          </w:p>
        </w:tc>
        <w:tc>
          <w:tcPr>
            <w:tcW w:w="0" w:type="auto"/>
            <w:tcBorders>
              <w:top w:val="nil"/>
              <w:left w:val="nil"/>
              <w:bottom w:val="single" w:sz="6" w:space="0" w:color="auto"/>
              <w:right w:val="nil"/>
            </w:tcBorders>
          </w:tcPr>
          <w:p w14:paraId="3005BD6D"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6,556</w:t>
            </w:r>
          </w:p>
        </w:tc>
        <w:tc>
          <w:tcPr>
            <w:tcW w:w="0" w:type="auto"/>
            <w:tcBorders>
              <w:top w:val="nil"/>
              <w:left w:val="nil"/>
              <w:bottom w:val="single" w:sz="6" w:space="0" w:color="auto"/>
              <w:right w:val="nil"/>
            </w:tcBorders>
          </w:tcPr>
          <w:p w14:paraId="6740C2A1" w14:textId="77777777" w:rsidR="004476C3" w:rsidRPr="0088783A" w:rsidRDefault="004476C3" w:rsidP="005B4673">
            <w:pPr>
              <w:widowControl w:val="0"/>
              <w:autoSpaceDE w:val="0"/>
              <w:autoSpaceDN w:val="0"/>
              <w:adjustRightInd w:val="0"/>
              <w:jc w:val="center"/>
              <w:rPr>
                <w:sz w:val="16"/>
                <w:szCs w:val="16"/>
              </w:rPr>
            </w:pPr>
            <w:r w:rsidRPr="0088783A">
              <w:rPr>
                <w:rFonts w:ascii="Calibri" w:hAnsi="Calibri" w:cs="Calibri"/>
                <w:sz w:val="16"/>
                <w:szCs w:val="16"/>
              </w:rPr>
              <w:t>6,575</w:t>
            </w:r>
          </w:p>
        </w:tc>
      </w:tr>
    </w:tbl>
    <w:p w14:paraId="3C489FF0" w14:textId="77777777" w:rsidR="0044273A" w:rsidRDefault="0044273A" w:rsidP="004476C3">
      <w:pPr>
        <w:jc w:val="both"/>
        <w:rPr>
          <w:i/>
          <w:sz w:val="16"/>
          <w:szCs w:val="16"/>
          <w:lang w:val="en-US"/>
        </w:rPr>
      </w:pPr>
    </w:p>
    <w:p w14:paraId="190ECEA2" w14:textId="1B9DB396" w:rsidR="004476C3" w:rsidRDefault="004476C3" w:rsidP="004476C3">
      <w:pPr>
        <w:jc w:val="both"/>
        <w:rPr>
          <w:sz w:val="16"/>
          <w:szCs w:val="16"/>
          <w:lang w:val="en-US"/>
        </w:rPr>
      </w:pPr>
      <w:r w:rsidRPr="006A0E79">
        <w:rPr>
          <w:i/>
          <w:sz w:val="16"/>
          <w:szCs w:val="16"/>
          <w:lang w:val="en-US"/>
        </w:rPr>
        <w:t>Note:</w:t>
      </w:r>
      <w:r w:rsidRPr="006A0E79">
        <w:rPr>
          <w:sz w:val="16"/>
          <w:szCs w:val="16"/>
          <w:lang w:val="en-US"/>
        </w:rPr>
        <w:t xml:space="preserve"> </w:t>
      </w:r>
      <w:r w:rsidR="00AE69B6">
        <w:rPr>
          <w:sz w:val="16"/>
          <w:szCs w:val="16"/>
          <w:lang w:val="en-US"/>
        </w:rPr>
        <w:t xml:space="preserve">All models are estimated using </w:t>
      </w:r>
      <w:r>
        <w:rPr>
          <w:sz w:val="16"/>
          <w:szCs w:val="16"/>
          <w:lang w:val="en-US"/>
        </w:rPr>
        <w:t xml:space="preserve">a weighted </w:t>
      </w:r>
      <w:r w:rsidRPr="006A0E79">
        <w:rPr>
          <w:sz w:val="16"/>
          <w:szCs w:val="16"/>
          <w:lang w:val="en-US"/>
        </w:rPr>
        <w:t xml:space="preserve">fixed-effects </w:t>
      </w:r>
      <w:r>
        <w:rPr>
          <w:sz w:val="16"/>
          <w:szCs w:val="16"/>
          <w:lang w:val="en-US"/>
        </w:rPr>
        <w:t>estimat</w:t>
      </w:r>
      <w:r w:rsidR="00AE69B6">
        <w:rPr>
          <w:sz w:val="16"/>
          <w:szCs w:val="16"/>
          <w:lang w:val="en-US"/>
        </w:rPr>
        <w:t>or</w:t>
      </w:r>
      <w:r w:rsidRPr="006A0E79">
        <w:rPr>
          <w:sz w:val="16"/>
          <w:szCs w:val="16"/>
          <w:lang w:val="en-US"/>
        </w:rPr>
        <w:t>. See Table A</w:t>
      </w:r>
      <w:r w:rsidR="006B10C5">
        <w:rPr>
          <w:sz w:val="16"/>
          <w:szCs w:val="16"/>
          <w:lang w:val="en-US"/>
        </w:rPr>
        <w:t>1</w:t>
      </w:r>
      <w:r w:rsidRPr="006A0E79">
        <w:rPr>
          <w:sz w:val="16"/>
          <w:szCs w:val="16"/>
          <w:lang w:val="en-US"/>
        </w:rPr>
        <w:t xml:space="preserve"> for definitions of all variables. The dependent variable</w:t>
      </w:r>
      <w:r>
        <w:rPr>
          <w:sz w:val="16"/>
          <w:szCs w:val="16"/>
          <w:lang w:val="en-US"/>
        </w:rPr>
        <w:t>s</w:t>
      </w:r>
      <w:r w:rsidRPr="006A0E79">
        <w:rPr>
          <w:sz w:val="16"/>
          <w:szCs w:val="16"/>
          <w:lang w:val="en-US"/>
        </w:rPr>
        <w:t xml:space="preserve"> in columns 1-3 </w:t>
      </w:r>
      <w:r>
        <w:rPr>
          <w:sz w:val="16"/>
          <w:szCs w:val="16"/>
          <w:lang w:val="en-US"/>
        </w:rPr>
        <w:t>are</w:t>
      </w:r>
      <w:r w:rsidRPr="006A0E79">
        <w:rPr>
          <w:sz w:val="16"/>
          <w:szCs w:val="16"/>
          <w:lang w:val="en-US"/>
        </w:rPr>
        <w:t xml:space="preserve"> the logarithm</w:t>
      </w:r>
      <w:r>
        <w:rPr>
          <w:sz w:val="16"/>
          <w:szCs w:val="16"/>
          <w:lang w:val="en-US"/>
        </w:rPr>
        <w:t>s</w:t>
      </w:r>
      <w:r w:rsidRPr="006A0E79">
        <w:rPr>
          <w:sz w:val="16"/>
          <w:szCs w:val="16"/>
          <w:lang w:val="en-US"/>
        </w:rPr>
        <w:t xml:space="preserve"> of total</w:t>
      </w:r>
      <w:r>
        <w:rPr>
          <w:sz w:val="16"/>
          <w:szCs w:val="16"/>
          <w:lang w:val="en-US"/>
        </w:rPr>
        <w:t>,</w:t>
      </w:r>
      <w:r w:rsidRPr="006A0E79">
        <w:rPr>
          <w:sz w:val="16"/>
          <w:szCs w:val="16"/>
          <w:lang w:val="en-US"/>
        </w:rPr>
        <w:t xml:space="preserve"> non-durable</w:t>
      </w:r>
      <w:r>
        <w:rPr>
          <w:sz w:val="16"/>
          <w:szCs w:val="16"/>
          <w:lang w:val="en-US"/>
        </w:rPr>
        <w:t xml:space="preserve">, </w:t>
      </w:r>
      <w:r w:rsidRPr="006A0E79">
        <w:rPr>
          <w:sz w:val="16"/>
          <w:szCs w:val="16"/>
          <w:lang w:val="en-US"/>
        </w:rPr>
        <w:t xml:space="preserve">and non-education </w:t>
      </w:r>
      <w:r>
        <w:rPr>
          <w:sz w:val="16"/>
          <w:szCs w:val="16"/>
          <w:lang w:val="en-US"/>
        </w:rPr>
        <w:t xml:space="preserve">household </w:t>
      </w:r>
      <w:r w:rsidRPr="006A0E79">
        <w:rPr>
          <w:sz w:val="16"/>
          <w:szCs w:val="16"/>
          <w:lang w:val="en-US"/>
        </w:rPr>
        <w:t>consumption</w:t>
      </w:r>
      <w:r>
        <w:rPr>
          <w:sz w:val="16"/>
          <w:szCs w:val="16"/>
          <w:lang w:val="en-US"/>
        </w:rPr>
        <w:t>, respectively</w:t>
      </w:r>
      <w:r w:rsidRPr="006A0E79">
        <w:rPr>
          <w:sz w:val="16"/>
          <w:szCs w:val="16"/>
          <w:lang w:val="en-US"/>
        </w:rPr>
        <w:t>. The dependent variable</w:t>
      </w:r>
      <w:r>
        <w:rPr>
          <w:sz w:val="16"/>
          <w:szCs w:val="16"/>
          <w:lang w:val="en-US"/>
        </w:rPr>
        <w:t>s</w:t>
      </w:r>
      <w:r w:rsidRPr="006A0E79">
        <w:rPr>
          <w:sz w:val="16"/>
          <w:szCs w:val="16"/>
          <w:lang w:val="en-US"/>
        </w:rPr>
        <w:t xml:space="preserve"> in columns </w:t>
      </w:r>
      <w:r>
        <w:rPr>
          <w:sz w:val="16"/>
          <w:szCs w:val="16"/>
          <w:lang w:val="en-US"/>
        </w:rPr>
        <w:t>4-6</w:t>
      </w:r>
      <w:r w:rsidRPr="006A0E79">
        <w:rPr>
          <w:sz w:val="16"/>
          <w:szCs w:val="16"/>
          <w:lang w:val="en-US"/>
        </w:rPr>
        <w:t xml:space="preserve"> </w:t>
      </w:r>
      <w:r>
        <w:rPr>
          <w:sz w:val="16"/>
          <w:szCs w:val="16"/>
          <w:lang w:val="en-US"/>
        </w:rPr>
        <w:t>are</w:t>
      </w:r>
      <w:r w:rsidRPr="006A0E79">
        <w:rPr>
          <w:sz w:val="16"/>
          <w:szCs w:val="16"/>
          <w:lang w:val="en-US"/>
        </w:rPr>
        <w:t xml:space="preserve"> the logarithm</w:t>
      </w:r>
      <w:r>
        <w:rPr>
          <w:sz w:val="16"/>
          <w:szCs w:val="16"/>
          <w:lang w:val="en-US"/>
        </w:rPr>
        <w:t>s</w:t>
      </w:r>
      <w:r w:rsidRPr="006A0E79">
        <w:rPr>
          <w:sz w:val="16"/>
          <w:szCs w:val="16"/>
          <w:lang w:val="en-US"/>
        </w:rPr>
        <w:t xml:space="preserve"> of </w:t>
      </w:r>
      <w:r>
        <w:rPr>
          <w:sz w:val="16"/>
          <w:szCs w:val="16"/>
          <w:lang w:val="en-US"/>
        </w:rPr>
        <w:t xml:space="preserve">adult-equivalent total, non-durable, and non-education </w:t>
      </w:r>
      <w:r w:rsidRPr="006A0E79">
        <w:rPr>
          <w:sz w:val="16"/>
          <w:szCs w:val="16"/>
          <w:lang w:val="en-US"/>
        </w:rPr>
        <w:t xml:space="preserve">consumption, </w:t>
      </w:r>
      <w:r>
        <w:rPr>
          <w:sz w:val="16"/>
          <w:szCs w:val="16"/>
          <w:lang w:val="en-US"/>
        </w:rPr>
        <w:t xml:space="preserve">respectively, </w:t>
      </w:r>
      <w:r w:rsidRPr="006A0E79">
        <w:rPr>
          <w:sz w:val="16"/>
          <w:szCs w:val="16"/>
          <w:lang w:val="en-US"/>
        </w:rPr>
        <w:t xml:space="preserve">which </w:t>
      </w:r>
      <w:r w:rsidR="0014754F">
        <w:rPr>
          <w:sz w:val="16"/>
          <w:szCs w:val="16"/>
          <w:lang w:val="en-US"/>
        </w:rPr>
        <w:t>are</w:t>
      </w:r>
      <w:r w:rsidRPr="006A0E79">
        <w:rPr>
          <w:sz w:val="16"/>
          <w:szCs w:val="16"/>
          <w:lang w:val="en-US"/>
        </w:rPr>
        <w:t xml:space="preserve"> calculated by dividing consumption by the equivalence scale (</w:t>
      </w:r>
      <w:r w:rsidRPr="006A0E79">
        <w:rPr>
          <w:i/>
          <w:sz w:val="16"/>
          <w:szCs w:val="16"/>
          <w:lang w:val="en-US"/>
        </w:rPr>
        <w:t>n</w:t>
      </w:r>
      <w:r w:rsidRPr="006A0E79">
        <w:rPr>
          <w:i/>
          <w:sz w:val="16"/>
          <w:szCs w:val="16"/>
          <w:vertAlign w:val="superscript"/>
          <w:lang w:val="en-US"/>
        </w:rPr>
        <w:t>0.8</w:t>
      </w:r>
      <w:r w:rsidRPr="006A0E79">
        <w:rPr>
          <w:sz w:val="16"/>
          <w:szCs w:val="16"/>
          <w:lang w:val="en-US"/>
        </w:rPr>
        <w:t xml:space="preserve">).  </w:t>
      </w:r>
      <w:r>
        <w:rPr>
          <w:sz w:val="16"/>
          <w:szCs w:val="16"/>
          <w:lang w:val="en-US"/>
        </w:rPr>
        <w:t>Y</w:t>
      </w:r>
      <w:r w:rsidRPr="006A0E79">
        <w:rPr>
          <w:sz w:val="16"/>
          <w:szCs w:val="16"/>
          <w:lang w:val="en-US"/>
        </w:rPr>
        <w:t>ear dumm</w:t>
      </w:r>
      <w:r>
        <w:rPr>
          <w:sz w:val="16"/>
          <w:szCs w:val="16"/>
          <w:lang w:val="en-US"/>
        </w:rPr>
        <w:t>ies</w:t>
      </w:r>
      <w:r w:rsidRPr="006A0E79">
        <w:rPr>
          <w:sz w:val="16"/>
          <w:szCs w:val="16"/>
          <w:lang w:val="en-US"/>
        </w:rPr>
        <w:t xml:space="preserve"> and the interactions between provincial and year dummies are included in all models, but their estimates are not reported for brevity. Robust standard errors are in parentheses. ***, ** and * indicate significance at the 1%, 5% and 10% levels, respectively.</w:t>
      </w:r>
    </w:p>
    <w:p w14:paraId="6819CAC8" w14:textId="77777777" w:rsidR="004476C3" w:rsidRDefault="004476C3" w:rsidP="004476C3">
      <w:pPr>
        <w:jc w:val="center"/>
        <w:rPr>
          <w:rFonts w:ascii="Calibri" w:hAnsi="Calibri" w:cs="Calibri"/>
          <w:b/>
          <w:sz w:val="22"/>
          <w:szCs w:val="22"/>
          <w:lang w:val="en-US"/>
        </w:rPr>
      </w:pPr>
    </w:p>
    <w:p w14:paraId="408541C2" w14:textId="77777777" w:rsidR="004476C3" w:rsidRDefault="004476C3" w:rsidP="004476C3">
      <w:pPr>
        <w:jc w:val="center"/>
        <w:rPr>
          <w:rFonts w:ascii="Calibri" w:hAnsi="Calibri" w:cs="Calibri"/>
          <w:b/>
          <w:sz w:val="22"/>
          <w:szCs w:val="22"/>
          <w:lang w:val="en-US"/>
        </w:rPr>
      </w:pPr>
    </w:p>
    <w:p w14:paraId="3579CE35" w14:textId="77777777" w:rsidR="00FC05BF" w:rsidRDefault="00FC05BF" w:rsidP="004476C3">
      <w:pPr>
        <w:jc w:val="center"/>
        <w:rPr>
          <w:rFonts w:ascii="Calibri" w:hAnsi="Calibri" w:cs="Calibri"/>
          <w:b/>
          <w:sz w:val="22"/>
          <w:szCs w:val="22"/>
          <w:lang w:val="en-US"/>
        </w:rPr>
      </w:pPr>
    </w:p>
    <w:p w14:paraId="5E7A570C" w14:textId="1F79DE4D" w:rsidR="00CE2A44" w:rsidRDefault="00CE2A44" w:rsidP="00CE2A44">
      <w:pPr>
        <w:jc w:val="center"/>
        <w:rPr>
          <w:rFonts w:ascii="Calibri" w:hAnsi="Calibri" w:cs="Calibri"/>
          <w:b/>
          <w:sz w:val="22"/>
          <w:szCs w:val="22"/>
          <w:lang w:val="en-US"/>
        </w:rPr>
      </w:pPr>
      <w:r w:rsidRPr="00FC05BF">
        <w:rPr>
          <w:b/>
          <w:lang w:val="en-US"/>
        </w:rPr>
        <w:t>Table A</w:t>
      </w:r>
      <w:r w:rsidR="00FC05BF">
        <w:rPr>
          <w:b/>
          <w:lang w:val="en-US"/>
        </w:rPr>
        <w:t>6</w:t>
      </w:r>
      <w:r w:rsidRPr="00FC05BF">
        <w:rPr>
          <w:b/>
          <w:lang w:val="en-US"/>
        </w:rPr>
        <w:t xml:space="preserve">. </w:t>
      </w:r>
      <w:r w:rsidR="00FC05BF" w:rsidRPr="00FC05BF">
        <w:rPr>
          <w:bCs/>
          <w:lang w:val="en-US"/>
        </w:rPr>
        <w:t>Young</w:t>
      </w:r>
      <w:r w:rsidR="00FC05BF" w:rsidRPr="00CE2A44">
        <w:rPr>
          <w:bCs/>
          <w:lang w:val="en-US"/>
        </w:rPr>
        <w:t xml:space="preserve"> leavers and household consumption differentiating leavers by age; </w:t>
      </w:r>
      <w:r w:rsidR="00FC05BF">
        <w:rPr>
          <w:bCs/>
          <w:lang w:val="en-US"/>
        </w:rPr>
        <w:t xml:space="preserve">balanced </w:t>
      </w:r>
      <w:proofErr w:type="gramStart"/>
      <w:r w:rsidR="00FC05BF">
        <w:rPr>
          <w:bCs/>
          <w:lang w:val="en-US"/>
        </w:rPr>
        <w:t>panel</w:t>
      </w:r>
      <w:proofErr w:type="gramEnd"/>
    </w:p>
    <w:p w14:paraId="166A45B2" w14:textId="77777777" w:rsidR="00CE2A44" w:rsidRDefault="00CE2A44" w:rsidP="00CE2A44">
      <w:pPr>
        <w:jc w:val="both"/>
        <w:rPr>
          <w:lang w:val="en-US"/>
        </w:rPr>
      </w:pPr>
    </w:p>
    <w:tbl>
      <w:tblPr>
        <w:tblW w:w="0" w:type="auto"/>
        <w:jc w:val="center"/>
        <w:tblCellMar>
          <w:left w:w="75" w:type="dxa"/>
          <w:right w:w="75" w:type="dxa"/>
        </w:tblCellMar>
        <w:tblLook w:val="0000" w:firstRow="0" w:lastRow="0" w:firstColumn="0" w:lastColumn="0" w:noHBand="0" w:noVBand="0"/>
      </w:tblPr>
      <w:tblGrid>
        <w:gridCol w:w="1785"/>
        <w:gridCol w:w="1397"/>
        <w:gridCol w:w="1961"/>
        <w:gridCol w:w="2049"/>
        <w:gridCol w:w="1397"/>
        <w:gridCol w:w="1961"/>
        <w:gridCol w:w="2349"/>
      </w:tblGrid>
      <w:tr w:rsidR="00CE2A44" w:rsidRPr="00C07861" w14:paraId="3B61A95E" w14:textId="77777777" w:rsidTr="005B4673">
        <w:trPr>
          <w:jc w:val="center"/>
        </w:trPr>
        <w:tc>
          <w:tcPr>
            <w:tcW w:w="1785" w:type="dxa"/>
            <w:tcBorders>
              <w:top w:val="single" w:sz="6" w:space="0" w:color="auto"/>
              <w:left w:val="nil"/>
              <w:bottom w:val="nil"/>
              <w:right w:val="nil"/>
            </w:tcBorders>
          </w:tcPr>
          <w:p w14:paraId="06008B72" w14:textId="77777777" w:rsidR="00CE2A44" w:rsidRPr="00C07861" w:rsidRDefault="00CE2A44" w:rsidP="005B4673">
            <w:pPr>
              <w:widowControl w:val="0"/>
              <w:autoSpaceDE w:val="0"/>
              <w:autoSpaceDN w:val="0"/>
              <w:adjustRightInd w:val="0"/>
              <w:rPr>
                <w:sz w:val="16"/>
                <w:szCs w:val="16"/>
              </w:rPr>
            </w:pPr>
          </w:p>
        </w:tc>
        <w:tc>
          <w:tcPr>
            <w:tcW w:w="0" w:type="auto"/>
            <w:tcBorders>
              <w:top w:val="single" w:sz="6" w:space="0" w:color="auto"/>
              <w:left w:val="nil"/>
              <w:bottom w:val="nil"/>
              <w:right w:val="nil"/>
            </w:tcBorders>
            <w:vAlign w:val="center"/>
          </w:tcPr>
          <w:p w14:paraId="5DF2365B" w14:textId="77777777" w:rsidR="00CE2A44" w:rsidRPr="00C07861" w:rsidRDefault="00CE2A44" w:rsidP="005B4673">
            <w:pPr>
              <w:widowControl w:val="0"/>
              <w:autoSpaceDE w:val="0"/>
              <w:autoSpaceDN w:val="0"/>
              <w:adjustRightInd w:val="0"/>
              <w:jc w:val="center"/>
              <w:rPr>
                <w:rFonts w:ascii="Calibri" w:hAnsi="Calibri" w:cs="Calibri"/>
                <w:b/>
                <w:sz w:val="16"/>
                <w:szCs w:val="16"/>
                <w:lang w:val="en-US"/>
              </w:rPr>
            </w:pPr>
            <w:r w:rsidRPr="00C07861">
              <w:rPr>
                <w:rFonts w:ascii="Calibri" w:hAnsi="Calibri" w:cs="Calibri"/>
                <w:b/>
                <w:sz w:val="16"/>
                <w:szCs w:val="16"/>
                <w:lang w:val="en-US"/>
              </w:rPr>
              <w:t>(1)</w:t>
            </w:r>
          </w:p>
        </w:tc>
        <w:tc>
          <w:tcPr>
            <w:tcW w:w="0" w:type="auto"/>
            <w:tcBorders>
              <w:top w:val="single" w:sz="6" w:space="0" w:color="auto"/>
              <w:left w:val="nil"/>
              <w:bottom w:val="nil"/>
              <w:right w:val="nil"/>
            </w:tcBorders>
            <w:vAlign w:val="center"/>
          </w:tcPr>
          <w:p w14:paraId="301C25C3" w14:textId="77777777" w:rsidR="00CE2A44" w:rsidRPr="00C07861" w:rsidRDefault="00CE2A44" w:rsidP="005B4673">
            <w:pPr>
              <w:widowControl w:val="0"/>
              <w:autoSpaceDE w:val="0"/>
              <w:autoSpaceDN w:val="0"/>
              <w:adjustRightInd w:val="0"/>
              <w:jc w:val="center"/>
              <w:rPr>
                <w:rFonts w:ascii="Calibri" w:hAnsi="Calibri" w:cs="Calibri"/>
                <w:b/>
                <w:sz w:val="16"/>
                <w:szCs w:val="16"/>
                <w:lang w:val="en-US"/>
              </w:rPr>
            </w:pPr>
            <w:r w:rsidRPr="00C07861">
              <w:rPr>
                <w:rFonts w:ascii="Calibri" w:hAnsi="Calibri" w:cs="Calibri"/>
                <w:b/>
                <w:sz w:val="16"/>
                <w:szCs w:val="16"/>
                <w:lang w:val="en-US"/>
              </w:rPr>
              <w:t>(2)</w:t>
            </w:r>
          </w:p>
        </w:tc>
        <w:tc>
          <w:tcPr>
            <w:tcW w:w="0" w:type="auto"/>
            <w:tcBorders>
              <w:top w:val="single" w:sz="6" w:space="0" w:color="auto"/>
              <w:left w:val="nil"/>
              <w:bottom w:val="nil"/>
              <w:right w:val="nil"/>
            </w:tcBorders>
            <w:vAlign w:val="center"/>
          </w:tcPr>
          <w:p w14:paraId="42E18879" w14:textId="77777777" w:rsidR="00CE2A44" w:rsidRPr="00C07861" w:rsidRDefault="00CE2A44" w:rsidP="005B4673">
            <w:pPr>
              <w:widowControl w:val="0"/>
              <w:autoSpaceDE w:val="0"/>
              <w:autoSpaceDN w:val="0"/>
              <w:adjustRightInd w:val="0"/>
              <w:jc w:val="center"/>
              <w:rPr>
                <w:rFonts w:ascii="Calibri" w:hAnsi="Calibri" w:cs="Calibri"/>
                <w:b/>
                <w:sz w:val="16"/>
                <w:szCs w:val="16"/>
                <w:lang w:val="en-US"/>
              </w:rPr>
            </w:pPr>
            <w:r w:rsidRPr="00C07861">
              <w:rPr>
                <w:rFonts w:ascii="Calibri" w:hAnsi="Calibri" w:cs="Calibri"/>
                <w:b/>
                <w:sz w:val="16"/>
                <w:szCs w:val="16"/>
                <w:lang w:val="en-US"/>
              </w:rPr>
              <w:t>(3)</w:t>
            </w:r>
          </w:p>
        </w:tc>
        <w:tc>
          <w:tcPr>
            <w:tcW w:w="0" w:type="auto"/>
            <w:tcBorders>
              <w:top w:val="single" w:sz="6" w:space="0" w:color="auto"/>
              <w:left w:val="nil"/>
              <w:bottom w:val="nil"/>
              <w:right w:val="nil"/>
            </w:tcBorders>
            <w:vAlign w:val="center"/>
          </w:tcPr>
          <w:p w14:paraId="613D739B" w14:textId="37DF3C08"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b/>
                <w:sz w:val="16"/>
                <w:szCs w:val="16"/>
                <w:lang w:val="en-US"/>
              </w:rPr>
              <w:t>(</w:t>
            </w:r>
            <w:r w:rsidR="006B10C5">
              <w:rPr>
                <w:rFonts w:ascii="Calibri" w:hAnsi="Calibri" w:cs="Calibri"/>
                <w:b/>
                <w:sz w:val="16"/>
                <w:szCs w:val="16"/>
                <w:lang w:val="en-US"/>
              </w:rPr>
              <w:t>4</w:t>
            </w:r>
            <w:r w:rsidRPr="00C07861">
              <w:rPr>
                <w:rFonts w:ascii="Calibri" w:hAnsi="Calibri" w:cs="Calibri"/>
                <w:b/>
                <w:sz w:val="16"/>
                <w:szCs w:val="16"/>
                <w:lang w:val="en-US"/>
              </w:rPr>
              <w:t>)</w:t>
            </w:r>
          </w:p>
        </w:tc>
        <w:tc>
          <w:tcPr>
            <w:tcW w:w="0" w:type="auto"/>
            <w:tcBorders>
              <w:top w:val="single" w:sz="6" w:space="0" w:color="auto"/>
              <w:left w:val="nil"/>
              <w:bottom w:val="nil"/>
              <w:right w:val="nil"/>
            </w:tcBorders>
            <w:vAlign w:val="center"/>
          </w:tcPr>
          <w:p w14:paraId="0D88DF7F" w14:textId="73F4A7B5"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b/>
                <w:sz w:val="16"/>
                <w:szCs w:val="16"/>
                <w:lang w:val="en-US"/>
              </w:rPr>
              <w:t>(</w:t>
            </w:r>
            <w:r w:rsidR="006B10C5">
              <w:rPr>
                <w:rFonts w:ascii="Calibri" w:hAnsi="Calibri" w:cs="Calibri"/>
                <w:b/>
                <w:sz w:val="16"/>
                <w:szCs w:val="16"/>
                <w:lang w:val="en-US"/>
              </w:rPr>
              <w:t>5</w:t>
            </w:r>
            <w:r w:rsidRPr="00C07861">
              <w:rPr>
                <w:rFonts w:ascii="Calibri" w:hAnsi="Calibri" w:cs="Calibri"/>
                <w:b/>
                <w:sz w:val="16"/>
                <w:szCs w:val="16"/>
                <w:lang w:val="en-US"/>
              </w:rPr>
              <w:t>)</w:t>
            </w:r>
          </w:p>
        </w:tc>
        <w:tc>
          <w:tcPr>
            <w:tcW w:w="0" w:type="auto"/>
            <w:tcBorders>
              <w:top w:val="single" w:sz="6" w:space="0" w:color="auto"/>
              <w:left w:val="nil"/>
              <w:bottom w:val="nil"/>
              <w:right w:val="nil"/>
            </w:tcBorders>
            <w:vAlign w:val="center"/>
          </w:tcPr>
          <w:p w14:paraId="56F2CAF9" w14:textId="2D936F4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b/>
                <w:sz w:val="16"/>
                <w:szCs w:val="16"/>
                <w:lang w:val="en-US"/>
              </w:rPr>
              <w:t>(</w:t>
            </w:r>
            <w:r w:rsidR="006B10C5">
              <w:rPr>
                <w:rFonts w:ascii="Calibri" w:hAnsi="Calibri" w:cs="Calibri"/>
                <w:b/>
                <w:sz w:val="16"/>
                <w:szCs w:val="16"/>
                <w:lang w:val="en-US"/>
              </w:rPr>
              <w:t>6</w:t>
            </w:r>
            <w:r w:rsidRPr="00C07861">
              <w:rPr>
                <w:rFonts w:ascii="Calibri" w:hAnsi="Calibri" w:cs="Calibri"/>
                <w:b/>
                <w:sz w:val="16"/>
                <w:szCs w:val="16"/>
                <w:lang w:val="en-US"/>
              </w:rPr>
              <w:t>)</w:t>
            </w:r>
          </w:p>
        </w:tc>
      </w:tr>
      <w:tr w:rsidR="00CE2A44" w:rsidRPr="00C07861" w14:paraId="5AC4E08A" w14:textId="77777777" w:rsidTr="005B4673">
        <w:trPr>
          <w:jc w:val="center"/>
        </w:trPr>
        <w:tc>
          <w:tcPr>
            <w:tcW w:w="1785" w:type="dxa"/>
            <w:tcBorders>
              <w:top w:val="nil"/>
              <w:left w:val="nil"/>
              <w:bottom w:val="single" w:sz="6" w:space="0" w:color="auto"/>
              <w:right w:val="nil"/>
            </w:tcBorders>
          </w:tcPr>
          <w:p w14:paraId="2CAB5F1B" w14:textId="77777777" w:rsidR="00CE2A44" w:rsidRPr="00C07861" w:rsidRDefault="00CE2A44" w:rsidP="005B4673">
            <w:pPr>
              <w:widowControl w:val="0"/>
              <w:autoSpaceDE w:val="0"/>
              <w:autoSpaceDN w:val="0"/>
              <w:adjustRightInd w:val="0"/>
              <w:rPr>
                <w:sz w:val="16"/>
                <w:szCs w:val="16"/>
              </w:rPr>
            </w:pPr>
          </w:p>
        </w:tc>
        <w:tc>
          <w:tcPr>
            <w:tcW w:w="0" w:type="auto"/>
            <w:tcBorders>
              <w:top w:val="nil"/>
              <w:left w:val="nil"/>
              <w:bottom w:val="single" w:sz="6" w:space="0" w:color="auto"/>
              <w:right w:val="nil"/>
            </w:tcBorders>
            <w:vAlign w:val="center"/>
          </w:tcPr>
          <w:p w14:paraId="456C4E1F" w14:textId="77777777" w:rsidR="00CE2A44" w:rsidRPr="00C07861" w:rsidRDefault="00CE2A44" w:rsidP="005B4673">
            <w:pPr>
              <w:widowControl w:val="0"/>
              <w:autoSpaceDE w:val="0"/>
              <w:autoSpaceDN w:val="0"/>
              <w:adjustRightInd w:val="0"/>
              <w:jc w:val="center"/>
              <w:rPr>
                <w:rFonts w:ascii="Calibri" w:hAnsi="Calibri" w:cs="Calibri"/>
                <w:b/>
                <w:sz w:val="16"/>
                <w:szCs w:val="16"/>
                <w:lang w:val="en-US"/>
              </w:rPr>
            </w:pPr>
            <w:r w:rsidRPr="00C07861">
              <w:rPr>
                <w:rFonts w:ascii="Calibri" w:hAnsi="Calibri" w:cs="Calibri"/>
                <w:b/>
                <w:sz w:val="16"/>
                <w:szCs w:val="16"/>
                <w:lang w:val="en-US"/>
              </w:rPr>
              <w:t>Total consumption</w:t>
            </w:r>
          </w:p>
        </w:tc>
        <w:tc>
          <w:tcPr>
            <w:tcW w:w="0" w:type="auto"/>
            <w:tcBorders>
              <w:top w:val="nil"/>
              <w:left w:val="nil"/>
              <w:bottom w:val="single" w:sz="6" w:space="0" w:color="auto"/>
              <w:right w:val="nil"/>
            </w:tcBorders>
            <w:vAlign w:val="center"/>
          </w:tcPr>
          <w:p w14:paraId="66FDE7C1" w14:textId="77777777" w:rsidR="00CE2A44" w:rsidRPr="00C07861" w:rsidRDefault="00CE2A44" w:rsidP="005B4673">
            <w:pPr>
              <w:widowControl w:val="0"/>
              <w:autoSpaceDE w:val="0"/>
              <w:autoSpaceDN w:val="0"/>
              <w:adjustRightInd w:val="0"/>
              <w:jc w:val="center"/>
              <w:rPr>
                <w:rFonts w:ascii="Calibri" w:hAnsi="Calibri" w:cs="Calibri"/>
                <w:b/>
                <w:sz w:val="16"/>
                <w:szCs w:val="16"/>
                <w:lang w:val="en-US"/>
              </w:rPr>
            </w:pPr>
            <w:r w:rsidRPr="00C07861">
              <w:rPr>
                <w:rFonts w:ascii="Calibri" w:hAnsi="Calibri" w:cs="Calibri"/>
                <w:b/>
                <w:sz w:val="16"/>
                <w:szCs w:val="16"/>
                <w:lang w:val="en-US"/>
              </w:rPr>
              <w:t>Non-durables consumption</w:t>
            </w:r>
          </w:p>
        </w:tc>
        <w:tc>
          <w:tcPr>
            <w:tcW w:w="0" w:type="auto"/>
            <w:tcBorders>
              <w:top w:val="nil"/>
              <w:left w:val="nil"/>
              <w:bottom w:val="single" w:sz="6" w:space="0" w:color="auto"/>
              <w:right w:val="nil"/>
            </w:tcBorders>
            <w:vAlign w:val="center"/>
          </w:tcPr>
          <w:p w14:paraId="35B0D7EA" w14:textId="77777777" w:rsidR="00CE2A44" w:rsidRPr="00C07861" w:rsidRDefault="00CE2A44" w:rsidP="005B4673">
            <w:pPr>
              <w:widowControl w:val="0"/>
              <w:autoSpaceDE w:val="0"/>
              <w:autoSpaceDN w:val="0"/>
              <w:adjustRightInd w:val="0"/>
              <w:jc w:val="center"/>
              <w:rPr>
                <w:rFonts w:ascii="Calibri" w:hAnsi="Calibri" w:cs="Calibri"/>
                <w:b/>
                <w:sz w:val="16"/>
                <w:szCs w:val="16"/>
                <w:lang w:val="en-US"/>
              </w:rPr>
            </w:pPr>
            <w:r w:rsidRPr="00C07861">
              <w:rPr>
                <w:rFonts w:ascii="Calibri" w:hAnsi="Calibri" w:cs="Calibri"/>
                <w:b/>
                <w:sz w:val="16"/>
                <w:szCs w:val="16"/>
                <w:lang w:val="en-US"/>
              </w:rPr>
              <w:t>Non-education consumption</w:t>
            </w:r>
          </w:p>
        </w:tc>
        <w:tc>
          <w:tcPr>
            <w:tcW w:w="0" w:type="auto"/>
            <w:tcBorders>
              <w:top w:val="nil"/>
              <w:left w:val="nil"/>
              <w:bottom w:val="single" w:sz="6" w:space="0" w:color="auto"/>
              <w:right w:val="nil"/>
            </w:tcBorders>
            <w:vAlign w:val="center"/>
          </w:tcPr>
          <w:p w14:paraId="5C580F10" w14:textId="77777777" w:rsidR="00CE2A44" w:rsidRPr="00C07861" w:rsidRDefault="00CE2A44" w:rsidP="005B4673">
            <w:pPr>
              <w:pStyle w:val="NoSpacing"/>
              <w:jc w:val="center"/>
              <w:rPr>
                <w:rFonts w:ascii="Calibri" w:hAnsi="Calibri" w:cs="Calibri"/>
                <w:b/>
                <w:sz w:val="16"/>
                <w:szCs w:val="16"/>
                <w:lang w:val="en-US"/>
              </w:rPr>
            </w:pPr>
            <w:r w:rsidRPr="00C07861">
              <w:rPr>
                <w:rFonts w:ascii="Calibri" w:hAnsi="Calibri" w:cs="Calibri"/>
                <w:b/>
                <w:sz w:val="16"/>
                <w:szCs w:val="16"/>
                <w:lang w:val="en-US"/>
              </w:rPr>
              <w:t>Total consumption</w:t>
            </w:r>
          </w:p>
          <w:p w14:paraId="3946B799"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b/>
                <w:sz w:val="16"/>
                <w:szCs w:val="16"/>
                <w:lang w:val="en-US"/>
              </w:rPr>
              <w:t>EQS</w:t>
            </w:r>
          </w:p>
        </w:tc>
        <w:tc>
          <w:tcPr>
            <w:tcW w:w="0" w:type="auto"/>
            <w:tcBorders>
              <w:top w:val="nil"/>
              <w:left w:val="nil"/>
              <w:bottom w:val="single" w:sz="6" w:space="0" w:color="auto"/>
              <w:right w:val="nil"/>
            </w:tcBorders>
            <w:vAlign w:val="center"/>
          </w:tcPr>
          <w:p w14:paraId="68FE39CD" w14:textId="77777777" w:rsidR="00CE2A44" w:rsidRPr="00C07861" w:rsidRDefault="00CE2A44" w:rsidP="005B4673">
            <w:pPr>
              <w:pStyle w:val="NoSpacing"/>
              <w:jc w:val="center"/>
              <w:rPr>
                <w:rFonts w:ascii="Calibri" w:hAnsi="Calibri" w:cs="Calibri"/>
                <w:b/>
                <w:sz w:val="16"/>
                <w:szCs w:val="16"/>
                <w:lang w:val="en-US"/>
              </w:rPr>
            </w:pPr>
            <w:r w:rsidRPr="00C07861">
              <w:rPr>
                <w:rFonts w:ascii="Calibri" w:hAnsi="Calibri" w:cs="Calibri"/>
                <w:b/>
                <w:sz w:val="16"/>
                <w:szCs w:val="16"/>
                <w:lang w:val="en-US"/>
              </w:rPr>
              <w:t>Non-durables consumption</w:t>
            </w:r>
          </w:p>
          <w:p w14:paraId="7BFC69C6"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b/>
                <w:sz w:val="16"/>
                <w:szCs w:val="16"/>
                <w:lang w:val="en-US"/>
              </w:rPr>
              <w:t>EQS</w:t>
            </w:r>
          </w:p>
        </w:tc>
        <w:tc>
          <w:tcPr>
            <w:tcW w:w="0" w:type="auto"/>
            <w:tcBorders>
              <w:top w:val="nil"/>
              <w:left w:val="nil"/>
              <w:bottom w:val="single" w:sz="6" w:space="0" w:color="auto"/>
              <w:right w:val="nil"/>
            </w:tcBorders>
            <w:vAlign w:val="center"/>
          </w:tcPr>
          <w:p w14:paraId="1D72DE3F"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b/>
                <w:sz w:val="16"/>
                <w:szCs w:val="16"/>
                <w:lang w:val="en-US"/>
              </w:rPr>
              <w:t>Non-education consumption EQS</w:t>
            </w:r>
          </w:p>
        </w:tc>
      </w:tr>
      <w:tr w:rsidR="00CE2A44" w:rsidRPr="00C07861" w14:paraId="574B3512" w14:textId="77777777" w:rsidTr="005B4673">
        <w:trPr>
          <w:jc w:val="center"/>
        </w:trPr>
        <w:tc>
          <w:tcPr>
            <w:tcW w:w="1785" w:type="dxa"/>
            <w:tcBorders>
              <w:top w:val="nil"/>
              <w:left w:val="nil"/>
              <w:bottom w:val="nil"/>
              <w:right w:val="nil"/>
            </w:tcBorders>
          </w:tcPr>
          <w:p w14:paraId="4DE6FD2D" w14:textId="77777777" w:rsidR="00CE2A44" w:rsidRPr="00C07861" w:rsidRDefault="00CE2A44" w:rsidP="005B4673">
            <w:pPr>
              <w:widowControl w:val="0"/>
              <w:autoSpaceDE w:val="0"/>
              <w:autoSpaceDN w:val="0"/>
              <w:adjustRightInd w:val="0"/>
              <w:rPr>
                <w:sz w:val="16"/>
                <w:szCs w:val="16"/>
              </w:rPr>
            </w:pPr>
          </w:p>
        </w:tc>
        <w:tc>
          <w:tcPr>
            <w:tcW w:w="0" w:type="auto"/>
            <w:tcBorders>
              <w:top w:val="nil"/>
              <w:left w:val="nil"/>
              <w:bottom w:val="nil"/>
              <w:right w:val="nil"/>
            </w:tcBorders>
          </w:tcPr>
          <w:p w14:paraId="318B8888" w14:textId="77777777" w:rsidR="00CE2A44" w:rsidRPr="00C07861" w:rsidRDefault="00CE2A44" w:rsidP="005B4673">
            <w:pPr>
              <w:widowControl w:val="0"/>
              <w:autoSpaceDE w:val="0"/>
              <w:autoSpaceDN w:val="0"/>
              <w:adjustRightInd w:val="0"/>
              <w:jc w:val="center"/>
              <w:rPr>
                <w:sz w:val="16"/>
                <w:szCs w:val="16"/>
              </w:rPr>
            </w:pPr>
          </w:p>
        </w:tc>
        <w:tc>
          <w:tcPr>
            <w:tcW w:w="0" w:type="auto"/>
            <w:tcBorders>
              <w:top w:val="nil"/>
              <w:left w:val="nil"/>
              <w:bottom w:val="nil"/>
              <w:right w:val="nil"/>
            </w:tcBorders>
          </w:tcPr>
          <w:p w14:paraId="5101936F" w14:textId="77777777" w:rsidR="00CE2A44" w:rsidRPr="00C07861" w:rsidRDefault="00CE2A44" w:rsidP="005B4673">
            <w:pPr>
              <w:widowControl w:val="0"/>
              <w:autoSpaceDE w:val="0"/>
              <w:autoSpaceDN w:val="0"/>
              <w:adjustRightInd w:val="0"/>
              <w:jc w:val="center"/>
              <w:rPr>
                <w:sz w:val="16"/>
                <w:szCs w:val="16"/>
              </w:rPr>
            </w:pPr>
          </w:p>
        </w:tc>
        <w:tc>
          <w:tcPr>
            <w:tcW w:w="0" w:type="auto"/>
            <w:tcBorders>
              <w:top w:val="nil"/>
              <w:left w:val="nil"/>
              <w:bottom w:val="nil"/>
              <w:right w:val="nil"/>
            </w:tcBorders>
          </w:tcPr>
          <w:p w14:paraId="4481F4D9" w14:textId="77777777" w:rsidR="00CE2A44" w:rsidRPr="00C07861" w:rsidRDefault="00CE2A44" w:rsidP="005B4673">
            <w:pPr>
              <w:widowControl w:val="0"/>
              <w:autoSpaceDE w:val="0"/>
              <w:autoSpaceDN w:val="0"/>
              <w:adjustRightInd w:val="0"/>
              <w:jc w:val="center"/>
              <w:rPr>
                <w:sz w:val="16"/>
                <w:szCs w:val="16"/>
              </w:rPr>
            </w:pPr>
          </w:p>
        </w:tc>
        <w:tc>
          <w:tcPr>
            <w:tcW w:w="0" w:type="auto"/>
            <w:tcBorders>
              <w:top w:val="nil"/>
              <w:left w:val="nil"/>
              <w:bottom w:val="nil"/>
              <w:right w:val="nil"/>
            </w:tcBorders>
          </w:tcPr>
          <w:p w14:paraId="489AF569" w14:textId="77777777" w:rsidR="00CE2A44" w:rsidRPr="00C07861" w:rsidRDefault="00CE2A44" w:rsidP="005B4673">
            <w:pPr>
              <w:widowControl w:val="0"/>
              <w:autoSpaceDE w:val="0"/>
              <w:autoSpaceDN w:val="0"/>
              <w:adjustRightInd w:val="0"/>
              <w:jc w:val="center"/>
              <w:rPr>
                <w:sz w:val="16"/>
                <w:szCs w:val="16"/>
              </w:rPr>
            </w:pPr>
          </w:p>
        </w:tc>
        <w:tc>
          <w:tcPr>
            <w:tcW w:w="0" w:type="auto"/>
            <w:tcBorders>
              <w:top w:val="nil"/>
              <w:left w:val="nil"/>
              <w:bottom w:val="nil"/>
              <w:right w:val="nil"/>
            </w:tcBorders>
          </w:tcPr>
          <w:p w14:paraId="7BC5890B" w14:textId="77777777" w:rsidR="00CE2A44" w:rsidRPr="00C07861" w:rsidRDefault="00CE2A44" w:rsidP="005B4673">
            <w:pPr>
              <w:widowControl w:val="0"/>
              <w:autoSpaceDE w:val="0"/>
              <w:autoSpaceDN w:val="0"/>
              <w:adjustRightInd w:val="0"/>
              <w:jc w:val="center"/>
              <w:rPr>
                <w:sz w:val="16"/>
                <w:szCs w:val="16"/>
              </w:rPr>
            </w:pPr>
          </w:p>
        </w:tc>
        <w:tc>
          <w:tcPr>
            <w:tcW w:w="0" w:type="auto"/>
            <w:tcBorders>
              <w:top w:val="nil"/>
              <w:left w:val="nil"/>
              <w:bottom w:val="nil"/>
              <w:right w:val="nil"/>
            </w:tcBorders>
          </w:tcPr>
          <w:p w14:paraId="64276B45" w14:textId="77777777" w:rsidR="00CE2A44" w:rsidRPr="00C07861" w:rsidRDefault="00CE2A44" w:rsidP="005B4673">
            <w:pPr>
              <w:widowControl w:val="0"/>
              <w:autoSpaceDE w:val="0"/>
              <w:autoSpaceDN w:val="0"/>
              <w:adjustRightInd w:val="0"/>
              <w:jc w:val="center"/>
              <w:rPr>
                <w:sz w:val="16"/>
                <w:szCs w:val="16"/>
              </w:rPr>
            </w:pPr>
          </w:p>
        </w:tc>
      </w:tr>
      <w:tr w:rsidR="00CE2A44" w:rsidRPr="00C07861" w14:paraId="45B703F6" w14:textId="77777777" w:rsidTr="005B4673">
        <w:trPr>
          <w:jc w:val="center"/>
        </w:trPr>
        <w:tc>
          <w:tcPr>
            <w:tcW w:w="1785" w:type="dxa"/>
            <w:tcBorders>
              <w:top w:val="nil"/>
              <w:left w:val="nil"/>
              <w:bottom w:val="nil"/>
              <w:right w:val="nil"/>
            </w:tcBorders>
          </w:tcPr>
          <w:p w14:paraId="7B3FC8CE" w14:textId="77777777" w:rsidR="00CE2A44" w:rsidRPr="00C07861" w:rsidRDefault="00CE2A44" w:rsidP="005B4673">
            <w:pPr>
              <w:widowControl w:val="0"/>
              <w:autoSpaceDE w:val="0"/>
              <w:autoSpaceDN w:val="0"/>
              <w:adjustRightInd w:val="0"/>
              <w:rPr>
                <w:sz w:val="16"/>
                <w:szCs w:val="16"/>
              </w:rPr>
            </w:pPr>
            <w:r w:rsidRPr="00C07861">
              <w:rPr>
                <w:rFonts w:ascii="Calibri" w:hAnsi="Calibri" w:cs="Calibri"/>
                <w:b/>
                <w:sz w:val="16"/>
                <w:szCs w:val="16"/>
                <w:lang w:val="en-US"/>
              </w:rPr>
              <w:t>Age</w:t>
            </w:r>
          </w:p>
        </w:tc>
        <w:tc>
          <w:tcPr>
            <w:tcW w:w="0" w:type="auto"/>
            <w:tcBorders>
              <w:top w:val="nil"/>
              <w:left w:val="nil"/>
              <w:bottom w:val="nil"/>
              <w:right w:val="nil"/>
            </w:tcBorders>
          </w:tcPr>
          <w:p w14:paraId="59077BCC"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0.00524</w:t>
            </w:r>
          </w:p>
        </w:tc>
        <w:tc>
          <w:tcPr>
            <w:tcW w:w="0" w:type="auto"/>
            <w:tcBorders>
              <w:top w:val="nil"/>
              <w:left w:val="nil"/>
              <w:bottom w:val="nil"/>
              <w:right w:val="nil"/>
            </w:tcBorders>
          </w:tcPr>
          <w:p w14:paraId="0F252FC8"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0.00841</w:t>
            </w:r>
          </w:p>
        </w:tc>
        <w:tc>
          <w:tcPr>
            <w:tcW w:w="0" w:type="auto"/>
            <w:tcBorders>
              <w:top w:val="nil"/>
              <w:left w:val="nil"/>
              <w:bottom w:val="nil"/>
              <w:right w:val="nil"/>
            </w:tcBorders>
          </w:tcPr>
          <w:p w14:paraId="20A6CA00"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0.0029</w:t>
            </w:r>
            <w:r>
              <w:rPr>
                <w:rFonts w:ascii="Calibri" w:hAnsi="Calibri" w:cs="Calibri"/>
                <w:sz w:val="16"/>
                <w:szCs w:val="16"/>
              </w:rPr>
              <w:t>6</w:t>
            </w:r>
          </w:p>
        </w:tc>
        <w:tc>
          <w:tcPr>
            <w:tcW w:w="0" w:type="auto"/>
            <w:tcBorders>
              <w:top w:val="nil"/>
              <w:left w:val="nil"/>
              <w:bottom w:val="nil"/>
              <w:right w:val="nil"/>
            </w:tcBorders>
          </w:tcPr>
          <w:p w14:paraId="39A01A46"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0.00576</w:t>
            </w:r>
          </w:p>
        </w:tc>
        <w:tc>
          <w:tcPr>
            <w:tcW w:w="0" w:type="auto"/>
            <w:tcBorders>
              <w:top w:val="nil"/>
              <w:left w:val="nil"/>
              <w:bottom w:val="nil"/>
              <w:right w:val="nil"/>
            </w:tcBorders>
          </w:tcPr>
          <w:p w14:paraId="4E1CB2B7"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0.00896</w:t>
            </w:r>
          </w:p>
        </w:tc>
        <w:tc>
          <w:tcPr>
            <w:tcW w:w="0" w:type="auto"/>
            <w:tcBorders>
              <w:top w:val="nil"/>
              <w:left w:val="nil"/>
              <w:bottom w:val="nil"/>
              <w:right w:val="nil"/>
            </w:tcBorders>
          </w:tcPr>
          <w:p w14:paraId="3E00F4AA"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0.00343</w:t>
            </w:r>
          </w:p>
        </w:tc>
      </w:tr>
      <w:tr w:rsidR="00CE2A44" w:rsidRPr="00C07861" w14:paraId="7CB787CE" w14:textId="77777777" w:rsidTr="005B4673">
        <w:trPr>
          <w:jc w:val="center"/>
        </w:trPr>
        <w:tc>
          <w:tcPr>
            <w:tcW w:w="1785" w:type="dxa"/>
            <w:tcBorders>
              <w:top w:val="nil"/>
              <w:left w:val="nil"/>
              <w:bottom w:val="nil"/>
              <w:right w:val="nil"/>
            </w:tcBorders>
          </w:tcPr>
          <w:p w14:paraId="191FC4EB" w14:textId="77777777" w:rsidR="00CE2A44" w:rsidRPr="00C07861" w:rsidRDefault="00CE2A44" w:rsidP="005B4673">
            <w:pPr>
              <w:widowControl w:val="0"/>
              <w:autoSpaceDE w:val="0"/>
              <w:autoSpaceDN w:val="0"/>
              <w:adjustRightInd w:val="0"/>
              <w:rPr>
                <w:sz w:val="16"/>
                <w:szCs w:val="16"/>
              </w:rPr>
            </w:pPr>
          </w:p>
        </w:tc>
        <w:tc>
          <w:tcPr>
            <w:tcW w:w="0" w:type="auto"/>
            <w:tcBorders>
              <w:top w:val="nil"/>
              <w:left w:val="nil"/>
              <w:bottom w:val="nil"/>
              <w:right w:val="nil"/>
            </w:tcBorders>
          </w:tcPr>
          <w:p w14:paraId="72D228F6"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(0.0205)</w:t>
            </w:r>
          </w:p>
        </w:tc>
        <w:tc>
          <w:tcPr>
            <w:tcW w:w="0" w:type="auto"/>
            <w:tcBorders>
              <w:top w:val="nil"/>
              <w:left w:val="nil"/>
              <w:bottom w:val="nil"/>
              <w:right w:val="nil"/>
            </w:tcBorders>
          </w:tcPr>
          <w:p w14:paraId="037A4B0D"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(0.0210)</w:t>
            </w:r>
          </w:p>
        </w:tc>
        <w:tc>
          <w:tcPr>
            <w:tcW w:w="0" w:type="auto"/>
            <w:tcBorders>
              <w:top w:val="nil"/>
              <w:left w:val="nil"/>
              <w:bottom w:val="nil"/>
              <w:right w:val="nil"/>
            </w:tcBorders>
          </w:tcPr>
          <w:p w14:paraId="059DD192"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(0.0201)</w:t>
            </w:r>
          </w:p>
        </w:tc>
        <w:tc>
          <w:tcPr>
            <w:tcW w:w="0" w:type="auto"/>
            <w:tcBorders>
              <w:top w:val="nil"/>
              <w:left w:val="nil"/>
              <w:bottom w:val="nil"/>
              <w:right w:val="nil"/>
            </w:tcBorders>
          </w:tcPr>
          <w:p w14:paraId="127D8916"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(0.0205)</w:t>
            </w:r>
          </w:p>
        </w:tc>
        <w:tc>
          <w:tcPr>
            <w:tcW w:w="0" w:type="auto"/>
            <w:tcBorders>
              <w:top w:val="nil"/>
              <w:left w:val="nil"/>
              <w:bottom w:val="nil"/>
              <w:right w:val="nil"/>
            </w:tcBorders>
          </w:tcPr>
          <w:p w14:paraId="7500C98F"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(0.0210)</w:t>
            </w:r>
          </w:p>
        </w:tc>
        <w:tc>
          <w:tcPr>
            <w:tcW w:w="0" w:type="auto"/>
            <w:tcBorders>
              <w:top w:val="nil"/>
              <w:left w:val="nil"/>
              <w:bottom w:val="nil"/>
              <w:right w:val="nil"/>
            </w:tcBorders>
          </w:tcPr>
          <w:p w14:paraId="3A417879"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(0.0202)</w:t>
            </w:r>
          </w:p>
        </w:tc>
      </w:tr>
      <w:tr w:rsidR="00CE2A44" w:rsidRPr="00C07861" w14:paraId="44E14399" w14:textId="77777777" w:rsidTr="005B4673">
        <w:trPr>
          <w:jc w:val="center"/>
        </w:trPr>
        <w:tc>
          <w:tcPr>
            <w:tcW w:w="1785" w:type="dxa"/>
            <w:tcBorders>
              <w:top w:val="nil"/>
              <w:left w:val="nil"/>
              <w:bottom w:val="nil"/>
              <w:right w:val="nil"/>
            </w:tcBorders>
          </w:tcPr>
          <w:p w14:paraId="27E1DF7A" w14:textId="77777777" w:rsidR="00CE2A44" w:rsidRPr="00C07861" w:rsidRDefault="00CE2A44" w:rsidP="005B4673">
            <w:pPr>
              <w:widowControl w:val="0"/>
              <w:autoSpaceDE w:val="0"/>
              <w:autoSpaceDN w:val="0"/>
              <w:adjustRightInd w:val="0"/>
              <w:rPr>
                <w:sz w:val="16"/>
                <w:szCs w:val="16"/>
              </w:rPr>
            </w:pPr>
            <w:r w:rsidRPr="00C07861">
              <w:rPr>
                <w:rFonts w:ascii="Calibri" w:hAnsi="Calibri" w:cs="Calibri"/>
                <w:b/>
                <w:sz w:val="16"/>
                <w:szCs w:val="16"/>
                <w:lang w:val="en-US"/>
              </w:rPr>
              <w:t>Married</w:t>
            </w:r>
          </w:p>
        </w:tc>
        <w:tc>
          <w:tcPr>
            <w:tcW w:w="0" w:type="auto"/>
            <w:tcBorders>
              <w:top w:val="nil"/>
              <w:left w:val="nil"/>
              <w:bottom w:val="nil"/>
              <w:right w:val="nil"/>
            </w:tcBorders>
          </w:tcPr>
          <w:p w14:paraId="1F4705B1"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0.622***</w:t>
            </w:r>
          </w:p>
        </w:tc>
        <w:tc>
          <w:tcPr>
            <w:tcW w:w="0" w:type="auto"/>
            <w:tcBorders>
              <w:top w:val="nil"/>
              <w:left w:val="nil"/>
              <w:bottom w:val="nil"/>
              <w:right w:val="nil"/>
            </w:tcBorders>
          </w:tcPr>
          <w:p w14:paraId="02B21DE3"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0.606***</w:t>
            </w:r>
          </w:p>
        </w:tc>
        <w:tc>
          <w:tcPr>
            <w:tcW w:w="0" w:type="auto"/>
            <w:tcBorders>
              <w:top w:val="nil"/>
              <w:left w:val="nil"/>
              <w:bottom w:val="nil"/>
              <w:right w:val="nil"/>
            </w:tcBorders>
          </w:tcPr>
          <w:p w14:paraId="063144FE"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0.619***</w:t>
            </w:r>
          </w:p>
        </w:tc>
        <w:tc>
          <w:tcPr>
            <w:tcW w:w="0" w:type="auto"/>
            <w:tcBorders>
              <w:top w:val="nil"/>
              <w:left w:val="nil"/>
              <w:bottom w:val="nil"/>
              <w:right w:val="nil"/>
            </w:tcBorders>
          </w:tcPr>
          <w:p w14:paraId="2B30683E"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0.605***</w:t>
            </w:r>
          </w:p>
        </w:tc>
        <w:tc>
          <w:tcPr>
            <w:tcW w:w="0" w:type="auto"/>
            <w:tcBorders>
              <w:top w:val="nil"/>
              <w:left w:val="nil"/>
              <w:bottom w:val="nil"/>
              <w:right w:val="nil"/>
            </w:tcBorders>
          </w:tcPr>
          <w:p w14:paraId="7B1BE42F"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0.590***</w:t>
            </w:r>
          </w:p>
        </w:tc>
        <w:tc>
          <w:tcPr>
            <w:tcW w:w="0" w:type="auto"/>
            <w:tcBorders>
              <w:top w:val="nil"/>
              <w:left w:val="nil"/>
              <w:bottom w:val="nil"/>
              <w:right w:val="nil"/>
            </w:tcBorders>
          </w:tcPr>
          <w:p w14:paraId="780DCF93"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0.601***</w:t>
            </w:r>
          </w:p>
        </w:tc>
      </w:tr>
      <w:tr w:rsidR="00CE2A44" w:rsidRPr="00C07861" w14:paraId="24A1CC92" w14:textId="77777777" w:rsidTr="005B4673">
        <w:trPr>
          <w:jc w:val="center"/>
        </w:trPr>
        <w:tc>
          <w:tcPr>
            <w:tcW w:w="1785" w:type="dxa"/>
            <w:tcBorders>
              <w:top w:val="nil"/>
              <w:left w:val="nil"/>
              <w:bottom w:val="nil"/>
              <w:right w:val="nil"/>
            </w:tcBorders>
          </w:tcPr>
          <w:p w14:paraId="10EB0E8A" w14:textId="77777777" w:rsidR="00CE2A44" w:rsidRPr="00C07861" w:rsidRDefault="00CE2A44" w:rsidP="005B4673">
            <w:pPr>
              <w:widowControl w:val="0"/>
              <w:autoSpaceDE w:val="0"/>
              <w:autoSpaceDN w:val="0"/>
              <w:adjustRightInd w:val="0"/>
              <w:rPr>
                <w:sz w:val="16"/>
                <w:szCs w:val="16"/>
              </w:rPr>
            </w:pPr>
          </w:p>
        </w:tc>
        <w:tc>
          <w:tcPr>
            <w:tcW w:w="0" w:type="auto"/>
            <w:tcBorders>
              <w:top w:val="nil"/>
              <w:left w:val="nil"/>
              <w:bottom w:val="nil"/>
              <w:right w:val="nil"/>
            </w:tcBorders>
          </w:tcPr>
          <w:p w14:paraId="24998253"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(0.143)</w:t>
            </w:r>
          </w:p>
        </w:tc>
        <w:tc>
          <w:tcPr>
            <w:tcW w:w="0" w:type="auto"/>
            <w:tcBorders>
              <w:top w:val="nil"/>
              <w:left w:val="nil"/>
              <w:bottom w:val="nil"/>
              <w:right w:val="nil"/>
            </w:tcBorders>
          </w:tcPr>
          <w:p w14:paraId="30297ADA"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(0.141)</w:t>
            </w:r>
          </w:p>
        </w:tc>
        <w:tc>
          <w:tcPr>
            <w:tcW w:w="0" w:type="auto"/>
            <w:tcBorders>
              <w:top w:val="nil"/>
              <w:left w:val="nil"/>
              <w:bottom w:val="nil"/>
              <w:right w:val="nil"/>
            </w:tcBorders>
          </w:tcPr>
          <w:p w14:paraId="425AC8B9"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(0.142)</w:t>
            </w:r>
          </w:p>
        </w:tc>
        <w:tc>
          <w:tcPr>
            <w:tcW w:w="0" w:type="auto"/>
            <w:tcBorders>
              <w:top w:val="nil"/>
              <w:left w:val="nil"/>
              <w:bottom w:val="nil"/>
              <w:right w:val="nil"/>
            </w:tcBorders>
          </w:tcPr>
          <w:p w14:paraId="2FD33EA5"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(0.143)</w:t>
            </w:r>
          </w:p>
        </w:tc>
        <w:tc>
          <w:tcPr>
            <w:tcW w:w="0" w:type="auto"/>
            <w:tcBorders>
              <w:top w:val="nil"/>
              <w:left w:val="nil"/>
              <w:bottom w:val="nil"/>
              <w:right w:val="nil"/>
            </w:tcBorders>
          </w:tcPr>
          <w:p w14:paraId="561706D3"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(0.141)</w:t>
            </w:r>
          </w:p>
        </w:tc>
        <w:tc>
          <w:tcPr>
            <w:tcW w:w="0" w:type="auto"/>
            <w:tcBorders>
              <w:top w:val="nil"/>
              <w:left w:val="nil"/>
              <w:bottom w:val="nil"/>
              <w:right w:val="nil"/>
            </w:tcBorders>
          </w:tcPr>
          <w:p w14:paraId="4C6DA00C"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(0.142)</w:t>
            </w:r>
          </w:p>
        </w:tc>
      </w:tr>
      <w:tr w:rsidR="00CE2A44" w:rsidRPr="00C07861" w14:paraId="21A9AF05" w14:textId="77777777" w:rsidTr="005B4673">
        <w:trPr>
          <w:jc w:val="center"/>
        </w:trPr>
        <w:tc>
          <w:tcPr>
            <w:tcW w:w="1785" w:type="dxa"/>
            <w:tcBorders>
              <w:top w:val="nil"/>
              <w:left w:val="nil"/>
              <w:bottom w:val="nil"/>
              <w:right w:val="nil"/>
            </w:tcBorders>
          </w:tcPr>
          <w:p w14:paraId="6E31B934" w14:textId="77777777" w:rsidR="00CE2A44" w:rsidRPr="00C07861" w:rsidRDefault="00CE2A44" w:rsidP="005B4673">
            <w:pPr>
              <w:widowControl w:val="0"/>
              <w:autoSpaceDE w:val="0"/>
              <w:autoSpaceDN w:val="0"/>
              <w:adjustRightInd w:val="0"/>
              <w:rPr>
                <w:sz w:val="16"/>
                <w:szCs w:val="16"/>
              </w:rPr>
            </w:pPr>
            <w:r w:rsidRPr="00C07861">
              <w:rPr>
                <w:rFonts w:ascii="Calibri" w:hAnsi="Calibri" w:cs="Calibri"/>
                <w:b/>
                <w:sz w:val="16"/>
                <w:szCs w:val="16"/>
                <w:lang w:val="en-US"/>
              </w:rPr>
              <w:t>Widowed</w:t>
            </w:r>
          </w:p>
        </w:tc>
        <w:tc>
          <w:tcPr>
            <w:tcW w:w="0" w:type="auto"/>
            <w:tcBorders>
              <w:top w:val="nil"/>
              <w:left w:val="nil"/>
              <w:bottom w:val="nil"/>
              <w:right w:val="nil"/>
            </w:tcBorders>
          </w:tcPr>
          <w:p w14:paraId="049AFAA1"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0.535***</w:t>
            </w:r>
          </w:p>
        </w:tc>
        <w:tc>
          <w:tcPr>
            <w:tcW w:w="0" w:type="auto"/>
            <w:tcBorders>
              <w:top w:val="nil"/>
              <w:left w:val="nil"/>
              <w:bottom w:val="nil"/>
              <w:right w:val="nil"/>
            </w:tcBorders>
          </w:tcPr>
          <w:p w14:paraId="488D93FB"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0.454***</w:t>
            </w:r>
          </w:p>
        </w:tc>
        <w:tc>
          <w:tcPr>
            <w:tcW w:w="0" w:type="auto"/>
            <w:tcBorders>
              <w:top w:val="nil"/>
              <w:left w:val="nil"/>
              <w:bottom w:val="nil"/>
              <w:right w:val="nil"/>
            </w:tcBorders>
          </w:tcPr>
          <w:p w14:paraId="7A72E570"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0.552***</w:t>
            </w:r>
          </w:p>
        </w:tc>
        <w:tc>
          <w:tcPr>
            <w:tcW w:w="0" w:type="auto"/>
            <w:tcBorders>
              <w:top w:val="nil"/>
              <w:left w:val="nil"/>
              <w:bottom w:val="nil"/>
              <w:right w:val="nil"/>
            </w:tcBorders>
          </w:tcPr>
          <w:p w14:paraId="24D8F10D"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0.608***</w:t>
            </w:r>
          </w:p>
        </w:tc>
        <w:tc>
          <w:tcPr>
            <w:tcW w:w="0" w:type="auto"/>
            <w:tcBorders>
              <w:top w:val="nil"/>
              <w:left w:val="nil"/>
              <w:bottom w:val="nil"/>
              <w:right w:val="nil"/>
            </w:tcBorders>
          </w:tcPr>
          <w:p w14:paraId="31A440D6"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0.526***</w:t>
            </w:r>
          </w:p>
        </w:tc>
        <w:tc>
          <w:tcPr>
            <w:tcW w:w="0" w:type="auto"/>
            <w:tcBorders>
              <w:top w:val="nil"/>
              <w:left w:val="nil"/>
              <w:bottom w:val="nil"/>
              <w:right w:val="nil"/>
            </w:tcBorders>
          </w:tcPr>
          <w:p w14:paraId="055825AA"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0.626***</w:t>
            </w:r>
          </w:p>
        </w:tc>
      </w:tr>
      <w:tr w:rsidR="00CE2A44" w:rsidRPr="00C07861" w14:paraId="4F5EFADF" w14:textId="77777777" w:rsidTr="005B4673">
        <w:trPr>
          <w:jc w:val="center"/>
        </w:trPr>
        <w:tc>
          <w:tcPr>
            <w:tcW w:w="1785" w:type="dxa"/>
            <w:tcBorders>
              <w:top w:val="nil"/>
              <w:left w:val="nil"/>
              <w:bottom w:val="nil"/>
              <w:right w:val="nil"/>
            </w:tcBorders>
          </w:tcPr>
          <w:p w14:paraId="05AC1881" w14:textId="77777777" w:rsidR="00CE2A44" w:rsidRPr="00C07861" w:rsidRDefault="00CE2A44" w:rsidP="005B4673">
            <w:pPr>
              <w:widowControl w:val="0"/>
              <w:autoSpaceDE w:val="0"/>
              <w:autoSpaceDN w:val="0"/>
              <w:adjustRightInd w:val="0"/>
              <w:rPr>
                <w:sz w:val="16"/>
                <w:szCs w:val="16"/>
              </w:rPr>
            </w:pPr>
          </w:p>
        </w:tc>
        <w:tc>
          <w:tcPr>
            <w:tcW w:w="0" w:type="auto"/>
            <w:tcBorders>
              <w:top w:val="nil"/>
              <w:left w:val="nil"/>
              <w:bottom w:val="nil"/>
              <w:right w:val="nil"/>
            </w:tcBorders>
          </w:tcPr>
          <w:p w14:paraId="3634BD7E"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(0.148)</w:t>
            </w:r>
          </w:p>
        </w:tc>
        <w:tc>
          <w:tcPr>
            <w:tcW w:w="0" w:type="auto"/>
            <w:tcBorders>
              <w:top w:val="nil"/>
              <w:left w:val="nil"/>
              <w:bottom w:val="nil"/>
              <w:right w:val="nil"/>
            </w:tcBorders>
          </w:tcPr>
          <w:p w14:paraId="20566032"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(0.146)</w:t>
            </w:r>
          </w:p>
        </w:tc>
        <w:tc>
          <w:tcPr>
            <w:tcW w:w="0" w:type="auto"/>
            <w:tcBorders>
              <w:top w:val="nil"/>
              <w:left w:val="nil"/>
              <w:bottom w:val="nil"/>
              <w:right w:val="nil"/>
            </w:tcBorders>
          </w:tcPr>
          <w:p w14:paraId="2CB51457"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(0.147)</w:t>
            </w:r>
          </w:p>
        </w:tc>
        <w:tc>
          <w:tcPr>
            <w:tcW w:w="0" w:type="auto"/>
            <w:tcBorders>
              <w:top w:val="nil"/>
              <w:left w:val="nil"/>
              <w:bottom w:val="nil"/>
              <w:right w:val="nil"/>
            </w:tcBorders>
          </w:tcPr>
          <w:p w14:paraId="39DA0D98"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(0.149)</w:t>
            </w:r>
          </w:p>
        </w:tc>
        <w:tc>
          <w:tcPr>
            <w:tcW w:w="0" w:type="auto"/>
            <w:tcBorders>
              <w:top w:val="nil"/>
              <w:left w:val="nil"/>
              <w:bottom w:val="nil"/>
              <w:right w:val="nil"/>
            </w:tcBorders>
          </w:tcPr>
          <w:p w14:paraId="7D485EB3"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(0.146)</w:t>
            </w:r>
          </w:p>
        </w:tc>
        <w:tc>
          <w:tcPr>
            <w:tcW w:w="0" w:type="auto"/>
            <w:tcBorders>
              <w:top w:val="nil"/>
              <w:left w:val="nil"/>
              <w:bottom w:val="nil"/>
              <w:right w:val="nil"/>
            </w:tcBorders>
          </w:tcPr>
          <w:p w14:paraId="5C65FB1A"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(0.148)</w:t>
            </w:r>
          </w:p>
        </w:tc>
      </w:tr>
      <w:tr w:rsidR="00CE2A44" w:rsidRPr="00C07861" w14:paraId="1D24065F" w14:textId="77777777" w:rsidTr="005B4673">
        <w:trPr>
          <w:jc w:val="center"/>
        </w:trPr>
        <w:tc>
          <w:tcPr>
            <w:tcW w:w="1785" w:type="dxa"/>
            <w:tcBorders>
              <w:top w:val="nil"/>
              <w:left w:val="nil"/>
              <w:bottom w:val="nil"/>
              <w:right w:val="nil"/>
            </w:tcBorders>
          </w:tcPr>
          <w:p w14:paraId="09CB2278" w14:textId="77777777" w:rsidR="00CE2A44" w:rsidRPr="00C07861" w:rsidRDefault="00CE2A44" w:rsidP="005B4673">
            <w:pPr>
              <w:widowControl w:val="0"/>
              <w:autoSpaceDE w:val="0"/>
              <w:autoSpaceDN w:val="0"/>
              <w:adjustRightInd w:val="0"/>
              <w:rPr>
                <w:sz w:val="16"/>
                <w:szCs w:val="16"/>
              </w:rPr>
            </w:pPr>
            <w:r w:rsidRPr="00C07861">
              <w:rPr>
                <w:rFonts w:ascii="Calibri" w:hAnsi="Calibri" w:cs="Calibri"/>
                <w:b/>
                <w:sz w:val="16"/>
                <w:szCs w:val="16"/>
                <w:lang w:val="en-US"/>
              </w:rPr>
              <w:t>Income</w:t>
            </w:r>
          </w:p>
        </w:tc>
        <w:tc>
          <w:tcPr>
            <w:tcW w:w="0" w:type="auto"/>
            <w:tcBorders>
              <w:top w:val="nil"/>
              <w:left w:val="nil"/>
              <w:bottom w:val="nil"/>
              <w:right w:val="nil"/>
            </w:tcBorders>
          </w:tcPr>
          <w:p w14:paraId="50F606D2"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0.0442***</w:t>
            </w:r>
          </w:p>
        </w:tc>
        <w:tc>
          <w:tcPr>
            <w:tcW w:w="0" w:type="auto"/>
            <w:tcBorders>
              <w:top w:val="nil"/>
              <w:left w:val="nil"/>
              <w:bottom w:val="nil"/>
              <w:right w:val="nil"/>
            </w:tcBorders>
          </w:tcPr>
          <w:p w14:paraId="09708D18"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0.0393***</w:t>
            </w:r>
          </w:p>
        </w:tc>
        <w:tc>
          <w:tcPr>
            <w:tcW w:w="0" w:type="auto"/>
            <w:tcBorders>
              <w:top w:val="nil"/>
              <w:left w:val="nil"/>
              <w:bottom w:val="nil"/>
              <w:right w:val="nil"/>
            </w:tcBorders>
          </w:tcPr>
          <w:p w14:paraId="3DE18D4A"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0.0444***</w:t>
            </w:r>
          </w:p>
        </w:tc>
        <w:tc>
          <w:tcPr>
            <w:tcW w:w="0" w:type="auto"/>
            <w:tcBorders>
              <w:top w:val="nil"/>
              <w:left w:val="nil"/>
              <w:bottom w:val="nil"/>
              <w:right w:val="nil"/>
            </w:tcBorders>
          </w:tcPr>
          <w:p w14:paraId="10F612DF"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0.0417***</w:t>
            </w:r>
          </w:p>
        </w:tc>
        <w:tc>
          <w:tcPr>
            <w:tcW w:w="0" w:type="auto"/>
            <w:tcBorders>
              <w:top w:val="nil"/>
              <w:left w:val="nil"/>
              <w:bottom w:val="nil"/>
              <w:right w:val="nil"/>
            </w:tcBorders>
          </w:tcPr>
          <w:p w14:paraId="4B3EB753"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0.0367***</w:t>
            </w:r>
          </w:p>
        </w:tc>
        <w:tc>
          <w:tcPr>
            <w:tcW w:w="0" w:type="auto"/>
            <w:tcBorders>
              <w:top w:val="nil"/>
              <w:left w:val="nil"/>
              <w:bottom w:val="nil"/>
              <w:right w:val="nil"/>
            </w:tcBorders>
          </w:tcPr>
          <w:p w14:paraId="400BBB7A"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0.0418***</w:t>
            </w:r>
          </w:p>
        </w:tc>
      </w:tr>
      <w:tr w:rsidR="00CE2A44" w:rsidRPr="00C07861" w14:paraId="6A33E452" w14:textId="77777777" w:rsidTr="005B4673">
        <w:trPr>
          <w:jc w:val="center"/>
        </w:trPr>
        <w:tc>
          <w:tcPr>
            <w:tcW w:w="1785" w:type="dxa"/>
            <w:tcBorders>
              <w:top w:val="nil"/>
              <w:left w:val="nil"/>
              <w:bottom w:val="nil"/>
              <w:right w:val="nil"/>
            </w:tcBorders>
          </w:tcPr>
          <w:p w14:paraId="0A153631" w14:textId="77777777" w:rsidR="00CE2A44" w:rsidRPr="00C07861" w:rsidRDefault="00CE2A44" w:rsidP="005B4673">
            <w:pPr>
              <w:widowControl w:val="0"/>
              <w:autoSpaceDE w:val="0"/>
              <w:autoSpaceDN w:val="0"/>
              <w:adjustRightInd w:val="0"/>
              <w:rPr>
                <w:sz w:val="16"/>
                <w:szCs w:val="16"/>
              </w:rPr>
            </w:pPr>
          </w:p>
        </w:tc>
        <w:tc>
          <w:tcPr>
            <w:tcW w:w="0" w:type="auto"/>
            <w:tcBorders>
              <w:top w:val="nil"/>
              <w:left w:val="nil"/>
              <w:bottom w:val="nil"/>
              <w:right w:val="nil"/>
            </w:tcBorders>
          </w:tcPr>
          <w:p w14:paraId="6ACCBACF"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(0.00854)</w:t>
            </w:r>
          </w:p>
        </w:tc>
        <w:tc>
          <w:tcPr>
            <w:tcW w:w="0" w:type="auto"/>
            <w:tcBorders>
              <w:top w:val="nil"/>
              <w:left w:val="nil"/>
              <w:bottom w:val="nil"/>
              <w:right w:val="nil"/>
            </w:tcBorders>
          </w:tcPr>
          <w:p w14:paraId="4B277C34"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(0.00844)</w:t>
            </w:r>
          </w:p>
        </w:tc>
        <w:tc>
          <w:tcPr>
            <w:tcW w:w="0" w:type="auto"/>
            <w:tcBorders>
              <w:top w:val="nil"/>
              <w:left w:val="nil"/>
              <w:bottom w:val="nil"/>
              <w:right w:val="nil"/>
            </w:tcBorders>
          </w:tcPr>
          <w:p w14:paraId="44D4AB09"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(0.00848)</w:t>
            </w:r>
          </w:p>
        </w:tc>
        <w:tc>
          <w:tcPr>
            <w:tcW w:w="0" w:type="auto"/>
            <w:tcBorders>
              <w:top w:val="nil"/>
              <w:left w:val="nil"/>
              <w:bottom w:val="nil"/>
              <w:right w:val="nil"/>
            </w:tcBorders>
          </w:tcPr>
          <w:p w14:paraId="2DB25170"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(0.00855)</w:t>
            </w:r>
          </w:p>
        </w:tc>
        <w:tc>
          <w:tcPr>
            <w:tcW w:w="0" w:type="auto"/>
            <w:tcBorders>
              <w:top w:val="nil"/>
              <w:left w:val="nil"/>
              <w:bottom w:val="nil"/>
              <w:right w:val="nil"/>
            </w:tcBorders>
          </w:tcPr>
          <w:p w14:paraId="2CEAEF02"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(0.00846)</w:t>
            </w:r>
          </w:p>
        </w:tc>
        <w:tc>
          <w:tcPr>
            <w:tcW w:w="0" w:type="auto"/>
            <w:tcBorders>
              <w:top w:val="nil"/>
              <w:left w:val="nil"/>
              <w:bottom w:val="nil"/>
              <w:right w:val="nil"/>
            </w:tcBorders>
          </w:tcPr>
          <w:p w14:paraId="4BDFF7D8"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(0.00850)</w:t>
            </w:r>
          </w:p>
        </w:tc>
      </w:tr>
      <w:tr w:rsidR="00CE2A44" w:rsidRPr="00C07861" w14:paraId="2CE4E98B" w14:textId="77777777" w:rsidTr="005B4673">
        <w:trPr>
          <w:jc w:val="center"/>
        </w:trPr>
        <w:tc>
          <w:tcPr>
            <w:tcW w:w="1785" w:type="dxa"/>
            <w:tcBorders>
              <w:top w:val="nil"/>
              <w:left w:val="nil"/>
              <w:bottom w:val="nil"/>
              <w:right w:val="nil"/>
            </w:tcBorders>
          </w:tcPr>
          <w:p w14:paraId="63CB093C" w14:textId="77777777" w:rsidR="00CE2A44" w:rsidRPr="00C07861" w:rsidRDefault="00CE2A44" w:rsidP="005B4673">
            <w:pPr>
              <w:widowControl w:val="0"/>
              <w:autoSpaceDE w:val="0"/>
              <w:autoSpaceDN w:val="0"/>
              <w:adjustRightInd w:val="0"/>
              <w:rPr>
                <w:sz w:val="16"/>
                <w:szCs w:val="16"/>
              </w:rPr>
            </w:pPr>
            <w:r w:rsidRPr="00C07861">
              <w:rPr>
                <w:rFonts w:ascii="Calibri" w:hAnsi="Calibri" w:cs="Calibri"/>
                <w:b/>
                <w:sz w:val="16"/>
                <w:szCs w:val="16"/>
                <w:lang w:val="en-US"/>
              </w:rPr>
              <w:t>Wealth</w:t>
            </w:r>
          </w:p>
        </w:tc>
        <w:tc>
          <w:tcPr>
            <w:tcW w:w="0" w:type="auto"/>
            <w:tcBorders>
              <w:top w:val="nil"/>
              <w:left w:val="nil"/>
              <w:bottom w:val="nil"/>
              <w:right w:val="nil"/>
            </w:tcBorders>
          </w:tcPr>
          <w:p w14:paraId="7F2E2EC4"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0.0176***</w:t>
            </w:r>
          </w:p>
        </w:tc>
        <w:tc>
          <w:tcPr>
            <w:tcW w:w="0" w:type="auto"/>
            <w:tcBorders>
              <w:top w:val="nil"/>
              <w:left w:val="nil"/>
              <w:bottom w:val="nil"/>
              <w:right w:val="nil"/>
            </w:tcBorders>
          </w:tcPr>
          <w:p w14:paraId="29C50B97"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0.0152***</w:t>
            </w:r>
          </w:p>
        </w:tc>
        <w:tc>
          <w:tcPr>
            <w:tcW w:w="0" w:type="auto"/>
            <w:tcBorders>
              <w:top w:val="nil"/>
              <w:left w:val="nil"/>
              <w:bottom w:val="nil"/>
              <w:right w:val="nil"/>
            </w:tcBorders>
          </w:tcPr>
          <w:p w14:paraId="075A7966"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0.0206***</w:t>
            </w:r>
          </w:p>
        </w:tc>
        <w:tc>
          <w:tcPr>
            <w:tcW w:w="0" w:type="auto"/>
            <w:tcBorders>
              <w:top w:val="nil"/>
              <w:left w:val="nil"/>
              <w:bottom w:val="nil"/>
              <w:right w:val="nil"/>
            </w:tcBorders>
          </w:tcPr>
          <w:p w14:paraId="34EFF3DB"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0.0178***</w:t>
            </w:r>
          </w:p>
        </w:tc>
        <w:tc>
          <w:tcPr>
            <w:tcW w:w="0" w:type="auto"/>
            <w:tcBorders>
              <w:top w:val="nil"/>
              <w:left w:val="nil"/>
              <w:bottom w:val="nil"/>
              <w:right w:val="nil"/>
            </w:tcBorders>
          </w:tcPr>
          <w:p w14:paraId="746ADC11"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0.0155***</w:t>
            </w:r>
          </w:p>
        </w:tc>
        <w:tc>
          <w:tcPr>
            <w:tcW w:w="0" w:type="auto"/>
            <w:tcBorders>
              <w:top w:val="nil"/>
              <w:left w:val="nil"/>
              <w:bottom w:val="nil"/>
              <w:right w:val="nil"/>
            </w:tcBorders>
          </w:tcPr>
          <w:p w14:paraId="42896B44"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0.0209***</w:t>
            </w:r>
          </w:p>
        </w:tc>
      </w:tr>
      <w:tr w:rsidR="00CE2A44" w:rsidRPr="00C07861" w14:paraId="5561ECD7" w14:textId="77777777" w:rsidTr="005B4673">
        <w:trPr>
          <w:jc w:val="center"/>
        </w:trPr>
        <w:tc>
          <w:tcPr>
            <w:tcW w:w="1785" w:type="dxa"/>
            <w:tcBorders>
              <w:top w:val="nil"/>
              <w:left w:val="nil"/>
              <w:bottom w:val="nil"/>
              <w:right w:val="nil"/>
            </w:tcBorders>
          </w:tcPr>
          <w:p w14:paraId="64E04B2A" w14:textId="77777777" w:rsidR="00CE2A44" w:rsidRPr="00C07861" w:rsidRDefault="00CE2A44" w:rsidP="005B4673">
            <w:pPr>
              <w:widowControl w:val="0"/>
              <w:autoSpaceDE w:val="0"/>
              <w:autoSpaceDN w:val="0"/>
              <w:adjustRightInd w:val="0"/>
              <w:rPr>
                <w:sz w:val="16"/>
                <w:szCs w:val="16"/>
              </w:rPr>
            </w:pPr>
          </w:p>
        </w:tc>
        <w:tc>
          <w:tcPr>
            <w:tcW w:w="0" w:type="auto"/>
            <w:tcBorders>
              <w:top w:val="nil"/>
              <w:left w:val="nil"/>
              <w:bottom w:val="nil"/>
              <w:right w:val="nil"/>
            </w:tcBorders>
          </w:tcPr>
          <w:p w14:paraId="0BB08A04"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(0.00401)</w:t>
            </w:r>
          </w:p>
        </w:tc>
        <w:tc>
          <w:tcPr>
            <w:tcW w:w="0" w:type="auto"/>
            <w:tcBorders>
              <w:top w:val="nil"/>
              <w:left w:val="nil"/>
              <w:bottom w:val="nil"/>
              <w:right w:val="nil"/>
            </w:tcBorders>
          </w:tcPr>
          <w:p w14:paraId="0EAB6351"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(0.00401)</w:t>
            </w:r>
          </w:p>
        </w:tc>
        <w:tc>
          <w:tcPr>
            <w:tcW w:w="0" w:type="auto"/>
            <w:tcBorders>
              <w:top w:val="nil"/>
              <w:left w:val="nil"/>
              <w:bottom w:val="nil"/>
              <w:right w:val="nil"/>
            </w:tcBorders>
          </w:tcPr>
          <w:p w14:paraId="600DE62D"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(0.00401)</w:t>
            </w:r>
          </w:p>
        </w:tc>
        <w:tc>
          <w:tcPr>
            <w:tcW w:w="0" w:type="auto"/>
            <w:tcBorders>
              <w:top w:val="nil"/>
              <w:left w:val="nil"/>
              <w:bottom w:val="nil"/>
              <w:right w:val="nil"/>
            </w:tcBorders>
          </w:tcPr>
          <w:p w14:paraId="10443EB1"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(0.00400)</w:t>
            </w:r>
          </w:p>
        </w:tc>
        <w:tc>
          <w:tcPr>
            <w:tcW w:w="0" w:type="auto"/>
            <w:tcBorders>
              <w:top w:val="nil"/>
              <w:left w:val="nil"/>
              <w:bottom w:val="nil"/>
              <w:right w:val="nil"/>
            </w:tcBorders>
          </w:tcPr>
          <w:p w14:paraId="2525C6D2"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(0.00399)</w:t>
            </w:r>
          </w:p>
        </w:tc>
        <w:tc>
          <w:tcPr>
            <w:tcW w:w="0" w:type="auto"/>
            <w:tcBorders>
              <w:top w:val="nil"/>
              <w:left w:val="nil"/>
              <w:bottom w:val="nil"/>
              <w:right w:val="nil"/>
            </w:tcBorders>
          </w:tcPr>
          <w:p w14:paraId="35493ACF"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(0.00400)</w:t>
            </w:r>
          </w:p>
        </w:tc>
      </w:tr>
      <w:tr w:rsidR="00CE2A44" w:rsidRPr="00C07861" w14:paraId="7577D73C" w14:textId="77777777" w:rsidTr="005B4673">
        <w:trPr>
          <w:jc w:val="center"/>
        </w:trPr>
        <w:tc>
          <w:tcPr>
            <w:tcW w:w="1785" w:type="dxa"/>
            <w:tcBorders>
              <w:top w:val="nil"/>
              <w:left w:val="nil"/>
              <w:bottom w:val="nil"/>
              <w:right w:val="nil"/>
            </w:tcBorders>
          </w:tcPr>
          <w:p w14:paraId="28C7E58C" w14:textId="77777777" w:rsidR="00CE2A44" w:rsidRPr="00C07861" w:rsidRDefault="00CE2A44" w:rsidP="005B4673">
            <w:pPr>
              <w:widowControl w:val="0"/>
              <w:autoSpaceDE w:val="0"/>
              <w:autoSpaceDN w:val="0"/>
              <w:adjustRightInd w:val="0"/>
              <w:rPr>
                <w:sz w:val="16"/>
                <w:szCs w:val="16"/>
              </w:rPr>
            </w:pPr>
            <w:r w:rsidRPr="00C07861">
              <w:rPr>
                <w:rFonts w:ascii="Calibri" w:hAnsi="Calibri" w:cs="Calibri"/>
                <w:b/>
                <w:sz w:val="16"/>
                <w:szCs w:val="16"/>
                <w:lang w:val="en-US"/>
              </w:rPr>
              <w:t>Home ownership</w:t>
            </w:r>
          </w:p>
        </w:tc>
        <w:tc>
          <w:tcPr>
            <w:tcW w:w="0" w:type="auto"/>
            <w:tcBorders>
              <w:top w:val="nil"/>
              <w:left w:val="nil"/>
              <w:bottom w:val="nil"/>
              <w:right w:val="nil"/>
            </w:tcBorders>
          </w:tcPr>
          <w:p w14:paraId="17BE05DA"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0.0657</w:t>
            </w:r>
          </w:p>
        </w:tc>
        <w:tc>
          <w:tcPr>
            <w:tcW w:w="0" w:type="auto"/>
            <w:tcBorders>
              <w:top w:val="nil"/>
              <w:left w:val="nil"/>
              <w:bottom w:val="nil"/>
              <w:right w:val="nil"/>
            </w:tcBorders>
          </w:tcPr>
          <w:p w14:paraId="6FF33570"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0.0898*</w:t>
            </w:r>
          </w:p>
        </w:tc>
        <w:tc>
          <w:tcPr>
            <w:tcW w:w="0" w:type="auto"/>
            <w:tcBorders>
              <w:top w:val="nil"/>
              <w:left w:val="nil"/>
              <w:bottom w:val="nil"/>
              <w:right w:val="nil"/>
            </w:tcBorders>
          </w:tcPr>
          <w:p w14:paraId="60560132"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0.0731*</w:t>
            </w:r>
          </w:p>
        </w:tc>
        <w:tc>
          <w:tcPr>
            <w:tcW w:w="0" w:type="auto"/>
            <w:tcBorders>
              <w:top w:val="nil"/>
              <w:left w:val="nil"/>
              <w:bottom w:val="nil"/>
              <w:right w:val="nil"/>
            </w:tcBorders>
          </w:tcPr>
          <w:p w14:paraId="5E78D093"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0.0578</w:t>
            </w:r>
          </w:p>
        </w:tc>
        <w:tc>
          <w:tcPr>
            <w:tcW w:w="0" w:type="auto"/>
            <w:tcBorders>
              <w:top w:val="nil"/>
              <w:left w:val="nil"/>
              <w:bottom w:val="nil"/>
              <w:right w:val="nil"/>
            </w:tcBorders>
          </w:tcPr>
          <w:p w14:paraId="5BE68971"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0.0816*</w:t>
            </w:r>
          </w:p>
        </w:tc>
        <w:tc>
          <w:tcPr>
            <w:tcW w:w="0" w:type="auto"/>
            <w:tcBorders>
              <w:top w:val="nil"/>
              <w:left w:val="nil"/>
              <w:bottom w:val="nil"/>
              <w:right w:val="nil"/>
            </w:tcBorders>
          </w:tcPr>
          <w:p w14:paraId="36339F6D"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0.0651</w:t>
            </w:r>
          </w:p>
        </w:tc>
      </w:tr>
      <w:tr w:rsidR="00CE2A44" w:rsidRPr="00C07861" w14:paraId="4B53A467" w14:textId="77777777" w:rsidTr="005B4673">
        <w:trPr>
          <w:jc w:val="center"/>
        </w:trPr>
        <w:tc>
          <w:tcPr>
            <w:tcW w:w="1785" w:type="dxa"/>
            <w:tcBorders>
              <w:top w:val="nil"/>
              <w:left w:val="nil"/>
              <w:bottom w:val="nil"/>
              <w:right w:val="nil"/>
            </w:tcBorders>
          </w:tcPr>
          <w:p w14:paraId="1189134F" w14:textId="77777777" w:rsidR="00CE2A44" w:rsidRPr="00C07861" w:rsidRDefault="00CE2A44" w:rsidP="005B4673">
            <w:pPr>
              <w:widowControl w:val="0"/>
              <w:autoSpaceDE w:val="0"/>
              <w:autoSpaceDN w:val="0"/>
              <w:adjustRightInd w:val="0"/>
              <w:rPr>
                <w:sz w:val="16"/>
                <w:szCs w:val="16"/>
              </w:rPr>
            </w:pPr>
          </w:p>
        </w:tc>
        <w:tc>
          <w:tcPr>
            <w:tcW w:w="0" w:type="auto"/>
            <w:tcBorders>
              <w:top w:val="nil"/>
              <w:left w:val="nil"/>
              <w:bottom w:val="nil"/>
              <w:right w:val="nil"/>
            </w:tcBorders>
          </w:tcPr>
          <w:p w14:paraId="52B67093"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(0.0445)</w:t>
            </w:r>
          </w:p>
        </w:tc>
        <w:tc>
          <w:tcPr>
            <w:tcW w:w="0" w:type="auto"/>
            <w:tcBorders>
              <w:top w:val="nil"/>
              <w:left w:val="nil"/>
              <w:bottom w:val="nil"/>
              <w:right w:val="nil"/>
            </w:tcBorders>
          </w:tcPr>
          <w:p w14:paraId="3C099E0E"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(0.0474)</w:t>
            </w:r>
          </w:p>
        </w:tc>
        <w:tc>
          <w:tcPr>
            <w:tcW w:w="0" w:type="auto"/>
            <w:tcBorders>
              <w:top w:val="nil"/>
              <w:left w:val="nil"/>
              <w:bottom w:val="nil"/>
              <w:right w:val="nil"/>
            </w:tcBorders>
          </w:tcPr>
          <w:p w14:paraId="58015314"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(0.0443)</w:t>
            </w:r>
          </w:p>
        </w:tc>
        <w:tc>
          <w:tcPr>
            <w:tcW w:w="0" w:type="auto"/>
            <w:tcBorders>
              <w:top w:val="nil"/>
              <w:left w:val="nil"/>
              <w:bottom w:val="nil"/>
              <w:right w:val="nil"/>
            </w:tcBorders>
          </w:tcPr>
          <w:p w14:paraId="45DD17DB"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(0.0445)</w:t>
            </w:r>
          </w:p>
        </w:tc>
        <w:tc>
          <w:tcPr>
            <w:tcW w:w="0" w:type="auto"/>
            <w:tcBorders>
              <w:top w:val="nil"/>
              <w:left w:val="nil"/>
              <w:bottom w:val="nil"/>
              <w:right w:val="nil"/>
            </w:tcBorders>
          </w:tcPr>
          <w:p w14:paraId="4DE9147C"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(0.0470)</w:t>
            </w:r>
          </w:p>
        </w:tc>
        <w:tc>
          <w:tcPr>
            <w:tcW w:w="0" w:type="auto"/>
            <w:tcBorders>
              <w:top w:val="nil"/>
              <w:left w:val="nil"/>
              <w:bottom w:val="nil"/>
              <w:right w:val="nil"/>
            </w:tcBorders>
          </w:tcPr>
          <w:p w14:paraId="01C3B06B"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(0.0444)</w:t>
            </w:r>
          </w:p>
        </w:tc>
      </w:tr>
      <w:tr w:rsidR="00CE2A44" w:rsidRPr="00C07861" w14:paraId="2312609E" w14:textId="77777777" w:rsidTr="005B4673">
        <w:trPr>
          <w:jc w:val="center"/>
        </w:trPr>
        <w:tc>
          <w:tcPr>
            <w:tcW w:w="1785" w:type="dxa"/>
            <w:tcBorders>
              <w:top w:val="nil"/>
              <w:left w:val="nil"/>
              <w:bottom w:val="nil"/>
              <w:right w:val="nil"/>
            </w:tcBorders>
          </w:tcPr>
          <w:p w14:paraId="62D6F1B7" w14:textId="77777777" w:rsidR="00CE2A44" w:rsidRPr="00C07861" w:rsidRDefault="00CE2A44" w:rsidP="005B4673">
            <w:pPr>
              <w:widowControl w:val="0"/>
              <w:autoSpaceDE w:val="0"/>
              <w:autoSpaceDN w:val="0"/>
              <w:adjustRightInd w:val="0"/>
              <w:rPr>
                <w:sz w:val="16"/>
                <w:szCs w:val="16"/>
              </w:rPr>
            </w:pPr>
            <w:r w:rsidRPr="00C07861">
              <w:rPr>
                <w:rFonts w:ascii="Calibri" w:hAnsi="Calibri" w:cs="Calibri"/>
                <w:b/>
                <w:sz w:val="16"/>
                <w:szCs w:val="16"/>
                <w:lang w:val="en-US"/>
              </w:rPr>
              <w:t>Good health</w:t>
            </w:r>
          </w:p>
        </w:tc>
        <w:tc>
          <w:tcPr>
            <w:tcW w:w="0" w:type="auto"/>
            <w:tcBorders>
              <w:top w:val="nil"/>
              <w:left w:val="nil"/>
              <w:bottom w:val="nil"/>
              <w:right w:val="nil"/>
            </w:tcBorders>
          </w:tcPr>
          <w:p w14:paraId="6B03D258"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0.0697</w:t>
            </w:r>
          </w:p>
        </w:tc>
        <w:tc>
          <w:tcPr>
            <w:tcW w:w="0" w:type="auto"/>
            <w:tcBorders>
              <w:top w:val="nil"/>
              <w:left w:val="nil"/>
              <w:bottom w:val="nil"/>
              <w:right w:val="nil"/>
            </w:tcBorders>
          </w:tcPr>
          <w:p w14:paraId="0CA96425"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0.0958**</w:t>
            </w:r>
          </w:p>
        </w:tc>
        <w:tc>
          <w:tcPr>
            <w:tcW w:w="0" w:type="auto"/>
            <w:tcBorders>
              <w:top w:val="nil"/>
              <w:left w:val="nil"/>
              <w:bottom w:val="nil"/>
              <w:right w:val="nil"/>
            </w:tcBorders>
          </w:tcPr>
          <w:p w14:paraId="5973A1C0"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0.0638</w:t>
            </w:r>
          </w:p>
        </w:tc>
        <w:tc>
          <w:tcPr>
            <w:tcW w:w="0" w:type="auto"/>
            <w:tcBorders>
              <w:top w:val="nil"/>
              <w:left w:val="nil"/>
              <w:bottom w:val="nil"/>
              <w:right w:val="nil"/>
            </w:tcBorders>
          </w:tcPr>
          <w:p w14:paraId="44113970"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0.0672</w:t>
            </w:r>
          </w:p>
        </w:tc>
        <w:tc>
          <w:tcPr>
            <w:tcW w:w="0" w:type="auto"/>
            <w:tcBorders>
              <w:top w:val="nil"/>
              <w:left w:val="nil"/>
              <w:bottom w:val="nil"/>
              <w:right w:val="nil"/>
            </w:tcBorders>
          </w:tcPr>
          <w:p w14:paraId="63D54CBC"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0.0923**</w:t>
            </w:r>
          </w:p>
        </w:tc>
        <w:tc>
          <w:tcPr>
            <w:tcW w:w="0" w:type="auto"/>
            <w:tcBorders>
              <w:top w:val="nil"/>
              <w:left w:val="nil"/>
              <w:bottom w:val="nil"/>
              <w:right w:val="nil"/>
            </w:tcBorders>
          </w:tcPr>
          <w:p w14:paraId="08EDBA57"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0.0613</w:t>
            </w:r>
          </w:p>
        </w:tc>
      </w:tr>
      <w:tr w:rsidR="00CE2A44" w:rsidRPr="00C07861" w14:paraId="5CB7C380" w14:textId="77777777" w:rsidTr="005B4673">
        <w:trPr>
          <w:jc w:val="center"/>
        </w:trPr>
        <w:tc>
          <w:tcPr>
            <w:tcW w:w="1785" w:type="dxa"/>
            <w:tcBorders>
              <w:top w:val="nil"/>
              <w:left w:val="nil"/>
              <w:bottom w:val="nil"/>
              <w:right w:val="nil"/>
            </w:tcBorders>
          </w:tcPr>
          <w:p w14:paraId="13114C0B" w14:textId="77777777" w:rsidR="00CE2A44" w:rsidRPr="00C07861" w:rsidRDefault="00CE2A44" w:rsidP="005B4673">
            <w:pPr>
              <w:widowControl w:val="0"/>
              <w:autoSpaceDE w:val="0"/>
              <w:autoSpaceDN w:val="0"/>
              <w:adjustRightInd w:val="0"/>
              <w:rPr>
                <w:sz w:val="16"/>
                <w:szCs w:val="16"/>
              </w:rPr>
            </w:pPr>
          </w:p>
        </w:tc>
        <w:tc>
          <w:tcPr>
            <w:tcW w:w="0" w:type="auto"/>
            <w:tcBorders>
              <w:top w:val="nil"/>
              <w:left w:val="nil"/>
              <w:bottom w:val="nil"/>
              <w:right w:val="nil"/>
            </w:tcBorders>
          </w:tcPr>
          <w:p w14:paraId="199EEFC8"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(0.0465)</w:t>
            </w:r>
          </w:p>
        </w:tc>
        <w:tc>
          <w:tcPr>
            <w:tcW w:w="0" w:type="auto"/>
            <w:tcBorders>
              <w:top w:val="nil"/>
              <w:left w:val="nil"/>
              <w:bottom w:val="nil"/>
              <w:right w:val="nil"/>
            </w:tcBorders>
          </w:tcPr>
          <w:p w14:paraId="01617E76"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(0.0469)</w:t>
            </w:r>
          </w:p>
        </w:tc>
        <w:tc>
          <w:tcPr>
            <w:tcW w:w="0" w:type="auto"/>
            <w:tcBorders>
              <w:top w:val="nil"/>
              <w:left w:val="nil"/>
              <w:bottom w:val="nil"/>
              <w:right w:val="nil"/>
            </w:tcBorders>
          </w:tcPr>
          <w:p w14:paraId="143D2E31"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(0.0464)</w:t>
            </w:r>
          </w:p>
        </w:tc>
        <w:tc>
          <w:tcPr>
            <w:tcW w:w="0" w:type="auto"/>
            <w:tcBorders>
              <w:top w:val="nil"/>
              <w:left w:val="nil"/>
              <w:bottom w:val="nil"/>
              <w:right w:val="nil"/>
            </w:tcBorders>
          </w:tcPr>
          <w:p w14:paraId="0A21BF8F"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(0.0465)</w:t>
            </w:r>
          </w:p>
        </w:tc>
        <w:tc>
          <w:tcPr>
            <w:tcW w:w="0" w:type="auto"/>
            <w:tcBorders>
              <w:top w:val="nil"/>
              <w:left w:val="nil"/>
              <w:bottom w:val="nil"/>
              <w:right w:val="nil"/>
            </w:tcBorders>
          </w:tcPr>
          <w:p w14:paraId="4BBE80F1"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(0.0470)</w:t>
            </w:r>
          </w:p>
        </w:tc>
        <w:tc>
          <w:tcPr>
            <w:tcW w:w="0" w:type="auto"/>
            <w:tcBorders>
              <w:top w:val="nil"/>
              <w:left w:val="nil"/>
              <w:bottom w:val="nil"/>
              <w:right w:val="nil"/>
            </w:tcBorders>
          </w:tcPr>
          <w:p w14:paraId="66657148"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(0.0465)</w:t>
            </w:r>
          </w:p>
        </w:tc>
      </w:tr>
      <w:tr w:rsidR="00CE2A44" w:rsidRPr="00C07861" w14:paraId="2631033F" w14:textId="77777777" w:rsidTr="005B4673">
        <w:trPr>
          <w:jc w:val="center"/>
        </w:trPr>
        <w:tc>
          <w:tcPr>
            <w:tcW w:w="1785" w:type="dxa"/>
            <w:tcBorders>
              <w:top w:val="nil"/>
              <w:left w:val="nil"/>
              <w:bottom w:val="nil"/>
              <w:right w:val="nil"/>
            </w:tcBorders>
          </w:tcPr>
          <w:p w14:paraId="10D3F85E" w14:textId="77777777" w:rsidR="00CE2A44" w:rsidRPr="00C07861" w:rsidRDefault="00CE2A44" w:rsidP="005B4673">
            <w:pPr>
              <w:widowControl w:val="0"/>
              <w:autoSpaceDE w:val="0"/>
              <w:autoSpaceDN w:val="0"/>
              <w:adjustRightInd w:val="0"/>
              <w:rPr>
                <w:sz w:val="16"/>
                <w:szCs w:val="16"/>
              </w:rPr>
            </w:pPr>
            <w:r w:rsidRPr="00C07861">
              <w:rPr>
                <w:rFonts w:ascii="Calibri" w:hAnsi="Calibri" w:cs="Calibri"/>
                <w:b/>
                <w:sz w:val="16"/>
                <w:szCs w:val="16"/>
                <w:lang w:val="en-US"/>
              </w:rPr>
              <w:t>Fair health</w:t>
            </w:r>
          </w:p>
        </w:tc>
        <w:tc>
          <w:tcPr>
            <w:tcW w:w="0" w:type="auto"/>
            <w:tcBorders>
              <w:top w:val="nil"/>
              <w:left w:val="nil"/>
              <w:bottom w:val="nil"/>
              <w:right w:val="nil"/>
            </w:tcBorders>
          </w:tcPr>
          <w:p w14:paraId="2EEBF315"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0.00546</w:t>
            </w:r>
          </w:p>
        </w:tc>
        <w:tc>
          <w:tcPr>
            <w:tcW w:w="0" w:type="auto"/>
            <w:tcBorders>
              <w:top w:val="nil"/>
              <w:left w:val="nil"/>
              <w:bottom w:val="nil"/>
              <w:right w:val="nil"/>
            </w:tcBorders>
          </w:tcPr>
          <w:p w14:paraId="2CD94AAA"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0.0307</w:t>
            </w:r>
          </w:p>
        </w:tc>
        <w:tc>
          <w:tcPr>
            <w:tcW w:w="0" w:type="auto"/>
            <w:tcBorders>
              <w:top w:val="nil"/>
              <w:left w:val="nil"/>
              <w:bottom w:val="nil"/>
              <w:right w:val="nil"/>
            </w:tcBorders>
          </w:tcPr>
          <w:p w14:paraId="27123406"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-0.00697</w:t>
            </w:r>
          </w:p>
        </w:tc>
        <w:tc>
          <w:tcPr>
            <w:tcW w:w="0" w:type="auto"/>
            <w:tcBorders>
              <w:top w:val="nil"/>
              <w:left w:val="nil"/>
              <w:bottom w:val="nil"/>
              <w:right w:val="nil"/>
            </w:tcBorders>
          </w:tcPr>
          <w:p w14:paraId="0062A2F9"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0.00524</w:t>
            </w:r>
          </w:p>
        </w:tc>
        <w:tc>
          <w:tcPr>
            <w:tcW w:w="0" w:type="auto"/>
            <w:tcBorders>
              <w:top w:val="nil"/>
              <w:left w:val="nil"/>
              <w:bottom w:val="nil"/>
              <w:right w:val="nil"/>
            </w:tcBorders>
          </w:tcPr>
          <w:p w14:paraId="6312E74C"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0.0300</w:t>
            </w:r>
          </w:p>
        </w:tc>
        <w:tc>
          <w:tcPr>
            <w:tcW w:w="0" w:type="auto"/>
            <w:tcBorders>
              <w:top w:val="nil"/>
              <w:left w:val="nil"/>
              <w:bottom w:val="nil"/>
              <w:right w:val="nil"/>
            </w:tcBorders>
          </w:tcPr>
          <w:p w14:paraId="67403B54"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-0.00722</w:t>
            </w:r>
          </w:p>
        </w:tc>
      </w:tr>
      <w:tr w:rsidR="00CE2A44" w:rsidRPr="00C07861" w14:paraId="5EFA47A6" w14:textId="77777777" w:rsidTr="005B4673">
        <w:trPr>
          <w:jc w:val="center"/>
        </w:trPr>
        <w:tc>
          <w:tcPr>
            <w:tcW w:w="1785" w:type="dxa"/>
            <w:tcBorders>
              <w:top w:val="nil"/>
              <w:left w:val="nil"/>
              <w:bottom w:val="nil"/>
              <w:right w:val="nil"/>
            </w:tcBorders>
          </w:tcPr>
          <w:p w14:paraId="415659C9" w14:textId="77777777" w:rsidR="00CE2A44" w:rsidRPr="00C07861" w:rsidRDefault="00CE2A44" w:rsidP="005B4673">
            <w:pPr>
              <w:widowControl w:val="0"/>
              <w:autoSpaceDE w:val="0"/>
              <w:autoSpaceDN w:val="0"/>
              <w:adjustRightInd w:val="0"/>
              <w:rPr>
                <w:sz w:val="16"/>
                <w:szCs w:val="16"/>
              </w:rPr>
            </w:pPr>
          </w:p>
        </w:tc>
        <w:tc>
          <w:tcPr>
            <w:tcW w:w="0" w:type="auto"/>
            <w:tcBorders>
              <w:top w:val="nil"/>
              <w:left w:val="nil"/>
              <w:bottom w:val="nil"/>
              <w:right w:val="nil"/>
            </w:tcBorders>
          </w:tcPr>
          <w:p w14:paraId="28BF3BF4"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(0.0372)</w:t>
            </w:r>
          </w:p>
        </w:tc>
        <w:tc>
          <w:tcPr>
            <w:tcW w:w="0" w:type="auto"/>
            <w:tcBorders>
              <w:top w:val="nil"/>
              <w:left w:val="nil"/>
              <w:bottom w:val="nil"/>
              <w:right w:val="nil"/>
            </w:tcBorders>
          </w:tcPr>
          <w:p w14:paraId="4B6BC181"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(0.0370)</w:t>
            </w:r>
          </w:p>
        </w:tc>
        <w:tc>
          <w:tcPr>
            <w:tcW w:w="0" w:type="auto"/>
            <w:tcBorders>
              <w:top w:val="nil"/>
              <w:left w:val="nil"/>
              <w:bottom w:val="nil"/>
              <w:right w:val="nil"/>
            </w:tcBorders>
          </w:tcPr>
          <w:p w14:paraId="7FEB3EBC"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(0.0374)</w:t>
            </w:r>
          </w:p>
        </w:tc>
        <w:tc>
          <w:tcPr>
            <w:tcW w:w="0" w:type="auto"/>
            <w:tcBorders>
              <w:top w:val="nil"/>
              <w:left w:val="nil"/>
              <w:bottom w:val="nil"/>
              <w:right w:val="nil"/>
            </w:tcBorders>
          </w:tcPr>
          <w:p w14:paraId="7ED2C06F"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(0.0373)</w:t>
            </w:r>
          </w:p>
        </w:tc>
        <w:tc>
          <w:tcPr>
            <w:tcW w:w="0" w:type="auto"/>
            <w:tcBorders>
              <w:top w:val="nil"/>
              <w:left w:val="nil"/>
              <w:bottom w:val="nil"/>
              <w:right w:val="nil"/>
            </w:tcBorders>
          </w:tcPr>
          <w:p w14:paraId="762D5230"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(0.0371)</w:t>
            </w:r>
          </w:p>
        </w:tc>
        <w:tc>
          <w:tcPr>
            <w:tcW w:w="0" w:type="auto"/>
            <w:tcBorders>
              <w:top w:val="nil"/>
              <w:left w:val="nil"/>
              <w:bottom w:val="nil"/>
              <w:right w:val="nil"/>
            </w:tcBorders>
          </w:tcPr>
          <w:p w14:paraId="43B702FC"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(0.0375)</w:t>
            </w:r>
          </w:p>
        </w:tc>
      </w:tr>
      <w:tr w:rsidR="00CE2A44" w:rsidRPr="006C7818" w14:paraId="456DC024" w14:textId="77777777" w:rsidTr="005B4673">
        <w:trPr>
          <w:jc w:val="center"/>
        </w:trPr>
        <w:tc>
          <w:tcPr>
            <w:tcW w:w="1785" w:type="dxa"/>
            <w:tcBorders>
              <w:top w:val="nil"/>
              <w:left w:val="nil"/>
              <w:bottom w:val="nil"/>
              <w:right w:val="nil"/>
            </w:tcBorders>
          </w:tcPr>
          <w:p w14:paraId="429B9DCC" w14:textId="5BDAE074" w:rsidR="00CE2A44" w:rsidRPr="006C7818" w:rsidRDefault="00CE2A44" w:rsidP="005B4673">
            <w:pPr>
              <w:widowControl w:val="0"/>
              <w:autoSpaceDE w:val="0"/>
              <w:autoSpaceDN w:val="0"/>
              <w:adjustRightInd w:val="0"/>
              <w:rPr>
                <w:sz w:val="16"/>
                <w:szCs w:val="16"/>
              </w:rPr>
            </w:pPr>
            <w:r w:rsidRPr="006C7818">
              <w:rPr>
                <w:rFonts w:ascii="Calibri" w:hAnsi="Calibri" w:cs="Calibri"/>
                <w:b/>
                <w:bCs/>
                <w:sz w:val="16"/>
                <w:szCs w:val="16"/>
                <w:lang w:val="en-US"/>
              </w:rPr>
              <w:t>YoungMove0_16</w:t>
            </w:r>
          </w:p>
        </w:tc>
        <w:tc>
          <w:tcPr>
            <w:tcW w:w="0" w:type="auto"/>
            <w:tcBorders>
              <w:top w:val="nil"/>
              <w:left w:val="nil"/>
              <w:bottom w:val="nil"/>
              <w:right w:val="nil"/>
            </w:tcBorders>
          </w:tcPr>
          <w:p w14:paraId="67016390" w14:textId="77777777" w:rsidR="00CE2A44" w:rsidRPr="006C7818" w:rsidRDefault="00CE2A44" w:rsidP="005B4673">
            <w:pPr>
              <w:widowControl w:val="0"/>
              <w:autoSpaceDE w:val="0"/>
              <w:autoSpaceDN w:val="0"/>
              <w:adjustRightInd w:val="0"/>
              <w:jc w:val="center"/>
              <w:rPr>
                <w:sz w:val="16"/>
                <w:szCs w:val="16"/>
              </w:rPr>
            </w:pPr>
            <w:r w:rsidRPr="006C7818">
              <w:rPr>
                <w:rFonts w:ascii="Calibri" w:hAnsi="Calibri" w:cs="Calibri"/>
                <w:sz w:val="16"/>
                <w:szCs w:val="16"/>
              </w:rPr>
              <w:t>-0.216***</w:t>
            </w:r>
          </w:p>
        </w:tc>
        <w:tc>
          <w:tcPr>
            <w:tcW w:w="0" w:type="auto"/>
            <w:tcBorders>
              <w:top w:val="nil"/>
              <w:left w:val="nil"/>
              <w:bottom w:val="nil"/>
              <w:right w:val="nil"/>
            </w:tcBorders>
          </w:tcPr>
          <w:p w14:paraId="3B557DF4" w14:textId="77777777" w:rsidR="00CE2A44" w:rsidRPr="006C7818" w:rsidRDefault="00CE2A44" w:rsidP="005B4673">
            <w:pPr>
              <w:widowControl w:val="0"/>
              <w:autoSpaceDE w:val="0"/>
              <w:autoSpaceDN w:val="0"/>
              <w:adjustRightInd w:val="0"/>
              <w:jc w:val="center"/>
              <w:rPr>
                <w:sz w:val="16"/>
                <w:szCs w:val="16"/>
              </w:rPr>
            </w:pPr>
            <w:r w:rsidRPr="006C7818">
              <w:rPr>
                <w:rFonts w:ascii="Calibri" w:hAnsi="Calibri" w:cs="Calibri"/>
                <w:sz w:val="16"/>
                <w:szCs w:val="16"/>
              </w:rPr>
              <w:t>-0.260***</w:t>
            </w:r>
          </w:p>
        </w:tc>
        <w:tc>
          <w:tcPr>
            <w:tcW w:w="0" w:type="auto"/>
            <w:tcBorders>
              <w:top w:val="nil"/>
              <w:left w:val="nil"/>
              <w:bottom w:val="nil"/>
              <w:right w:val="nil"/>
            </w:tcBorders>
          </w:tcPr>
          <w:p w14:paraId="59CDD008" w14:textId="77777777" w:rsidR="00CE2A44" w:rsidRPr="006C7818" w:rsidRDefault="00CE2A44" w:rsidP="005B4673">
            <w:pPr>
              <w:widowControl w:val="0"/>
              <w:autoSpaceDE w:val="0"/>
              <w:autoSpaceDN w:val="0"/>
              <w:adjustRightInd w:val="0"/>
              <w:jc w:val="center"/>
              <w:rPr>
                <w:sz w:val="16"/>
                <w:szCs w:val="16"/>
              </w:rPr>
            </w:pPr>
            <w:r w:rsidRPr="006C7818">
              <w:rPr>
                <w:rFonts w:ascii="Calibri" w:hAnsi="Calibri" w:cs="Calibri"/>
                <w:sz w:val="16"/>
                <w:szCs w:val="16"/>
              </w:rPr>
              <w:t>-0.192***</w:t>
            </w:r>
          </w:p>
        </w:tc>
        <w:tc>
          <w:tcPr>
            <w:tcW w:w="0" w:type="auto"/>
            <w:tcBorders>
              <w:top w:val="nil"/>
              <w:left w:val="nil"/>
              <w:bottom w:val="nil"/>
              <w:right w:val="nil"/>
            </w:tcBorders>
          </w:tcPr>
          <w:p w14:paraId="47B2AD4E" w14:textId="77777777" w:rsidR="00CE2A44" w:rsidRPr="006C7818" w:rsidRDefault="00CE2A44" w:rsidP="005B4673">
            <w:pPr>
              <w:widowControl w:val="0"/>
              <w:autoSpaceDE w:val="0"/>
              <w:autoSpaceDN w:val="0"/>
              <w:adjustRightInd w:val="0"/>
              <w:jc w:val="center"/>
              <w:rPr>
                <w:sz w:val="16"/>
                <w:szCs w:val="16"/>
              </w:rPr>
            </w:pPr>
            <w:r w:rsidRPr="006C7818">
              <w:rPr>
                <w:rFonts w:ascii="Calibri" w:hAnsi="Calibri" w:cs="Calibri"/>
                <w:sz w:val="16"/>
                <w:szCs w:val="16"/>
              </w:rPr>
              <w:t>0.00786</w:t>
            </w:r>
          </w:p>
        </w:tc>
        <w:tc>
          <w:tcPr>
            <w:tcW w:w="0" w:type="auto"/>
            <w:tcBorders>
              <w:top w:val="nil"/>
              <w:left w:val="nil"/>
              <w:bottom w:val="nil"/>
              <w:right w:val="nil"/>
            </w:tcBorders>
          </w:tcPr>
          <w:p w14:paraId="2CAF607B" w14:textId="77777777" w:rsidR="00CE2A44" w:rsidRPr="006C7818" w:rsidRDefault="00CE2A44" w:rsidP="005B4673">
            <w:pPr>
              <w:widowControl w:val="0"/>
              <w:autoSpaceDE w:val="0"/>
              <w:autoSpaceDN w:val="0"/>
              <w:adjustRightInd w:val="0"/>
              <w:jc w:val="center"/>
              <w:rPr>
                <w:sz w:val="16"/>
                <w:szCs w:val="16"/>
              </w:rPr>
            </w:pPr>
            <w:r w:rsidRPr="006C7818">
              <w:rPr>
                <w:rFonts w:ascii="Calibri" w:hAnsi="Calibri" w:cs="Calibri"/>
                <w:sz w:val="16"/>
                <w:szCs w:val="16"/>
              </w:rPr>
              <w:t>-0.0359</w:t>
            </w:r>
          </w:p>
        </w:tc>
        <w:tc>
          <w:tcPr>
            <w:tcW w:w="0" w:type="auto"/>
            <w:tcBorders>
              <w:top w:val="nil"/>
              <w:left w:val="nil"/>
              <w:bottom w:val="nil"/>
              <w:right w:val="nil"/>
            </w:tcBorders>
          </w:tcPr>
          <w:p w14:paraId="5F150BAC" w14:textId="77777777" w:rsidR="00CE2A44" w:rsidRPr="006C7818" w:rsidRDefault="00CE2A44" w:rsidP="005B4673">
            <w:pPr>
              <w:widowControl w:val="0"/>
              <w:autoSpaceDE w:val="0"/>
              <w:autoSpaceDN w:val="0"/>
              <w:adjustRightInd w:val="0"/>
              <w:jc w:val="center"/>
              <w:rPr>
                <w:sz w:val="16"/>
                <w:szCs w:val="16"/>
              </w:rPr>
            </w:pPr>
            <w:r w:rsidRPr="006C7818">
              <w:rPr>
                <w:rFonts w:ascii="Calibri" w:hAnsi="Calibri" w:cs="Calibri"/>
                <w:sz w:val="16"/>
                <w:szCs w:val="16"/>
              </w:rPr>
              <w:t>0.0314</w:t>
            </w:r>
          </w:p>
        </w:tc>
      </w:tr>
      <w:tr w:rsidR="00CE2A44" w:rsidRPr="006C7818" w14:paraId="4377D9D0" w14:textId="77777777" w:rsidTr="005B4673">
        <w:trPr>
          <w:jc w:val="center"/>
        </w:trPr>
        <w:tc>
          <w:tcPr>
            <w:tcW w:w="1785" w:type="dxa"/>
            <w:tcBorders>
              <w:top w:val="nil"/>
              <w:left w:val="nil"/>
              <w:bottom w:val="nil"/>
              <w:right w:val="nil"/>
            </w:tcBorders>
          </w:tcPr>
          <w:p w14:paraId="1E710C2F" w14:textId="77777777" w:rsidR="00CE2A44" w:rsidRPr="006C7818" w:rsidRDefault="00CE2A44" w:rsidP="005B4673">
            <w:pPr>
              <w:widowControl w:val="0"/>
              <w:autoSpaceDE w:val="0"/>
              <w:autoSpaceDN w:val="0"/>
              <w:adjustRightInd w:val="0"/>
              <w:rPr>
                <w:sz w:val="16"/>
                <w:szCs w:val="16"/>
              </w:rPr>
            </w:pPr>
          </w:p>
        </w:tc>
        <w:tc>
          <w:tcPr>
            <w:tcW w:w="0" w:type="auto"/>
            <w:tcBorders>
              <w:top w:val="nil"/>
              <w:left w:val="nil"/>
              <w:bottom w:val="nil"/>
              <w:right w:val="nil"/>
            </w:tcBorders>
          </w:tcPr>
          <w:p w14:paraId="71ED1826" w14:textId="77777777" w:rsidR="00CE2A44" w:rsidRPr="006C7818" w:rsidRDefault="00CE2A44" w:rsidP="005B4673">
            <w:pPr>
              <w:widowControl w:val="0"/>
              <w:autoSpaceDE w:val="0"/>
              <w:autoSpaceDN w:val="0"/>
              <w:adjustRightInd w:val="0"/>
              <w:jc w:val="center"/>
              <w:rPr>
                <w:sz w:val="16"/>
                <w:szCs w:val="16"/>
              </w:rPr>
            </w:pPr>
            <w:r w:rsidRPr="006C7818">
              <w:rPr>
                <w:rFonts w:ascii="Calibri" w:hAnsi="Calibri" w:cs="Calibri"/>
                <w:sz w:val="16"/>
                <w:szCs w:val="16"/>
              </w:rPr>
              <w:t>(0.0542)</w:t>
            </w:r>
          </w:p>
        </w:tc>
        <w:tc>
          <w:tcPr>
            <w:tcW w:w="0" w:type="auto"/>
            <w:tcBorders>
              <w:top w:val="nil"/>
              <w:left w:val="nil"/>
              <w:bottom w:val="nil"/>
              <w:right w:val="nil"/>
            </w:tcBorders>
          </w:tcPr>
          <w:p w14:paraId="2FC46909" w14:textId="77777777" w:rsidR="00CE2A44" w:rsidRPr="006C7818" w:rsidRDefault="00CE2A44" w:rsidP="005B4673">
            <w:pPr>
              <w:widowControl w:val="0"/>
              <w:autoSpaceDE w:val="0"/>
              <w:autoSpaceDN w:val="0"/>
              <w:adjustRightInd w:val="0"/>
              <w:jc w:val="center"/>
              <w:rPr>
                <w:sz w:val="16"/>
                <w:szCs w:val="16"/>
              </w:rPr>
            </w:pPr>
            <w:r w:rsidRPr="006C7818">
              <w:rPr>
                <w:rFonts w:ascii="Calibri" w:hAnsi="Calibri" w:cs="Calibri"/>
                <w:sz w:val="16"/>
                <w:szCs w:val="16"/>
              </w:rPr>
              <w:t>(0.0616)</w:t>
            </w:r>
          </w:p>
        </w:tc>
        <w:tc>
          <w:tcPr>
            <w:tcW w:w="0" w:type="auto"/>
            <w:tcBorders>
              <w:top w:val="nil"/>
              <w:left w:val="nil"/>
              <w:bottom w:val="nil"/>
              <w:right w:val="nil"/>
            </w:tcBorders>
          </w:tcPr>
          <w:p w14:paraId="1CFE423B" w14:textId="77777777" w:rsidR="00CE2A44" w:rsidRPr="006C7818" w:rsidRDefault="00CE2A44" w:rsidP="005B4673">
            <w:pPr>
              <w:widowControl w:val="0"/>
              <w:autoSpaceDE w:val="0"/>
              <w:autoSpaceDN w:val="0"/>
              <w:adjustRightInd w:val="0"/>
              <w:jc w:val="center"/>
              <w:rPr>
                <w:sz w:val="16"/>
                <w:szCs w:val="16"/>
              </w:rPr>
            </w:pPr>
            <w:r w:rsidRPr="006C7818">
              <w:rPr>
                <w:rFonts w:ascii="Calibri" w:hAnsi="Calibri" w:cs="Calibri"/>
                <w:sz w:val="16"/>
                <w:szCs w:val="16"/>
              </w:rPr>
              <w:t>(0.0537)</w:t>
            </w:r>
          </w:p>
        </w:tc>
        <w:tc>
          <w:tcPr>
            <w:tcW w:w="0" w:type="auto"/>
            <w:tcBorders>
              <w:top w:val="nil"/>
              <w:left w:val="nil"/>
              <w:bottom w:val="nil"/>
              <w:right w:val="nil"/>
            </w:tcBorders>
          </w:tcPr>
          <w:p w14:paraId="613FA19B" w14:textId="77777777" w:rsidR="00CE2A44" w:rsidRPr="006C7818" w:rsidRDefault="00CE2A44" w:rsidP="005B4673">
            <w:pPr>
              <w:widowControl w:val="0"/>
              <w:autoSpaceDE w:val="0"/>
              <w:autoSpaceDN w:val="0"/>
              <w:adjustRightInd w:val="0"/>
              <w:jc w:val="center"/>
              <w:rPr>
                <w:sz w:val="16"/>
                <w:szCs w:val="16"/>
              </w:rPr>
            </w:pPr>
            <w:r w:rsidRPr="006C7818">
              <w:rPr>
                <w:rFonts w:ascii="Calibri" w:hAnsi="Calibri" w:cs="Calibri"/>
                <w:sz w:val="16"/>
                <w:szCs w:val="16"/>
              </w:rPr>
              <w:t>(0.0524)</w:t>
            </w:r>
          </w:p>
        </w:tc>
        <w:tc>
          <w:tcPr>
            <w:tcW w:w="0" w:type="auto"/>
            <w:tcBorders>
              <w:top w:val="nil"/>
              <w:left w:val="nil"/>
              <w:bottom w:val="nil"/>
              <w:right w:val="nil"/>
            </w:tcBorders>
          </w:tcPr>
          <w:p w14:paraId="61279EC8" w14:textId="77777777" w:rsidR="00CE2A44" w:rsidRPr="006C7818" w:rsidRDefault="00CE2A44" w:rsidP="005B4673">
            <w:pPr>
              <w:widowControl w:val="0"/>
              <w:autoSpaceDE w:val="0"/>
              <w:autoSpaceDN w:val="0"/>
              <w:adjustRightInd w:val="0"/>
              <w:jc w:val="center"/>
              <w:rPr>
                <w:sz w:val="16"/>
                <w:szCs w:val="16"/>
              </w:rPr>
            </w:pPr>
            <w:r w:rsidRPr="006C7818">
              <w:rPr>
                <w:rFonts w:ascii="Calibri" w:hAnsi="Calibri" w:cs="Calibri"/>
                <w:sz w:val="16"/>
                <w:szCs w:val="16"/>
              </w:rPr>
              <w:t>(0.0597)</w:t>
            </w:r>
          </w:p>
        </w:tc>
        <w:tc>
          <w:tcPr>
            <w:tcW w:w="0" w:type="auto"/>
            <w:tcBorders>
              <w:top w:val="nil"/>
              <w:left w:val="nil"/>
              <w:bottom w:val="nil"/>
              <w:right w:val="nil"/>
            </w:tcBorders>
          </w:tcPr>
          <w:p w14:paraId="480358F0" w14:textId="77777777" w:rsidR="00CE2A44" w:rsidRPr="006C7818" w:rsidRDefault="00CE2A44" w:rsidP="005B4673">
            <w:pPr>
              <w:widowControl w:val="0"/>
              <w:autoSpaceDE w:val="0"/>
              <w:autoSpaceDN w:val="0"/>
              <w:adjustRightInd w:val="0"/>
              <w:jc w:val="center"/>
              <w:rPr>
                <w:sz w:val="16"/>
                <w:szCs w:val="16"/>
              </w:rPr>
            </w:pPr>
            <w:r w:rsidRPr="006C7818">
              <w:rPr>
                <w:rFonts w:ascii="Calibri" w:hAnsi="Calibri" w:cs="Calibri"/>
                <w:sz w:val="16"/>
                <w:szCs w:val="16"/>
              </w:rPr>
              <w:t>(0.0520)</w:t>
            </w:r>
          </w:p>
        </w:tc>
      </w:tr>
      <w:tr w:rsidR="00CE2A44" w:rsidRPr="006C7818" w14:paraId="7DDD5BC2" w14:textId="77777777" w:rsidTr="005B4673">
        <w:trPr>
          <w:jc w:val="center"/>
        </w:trPr>
        <w:tc>
          <w:tcPr>
            <w:tcW w:w="1785" w:type="dxa"/>
            <w:tcBorders>
              <w:top w:val="nil"/>
              <w:left w:val="nil"/>
              <w:bottom w:val="nil"/>
              <w:right w:val="nil"/>
            </w:tcBorders>
          </w:tcPr>
          <w:p w14:paraId="67EBC63E" w14:textId="685E1B8A" w:rsidR="00CE2A44" w:rsidRPr="006C7818" w:rsidRDefault="00CE2A44" w:rsidP="005B4673">
            <w:pPr>
              <w:widowControl w:val="0"/>
              <w:autoSpaceDE w:val="0"/>
              <w:autoSpaceDN w:val="0"/>
              <w:adjustRightInd w:val="0"/>
              <w:rPr>
                <w:sz w:val="16"/>
                <w:szCs w:val="16"/>
              </w:rPr>
            </w:pPr>
            <w:r w:rsidRPr="006C7818">
              <w:rPr>
                <w:rFonts w:ascii="Calibri" w:hAnsi="Calibri" w:cs="Calibri"/>
                <w:b/>
                <w:bCs/>
                <w:sz w:val="16"/>
                <w:szCs w:val="16"/>
                <w:lang w:val="en-US"/>
              </w:rPr>
              <w:t>YoungMove17_24</w:t>
            </w:r>
          </w:p>
        </w:tc>
        <w:tc>
          <w:tcPr>
            <w:tcW w:w="0" w:type="auto"/>
            <w:tcBorders>
              <w:top w:val="nil"/>
              <w:left w:val="nil"/>
              <w:bottom w:val="nil"/>
              <w:right w:val="nil"/>
            </w:tcBorders>
          </w:tcPr>
          <w:p w14:paraId="5B2135E1" w14:textId="77777777" w:rsidR="00CE2A44" w:rsidRPr="006C7818" w:rsidRDefault="00CE2A44" w:rsidP="005B4673">
            <w:pPr>
              <w:widowControl w:val="0"/>
              <w:autoSpaceDE w:val="0"/>
              <w:autoSpaceDN w:val="0"/>
              <w:adjustRightInd w:val="0"/>
              <w:jc w:val="center"/>
              <w:rPr>
                <w:sz w:val="16"/>
                <w:szCs w:val="16"/>
              </w:rPr>
            </w:pPr>
            <w:r w:rsidRPr="006C7818">
              <w:rPr>
                <w:rFonts w:ascii="Calibri" w:hAnsi="Calibri" w:cs="Calibri"/>
                <w:sz w:val="16"/>
                <w:szCs w:val="16"/>
              </w:rPr>
              <w:t>-0.212***</w:t>
            </w:r>
          </w:p>
        </w:tc>
        <w:tc>
          <w:tcPr>
            <w:tcW w:w="0" w:type="auto"/>
            <w:tcBorders>
              <w:top w:val="nil"/>
              <w:left w:val="nil"/>
              <w:bottom w:val="nil"/>
              <w:right w:val="nil"/>
            </w:tcBorders>
          </w:tcPr>
          <w:p w14:paraId="241CCE29" w14:textId="77777777" w:rsidR="00CE2A44" w:rsidRPr="006C7818" w:rsidRDefault="00CE2A44" w:rsidP="005B4673">
            <w:pPr>
              <w:widowControl w:val="0"/>
              <w:autoSpaceDE w:val="0"/>
              <w:autoSpaceDN w:val="0"/>
              <w:adjustRightInd w:val="0"/>
              <w:jc w:val="center"/>
              <w:rPr>
                <w:sz w:val="16"/>
                <w:szCs w:val="16"/>
              </w:rPr>
            </w:pPr>
            <w:r w:rsidRPr="006C7818">
              <w:rPr>
                <w:rFonts w:ascii="Calibri" w:hAnsi="Calibri" w:cs="Calibri"/>
                <w:sz w:val="16"/>
                <w:szCs w:val="16"/>
              </w:rPr>
              <w:t>-0.242***</w:t>
            </w:r>
          </w:p>
        </w:tc>
        <w:tc>
          <w:tcPr>
            <w:tcW w:w="0" w:type="auto"/>
            <w:tcBorders>
              <w:top w:val="nil"/>
              <w:left w:val="nil"/>
              <w:bottom w:val="nil"/>
              <w:right w:val="nil"/>
            </w:tcBorders>
          </w:tcPr>
          <w:p w14:paraId="001DB112" w14:textId="77777777" w:rsidR="00CE2A44" w:rsidRPr="006C7818" w:rsidRDefault="00CE2A44" w:rsidP="005B4673">
            <w:pPr>
              <w:widowControl w:val="0"/>
              <w:autoSpaceDE w:val="0"/>
              <w:autoSpaceDN w:val="0"/>
              <w:adjustRightInd w:val="0"/>
              <w:jc w:val="center"/>
              <w:rPr>
                <w:sz w:val="16"/>
                <w:szCs w:val="16"/>
              </w:rPr>
            </w:pPr>
            <w:r w:rsidRPr="006C7818">
              <w:rPr>
                <w:rFonts w:ascii="Calibri" w:hAnsi="Calibri" w:cs="Calibri"/>
                <w:sz w:val="16"/>
                <w:szCs w:val="16"/>
              </w:rPr>
              <w:t>-0.163***</w:t>
            </w:r>
          </w:p>
        </w:tc>
        <w:tc>
          <w:tcPr>
            <w:tcW w:w="0" w:type="auto"/>
            <w:tcBorders>
              <w:top w:val="nil"/>
              <w:left w:val="nil"/>
              <w:bottom w:val="nil"/>
              <w:right w:val="nil"/>
            </w:tcBorders>
          </w:tcPr>
          <w:p w14:paraId="0E1EBF88" w14:textId="77777777" w:rsidR="00CE2A44" w:rsidRPr="006C7818" w:rsidRDefault="00CE2A44" w:rsidP="005B4673">
            <w:pPr>
              <w:widowControl w:val="0"/>
              <w:autoSpaceDE w:val="0"/>
              <w:autoSpaceDN w:val="0"/>
              <w:adjustRightInd w:val="0"/>
              <w:jc w:val="center"/>
              <w:rPr>
                <w:sz w:val="16"/>
                <w:szCs w:val="16"/>
              </w:rPr>
            </w:pPr>
            <w:r w:rsidRPr="006C7818">
              <w:rPr>
                <w:rFonts w:ascii="Calibri" w:hAnsi="Calibri" w:cs="Calibri"/>
                <w:sz w:val="16"/>
                <w:szCs w:val="16"/>
              </w:rPr>
              <w:t>0.0272</w:t>
            </w:r>
          </w:p>
        </w:tc>
        <w:tc>
          <w:tcPr>
            <w:tcW w:w="0" w:type="auto"/>
            <w:tcBorders>
              <w:top w:val="nil"/>
              <w:left w:val="nil"/>
              <w:bottom w:val="nil"/>
              <w:right w:val="nil"/>
            </w:tcBorders>
          </w:tcPr>
          <w:p w14:paraId="4CA67C87" w14:textId="77777777" w:rsidR="00CE2A44" w:rsidRPr="006C7818" w:rsidRDefault="00CE2A44" w:rsidP="005B4673">
            <w:pPr>
              <w:widowControl w:val="0"/>
              <w:autoSpaceDE w:val="0"/>
              <w:autoSpaceDN w:val="0"/>
              <w:adjustRightInd w:val="0"/>
              <w:jc w:val="center"/>
              <w:rPr>
                <w:sz w:val="16"/>
                <w:szCs w:val="16"/>
              </w:rPr>
            </w:pPr>
            <w:r w:rsidRPr="006C7818">
              <w:rPr>
                <w:rFonts w:ascii="Calibri" w:hAnsi="Calibri" w:cs="Calibri"/>
                <w:sz w:val="16"/>
                <w:szCs w:val="16"/>
              </w:rPr>
              <w:t>-0.00346</w:t>
            </w:r>
          </w:p>
        </w:tc>
        <w:tc>
          <w:tcPr>
            <w:tcW w:w="0" w:type="auto"/>
            <w:tcBorders>
              <w:top w:val="nil"/>
              <w:left w:val="nil"/>
              <w:bottom w:val="nil"/>
              <w:right w:val="nil"/>
            </w:tcBorders>
          </w:tcPr>
          <w:p w14:paraId="2A043120" w14:textId="77777777" w:rsidR="00CE2A44" w:rsidRPr="006C7818" w:rsidRDefault="00CE2A44" w:rsidP="005B4673">
            <w:pPr>
              <w:widowControl w:val="0"/>
              <w:autoSpaceDE w:val="0"/>
              <w:autoSpaceDN w:val="0"/>
              <w:adjustRightInd w:val="0"/>
              <w:jc w:val="center"/>
              <w:rPr>
                <w:sz w:val="16"/>
                <w:szCs w:val="16"/>
              </w:rPr>
            </w:pPr>
            <w:r w:rsidRPr="006C7818">
              <w:rPr>
                <w:rFonts w:ascii="Calibri" w:hAnsi="Calibri" w:cs="Calibri"/>
                <w:sz w:val="16"/>
                <w:szCs w:val="16"/>
              </w:rPr>
              <w:t>0.0761</w:t>
            </w:r>
          </w:p>
        </w:tc>
      </w:tr>
      <w:tr w:rsidR="00CE2A44" w:rsidRPr="006C7818" w14:paraId="4863ECAD" w14:textId="77777777" w:rsidTr="005B4673">
        <w:trPr>
          <w:jc w:val="center"/>
        </w:trPr>
        <w:tc>
          <w:tcPr>
            <w:tcW w:w="1785" w:type="dxa"/>
            <w:tcBorders>
              <w:top w:val="nil"/>
              <w:left w:val="nil"/>
              <w:bottom w:val="nil"/>
              <w:right w:val="nil"/>
            </w:tcBorders>
          </w:tcPr>
          <w:p w14:paraId="30161817" w14:textId="77777777" w:rsidR="00CE2A44" w:rsidRPr="006C7818" w:rsidRDefault="00CE2A44" w:rsidP="005B4673">
            <w:pPr>
              <w:widowControl w:val="0"/>
              <w:autoSpaceDE w:val="0"/>
              <w:autoSpaceDN w:val="0"/>
              <w:adjustRightInd w:val="0"/>
              <w:rPr>
                <w:sz w:val="16"/>
                <w:szCs w:val="16"/>
              </w:rPr>
            </w:pPr>
          </w:p>
        </w:tc>
        <w:tc>
          <w:tcPr>
            <w:tcW w:w="0" w:type="auto"/>
            <w:tcBorders>
              <w:top w:val="nil"/>
              <w:left w:val="nil"/>
              <w:bottom w:val="nil"/>
              <w:right w:val="nil"/>
            </w:tcBorders>
          </w:tcPr>
          <w:p w14:paraId="5AA6F283" w14:textId="77777777" w:rsidR="00CE2A44" w:rsidRPr="006C7818" w:rsidRDefault="00CE2A44" w:rsidP="005B4673">
            <w:pPr>
              <w:widowControl w:val="0"/>
              <w:autoSpaceDE w:val="0"/>
              <w:autoSpaceDN w:val="0"/>
              <w:adjustRightInd w:val="0"/>
              <w:jc w:val="center"/>
              <w:rPr>
                <w:sz w:val="16"/>
                <w:szCs w:val="16"/>
              </w:rPr>
            </w:pPr>
            <w:r w:rsidRPr="006C7818">
              <w:rPr>
                <w:rFonts w:ascii="Calibri" w:hAnsi="Calibri" w:cs="Calibri"/>
                <w:sz w:val="16"/>
                <w:szCs w:val="16"/>
              </w:rPr>
              <w:t>(0.0538)</w:t>
            </w:r>
          </w:p>
        </w:tc>
        <w:tc>
          <w:tcPr>
            <w:tcW w:w="0" w:type="auto"/>
            <w:tcBorders>
              <w:top w:val="nil"/>
              <w:left w:val="nil"/>
              <w:bottom w:val="nil"/>
              <w:right w:val="nil"/>
            </w:tcBorders>
          </w:tcPr>
          <w:p w14:paraId="51B2625B" w14:textId="77777777" w:rsidR="00CE2A44" w:rsidRPr="006C7818" w:rsidRDefault="00CE2A44" w:rsidP="005B4673">
            <w:pPr>
              <w:widowControl w:val="0"/>
              <w:autoSpaceDE w:val="0"/>
              <w:autoSpaceDN w:val="0"/>
              <w:adjustRightInd w:val="0"/>
              <w:jc w:val="center"/>
              <w:rPr>
                <w:sz w:val="16"/>
                <w:szCs w:val="16"/>
              </w:rPr>
            </w:pPr>
            <w:r w:rsidRPr="006C7818">
              <w:rPr>
                <w:rFonts w:ascii="Calibri" w:hAnsi="Calibri" w:cs="Calibri"/>
                <w:sz w:val="16"/>
                <w:szCs w:val="16"/>
              </w:rPr>
              <w:t>(0.0523)</w:t>
            </w:r>
          </w:p>
        </w:tc>
        <w:tc>
          <w:tcPr>
            <w:tcW w:w="0" w:type="auto"/>
            <w:tcBorders>
              <w:top w:val="nil"/>
              <w:left w:val="nil"/>
              <w:bottom w:val="nil"/>
              <w:right w:val="nil"/>
            </w:tcBorders>
          </w:tcPr>
          <w:p w14:paraId="437423EF" w14:textId="77777777" w:rsidR="00CE2A44" w:rsidRPr="006C7818" w:rsidRDefault="00CE2A44" w:rsidP="005B4673">
            <w:pPr>
              <w:widowControl w:val="0"/>
              <w:autoSpaceDE w:val="0"/>
              <w:autoSpaceDN w:val="0"/>
              <w:adjustRightInd w:val="0"/>
              <w:jc w:val="center"/>
              <w:rPr>
                <w:sz w:val="16"/>
                <w:szCs w:val="16"/>
              </w:rPr>
            </w:pPr>
            <w:r w:rsidRPr="006C7818">
              <w:rPr>
                <w:rFonts w:ascii="Calibri" w:hAnsi="Calibri" w:cs="Calibri"/>
                <w:sz w:val="16"/>
                <w:szCs w:val="16"/>
              </w:rPr>
              <w:t>(0.0504)</w:t>
            </w:r>
          </w:p>
        </w:tc>
        <w:tc>
          <w:tcPr>
            <w:tcW w:w="0" w:type="auto"/>
            <w:tcBorders>
              <w:top w:val="nil"/>
              <w:left w:val="nil"/>
              <w:bottom w:val="nil"/>
              <w:right w:val="nil"/>
            </w:tcBorders>
          </w:tcPr>
          <w:p w14:paraId="599370B9" w14:textId="77777777" w:rsidR="00CE2A44" w:rsidRPr="006C7818" w:rsidRDefault="00CE2A44" w:rsidP="005B4673">
            <w:pPr>
              <w:widowControl w:val="0"/>
              <w:autoSpaceDE w:val="0"/>
              <w:autoSpaceDN w:val="0"/>
              <w:adjustRightInd w:val="0"/>
              <w:jc w:val="center"/>
              <w:rPr>
                <w:sz w:val="16"/>
                <w:szCs w:val="16"/>
              </w:rPr>
            </w:pPr>
            <w:r w:rsidRPr="006C7818">
              <w:rPr>
                <w:rFonts w:ascii="Calibri" w:hAnsi="Calibri" w:cs="Calibri"/>
                <w:sz w:val="16"/>
                <w:szCs w:val="16"/>
              </w:rPr>
              <w:t>(0.0530)</w:t>
            </w:r>
          </w:p>
        </w:tc>
        <w:tc>
          <w:tcPr>
            <w:tcW w:w="0" w:type="auto"/>
            <w:tcBorders>
              <w:top w:val="nil"/>
              <w:left w:val="nil"/>
              <w:bottom w:val="nil"/>
              <w:right w:val="nil"/>
            </w:tcBorders>
          </w:tcPr>
          <w:p w14:paraId="08584E70" w14:textId="77777777" w:rsidR="00CE2A44" w:rsidRPr="006C7818" w:rsidRDefault="00CE2A44" w:rsidP="005B4673">
            <w:pPr>
              <w:widowControl w:val="0"/>
              <w:autoSpaceDE w:val="0"/>
              <w:autoSpaceDN w:val="0"/>
              <w:adjustRightInd w:val="0"/>
              <w:jc w:val="center"/>
              <w:rPr>
                <w:sz w:val="16"/>
                <w:szCs w:val="16"/>
              </w:rPr>
            </w:pPr>
            <w:r w:rsidRPr="006C7818">
              <w:rPr>
                <w:rFonts w:ascii="Calibri" w:hAnsi="Calibri" w:cs="Calibri"/>
                <w:sz w:val="16"/>
                <w:szCs w:val="16"/>
              </w:rPr>
              <w:t>(0.0513)</w:t>
            </w:r>
          </w:p>
        </w:tc>
        <w:tc>
          <w:tcPr>
            <w:tcW w:w="0" w:type="auto"/>
            <w:tcBorders>
              <w:top w:val="nil"/>
              <w:left w:val="nil"/>
              <w:bottom w:val="nil"/>
              <w:right w:val="nil"/>
            </w:tcBorders>
          </w:tcPr>
          <w:p w14:paraId="3EC5E160" w14:textId="77777777" w:rsidR="00CE2A44" w:rsidRPr="006C7818" w:rsidRDefault="00CE2A44" w:rsidP="005B4673">
            <w:pPr>
              <w:widowControl w:val="0"/>
              <w:autoSpaceDE w:val="0"/>
              <w:autoSpaceDN w:val="0"/>
              <w:adjustRightInd w:val="0"/>
              <w:jc w:val="center"/>
              <w:rPr>
                <w:sz w:val="16"/>
                <w:szCs w:val="16"/>
              </w:rPr>
            </w:pPr>
            <w:r w:rsidRPr="006C7818">
              <w:rPr>
                <w:rFonts w:ascii="Calibri" w:hAnsi="Calibri" w:cs="Calibri"/>
                <w:sz w:val="16"/>
                <w:szCs w:val="16"/>
              </w:rPr>
              <w:t>(0.0502)</w:t>
            </w:r>
          </w:p>
        </w:tc>
      </w:tr>
      <w:tr w:rsidR="00CE2A44" w:rsidRPr="006C7818" w14:paraId="7889041F" w14:textId="77777777" w:rsidTr="005B4673">
        <w:trPr>
          <w:jc w:val="center"/>
        </w:trPr>
        <w:tc>
          <w:tcPr>
            <w:tcW w:w="1785" w:type="dxa"/>
            <w:tcBorders>
              <w:top w:val="nil"/>
              <w:left w:val="nil"/>
              <w:bottom w:val="nil"/>
              <w:right w:val="nil"/>
            </w:tcBorders>
          </w:tcPr>
          <w:p w14:paraId="3C7B89A8" w14:textId="0DE43BD7" w:rsidR="00CE2A44" w:rsidRPr="006C7818" w:rsidRDefault="00CE2A44" w:rsidP="005B4673">
            <w:pPr>
              <w:widowControl w:val="0"/>
              <w:autoSpaceDE w:val="0"/>
              <w:autoSpaceDN w:val="0"/>
              <w:adjustRightInd w:val="0"/>
              <w:rPr>
                <w:sz w:val="16"/>
                <w:szCs w:val="16"/>
              </w:rPr>
            </w:pPr>
            <w:r w:rsidRPr="006C7818">
              <w:rPr>
                <w:rFonts w:ascii="Calibri" w:hAnsi="Calibri" w:cs="Calibri"/>
                <w:b/>
                <w:bCs/>
                <w:sz w:val="16"/>
                <w:szCs w:val="16"/>
                <w:lang w:val="en-US"/>
              </w:rPr>
              <w:t>YoungMove25_30</w:t>
            </w:r>
          </w:p>
        </w:tc>
        <w:tc>
          <w:tcPr>
            <w:tcW w:w="0" w:type="auto"/>
            <w:tcBorders>
              <w:top w:val="nil"/>
              <w:left w:val="nil"/>
              <w:bottom w:val="nil"/>
              <w:right w:val="nil"/>
            </w:tcBorders>
          </w:tcPr>
          <w:p w14:paraId="6A5CBF94" w14:textId="77777777" w:rsidR="00CE2A44" w:rsidRPr="006C7818" w:rsidRDefault="00CE2A44" w:rsidP="005B4673">
            <w:pPr>
              <w:widowControl w:val="0"/>
              <w:autoSpaceDE w:val="0"/>
              <w:autoSpaceDN w:val="0"/>
              <w:adjustRightInd w:val="0"/>
              <w:jc w:val="center"/>
              <w:rPr>
                <w:sz w:val="16"/>
                <w:szCs w:val="16"/>
              </w:rPr>
            </w:pPr>
            <w:r w:rsidRPr="006C7818">
              <w:rPr>
                <w:rFonts w:ascii="Calibri" w:hAnsi="Calibri" w:cs="Calibri"/>
                <w:sz w:val="16"/>
                <w:szCs w:val="16"/>
              </w:rPr>
              <w:t>-0.0374</w:t>
            </w:r>
          </w:p>
        </w:tc>
        <w:tc>
          <w:tcPr>
            <w:tcW w:w="0" w:type="auto"/>
            <w:tcBorders>
              <w:top w:val="nil"/>
              <w:left w:val="nil"/>
              <w:bottom w:val="nil"/>
              <w:right w:val="nil"/>
            </w:tcBorders>
          </w:tcPr>
          <w:p w14:paraId="032E90E6" w14:textId="77777777" w:rsidR="00CE2A44" w:rsidRPr="006C7818" w:rsidRDefault="00CE2A44" w:rsidP="005B4673">
            <w:pPr>
              <w:widowControl w:val="0"/>
              <w:autoSpaceDE w:val="0"/>
              <w:autoSpaceDN w:val="0"/>
              <w:adjustRightInd w:val="0"/>
              <w:jc w:val="center"/>
              <w:rPr>
                <w:sz w:val="16"/>
                <w:szCs w:val="16"/>
              </w:rPr>
            </w:pPr>
            <w:r w:rsidRPr="006C7818">
              <w:rPr>
                <w:rFonts w:ascii="Calibri" w:hAnsi="Calibri" w:cs="Calibri"/>
                <w:sz w:val="16"/>
                <w:szCs w:val="16"/>
              </w:rPr>
              <w:t>-0.0259</w:t>
            </w:r>
          </w:p>
        </w:tc>
        <w:tc>
          <w:tcPr>
            <w:tcW w:w="0" w:type="auto"/>
            <w:tcBorders>
              <w:top w:val="nil"/>
              <w:left w:val="nil"/>
              <w:bottom w:val="nil"/>
              <w:right w:val="nil"/>
            </w:tcBorders>
          </w:tcPr>
          <w:p w14:paraId="2C796BE5" w14:textId="77777777" w:rsidR="00CE2A44" w:rsidRPr="006C7818" w:rsidRDefault="00CE2A44" w:rsidP="005B4673">
            <w:pPr>
              <w:widowControl w:val="0"/>
              <w:autoSpaceDE w:val="0"/>
              <w:autoSpaceDN w:val="0"/>
              <w:adjustRightInd w:val="0"/>
              <w:jc w:val="center"/>
              <w:rPr>
                <w:sz w:val="16"/>
                <w:szCs w:val="16"/>
              </w:rPr>
            </w:pPr>
            <w:r w:rsidRPr="006C7818">
              <w:rPr>
                <w:rFonts w:ascii="Calibri" w:hAnsi="Calibri" w:cs="Calibri"/>
                <w:sz w:val="16"/>
                <w:szCs w:val="16"/>
              </w:rPr>
              <w:t>-0.0332</w:t>
            </w:r>
          </w:p>
        </w:tc>
        <w:tc>
          <w:tcPr>
            <w:tcW w:w="0" w:type="auto"/>
            <w:tcBorders>
              <w:top w:val="nil"/>
              <w:left w:val="nil"/>
              <w:bottom w:val="nil"/>
              <w:right w:val="nil"/>
            </w:tcBorders>
          </w:tcPr>
          <w:p w14:paraId="492D0DB4" w14:textId="77777777" w:rsidR="00CE2A44" w:rsidRPr="006C7818" w:rsidRDefault="00CE2A44" w:rsidP="005B4673">
            <w:pPr>
              <w:widowControl w:val="0"/>
              <w:autoSpaceDE w:val="0"/>
              <w:autoSpaceDN w:val="0"/>
              <w:adjustRightInd w:val="0"/>
              <w:jc w:val="center"/>
              <w:rPr>
                <w:sz w:val="16"/>
                <w:szCs w:val="16"/>
              </w:rPr>
            </w:pPr>
            <w:r w:rsidRPr="006C7818">
              <w:rPr>
                <w:rFonts w:ascii="Calibri" w:hAnsi="Calibri" w:cs="Calibri"/>
                <w:sz w:val="16"/>
                <w:szCs w:val="16"/>
              </w:rPr>
              <w:t>0.190***</w:t>
            </w:r>
          </w:p>
        </w:tc>
        <w:tc>
          <w:tcPr>
            <w:tcW w:w="0" w:type="auto"/>
            <w:tcBorders>
              <w:top w:val="nil"/>
              <w:left w:val="nil"/>
              <w:bottom w:val="nil"/>
              <w:right w:val="nil"/>
            </w:tcBorders>
          </w:tcPr>
          <w:p w14:paraId="6073973E" w14:textId="77777777" w:rsidR="00CE2A44" w:rsidRPr="006C7818" w:rsidRDefault="00CE2A44" w:rsidP="005B4673">
            <w:pPr>
              <w:widowControl w:val="0"/>
              <w:autoSpaceDE w:val="0"/>
              <w:autoSpaceDN w:val="0"/>
              <w:adjustRightInd w:val="0"/>
              <w:jc w:val="center"/>
              <w:rPr>
                <w:sz w:val="16"/>
                <w:szCs w:val="16"/>
              </w:rPr>
            </w:pPr>
            <w:r w:rsidRPr="006C7818">
              <w:rPr>
                <w:rFonts w:ascii="Calibri" w:hAnsi="Calibri" w:cs="Calibri"/>
                <w:sz w:val="16"/>
                <w:szCs w:val="16"/>
              </w:rPr>
              <w:t>0.201***</w:t>
            </w:r>
          </w:p>
        </w:tc>
        <w:tc>
          <w:tcPr>
            <w:tcW w:w="0" w:type="auto"/>
            <w:tcBorders>
              <w:top w:val="nil"/>
              <w:left w:val="nil"/>
              <w:bottom w:val="nil"/>
              <w:right w:val="nil"/>
            </w:tcBorders>
          </w:tcPr>
          <w:p w14:paraId="4D7E1218" w14:textId="77777777" w:rsidR="00CE2A44" w:rsidRPr="006C7818" w:rsidRDefault="00CE2A44" w:rsidP="005B4673">
            <w:pPr>
              <w:widowControl w:val="0"/>
              <w:autoSpaceDE w:val="0"/>
              <w:autoSpaceDN w:val="0"/>
              <w:adjustRightInd w:val="0"/>
              <w:jc w:val="center"/>
              <w:rPr>
                <w:sz w:val="16"/>
                <w:szCs w:val="16"/>
              </w:rPr>
            </w:pPr>
            <w:r w:rsidRPr="006C7818">
              <w:rPr>
                <w:rFonts w:ascii="Calibri" w:hAnsi="Calibri" w:cs="Calibri"/>
                <w:sz w:val="16"/>
                <w:szCs w:val="16"/>
              </w:rPr>
              <w:t>0.194***</w:t>
            </w:r>
          </w:p>
        </w:tc>
      </w:tr>
      <w:tr w:rsidR="00CE2A44" w:rsidRPr="006C7818" w14:paraId="07BCAC3F" w14:textId="77777777" w:rsidTr="005B4673">
        <w:trPr>
          <w:jc w:val="center"/>
        </w:trPr>
        <w:tc>
          <w:tcPr>
            <w:tcW w:w="1785" w:type="dxa"/>
            <w:tcBorders>
              <w:top w:val="nil"/>
              <w:left w:val="nil"/>
              <w:bottom w:val="nil"/>
              <w:right w:val="nil"/>
            </w:tcBorders>
          </w:tcPr>
          <w:p w14:paraId="3B701E8F" w14:textId="77777777" w:rsidR="00CE2A44" w:rsidRPr="006C7818" w:rsidRDefault="00CE2A44" w:rsidP="005B4673">
            <w:pPr>
              <w:widowControl w:val="0"/>
              <w:autoSpaceDE w:val="0"/>
              <w:autoSpaceDN w:val="0"/>
              <w:adjustRightInd w:val="0"/>
              <w:rPr>
                <w:sz w:val="16"/>
                <w:szCs w:val="16"/>
              </w:rPr>
            </w:pPr>
          </w:p>
        </w:tc>
        <w:tc>
          <w:tcPr>
            <w:tcW w:w="0" w:type="auto"/>
            <w:tcBorders>
              <w:top w:val="nil"/>
              <w:left w:val="nil"/>
              <w:bottom w:val="nil"/>
              <w:right w:val="nil"/>
            </w:tcBorders>
          </w:tcPr>
          <w:p w14:paraId="5751332F" w14:textId="77777777" w:rsidR="00CE2A44" w:rsidRPr="006C7818" w:rsidRDefault="00CE2A44" w:rsidP="005B4673">
            <w:pPr>
              <w:widowControl w:val="0"/>
              <w:autoSpaceDE w:val="0"/>
              <w:autoSpaceDN w:val="0"/>
              <w:adjustRightInd w:val="0"/>
              <w:jc w:val="center"/>
              <w:rPr>
                <w:sz w:val="16"/>
                <w:szCs w:val="16"/>
              </w:rPr>
            </w:pPr>
            <w:r w:rsidRPr="006C7818">
              <w:rPr>
                <w:rFonts w:ascii="Calibri" w:hAnsi="Calibri" w:cs="Calibri"/>
                <w:sz w:val="16"/>
                <w:szCs w:val="16"/>
              </w:rPr>
              <w:t>(0.0363)</w:t>
            </w:r>
          </w:p>
        </w:tc>
        <w:tc>
          <w:tcPr>
            <w:tcW w:w="0" w:type="auto"/>
            <w:tcBorders>
              <w:top w:val="nil"/>
              <w:left w:val="nil"/>
              <w:bottom w:val="nil"/>
              <w:right w:val="nil"/>
            </w:tcBorders>
          </w:tcPr>
          <w:p w14:paraId="612566BE" w14:textId="77777777" w:rsidR="00CE2A44" w:rsidRPr="006C7818" w:rsidRDefault="00CE2A44" w:rsidP="005B4673">
            <w:pPr>
              <w:widowControl w:val="0"/>
              <w:autoSpaceDE w:val="0"/>
              <w:autoSpaceDN w:val="0"/>
              <w:adjustRightInd w:val="0"/>
              <w:jc w:val="center"/>
              <w:rPr>
                <w:sz w:val="16"/>
                <w:szCs w:val="16"/>
              </w:rPr>
            </w:pPr>
            <w:r w:rsidRPr="006C7818">
              <w:rPr>
                <w:rFonts w:ascii="Calibri" w:hAnsi="Calibri" w:cs="Calibri"/>
                <w:sz w:val="16"/>
                <w:szCs w:val="16"/>
              </w:rPr>
              <w:t>(0.0379)</w:t>
            </w:r>
          </w:p>
        </w:tc>
        <w:tc>
          <w:tcPr>
            <w:tcW w:w="0" w:type="auto"/>
            <w:tcBorders>
              <w:top w:val="nil"/>
              <w:left w:val="nil"/>
              <w:bottom w:val="nil"/>
              <w:right w:val="nil"/>
            </w:tcBorders>
          </w:tcPr>
          <w:p w14:paraId="72E36A9A" w14:textId="77777777" w:rsidR="00CE2A44" w:rsidRPr="006C7818" w:rsidRDefault="00CE2A44" w:rsidP="005B4673">
            <w:pPr>
              <w:widowControl w:val="0"/>
              <w:autoSpaceDE w:val="0"/>
              <w:autoSpaceDN w:val="0"/>
              <w:adjustRightInd w:val="0"/>
              <w:jc w:val="center"/>
              <w:rPr>
                <w:sz w:val="16"/>
                <w:szCs w:val="16"/>
              </w:rPr>
            </w:pPr>
            <w:r w:rsidRPr="006C7818">
              <w:rPr>
                <w:rFonts w:ascii="Calibri" w:hAnsi="Calibri" w:cs="Calibri"/>
                <w:sz w:val="16"/>
                <w:szCs w:val="16"/>
              </w:rPr>
              <w:t>(0.0359)</w:t>
            </w:r>
          </w:p>
        </w:tc>
        <w:tc>
          <w:tcPr>
            <w:tcW w:w="0" w:type="auto"/>
            <w:tcBorders>
              <w:top w:val="nil"/>
              <w:left w:val="nil"/>
              <w:bottom w:val="nil"/>
              <w:right w:val="nil"/>
            </w:tcBorders>
          </w:tcPr>
          <w:p w14:paraId="197D7F26" w14:textId="77777777" w:rsidR="00CE2A44" w:rsidRPr="006C7818" w:rsidRDefault="00CE2A44" w:rsidP="005B4673">
            <w:pPr>
              <w:widowControl w:val="0"/>
              <w:autoSpaceDE w:val="0"/>
              <w:autoSpaceDN w:val="0"/>
              <w:adjustRightInd w:val="0"/>
              <w:jc w:val="center"/>
              <w:rPr>
                <w:sz w:val="16"/>
                <w:szCs w:val="16"/>
              </w:rPr>
            </w:pPr>
            <w:r w:rsidRPr="006C7818">
              <w:rPr>
                <w:rFonts w:ascii="Calibri" w:hAnsi="Calibri" w:cs="Calibri"/>
                <w:sz w:val="16"/>
                <w:szCs w:val="16"/>
              </w:rPr>
              <w:t>(0.0364)</w:t>
            </w:r>
          </w:p>
        </w:tc>
        <w:tc>
          <w:tcPr>
            <w:tcW w:w="0" w:type="auto"/>
            <w:tcBorders>
              <w:top w:val="nil"/>
              <w:left w:val="nil"/>
              <w:bottom w:val="nil"/>
              <w:right w:val="nil"/>
            </w:tcBorders>
          </w:tcPr>
          <w:p w14:paraId="7E83892D" w14:textId="77777777" w:rsidR="00CE2A44" w:rsidRPr="006C7818" w:rsidRDefault="00CE2A44" w:rsidP="005B4673">
            <w:pPr>
              <w:widowControl w:val="0"/>
              <w:autoSpaceDE w:val="0"/>
              <w:autoSpaceDN w:val="0"/>
              <w:adjustRightInd w:val="0"/>
              <w:jc w:val="center"/>
              <w:rPr>
                <w:sz w:val="16"/>
                <w:szCs w:val="16"/>
              </w:rPr>
            </w:pPr>
            <w:r w:rsidRPr="006C7818">
              <w:rPr>
                <w:rFonts w:ascii="Calibri" w:hAnsi="Calibri" w:cs="Calibri"/>
                <w:sz w:val="16"/>
                <w:szCs w:val="16"/>
              </w:rPr>
              <w:t>(0.0381)</w:t>
            </w:r>
          </w:p>
        </w:tc>
        <w:tc>
          <w:tcPr>
            <w:tcW w:w="0" w:type="auto"/>
            <w:tcBorders>
              <w:top w:val="nil"/>
              <w:left w:val="nil"/>
              <w:bottom w:val="nil"/>
              <w:right w:val="nil"/>
            </w:tcBorders>
          </w:tcPr>
          <w:p w14:paraId="17328247" w14:textId="77777777" w:rsidR="00CE2A44" w:rsidRPr="006C7818" w:rsidRDefault="00CE2A44" w:rsidP="005B4673">
            <w:pPr>
              <w:widowControl w:val="0"/>
              <w:autoSpaceDE w:val="0"/>
              <w:autoSpaceDN w:val="0"/>
              <w:adjustRightInd w:val="0"/>
              <w:jc w:val="center"/>
              <w:rPr>
                <w:sz w:val="16"/>
                <w:szCs w:val="16"/>
              </w:rPr>
            </w:pPr>
            <w:r w:rsidRPr="006C7818">
              <w:rPr>
                <w:rFonts w:ascii="Calibri" w:hAnsi="Calibri" w:cs="Calibri"/>
                <w:sz w:val="16"/>
                <w:szCs w:val="16"/>
              </w:rPr>
              <w:t>(0.0362)</w:t>
            </w:r>
          </w:p>
        </w:tc>
      </w:tr>
      <w:tr w:rsidR="00CE2A44" w:rsidRPr="006C7818" w14:paraId="53DBA5D0" w14:textId="77777777" w:rsidTr="005B4673">
        <w:trPr>
          <w:jc w:val="center"/>
        </w:trPr>
        <w:tc>
          <w:tcPr>
            <w:tcW w:w="1785" w:type="dxa"/>
            <w:tcBorders>
              <w:top w:val="nil"/>
              <w:left w:val="nil"/>
              <w:bottom w:val="nil"/>
              <w:right w:val="nil"/>
            </w:tcBorders>
          </w:tcPr>
          <w:p w14:paraId="6C28A72E" w14:textId="596299B8" w:rsidR="00CE2A44" w:rsidRPr="006C7818" w:rsidRDefault="00CE2A44" w:rsidP="005B4673">
            <w:pPr>
              <w:widowControl w:val="0"/>
              <w:autoSpaceDE w:val="0"/>
              <w:autoSpaceDN w:val="0"/>
              <w:adjustRightInd w:val="0"/>
              <w:rPr>
                <w:sz w:val="16"/>
                <w:szCs w:val="16"/>
              </w:rPr>
            </w:pPr>
            <w:r w:rsidRPr="006C7818">
              <w:rPr>
                <w:rFonts w:ascii="Calibri" w:hAnsi="Calibri" w:cs="Calibri"/>
                <w:b/>
                <w:bCs/>
                <w:sz w:val="16"/>
                <w:szCs w:val="16"/>
                <w:lang w:val="en-US"/>
              </w:rPr>
              <w:t>YoungMove31+</w:t>
            </w:r>
          </w:p>
        </w:tc>
        <w:tc>
          <w:tcPr>
            <w:tcW w:w="0" w:type="auto"/>
            <w:tcBorders>
              <w:top w:val="nil"/>
              <w:left w:val="nil"/>
              <w:bottom w:val="nil"/>
              <w:right w:val="nil"/>
            </w:tcBorders>
          </w:tcPr>
          <w:p w14:paraId="6EA275B0" w14:textId="77777777" w:rsidR="00CE2A44" w:rsidRPr="006C7818" w:rsidRDefault="00CE2A44" w:rsidP="005B4673">
            <w:pPr>
              <w:widowControl w:val="0"/>
              <w:autoSpaceDE w:val="0"/>
              <w:autoSpaceDN w:val="0"/>
              <w:adjustRightInd w:val="0"/>
              <w:jc w:val="center"/>
              <w:rPr>
                <w:sz w:val="16"/>
                <w:szCs w:val="16"/>
              </w:rPr>
            </w:pPr>
            <w:r w:rsidRPr="006C7818">
              <w:rPr>
                <w:rFonts w:ascii="Calibri" w:hAnsi="Calibri" w:cs="Calibri"/>
                <w:sz w:val="16"/>
                <w:szCs w:val="16"/>
              </w:rPr>
              <w:t>-0.0579</w:t>
            </w:r>
          </w:p>
        </w:tc>
        <w:tc>
          <w:tcPr>
            <w:tcW w:w="0" w:type="auto"/>
            <w:tcBorders>
              <w:top w:val="nil"/>
              <w:left w:val="nil"/>
              <w:bottom w:val="nil"/>
              <w:right w:val="nil"/>
            </w:tcBorders>
          </w:tcPr>
          <w:p w14:paraId="6989C304" w14:textId="77777777" w:rsidR="00CE2A44" w:rsidRPr="006C7818" w:rsidRDefault="00CE2A44" w:rsidP="005B4673">
            <w:pPr>
              <w:widowControl w:val="0"/>
              <w:autoSpaceDE w:val="0"/>
              <w:autoSpaceDN w:val="0"/>
              <w:adjustRightInd w:val="0"/>
              <w:jc w:val="center"/>
              <w:rPr>
                <w:sz w:val="16"/>
                <w:szCs w:val="16"/>
              </w:rPr>
            </w:pPr>
            <w:r w:rsidRPr="006C7818">
              <w:rPr>
                <w:rFonts w:ascii="Calibri" w:hAnsi="Calibri" w:cs="Calibri"/>
                <w:sz w:val="16"/>
                <w:szCs w:val="16"/>
              </w:rPr>
              <w:t>-0.0136</w:t>
            </w:r>
          </w:p>
        </w:tc>
        <w:tc>
          <w:tcPr>
            <w:tcW w:w="0" w:type="auto"/>
            <w:tcBorders>
              <w:top w:val="nil"/>
              <w:left w:val="nil"/>
              <w:bottom w:val="nil"/>
              <w:right w:val="nil"/>
            </w:tcBorders>
          </w:tcPr>
          <w:p w14:paraId="650B67D0" w14:textId="77777777" w:rsidR="00CE2A44" w:rsidRPr="006C7818" w:rsidRDefault="00CE2A44" w:rsidP="005B4673">
            <w:pPr>
              <w:widowControl w:val="0"/>
              <w:autoSpaceDE w:val="0"/>
              <w:autoSpaceDN w:val="0"/>
              <w:adjustRightInd w:val="0"/>
              <w:jc w:val="center"/>
              <w:rPr>
                <w:sz w:val="16"/>
                <w:szCs w:val="16"/>
              </w:rPr>
            </w:pPr>
            <w:r w:rsidRPr="006C7818">
              <w:rPr>
                <w:rFonts w:ascii="Calibri" w:hAnsi="Calibri" w:cs="Calibri"/>
                <w:sz w:val="16"/>
                <w:szCs w:val="16"/>
              </w:rPr>
              <w:t>-0.0570</w:t>
            </w:r>
          </w:p>
        </w:tc>
        <w:tc>
          <w:tcPr>
            <w:tcW w:w="0" w:type="auto"/>
            <w:tcBorders>
              <w:top w:val="nil"/>
              <w:left w:val="nil"/>
              <w:bottom w:val="nil"/>
              <w:right w:val="nil"/>
            </w:tcBorders>
          </w:tcPr>
          <w:p w14:paraId="019A7DF8" w14:textId="77777777" w:rsidR="00CE2A44" w:rsidRPr="006C7818" w:rsidRDefault="00CE2A44" w:rsidP="005B4673">
            <w:pPr>
              <w:widowControl w:val="0"/>
              <w:autoSpaceDE w:val="0"/>
              <w:autoSpaceDN w:val="0"/>
              <w:adjustRightInd w:val="0"/>
              <w:jc w:val="center"/>
              <w:rPr>
                <w:sz w:val="16"/>
                <w:szCs w:val="16"/>
              </w:rPr>
            </w:pPr>
            <w:r w:rsidRPr="006C7818">
              <w:rPr>
                <w:rFonts w:ascii="Calibri" w:hAnsi="Calibri" w:cs="Calibri"/>
                <w:sz w:val="16"/>
                <w:szCs w:val="16"/>
              </w:rPr>
              <w:t>0.177***</w:t>
            </w:r>
          </w:p>
        </w:tc>
        <w:tc>
          <w:tcPr>
            <w:tcW w:w="0" w:type="auto"/>
            <w:tcBorders>
              <w:top w:val="nil"/>
              <w:left w:val="nil"/>
              <w:bottom w:val="nil"/>
              <w:right w:val="nil"/>
            </w:tcBorders>
          </w:tcPr>
          <w:p w14:paraId="1EDF39AF" w14:textId="77777777" w:rsidR="00CE2A44" w:rsidRPr="006C7818" w:rsidRDefault="00CE2A44" w:rsidP="005B4673">
            <w:pPr>
              <w:widowControl w:val="0"/>
              <w:autoSpaceDE w:val="0"/>
              <w:autoSpaceDN w:val="0"/>
              <w:adjustRightInd w:val="0"/>
              <w:jc w:val="center"/>
              <w:rPr>
                <w:sz w:val="16"/>
                <w:szCs w:val="16"/>
              </w:rPr>
            </w:pPr>
            <w:r w:rsidRPr="006C7818">
              <w:rPr>
                <w:rFonts w:ascii="Calibri" w:hAnsi="Calibri" w:cs="Calibri"/>
                <w:sz w:val="16"/>
                <w:szCs w:val="16"/>
              </w:rPr>
              <w:t>0.221***</w:t>
            </w:r>
          </w:p>
        </w:tc>
        <w:tc>
          <w:tcPr>
            <w:tcW w:w="0" w:type="auto"/>
            <w:tcBorders>
              <w:top w:val="nil"/>
              <w:left w:val="nil"/>
              <w:bottom w:val="nil"/>
              <w:right w:val="nil"/>
            </w:tcBorders>
          </w:tcPr>
          <w:p w14:paraId="74B4B6F4" w14:textId="77777777" w:rsidR="00CE2A44" w:rsidRPr="006C7818" w:rsidRDefault="00CE2A44" w:rsidP="005B4673">
            <w:pPr>
              <w:widowControl w:val="0"/>
              <w:autoSpaceDE w:val="0"/>
              <w:autoSpaceDN w:val="0"/>
              <w:adjustRightInd w:val="0"/>
              <w:jc w:val="center"/>
              <w:rPr>
                <w:sz w:val="16"/>
                <w:szCs w:val="16"/>
              </w:rPr>
            </w:pPr>
            <w:r w:rsidRPr="006C7818">
              <w:rPr>
                <w:rFonts w:ascii="Calibri" w:hAnsi="Calibri" w:cs="Calibri"/>
                <w:sz w:val="16"/>
                <w:szCs w:val="16"/>
              </w:rPr>
              <w:t>0.178***</w:t>
            </w:r>
          </w:p>
        </w:tc>
      </w:tr>
      <w:tr w:rsidR="00CE2A44" w:rsidRPr="00C07861" w14:paraId="30AF5304" w14:textId="77777777" w:rsidTr="005B4673">
        <w:trPr>
          <w:jc w:val="center"/>
        </w:trPr>
        <w:tc>
          <w:tcPr>
            <w:tcW w:w="1785" w:type="dxa"/>
            <w:tcBorders>
              <w:top w:val="nil"/>
              <w:left w:val="nil"/>
              <w:bottom w:val="nil"/>
              <w:right w:val="nil"/>
            </w:tcBorders>
          </w:tcPr>
          <w:p w14:paraId="2C7505D7" w14:textId="77777777" w:rsidR="00CE2A44" w:rsidRPr="006C7818" w:rsidRDefault="00CE2A44" w:rsidP="005B4673">
            <w:pPr>
              <w:widowControl w:val="0"/>
              <w:autoSpaceDE w:val="0"/>
              <w:autoSpaceDN w:val="0"/>
              <w:adjustRightInd w:val="0"/>
              <w:rPr>
                <w:sz w:val="16"/>
                <w:szCs w:val="16"/>
              </w:rPr>
            </w:pPr>
          </w:p>
        </w:tc>
        <w:tc>
          <w:tcPr>
            <w:tcW w:w="0" w:type="auto"/>
            <w:tcBorders>
              <w:top w:val="nil"/>
              <w:left w:val="nil"/>
              <w:bottom w:val="nil"/>
              <w:right w:val="nil"/>
            </w:tcBorders>
          </w:tcPr>
          <w:p w14:paraId="206DC473" w14:textId="77777777" w:rsidR="00CE2A44" w:rsidRPr="006C7818" w:rsidRDefault="00CE2A44" w:rsidP="005B4673">
            <w:pPr>
              <w:widowControl w:val="0"/>
              <w:autoSpaceDE w:val="0"/>
              <w:autoSpaceDN w:val="0"/>
              <w:adjustRightInd w:val="0"/>
              <w:jc w:val="center"/>
              <w:rPr>
                <w:sz w:val="16"/>
                <w:szCs w:val="16"/>
              </w:rPr>
            </w:pPr>
            <w:r w:rsidRPr="006C7818">
              <w:rPr>
                <w:rFonts w:ascii="Calibri" w:hAnsi="Calibri" w:cs="Calibri"/>
                <w:sz w:val="16"/>
                <w:szCs w:val="16"/>
              </w:rPr>
              <w:t>(0.0368)</w:t>
            </w:r>
          </w:p>
        </w:tc>
        <w:tc>
          <w:tcPr>
            <w:tcW w:w="0" w:type="auto"/>
            <w:tcBorders>
              <w:top w:val="nil"/>
              <w:left w:val="nil"/>
              <w:bottom w:val="nil"/>
              <w:right w:val="nil"/>
            </w:tcBorders>
          </w:tcPr>
          <w:p w14:paraId="2E164439" w14:textId="77777777" w:rsidR="00CE2A44" w:rsidRPr="006C7818" w:rsidRDefault="00CE2A44" w:rsidP="005B4673">
            <w:pPr>
              <w:widowControl w:val="0"/>
              <w:autoSpaceDE w:val="0"/>
              <w:autoSpaceDN w:val="0"/>
              <w:adjustRightInd w:val="0"/>
              <w:jc w:val="center"/>
              <w:rPr>
                <w:sz w:val="16"/>
                <w:szCs w:val="16"/>
              </w:rPr>
            </w:pPr>
            <w:r w:rsidRPr="006C7818">
              <w:rPr>
                <w:rFonts w:ascii="Calibri" w:hAnsi="Calibri" w:cs="Calibri"/>
                <w:sz w:val="16"/>
                <w:szCs w:val="16"/>
              </w:rPr>
              <w:t>(0.0371)</w:t>
            </w:r>
          </w:p>
        </w:tc>
        <w:tc>
          <w:tcPr>
            <w:tcW w:w="0" w:type="auto"/>
            <w:tcBorders>
              <w:top w:val="nil"/>
              <w:left w:val="nil"/>
              <w:bottom w:val="nil"/>
              <w:right w:val="nil"/>
            </w:tcBorders>
          </w:tcPr>
          <w:p w14:paraId="27440D62" w14:textId="77777777" w:rsidR="00CE2A44" w:rsidRPr="006C7818" w:rsidRDefault="00CE2A44" w:rsidP="005B4673">
            <w:pPr>
              <w:widowControl w:val="0"/>
              <w:autoSpaceDE w:val="0"/>
              <w:autoSpaceDN w:val="0"/>
              <w:adjustRightInd w:val="0"/>
              <w:jc w:val="center"/>
              <w:rPr>
                <w:sz w:val="16"/>
                <w:szCs w:val="16"/>
              </w:rPr>
            </w:pPr>
            <w:r w:rsidRPr="006C7818">
              <w:rPr>
                <w:rFonts w:ascii="Calibri" w:hAnsi="Calibri" w:cs="Calibri"/>
                <w:sz w:val="16"/>
                <w:szCs w:val="16"/>
              </w:rPr>
              <w:t>(0.0367)</w:t>
            </w:r>
          </w:p>
        </w:tc>
        <w:tc>
          <w:tcPr>
            <w:tcW w:w="0" w:type="auto"/>
            <w:tcBorders>
              <w:top w:val="nil"/>
              <w:left w:val="nil"/>
              <w:bottom w:val="nil"/>
              <w:right w:val="nil"/>
            </w:tcBorders>
          </w:tcPr>
          <w:p w14:paraId="78C237CC" w14:textId="77777777" w:rsidR="00CE2A44" w:rsidRPr="006C7818" w:rsidRDefault="00CE2A44" w:rsidP="005B4673">
            <w:pPr>
              <w:widowControl w:val="0"/>
              <w:autoSpaceDE w:val="0"/>
              <w:autoSpaceDN w:val="0"/>
              <w:adjustRightInd w:val="0"/>
              <w:jc w:val="center"/>
              <w:rPr>
                <w:sz w:val="16"/>
                <w:szCs w:val="16"/>
              </w:rPr>
            </w:pPr>
            <w:r w:rsidRPr="006C7818">
              <w:rPr>
                <w:rFonts w:ascii="Calibri" w:hAnsi="Calibri" w:cs="Calibri"/>
                <w:sz w:val="16"/>
                <w:szCs w:val="16"/>
              </w:rPr>
              <w:t>(0.0371)</w:t>
            </w:r>
          </w:p>
        </w:tc>
        <w:tc>
          <w:tcPr>
            <w:tcW w:w="0" w:type="auto"/>
            <w:tcBorders>
              <w:top w:val="nil"/>
              <w:left w:val="nil"/>
              <w:bottom w:val="nil"/>
              <w:right w:val="nil"/>
            </w:tcBorders>
          </w:tcPr>
          <w:p w14:paraId="4DE38D16" w14:textId="77777777" w:rsidR="00CE2A44" w:rsidRPr="006C7818" w:rsidRDefault="00CE2A44" w:rsidP="005B4673">
            <w:pPr>
              <w:widowControl w:val="0"/>
              <w:autoSpaceDE w:val="0"/>
              <w:autoSpaceDN w:val="0"/>
              <w:adjustRightInd w:val="0"/>
              <w:jc w:val="center"/>
              <w:rPr>
                <w:sz w:val="16"/>
                <w:szCs w:val="16"/>
              </w:rPr>
            </w:pPr>
            <w:r w:rsidRPr="006C7818">
              <w:rPr>
                <w:rFonts w:ascii="Calibri" w:hAnsi="Calibri" w:cs="Calibri"/>
                <w:sz w:val="16"/>
                <w:szCs w:val="16"/>
              </w:rPr>
              <w:t>(0.0376)</w:t>
            </w:r>
          </w:p>
        </w:tc>
        <w:tc>
          <w:tcPr>
            <w:tcW w:w="0" w:type="auto"/>
            <w:tcBorders>
              <w:top w:val="nil"/>
              <w:left w:val="nil"/>
              <w:bottom w:val="nil"/>
              <w:right w:val="nil"/>
            </w:tcBorders>
          </w:tcPr>
          <w:p w14:paraId="2DA86820" w14:textId="77777777" w:rsidR="00CE2A44" w:rsidRPr="006C7818" w:rsidRDefault="00CE2A44" w:rsidP="005B4673">
            <w:pPr>
              <w:widowControl w:val="0"/>
              <w:autoSpaceDE w:val="0"/>
              <w:autoSpaceDN w:val="0"/>
              <w:adjustRightInd w:val="0"/>
              <w:jc w:val="center"/>
              <w:rPr>
                <w:sz w:val="16"/>
                <w:szCs w:val="16"/>
              </w:rPr>
            </w:pPr>
            <w:r w:rsidRPr="006C7818">
              <w:rPr>
                <w:rFonts w:ascii="Calibri" w:hAnsi="Calibri" w:cs="Calibri"/>
                <w:sz w:val="16"/>
                <w:szCs w:val="16"/>
              </w:rPr>
              <w:t>(0.0372)</w:t>
            </w:r>
          </w:p>
        </w:tc>
      </w:tr>
      <w:tr w:rsidR="00CE2A44" w:rsidRPr="00C07861" w14:paraId="64855407" w14:textId="77777777" w:rsidTr="005B4673">
        <w:trPr>
          <w:jc w:val="center"/>
        </w:trPr>
        <w:tc>
          <w:tcPr>
            <w:tcW w:w="1785" w:type="dxa"/>
            <w:tcBorders>
              <w:top w:val="nil"/>
              <w:left w:val="nil"/>
              <w:bottom w:val="nil"/>
              <w:right w:val="nil"/>
            </w:tcBorders>
          </w:tcPr>
          <w:p w14:paraId="51108D8E" w14:textId="77777777" w:rsidR="00CE2A44" w:rsidRPr="00C07861" w:rsidRDefault="00CE2A44" w:rsidP="005B4673">
            <w:pPr>
              <w:widowControl w:val="0"/>
              <w:autoSpaceDE w:val="0"/>
              <w:autoSpaceDN w:val="0"/>
              <w:adjustRightInd w:val="0"/>
              <w:rPr>
                <w:sz w:val="16"/>
                <w:szCs w:val="16"/>
              </w:rPr>
            </w:pPr>
            <w:r w:rsidRPr="00C07861">
              <w:rPr>
                <w:rFonts w:ascii="Calibri" w:hAnsi="Calibri" w:cs="Calibri"/>
                <w:b/>
                <w:sz w:val="16"/>
                <w:szCs w:val="16"/>
                <w:lang w:val="en-US"/>
              </w:rPr>
              <w:t xml:space="preserve">No. of non-offspring </w:t>
            </w:r>
          </w:p>
        </w:tc>
        <w:tc>
          <w:tcPr>
            <w:tcW w:w="0" w:type="auto"/>
            <w:tcBorders>
              <w:top w:val="nil"/>
              <w:left w:val="nil"/>
              <w:bottom w:val="nil"/>
              <w:right w:val="nil"/>
            </w:tcBorders>
          </w:tcPr>
          <w:p w14:paraId="031356E8"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0.0689</w:t>
            </w:r>
          </w:p>
        </w:tc>
        <w:tc>
          <w:tcPr>
            <w:tcW w:w="0" w:type="auto"/>
            <w:tcBorders>
              <w:top w:val="nil"/>
              <w:left w:val="nil"/>
              <w:bottom w:val="nil"/>
              <w:right w:val="nil"/>
            </w:tcBorders>
          </w:tcPr>
          <w:p w14:paraId="17F9BF5A"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0.0941</w:t>
            </w:r>
          </w:p>
        </w:tc>
        <w:tc>
          <w:tcPr>
            <w:tcW w:w="0" w:type="auto"/>
            <w:tcBorders>
              <w:top w:val="nil"/>
              <w:left w:val="nil"/>
              <w:bottom w:val="nil"/>
              <w:right w:val="nil"/>
            </w:tcBorders>
          </w:tcPr>
          <w:p w14:paraId="632E9498"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0.0857</w:t>
            </w:r>
          </w:p>
        </w:tc>
        <w:tc>
          <w:tcPr>
            <w:tcW w:w="0" w:type="auto"/>
            <w:tcBorders>
              <w:top w:val="nil"/>
              <w:left w:val="nil"/>
              <w:bottom w:val="nil"/>
              <w:right w:val="nil"/>
            </w:tcBorders>
          </w:tcPr>
          <w:p w14:paraId="0D078535"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-0.173**</w:t>
            </w:r>
          </w:p>
        </w:tc>
        <w:tc>
          <w:tcPr>
            <w:tcW w:w="0" w:type="auto"/>
            <w:tcBorders>
              <w:top w:val="nil"/>
              <w:left w:val="nil"/>
              <w:bottom w:val="nil"/>
              <w:right w:val="nil"/>
            </w:tcBorders>
          </w:tcPr>
          <w:p w14:paraId="748DEAA3"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-0.147**</w:t>
            </w:r>
          </w:p>
        </w:tc>
        <w:tc>
          <w:tcPr>
            <w:tcW w:w="0" w:type="auto"/>
            <w:tcBorders>
              <w:top w:val="nil"/>
              <w:left w:val="nil"/>
              <w:bottom w:val="nil"/>
              <w:right w:val="nil"/>
            </w:tcBorders>
          </w:tcPr>
          <w:p w14:paraId="036F6BC0"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-0.155**</w:t>
            </w:r>
          </w:p>
        </w:tc>
      </w:tr>
      <w:tr w:rsidR="00CE2A44" w:rsidRPr="00C07861" w14:paraId="62BCC027" w14:textId="77777777" w:rsidTr="005B4673">
        <w:trPr>
          <w:jc w:val="center"/>
        </w:trPr>
        <w:tc>
          <w:tcPr>
            <w:tcW w:w="1785" w:type="dxa"/>
            <w:tcBorders>
              <w:top w:val="nil"/>
              <w:left w:val="nil"/>
              <w:bottom w:val="nil"/>
              <w:right w:val="nil"/>
            </w:tcBorders>
          </w:tcPr>
          <w:p w14:paraId="69F581FB" w14:textId="77777777" w:rsidR="00CE2A44" w:rsidRPr="00C07861" w:rsidRDefault="00CE2A44" w:rsidP="005B4673">
            <w:pPr>
              <w:widowControl w:val="0"/>
              <w:autoSpaceDE w:val="0"/>
              <w:autoSpaceDN w:val="0"/>
              <w:adjustRightInd w:val="0"/>
              <w:rPr>
                <w:sz w:val="16"/>
                <w:szCs w:val="16"/>
              </w:rPr>
            </w:pPr>
            <w:r w:rsidRPr="00C07861">
              <w:rPr>
                <w:rFonts w:ascii="Calibri" w:hAnsi="Calibri" w:cs="Calibri"/>
                <w:b/>
                <w:sz w:val="16"/>
                <w:szCs w:val="16"/>
                <w:lang w:val="en-US"/>
              </w:rPr>
              <w:t>Members</w:t>
            </w:r>
          </w:p>
        </w:tc>
        <w:tc>
          <w:tcPr>
            <w:tcW w:w="0" w:type="auto"/>
            <w:tcBorders>
              <w:top w:val="nil"/>
              <w:left w:val="nil"/>
              <w:bottom w:val="nil"/>
              <w:right w:val="nil"/>
            </w:tcBorders>
          </w:tcPr>
          <w:p w14:paraId="0A887A8A"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(0.0594)</w:t>
            </w:r>
          </w:p>
        </w:tc>
        <w:tc>
          <w:tcPr>
            <w:tcW w:w="0" w:type="auto"/>
            <w:tcBorders>
              <w:top w:val="nil"/>
              <w:left w:val="nil"/>
              <w:bottom w:val="nil"/>
              <w:right w:val="nil"/>
            </w:tcBorders>
          </w:tcPr>
          <w:p w14:paraId="30D1B961"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(0.0605)</w:t>
            </w:r>
          </w:p>
        </w:tc>
        <w:tc>
          <w:tcPr>
            <w:tcW w:w="0" w:type="auto"/>
            <w:tcBorders>
              <w:top w:val="nil"/>
              <w:left w:val="nil"/>
              <w:bottom w:val="nil"/>
              <w:right w:val="nil"/>
            </w:tcBorders>
          </w:tcPr>
          <w:p w14:paraId="78C18F62"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(0.0587)</w:t>
            </w:r>
          </w:p>
        </w:tc>
        <w:tc>
          <w:tcPr>
            <w:tcW w:w="0" w:type="auto"/>
            <w:tcBorders>
              <w:top w:val="nil"/>
              <w:left w:val="nil"/>
              <w:bottom w:val="nil"/>
              <w:right w:val="nil"/>
            </w:tcBorders>
          </w:tcPr>
          <w:p w14:paraId="34A697F1"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(0.0691)</w:t>
            </w:r>
          </w:p>
        </w:tc>
        <w:tc>
          <w:tcPr>
            <w:tcW w:w="0" w:type="auto"/>
            <w:tcBorders>
              <w:top w:val="nil"/>
              <w:left w:val="nil"/>
              <w:bottom w:val="nil"/>
              <w:right w:val="nil"/>
            </w:tcBorders>
          </w:tcPr>
          <w:p w14:paraId="761FBD68"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(0.0703)</w:t>
            </w:r>
          </w:p>
        </w:tc>
        <w:tc>
          <w:tcPr>
            <w:tcW w:w="0" w:type="auto"/>
            <w:tcBorders>
              <w:top w:val="nil"/>
              <w:left w:val="nil"/>
              <w:bottom w:val="nil"/>
              <w:right w:val="nil"/>
            </w:tcBorders>
          </w:tcPr>
          <w:p w14:paraId="3AB23C36"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(0.0683)</w:t>
            </w:r>
          </w:p>
        </w:tc>
      </w:tr>
      <w:tr w:rsidR="00CE2A44" w:rsidRPr="00C07861" w14:paraId="73058065" w14:textId="77777777" w:rsidTr="005B4673">
        <w:trPr>
          <w:jc w:val="center"/>
        </w:trPr>
        <w:tc>
          <w:tcPr>
            <w:tcW w:w="1785" w:type="dxa"/>
            <w:tcBorders>
              <w:top w:val="nil"/>
              <w:left w:val="nil"/>
              <w:bottom w:val="nil"/>
              <w:right w:val="nil"/>
            </w:tcBorders>
          </w:tcPr>
          <w:p w14:paraId="7E247E84" w14:textId="77777777" w:rsidR="00CE2A44" w:rsidRPr="00C07861" w:rsidRDefault="00CE2A44" w:rsidP="005B4673">
            <w:pPr>
              <w:widowControl w:val="0"/>
              <w:autoSpaceDE w:val="0"/>
              <w:autoSpaceDN w:val="0"/>
              <w:adjustRightInd w:val="0"/>
              <w:rPr>
                <w:sz w:val="16"/>
                <w:szCs w:val="16"/>
              </w:rPr>
            </w:pPr>
            <w:r w:rsidRPr="00C07861">
              <w:rPr>
                <w:rFonts w:ascii="Calibri" w:hAnsi="Calibri" w:cs="Calibri"/>
                <w:b/>
                <w:sz w:val="16"/>
                <w:szCs w:val="16"/>
                <w:lang w:val="en-US"/>
              </w:rPr>
              <w:t>Constant</w:t>
            </w:r>
          </w:p>
        </w:tc>
        <w:tc>
          <w:tcPr>
            <w:tcW w:w="0" w:type="auto"/>
            <w:tcBorders>
              <w:top w:val="nil"/>
              <w:left w:val="nil"/>
              <w:bottom w:val="nil"/>
              <w:right w:val="nil"/>
            </w:tcBorders>
          </w:tcPr>
          <w:p w14:paraId="591692CD"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7.858***</w:t>
            </w:r>
          </w:p>
        </w:tc>
        <w:tc>
          <w:tcPr>
            <w:tcW w:w="0" w:type="auto"/>
            <w:tcBorders>
              <w:top w:val="nil"/>
              <w:left w:val="nil"/>
              <w:bottom w:val="nil"/>
              <w:right w:val="nil"/>
            </w:tcBorders>
          </w:tcPr>
          <w:p w14:paraId="520A9E42"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7.601***</w:t>
            </w:r>
          </w:p>
        </w:tc>
        <w:tc>
          <w:tcPr>
            <w:tcW w:w="0" w:type="auto"/>
            <w:tcBorders>
              <w:top w:val="nil"/>
              <w:left w:val="nil"/>
              <w:bottom w:val="nil"/>
              <w:right w:val="nil"/>
            </w:tcBorders>
          </w:tcPr>
          <w:p w14:paraId="7C66375E"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7.872***</w:t>
            </w:r>
          </w:p>
        </w:tc>
        <w:tc>
          <w:tcPr>
            <w:tcW w:w="0" w:type="auto"/>
            <w:tcBorders>
              <w:top w:val="nil"/>
              <w:left w:val="nil"/>
              <w:bottom w:val="nil"/>
              <w:right w:val="nil"/>
            </w:tcBorders>
          </w:tcPr>
          <w:p w14:paraId="786718D7"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7.440***</w:t>
            </w:r>
          </w:p>
        </w:tc>
        <w:tc>
          <w:tcPr>
            <w:tcW w:w="0" w:type="auto"/>
            <w:tcBorders>
              <w:top w:val="nil"/>
              <w:left w:val="nil"/>
              <w:bottom w:val="nil"/>
              <w:right w:val="nil"/>
            </w:tcBorders>
          </w:tcPr>
          <w:p w14:paraId="2630EE83"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7.184***</w:t>
            </w:r>
          </w:p>
        </w:tc>
        <w:tc>
          <w:tcPr>
            <w:tcW w:w="0" w:type="auto"/>
            <w:tcBorders>
              <w:top w:val="nil"/>
              <w:left w:val="nil"/>
              <w:bottom w:val="nil"/>
              <w:right w:val="nil"/>
            </w:tcBorders>
          </w:tcPr>
          <w:p w14:paraId="3E3ADB8D"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7.455***</w:t>
            </w:r>
          </w:p>
        </w:tc>
      </w:tr>
      <w:tr w:rsidR="00CE2A44" w:rsidRPr="00C07861" w14:paraId="14D90CB9" w14:textId="77777777" w:rsidTr="005B4673">
        <w:trPr>
          <w:jc w:val="center"/>
        </w:trPr>
        <w:tc>
          <w:tcPr>
            <w:tcW w:w="1785" w:type="dxa"/>
            <w:tcBorders>
              <w:top w:val="nil"/>
              <w:left w:val="nil"/>
              <w:bottom w:val="nil"/>
              <w:right w:val="nil"/>
            </w:tcBorders>
          </w:tcPr>
          <w:p w14:paraId="351B8A2B" w14:textId="77777777" w:rsidR="00CE2A44" w:rsidRPr="00C07861" w:rsidRDefault="00CE2A44" w:rsidP="005B4673">
            <w:pPr>
              <w:widowControl w:val="0"/>
              <w:autoSpaceDE w:val="0"/>
              <w:autoSpaceDN w:val="0"/>
              <w:adjustRightInd w:val="0"/>
              <w:rPr>
                <w:sz w:val="16"/>
                <w:szCs w:val="16"/>
              </w:rPr>
            </w:pPr>
          </w:p>
        </w:tc>
        <w:tc>
          <w:tcPr>
            <w:tcW w:w="0" w:type="auto"/>
            <w:tcBorders>
              <w:top w:val="nil"/>
              <w:left w:val="nil"/>
              <w:bottom w:val="nil"/>
              <w:right w:val="nil"/>
            </w:tcBorders>
          </w:tcPr>
          <w:p w14:paraId="7C90679D"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(1.247)</w:t>
            </w:r>
          </w:p>
        </w:tc>
        <w:tc>
          <w:tcPr>
            <w:tcW w:w="0" w:type="auto"/>
            <w:tcBorders>
              <w:top w:val="nil"/>
              <w:left w:val="nil"/>
              <w:bottom w:val="nil"/>
              <w:right w:val="nil"/>
            </w:tcBorders>
          </w:tcPr>
          <w:p w14:paraId="4AE3E3A0"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(1.281)</w:t>
            </w:r>
          </w:p>
        </w:tc>
        <w:tc>
          <w:tcPr>
            <w:tcW w:w="0" w:type="auto"/>
            <w:tcBorders>
              <w:top w:val="nil"/>
              <w:left w:val="nil"/>
              <w:bottom w:val="nil"/>
              <w:right w:val="nil"/>
            </w:tcBorders>
          </w:tcPr>
          <w:p w14:paraId="23A0590D"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(1.229)</w:t>
            </w:r>
          </w:p>
        </w:tc>
        <w:tc>
          <w:tcPr>
            <w:tcW w:w="0" w:type="auto"/>
            <w:tcBorders>
              <w:top w:val="nil"/>
              <w:left w:val="nil"/>
              <w:bottom w:val="nil"/>
              <w:right w:val="nil"/>
            </w:tcBorders>
          </w:tcPr>
          <w:p w14:paraId="59851F16"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(1.249)</w:t>
            </w:r>
          </w:p>
        </w:tc>
        <w:tc>
          <w:tcPr>
            <w:tcW w:w="0" w:type="auto"/>
            <w:tcBorders>
              <w:top w:val="nil"/>
              <w:left w:val="nil"/>
              <w:bottom w:val="nil"/>
              <w:right w:val="nil"/>
            </w:tcBorders>
          </w:tcPr>
          <w:p w14:paraId="63068740"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(1.282)</w:t>
            </w:r>
          </w:p>
        </w:tc>
        <w:tc>
          <w:tcPr>
            <w:tcW w:w="0" w:type="auto"/>
            <w:tcBorders>
              <w:top w:val="nil"/>
              <w:left w:val="nil"/>
              <w:bottom w:val="nil"/>
              <w:right w:val="nil"/>
            </w:tcBorders>
          </w:tcPr>
          <w:p w14:paraId="0C7F908C"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(1.233)</w:t>
            </w:r>
          </w:p>
        </w:tc>
      </w:tr>
      <w:tr w:rsidR="00CE2A44" w:rsidRPr="00C07861" w14:paraId="193A75A1" w14:textId="77777777" w:rsidTr="005B4673">
        <w:trPr>
          <w:jc w:val="center"/>
        </w:trPr>
        <w:tc>
          <w:tcPr>
            <w:tcW w:w="1785" w:type="dxa"/>
            <w:tcBorders>
              <w:top w:val="nil"/>
              <w:left w:val="nil"/>
              <w:bottom w:val="nil"/>
              <w:right w:val="nil"/>
            </w:tcBorders>
          </w:tcPr>
          <w:p w14:paraId="65C9E215" w14:textId="77777777" w:rsidR="00CE2A44" w:rsidRPr="00C07861" w:rsidRDefault="00CE2A44" w:rsidP="005B4673">
            <w:pPr>
              <w:widowControl w:val="0"/>
              <w:autoSpaceDE w:val="0"/>
              <w:autoSpaceDN w:val="0"/>
              <w:adjustRightInd w:val="0"/>
              <w:rPr>
                <w:sz w:val="16"/>
                <w:szCs w:val="16"/>
              </w:rPr>
            </w:pPr>
          </w:p>
        </w:tc>
        <w:tc>
          <w:tcPr>
            <w:tcW w:w="0" w:type="auto"/>
            <w:tcBorders>
              <w:top w:val="nil"/>
              <w:left w:val="nil"/>
              <w:bottom w:val="nil"/>
              <w:right w:val="nil"/>
            </w:tcBorders>
          </w:tcPr>
          <w:p w14:paraId="0CF32768" w14:textId="77777777" w:rsidR="00CE2A44" w:rsidRPr="00C07861" w:rsidRDefault="00CE2A44" w:rsidP="005B4673">
            <w:pPr>
              <w:widowControl w:val="0"/>
              <w:autoSpaceDE w:val="0"/>
              <w:autoSpaceDN w:val="0"/>
              <w:adjustRightInd w:val="0"/>
              <w:jc w:val="center"/>
              <w:rPr>
                <w:sz w:val="16"/>
                <w:szCs w:val="16"/>
              </w:rPr>
            </w:pPr>
          </w:p>
        </w:tc>
        <w:tc>
          <w:tcPr>
            <w:tcW w:w="0" w:type="auto"/>
            <w:tcBorders>
              <w:top w:val="nil"/>
              <w:left w:val="nil"/>
              <w:bottom w:val="nil"/>
              <w:right w:val="nil"/>
            </w:tcBorders>
          </w:tcPr>
          <w:p w14:paraId="673B8A35" w14:textId="77777777" w:rsidR="00CE2A44" w:rsidRPr="00C07861" w:rsidRDefault="00CE2A44" w:rsidP="005B4673">
            <w:pPr>
              <w:widowControl w:val="0"/>
              <w:autoSpaceDE w:val="0"/>
              <w:autoSpaceDN w:val="0"/>
              <w:adjustRightInd w:val="0"/>
              <w:jc w:val="center"/>
              <w:rPr>
                <w:sz w:val="16"/>
                <w:szCs w:val="16"/>
              </w:rPr>
            </w:pPr>
          </w:p>
        </w:tc>
        <w:tc>
          <w:tcPr>
            <w:tcW w:w="0" w:type="auto"/>
            <w:tcBorders>
              <w:top w:val="nil"/>
              <w:left w:val="nil"/>
              <w:bottom w:val="nil"/>
              <w:right w:val="nil"/>
            </w:tcBorders>
          </w:tcPr>
          <w:p w14:paraId="723213C1" w14:textId="77777777" w:rsidR="00CE2A44" w:rsidRPr="00C07861" w:rsidRDefault="00CE2A44" w:rsidP="005B4673">
            <w:pPr>
              <w:widowControl w:val="0"/>
              <w:autoSpaceDE w:val="0"/>
              <w:autoSpaceDN w:val="0"/>
              <w:adjustRightInd w:val="0"/>
              <w:jc w:val="center"/>
              <w:rPr>
                <w:sz w:val="16"/>
                <w:szCs w:val="16"/>
              </w:rPr>
            </w:pPr>
          </w:p>
        </w:tc>
        <w:tc>
          <w:tcPr>
            <w:tcW w:w="0" w:type="auto"/>
            <w:tcBorders>
              <w:top w:val="nil"/>
              <w:left w:val="nil"/>
              <w:bottom w:val="nil"/>
              <w:right w:val="nil"/>
            </w:tcBorders>
          </w:tcPr>
          <w:p w14:paraId="062CC0AA" w14:textId="77777777" w:rsidR="00CE2A44" w:rsidRPr="00C07861" w:rsidRDefault="00CE2A44" w:rsidP="005B4673">
            <w:pPr>
              <w:widowControl w:val="0"/>
              <w:autoSpaceDE w:val="0"/>
              <w:autoSpaceDN w:val="0"/>
              <w:adjustRightInd w:val="0"/>
              <w:jc w:val="center"/>
              <w:rPr>
                <w:sz w:val="16"/>
                <w:szCs w:val="16"/>
              </w:rPr>
            </w:pPr>
          </w:p>
        </w:tc>
        <w:tc>
          <w:tcPr>
            <w:tcW w:w="0" w:type="auto"/>
            <w:tcBorders>
              <w:top w:val="nil"/>
              <w:left w:val="nil"/>
              <w:bottom w:val="nil"/>
              <w:right w:val="nil"/>
            </w:tcBorders>
          </w:tcPr>
          <w:p w14:paraId="7DE7DC72" w14:textId="77777777" w:rsidR="00CE2A44" w:rsidRPr="00C07861" w:rsidRDefault="00CE2A44" w:rsidP="005B4673">
            <w:pPr>
              <w:widowControl w:val="0"/>
              <w:autoSpaceDE w:val="0"/>
              <w:autoSpaceDN w:val="0"/>
              <w:adjustRightInd w:val="0"/>
              <w:jc w:val="center"/>
              <w:rPr>
                <w:sz w:val="16"/>
                <w:szCs w:val="16"/>
              </w:rPr>
            </w:pPr>
          </w:p>
        </w:tc>
        <w:tc>
          <w:tcPr>
            <w:tcW w:w="0" w:type="auto"/>
            <w:tcBorders>
              <w:top w:val="nil"/>
              <w:left w:val="nil"/>
              <w:bottom w:val="nil"/>
              <w:right w:val="nil"/>
            </w:tcBorders>
          </w:tcPr>
          <w:p w14:paraId="43010570" w14:textId="77777777" w:rsidR="00CE2A44" w:rsidRPr="00C07861" w:rsidRDefault="00CE2A44" w:rsidP="005B4673">
            <w:pPr>
              <w:widowControl w:val="0"/>
              <w:autoSpaceDE w:val="0"/>
              <w:autoSpaceDN w:val="0"/>
              <w:adjustRightInd w:val="0"/>
              <w:jc w:val="center"/>
              <w:rPr>
                <w:sz w:val="16"/>
                <w:szCs w:val="16"/>
              </w:rPr>
            </w:pPr>
          </w:p>
        </w:tc>
      </w:tr>
      <w:tr w:rsidR="00CE2A44" w:rsidRPr="00C07861" w14:paraId="12C5B993" w14:textId="77777777" w:rsidTr="005B4673">
        <w:trPr>
          <w:jc w:val="center"/>
        </w:trPr>
        <w:tc>
          <w:tcPr>
            <w:tcW w:w="1785" w:type="dxa"/>
            <w:tcBorders>
              <w:top w:val="nil"/>
              <w:left w:val="nil"/>
              <w:bottom w:val="nil"/>
              <w:right w:val="nil"/>
            </w:tcBorders>
          </w:tcPr>
          <w:p w14:paraId="72BF5017" w14:textId="77777777" w:rsidR="00CE2A44" w:rsidRPr="00C07861" w:rsidRDefault="00CE2A44" w:rsidP="005B4673">
            <w:pPr>
              <w:widowControl w:val="0"/>
              <w:autoSpaceDE w:val="0"/>
              <w:autoSpaceDN w:val="0"/>
              <w:adjustRightInd w:val="0"/>
              <w:rPr>
                <w:sz w:val="16"/>
                <w:szCs w:val="16"/>
              </w:rPr>
            </w:pPr>
            <w:r w:rsidRPr="00C07861">
              <w:rPr>
                <w:rFonts w:ascii="Calibri" w:hAnsi="Calibri" w:cs="Calibri"/>
                <w:b/>
                <w:sz w:val="16"/>
                <w:szCs w:val="16"/>
                <w:lang w:val="en-US"/>
              </w:rPr>
              <w:t>Obs.</w:t>
            </w:r>
          </w:p>
        </w:tc>
        <w:tc>
          <w:tcPr>
            <w:tcW w:w="0" w:type="auto"/>
            <w:tcBorders>
              <w:top w:val="nil"/>
              <w:left w:val="nil"/>
              <w:bottom w:val="nil"/>
              <w:right w:val="nil"/>
            </w:tcBorders>
          </w:tcPr>
          <w:p w14:paraId="307081CF"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10,112</w:t>
            </w:r>
          </w:p>
        </w:tc>
        <w:tc>
          <w:tcPr>
            <w:tcW w:w="0" w:type="auto"/>
            <w:tcBorders>
              <w:top w:val="nil"/>
              <w:left w:val="nil"/>
              <w:bottom w:val="nil"/>
              <w:right w:val="nil"/>
            </w:tcBorders>
          </w:tcPr>
          <w:p w14:paraId="6730BAFD"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9,836</w:t>
            </w:r>
          </w:p>
        </w:tc>
        <w:tc>
          <w:tcPr>
            <w:tcW w:w="0" w:type="auto"/>
            <w:tcBorders>
              <w:top w:val="nil"/>
              <w:left w:val="nil"/>
              <w:bottom w:val="nil"/>
              <w:right w:val="nil"/>
            </w:tcBorders>
          </w:tcPr>
          <w:p w14:paraId="53825F1D"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10,056</w:t>
            </w:r>
          </w:p>
        </w:tc>
        <w:tc>
          <w:tcPr>
            <w:tcW w:w="0" w:type="auto"/>
            <w:tcBorders>
              <w:top w:val="nil"/>
              <w:left w:val="nil"/>
              <w:bottom w:val="nil"/>
              <w:right w:val="nil"/>
            </w:tcBorders>
          </w:tcPr>
          <w:p w14:paraId="4B87C841"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10,112</w:t>
            </w:r>
          </w:p>
        </w:tc>
        <w:tc>
          <w:tcPr>
            <w:tcW w:w="0" w:type="auto"/>
            <w:tcBorders>
              <w:top w:val="nil"/>
              <w:left w:val="nil"/>
              <w:bottom w:val="nil"/>
              <w:right w:val="nil"/>
            </w:tcBorders>
          </w:tcPr>
          <w:p w14:paraId="331A54F5"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9,836</w:t>
            </w:r>
          </w:p>
        </w:tc>
        <w:tc>
          <w:tcPr>
            <w:tcW w:w="0" w:type="auto"/>
            <w:tcBorders>
              <w:top w:val="nil"/>
              <w:left w:val="nil"/>
              <w:bottom w:val="nil"/>
              <w:right w:val="nil"/>
            </w:tcBorders>
          </w:tcPr>
          <w:p w14:paraId="143A11B3"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10,056</w:t>
            </w:r>
          </w:p>
        </w:tc>
      </w:tr>
      <w:tr w:rsidR="00CE2A44" w:rsidRPr="00C07861" w14:paraId="4813362D" w14:textId="77777777" w:rsidTr="005B4673">
        <w:tblPrEx>
          <w:tblBorders>
            <w:bottom w:val="single" w:sz="6" w:space="0" w:color="auto"/>
          </w:tblBorders>
        </w:tblPrEx>
        <w:trPr>
          <w:jc w:val="center"/>
        </w:trPr>
        <w:tc>
          <w:tcPr>
            <w:tcW w:w="1785" w:type="dxa"/>
            <w:tcBorders>
              <w:top w:val="nil"/>
              <w:left w:val="nil"/>
              <w:bottom w:val="single" w:sz="6" w:space="0" w:color="auto"/>
              <w:right w:val="nil"/>
            </w:tcBorders>
          </w:tcPr>
          <w:p w14:paraId="466D030F" w14:textId="77777777" w:rsidR="00CE2A44" w:rsidRPr="00C07861" w:rsidRDefault="00CE2A44" w:rsidP="005B4673">
            <w:pPr>
              <w:widowControl w:val="0"/>
              <w:autoSpaceDE w:val="0"/>
              <w:autoSpaceDN w:val="0"/>
              <w:adjustRightInd w:val="0"/>
              <w:rPr>
                <w:sz w:val="16"/>
                <w:szCs w:val="16"/>
              </w:rPr>
            </w:pPr>
            <w:r w:rsidRPr="00C07861">
              <w:rPr>
                <w:rFonts w:ascii="Calibri" w:hAnsi="Calibri" w:cs="Calibri"/>
                <w:b/>
                <w:sz w:val="16"/>
                <w:szCs w:val="16"/>
                <w:lang w:val="en-US"/>
              </w:rPr>
              <w:t>Number of households</w:t>
            </w:r>
          </w:p>
        </w:tc>
        <w:tc>
          <w:tcPr>
            <w:tcW w:w="0" w:type="auto"/>
            <w:tcBorders>
              <w:top w:val="nil"/>
              <w:left w:val="nil"/>
              <w:bottom w:val="single" w:sz="6" w:space="0" w:color="auto"/>
              <w:right w:val="nil"/>
            </w:tcBorders>
          </w:tcPr>
          <w:p w14:paraId="5F1B3B4D"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5,056</w:t>
            </w:r>
          </w:p>
        </w:tc>
        <w:tc>
          <w:tcPr>
            <w:tcW w:w="0" w:type="auto"/>
            <w:tcBorders>
              <w:top w:val="nil"/>
              <w:left w:val="nil"/>
              <w:bottom w:val="single" w:sz="6" w:space="0" w:color="auto"/>
              <w:right w:val="nil"/>
            </w:tcBorders>
          </w:tcPr>
          <w:p w14:paraId="32BEE58B"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4,918</w:t>
            </w:r>
          </w:p>
        </w:tc>
        <w:tc>
          <w:tcPr>
            <w:tcW w:w="0" w:type="auto"/>
            <w:tcBorders>
              <w:top w:val="nil"/>
              <w:left w:val="nil"/>
              <w:bottom w:val="single" w:sz="6" w:space="0" w:color="auto"/>
              <w:right w:val="nil"/>
            </w:tcBorders>
          </w:tcPr>
          <w:p w14:paraId="6078E6E7"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5,028</w:t>
            </w:r>
          </w:p>
        </w:tc>
        <w:tc>
          <w:tcPr>
            <w:tcW w:w="0" w:type="auto"/>
            <w:tcBorders>
              <w:top w:val="nil"/>
              <w:left w:val="nil"/>
              <w:bottom w:val="single" w:sz="6" w:space="0" w:color="auto"/>
              <w:right w:val="nil"/>
            </w:tcBorders>
          </w:tcPr>
          <w:p w14:paraId="193F0ADB"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5,056</w:t>
            </w:r>
          </w:p>
        </w:tc>
        <w:tc>
          <w:tcPr>
            <w:tcW w:w="0" w:type="auto"/>
            <w:tcBorders>
              <w:top w:val="nil"/>
              <w:left w:val="nil"/>
              <w:bottom w:val="single" w:sz="6" w:space="0" w:color="auto"/>
              <w:right w:val="nil"/>
            </w:tcBorders>
          </w:tcPr>
          <w:p w14:paraId="22902C5B"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4,918</w:t>
            </w:r>
          </w:p>
        </w:tc>
        <w:tc>
          <w:tcPr>
            <w:tcW w:w="0" w:type="auto"/>
            <w:tcBorders>
              <w:top w:val="nil"/>
              <w:left w:val="nil"/>
              <w:bottom w:val="single" w:sz="6" w:space="0" w:color="auto"/>
              <w:right w:val="nil"/>
            </w:tcBorders>
          </w:tcPr>
          <w:p w14:paraId="10026CC3" w14:textId="77777777" w:rsidR="00CE2A44" w:rsidRPr="00C07861" w:rsidRDefault="00CE2A44" w:rsidP="005B4673">
            <w:pPr>
              <w:widowControl w:val="0"/>
              <w:autoSpaceDE w:val="0"/>
              <w:autoSpaceDN w:val="0"/>
              <w:adjustRightInd w:val="0"/>
              <w:jc w:val="center"/>
              <w:rPr>
                <w:sz w:val="16"/>
                <w:szCs w:val="16"/>
              </w:rPr>
            </w:pPr>
            <w:r w:rsidRPr="00C07861">
              <w:rPr>
                <w:rFonts w:ascii="Calibri" w:hAnsi="Calibri" w:cs="Calibri"/>
                <w:sz w:val="16"/>
                <w:szCs w:val="16"/>
              </w:rPr>
              <w:t>5,028</w:t>
            </w:r>
          </w:p>
        </w:tc>
      </w:tr>
    </w:tbl>
    <w:p w14:paraId="020BE987" w14:textId="77777777" w:rsidR="0044273A" w:rsidRDefault="0044273A" w:rsidP="00CE2A44">
      <w:pPr>
        <w:jc w:val="both"/>
        <w:rPr>
          <w:i/>
          <w:sz w:val="16"/>
          <w:szCs w:val="16"/>
          <w:lang w:val="en-US"/>
        </w:rPr>
      </w:pPr>
    </w:p>
    <w:p w14:paraId="2412452D" w14:textId="5786D0EE" w:rsidR="00CE2A44" w:rsidRDefault="00CE2A44" w:rsidP="00CE2A44">
      <w:pPr>
        <w:jc w:val="both"/>
        <w:rPr>
          <w:sz w:val="16"/>
          <w:szCs w:val="16"/>
          <w:lang w:val="en-US"/>
        </w:rPr>
      </w:pPr>
      <w:r w:rsidRPr="006A0E79">
        <w:rPr>
          <w:i/>
          <w:sz w:val="16"/>
          <w:szCs w:val="16"/>
          <w:lang w:val="en-US"/>
        </w:rPr>
        <w:t>Note:</w:t>
      </w:r>
      <w:r w:rsidRPr="006A0E79">
        <w:rPr>
          <w:sz w:val="16"/>
          <w:szCs w:val="16"/>
          <w:lang w:val="en-US"/>
        </w:rPr>
        <w:t xml:space="preserve"> </w:t>
      </w:r>
      <w:r w:rsidR="00AE69B6">
        <w:rPr>
          <w:iCs/>
          <w:sz w:val="16"/>
          <w:szCs w:val="16"/>
          <w:lang w:val="en-US"/>
        </w:rPr>
        <w:t>All models are estimated using a fixed-effects estimator</w:t>
      </w:r>
      <w:r w:rsidR="00AE69B6" w:rsidRPr="006A0E79">
        <w:rPr>
          <w:sz w:val="16"/>
          <w:szCs w:val="16"/>
          <w:lang w:val="en-US"/>
        </w:rPr>
        <w:t>.</w:t>
      </w:r>
      <w:r w:rsidRPr="006A0E79">
        <w:rPr>
          <w:sz w:val="16"/>
          <w:szCs w:val="16"/>
          <w:lang w:val="en-US"/>
        </w:rPr>
        <w:t xml:space="preserve"> See Table A</w:t>
      </w:r>
      <w:r w:rsidR="006B10C5">
        <w:rPr>
          <w:sz w:val="16"/>
          <w:szCs w:val="16"/>
          <w:lang w:val="en-US"/>
        </w:rPr>
        <w:t>1</w:t>
      </w:r>
      <w:r w:rsidRPr="006A0E79">
        <w:rPr>
          <w:sz w:val="16"/>
          <w:szCs w:val="16"/>
          <w:lang w:val="en-US"/>
        </w:rPr>
        <w:t xml:space="preserve"> for definitions of all variables. The dependent variable</w:t>
      </w:r>
      <w:r>
        <w:rPr>
          <w:sz w:val="16"/>
          <w:szCs w:val="16"/>
          <w:lang w:val="en-US"/>
        </w:rPr>
        <w:t>s</w:t>
      </w:r>
      <w:r w:rsidRPr="006A0E79">
        <w:rPr>
          <w:sz w:val="16"/>
          <w:szCs w:val="16"/>
          <w:lang w:val="en-US"/>
        </w:rPr>
        <w:t xml:space="preserve"> in columns 1-3 </w:t>
      </w:r>
      <w:r>
        <w:rPr>
          <w:sz w:val="16"/>
          <w:szCs w:val="16"/>
          <w:lang w:val="en-US"/>
        </w:rPr>
        <w:t>are</w:t>
      </w:r>
      <w:r w:rsidRPr="006A0E79">
        <w:rPr>
          <w:sz w:val="16"/>
          <w:szCs w:val="16"/>
          <w:lang w:val="en-US"/>
        </w:rPr>
        <w:t xml:space="preserve"> the logarithm</w:t>
      </w:r>
      <w:r>
        <w:rPr>
          <w:sz w:val="16"/>
          <w:szCs w:val="16"/>
          <w:lang w:val="en-US"/>
        </w:rPr>
        <w:t>s</w:t>
      </w:r>
      <w:r w:rsidRPr="006A0E79">
        <w:rPr>
          <w:sz w:val="16"/>
          <w:szCs w:val="16"/>
          <w:lang w:val="en-US"/>
        </w:rPr>
        <w:t xml:space="preserve"> of total</w:t>
      </w:r>
      <w:r>
        <w:rPr>
          <w:sz w:val="16"/>
          <w:szCs w:val="16"/>
          <w:lang w:val="en-US"/>
        </w:rPr>
        <w:t>,</w:t>
      </w:r>
      <w:r w:rsidRPr="006A0E79">
        <w:rPr>
          <w:sz w:val="16"/>
          <w:szCs w:val="16"/>
          <w:lang w:val="en-US"/>
        </w:rPr>
        <w:t xml:space="preserve"> non-durable</w:t>
      </w:r>
      <w:r>
        <w:rPr>
          <w:sz w:val="16"/>
          <w:szCs w:val="16"/>
          <w:lang w:val="en-US"/>
        </w:rPr>
        <w:t xml:space="preserve">, </w:t>
      </w:r>
      <w:r w:rsidRPr="006A0E79">
        <w:rPr>
          <w:sz w:val="16"/>
          <w:szCs w:val="16"/>
          <w:lang w:val="en-US"/>
        </w:rPr>
        <w:t xml:space="preserve">and non-education </w:t>
      </w:r>
      <w:r>
        <w:rPr>
          <w:sz w:val="16"/>
          <w:szCs w:val="16"/>
          <w:lang w:val="en-US"/>
        </w:rPr>
        <w:t xml:space="preserve">household </w:t>
      </w:r>
      <w:r w:rsidRPr="006A0E79">
        <w:rPr>
          <w:sz w:val="16"/>
          <w:szCs w:val="16"/>
          <w:lang w:val="en-US"/>
        </w:rPr>
        <w:t>consumption</w:t>
      </w:r>
      <w:r>
        <w:rPr>
          <w:sz w:val="16"/>
          <w:szCs w:val="16"/>
          <w:lang w:val="en-US"/>
        </w:rPr>
        <w:t>, respectively</w:t>
      </w:r>
      <w:r w:rsidRPr="006A0E79">
        <w:rPr>
          <w:sz w:val="16"/>
          <w:szCs w:val="16"/>
          <w:lang w:val="en-US"/>
        </w:rPr>
        <w:t>. The dependent variable</w:t>
      </w:r>
      <w:r>
        <w:rPr>
          <w:sz w:val="16"/>
          <w:szCs w:val="16"/>
          <w:lang w:val="en-US"/>
        </w:rPr>
        <w:t>s</w:t>
      </w:r>
      <w:r w:rsidRPr="006A0E79">
        <w:rPr>
          <w:sz w:val="16"/>
          <w:szCs w:val="16"/>
          <w:lang w:val="en-US"/>
        </w:rPr>
        <w:t xml:space="preserve"> in columns </w:t>
      </w:r>
      <w:r>
        <w:rPr>
          <w:sz w:val="16"/>
          <w:szCs w:val="16"/>
          <w:lang w:val="en-US"/>
        </w:rPr>
        <w:t>4-6</w:t>
      </w:r>
      <w:r w:rsidRPr="006A0E79">
        <w:rPr>
          <w:sz w:val="16"/>
          <w:szCs w:val="16"/>
          <w:lang w:val="en-US"/>
        </w:rPr>
        <w:t xml:space="preserve"> </w:t>
      </w:r>
      <w:r>
        <w:rPr>
          <w:sz w:val="16"/>
          <w:szCs w:val="16"/>
          <w:lang w:val="en-US"/>
        </w:rPr>
        <w:t>are</w:t>
      </w:r>
      <w:r w:rsidRPr="006A0E79">
        <w:rPr>
          <w:sz w:val="16"/>
          <w:szCs w:val="16"/>
          <w:lang w:val="en-US"/>
        </w:rPr>
        <w:t xml:space="preserve"> the logarithm</w:t>
      </w:r>
      <w:r>
        <w:rPr>
          <w:sz w:val="16"/>
          <w:szCs w:val="16"/>
          <w:lang w:val="en-US"/>
        </w:rPr>
        <w:t>s</w:t>
      </w:r>
      <w:r w:rsidRPr="006A0E79">
        <w:rPr>
          <w:sz w:val="16"/>
          <w:szCs w:val="16"/>
          <w:lang w:val="en-US"/>
        </w:rPr>
        <w:t xml:space="preserve"> of </w:t>
      </w:r>
      <w:r>
        <w:rPr>
          <w:sz w:val="16"/>
          <w:szCs w:val="16"/>
          <w:lang w:val="en-US"/>
        </w:rPr>
        <w:t xml:space="preserve">adult-equivalent total, non-durable, and non-education </w:t>
      </w:r>
      <w:r w:rsidRPr="006A0E79">
        <w:rPr>
          <w:sz w:val="16"/>
          <w:szCs w:val="16"/>
          <w:lang w:val="en-US"/>
        </w:rPr>
        <w:t xml:space="preserve">consumption, </w:t>
      </w:r>
      <w:r>
        <w:rPr>
          <w:sz w:val="16"/>
          <w:szCs w:val="16"/>
          <w:lang w:val="en-US"/>
        </w:rPr>
        <w:t xml:space="preserve">respectively, </w:t>
      </w:r>
      <w:r w:rsidRPr="006A0E79">
        <w:rPr>
          <w:sz w:val="16"/>
          <w:szCs w:val="16"/>
          <w:lang w:val="en-US"/>
        </w:rPr>
        <w:t xml:space="preserve">which </w:t>
      </w:r>
      <w:r w:rsidR="0014754F">
        <w:rPr>
          <w:sz w:val="16"/>
          <w:szCs w:val="16"/>
          <w:lang w:val="en-US"/>
        </w:rPr>
        <w:t>are</w:t>
      </w:r>
      <w:r w:rsidRPr="006A0E79">
        <w:rPr>
          <w:sz w:val="16"/>
          <w:szCs w:val="16"/>
          <w:lang w:val="en-US"/>
        </w:rPr>
        <w:t xml:space="preserve"> calculated by dividing consumption by the equivalence scale (</w:t>
      </w:r>
      <w:r w:rsidRPr="006A0E79">
        <w:rPr>
          <w:i/>
          <w:sz w:val="16"/>
          <w:szCs w:val="16"/>
          <w:lang w:val="en-US"/>
        </w:rPr>
        <w:t>n</w:t>
      </w:r>
      <w:r w:rsidRPr="006A0E79">
        <w:rPr>
          <w:i/>
          <w:sz w:val="16"/>
          <w:szCs w:val="16"/>
          <w:vertAlign w:val="superscript"/>
          <w:lang w:val="en-US"/>
        </w:rPr>
        <w:t>0.8</w:t>
      </w:r>
      <w:r w:rsidRPr="006A0E79">
        <w:rPr>
          <w:sz w:val="16"/>
          <w:szCs w:val="16"/>
          <w:lang w:val="en-US"/>
        </w:rPr>
        <w:t xml:space="preserve">).  </w:t>
      </w:r>
      <w:r>
        <w:rPr>
          <w:sz w:val="16"/>
          <w:szCs w:val="16"/>
          <w:lang w:val="en-US"/>
        </w:rPr>
        <w:t>Y</w:t>
      </w:r>
      <w:r w:rsidRPr="006A0E79">
        <w:rPr>
          <w:sz w:val="16"/>
          <w:szCs w:val="16"/>
          <w:lang w:val="en-US"/>
        </w:rPr>
        <w:t>ear dumm</w:t>
      </w:r>
      <w:r>
        <w:rPr>
          <w:sz w:val="16"/>
          <w:szCs w:val="16"/>
          <w:lang w:val="en-US"/>
        </w:rPr>
        <w:t>ies</w:t>
      </w:r>
      <w:r w:rsidRPr="006A0E79">
        <w:rPr>
          <w:sz w:val="16"/>
          <w:szCs w:val="16"/>
          <w:lang w:val="en-US"/>
        </w:rPr>
        <w:t xml:space="preserve"> and the interactions between provincial and year dummies are included in all models, but their estimates are not reported for brevity. Robust standard errors are in parentheses. ***, ** and * indicate significance at the 1%, 5% and 10% levels, respectively.</w:t>
      </w:r>
    </w:p>
    <w:p w14:paraId="6BF4873E" w14:textId="77777777" w:rsidR="00CE2A44" w:rsidRDefault="00CE2A44" w:rsidP="00CE2A44">
      <w:pPr>
        <w:rPr>
          <w:lang w:val="en-US"/>
        </w:rPr>
      </w:pPr>
      <w:r>
        <w:rPr>
          <w:lang w:val="en-US"/>
        </w:rPr>
        <w:br w:type="page"/>
      </w:r>
    </w:p>
    <w:p w14:paraId="3A9CBE3D" w14:textId="77777777" w:rsidR="004476C3" w:rsidRDefault="004476C3" w:rsidP="004476C3">
      <w:pPr>
        <w:jc w:val="center"/>
        <w:rPr>
          <w:rFonts w:ascii="Calibri" w:hAnsi="Calibri" w:cs="Calibri"/>
          <w:b/>
          <w:sz w:val="22"/>
          <w:szCs w:val="22"/>
          <w:lang w:val="en-US"/>
        </w:rPr>
      </w:pPr>
    </w:p>
    <w:p w14:paraId="4B12C5DD" w14:textId="7E343E87" w:rsidR="004476C3" w:rsidRPr="00FC05BF" w:rsidRDefault="004476C3" w:rsidP="004476C3">
      <w:pPr>
        <w:jc w:val="center"/>
        <w:rPr>
          <w:b/>
          <w:lang w:val="en-US"/>
        </w:rPr>
      </w:pPr>
      <w:r w:rsidRPr="00FC05BF">
        <w:rPr>
          <w:b/>
          <w:lang w:val="en-US"/>
        </w:rPr>
        <w:t>Table A</w:t>
      </w:r>
      <w:r w:rsidR="00FC05BF">
        <w:rPr>
          <w:b/>
          <w:lang w:val="en-US"/>
        </w:rPr>
        <w:t>7</w:t>
      </w:r>
      <w:r w:rsidRPr="00FC05BF">
        <w:rPr>
          <w:b/>
          <w:lang w:val="en-US"/>
        </w:rPr>
        <w:t xml:space="preserve">. </w:t>
      </w:r>
      <w:r w:rsidR="00FC05BF" w:rsidRPr="00FC05BF">
        <w:rPr>
          <w:bCs/>
          <w:lang w:val="en-US"/>
        </w:rPr>
        <w:t xml:space="preserve">Young leavers and household consumption differentiating leavers by age; dropping leavers who passed away or left for “other” </w:t>
      </w:r>
      <w:proofErr w:type="gramStart"/>
      <w:r w:rsidR="00FC05BF" w:rsidRPr="00FC05BF">
        <w:rPr>
          <w:bCs/>
          <w:lang w:val="en-US"/>
        </w:rPr>
        <w:t>reasons</w:t>
      </w:r>
      <w:proofErr w:type="gramEnd"/>
    </w:p>
    <w:p w14:paraId="2A3D8143" w14:textId="77777777" w:rsidR="004476C3" w:rsidRDefault="004476C3" w:rsidP="004476C3">
      <w:pPr>
        <w:jc w:val="both"/>
        <w:rPr>
          <w:lang w:val="en-US"/>
        </w:rPr>
      </w:pPr>
    </w:p>
    <w:tbl>
      <w:tblPr>
        <w:tblW w:w="0" w:type="auto"/>
        <w:jc w:val="center"/>
        <w:tblCellMar>
          <w:left w:w="75" w:type="dxa"/>
          <w:right w:w="75" w:type="dxa"/>
        </w:tblCellMar>
        <w:tblLook w:val="0000" w:firstRow="0" w:lastRow="0" w:firstColumn="0" w:lastColumn="0" w:noHBand="0" w:noVBand="0"/>
      </w:tblPr>
      <w:tblGrid>
        <w:gridCol w:w="1785"/>
        <w:gridCol w:w="1397"/>
        <w:gridCol w:w="1961"/>
        <w:gridCol w:w="2049"/>
        <w:gridCol w:w="1397"/>
        <w:gridCol w:w="1961"/>
        <w:gridCol w:w="2349"/>
      </w:tblGrid>
      <w:tr w:rsidR="004476C3" w:rsidRPr="003D7D3C" w14:paraId="7C43202B" w14:textId="77777777" w:rsidTr="005B4673">
        <w:trPr>
          <w:jc w:val="center"/>
        </w:trPr>
        <w:tc>
          <w:tcPr>
            <w:tcW w:w="1785" w:type="dxa"/>
            <w:tcBorders>
              <w:top w:val="single" w:sz="6" w:space="0" w:color="auto"/>
              <w:left w:val="nil"/>
              <w:bottom w:val="nil"/>
              <w:right w:val="nil"/>
            </w:tcBorders>
          </w:tcPr>
          <w:p w14:paraId="1494A6E2" w14:textId="77777777" w:rsidR="004476C3" w:rsidRPr="003D7D3C" w:rsidRDefault="004476C3" w:rsidP="005B4673">
            <w:pPr>
              <w:widowControl w:val="0"/>
              <w:autoSpaceDE w:val="0"/>
              <w:autoSpaceDN w:val="0"/>
              <w:adjustRightInd w:val="0"/>
              <w:rPr>
                <w:sz w:val="16"/>
                <w:szCs w:val="16"/>
              </w:rPr>
            </w:pPr>
          </w:p>
        </w:tc>
        <w:tc>
          <w:tcPr>
            <w:tcW w:w="0" w:type="auto"/>
            <w:tcBorders>
              <w:top w:val="single" w:sz="6" w:space="0" w:color="auto"/>
              <w:left w:val="nil"/>
              <w:bottom w:val="nil"/>
              <w:right w:val="nil"/>
            </w:tcBorders>
            <w:vAlign w:val="center"/>
          </w:tcPr>
          <w:p w14:paraId="25D2E0C7" w14:textId="77777777" w:rsidR="004476C3" w:rsidRPr="003D7D3C" w:rsidRDefault="004476C3" w:rsidP="005B4673">
            <w:pPr>
              <w:widowControl w:val="0"/>
              <w:autoSpaceDE w:val="0"/>
              <w:autoSpaceDN w:val="0"/>
              <w:adjustRightInd w:val="0"/>
              <w:jc w:val="center"/>
              <w:rPr>
                <w:rFonts w:ascii="Calibri" w:hAnsi="Calibri" w:cs="Calibri"/>
                <w:b/>
                <w:sz w:val="16"/>
                <w:szCs w:val="16"/>
                <w:lang w:val="en-US"/>
              </w:rPr>
            </w:pPr>
            <w:r w:rsidRPr="003D7D3C">
              <w:rPr>
                <w:rFonts w:ascii="Calibri" w:hAnsi="Calibri" w:cs="Calibri"/>
                <w:b/>
                <w:sz w:val="16"/>
                <w:szCs w:val="16"/>
                <w:lang w:val="en-US"/>
              </w:rPr>
              <w:t>(1)</w:t>
            </w:r>
          </w:p>
        </w:tc>
        <w:tc>
          <w:tcPr>
            <w:tcW w:w="0" w:type="auto"/>
            <w:tcBorders>
              <w:top w:val="single" w:sz="6" w:space="0" w:color="auto"/>
              <w:left w:val="nil"/>
              <w:bottom w:val="nil"/>
              <w:right w:val="nil"/>
            </w:tcBorders>
            <w:vAlign w:val="center"/>
          </w:tcPr>
          <w:p w14:paraId="2606005F" w14:textId="77777777" w:rsidR="004476C3" w:rsidRPr="003D7D3C" w:rsidRDefault="004476C3" w:rsidP="005B4673">
            <w:pPr>
              <w:widowControl w:val="0"/>
              <w:autoSpaceDE w:val="0"/>
              <w:autoSpaceDN w:val="0"/>
              <w:adjustRightInd w:val="0"/>
              <w:jc w:val="center"/>
              <w:rPr>
                <w:rFonts w:ascii="Calibri" w:hAnsi="Calibri" w:cs="Calibri"/>
                <w:b/>
                <w:sz w:val="16"/>
                <w:szCs w:val="16"/>
                <w:lang w:val="en-US"/>
              </w:rPr>
            </w:pPr>
            <w:r w:rsidRPr="003D7D3C">
              <w:rPr>
                <w:rFonts w:ascii="Calibri" w:hAnsi="Calibri" w:cs="Calibri"/>
                <w:b/>
                <w:sz w:val="16"/>
                <w:szCs w:val="16"/>
                <w:lang w:val="en-US"/>
              </w:rPr>
              <w:t>(2)</w:t>
            </w:r>
          </w:p>
        </w:tc>
        <w:tc>
          <w:tcPr>
            <w:tcW w:w="0" w:type="auto"/>
            <w:tcBorders>
              <w:top w:val="single" w:sz="6" w:space="0" w:color="auto"/>
              <w:left w:val="nil"/>
              <w:bottom w:val="nil"/>
              <w:right w:val="nil"/>
            </w:tcBorders>
            <w:vAlign w:val="center"/>
          </w:tcPr>
          <w:p w14:paraId="4F48FA54" w14:textId="77777777" w:rsidR="004476C3" w:rsidRPr="003D7D3C" w:rsidRDefault="004476C3" w:rsidP="005B4673">
            <w:pPr>
              <w:widowControl w:val="0"/>
              <w:autoSpaceDE w:val="0"/>
              <w:autoSpaceDN w:val="0"/>
              <w:adjustRightInd w:val="0"/>
              <w:jc w:val="center"/>
              <w:rPr>
                <w:rFonts w:ascii="Calibri" w:hAnsi="Calibri" w:cs="Calibri"/>
                <w:b/>
                <w:sz w:val="16"/>
                <w:szCs w:val="16"/>
                <w:lang w:val="en-US"/>
              </w:rPr>
            </w:pPr>
            <w:r w:rsidRPr="003D7D3C">
              <w:rPr>
                <w:rFonts w:ascii="Calibri" w:hAnsi="Calibri" w:cs="Calibri"/>
                <w:b/>
                <w:sz w:val="16"/>
                <w:szCs w:val="16"/>
                <w:lang w:val="en-US"/>
              </w:rPr>
              <w:t>(3)</w:t>
            </w:r>
          </w:p>
        </w:tc>
        <w:tc>
          <w:tcPr>
            <w:tcW w:w="0" w:type="auto"/>
            <w:tcBorders>
              <w:top w:val="single" w:sz="6" w:space="0" w:color="auto"/>
              <w:left w:val="nil"/>
              <w:bottom w:val="nil"/>
              <w:right w:val="nil"/>
            </w:tcBorders>
            <w:vAlign w:val="center"/>
          </w:tcPr>
          <w:p w14:paraId="3DB83CBC" w14:textId="5E6CF100"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b/>
                <w:sz w:val="16"/>
                <w:szCs w:val="16"/>
                <w:lang w:val="en-US"/>
              </w:rPr>
              <w:t>(</w:t>
            </w:r>
            <w:r w:rsidR="006B10C5">
              <w:rPr>
                <w:rFonts w:ascii="Calibri" w:hAnsi="Calibri" w:cs="Calibri"/>
                <w:b/>
                <w:sz w:val="16"/>
                <w:szCs w:val="16"/>
                <w:lang w:val="en-US"/>
              </w:rPr>
              <w:t>4</w:t>
            </w:r>
            <w:r w:rsidRPr="003D7D3C">
              <w:rPr>
                <w:rFonts w:ascii="Calibri" w:hAnsi="Calibri" w:cs="Calibri"/>
                <w:b/>
                <w:sz w:val="16"/>
                <w:szCs w:val="16"/>
                <w:lang w:val="en-US"/>
              </w:rPr>
              <w:t>)</w:t>
            </w:r>
          </w:p>
        </w:tc>
        <w:tc>
          <w:tcPr>
            <w:tcW w:w="0" w:type="auto"/>
            <w:tcBorders>
              <w:top w:val="single" w:sz="6" w:space="0" w:color="auto"/>
              <w:left w:val="nil"/>
              <w:bottom w:val="nil"/>
              <w:right w:val="nil"/>
            </w:tcBorders>
            <w:vAlign w:val="center"/>
          </w:tcPr>
          <w:p w14:paraId="5FFED86E" w14:textId="3B07CF4D"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b/>
                <w:sz w:val="16"/>
                <w:szCs w:val="16"/>
                <w:lang w:val="en-US"/>
              </w:rPr>
              <w:t>(</w:t>
            </w:r>
            <w:r w:rsidR="006B10C5">
              <w:rPr>
                <w:rFonts w:ascii="Calibri" w:hAnsi="Calibri" w:cs="Calibri"/>
                <w:b/>
                <w:sz w:val="16"/>
                <w:szCs w:val="16"/>
                <w:lang w:val="en-US"/>
              </w:rPr>
              <w:t>5</w:t>
            </w:r>
            <w:r w:rsidRPr="003D7D3C">
              <w:rPr>
                <w:rFonts w:ascii="Calibri" w:hAnsi="Calibri" w:cs="Calibri"/>
                <w:b/>
                <w:sz w:val="16"/>
                <w:szCs w:val="16"/>
                <w:lang w:val="en-US"/>
              </w:rPr>
              <w:t>)</w:t>
            </w:r>
          </w:p>
        </w:tc>
        <w:tc>
          <w:tcPr>
            <w:tcW w:w="0" w:type="auto"/>
            <w:tcBorders>
              <w:top w:val="single" w:sz="6" w:space="0" w:color="auto"/>
              <w:left w:val="nil"/>
              <w:bottom w:val="nil"/>
              <w:right w:val="nil"/>
            </w:tcBorders>
            <w:vAlign w:val="center"/>
          </w:tcPr>
          <w:p w14:paraId="4EC1CF86" w14:textId="1C084545"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b/>
                <w:sz w:val="16"/>
                <w:szCs w:val="16"/>
                <w:lang w:val="en-US"/>
              </w:rPr>
              <w:t>(</w:t>
            </w:r>
            <w:r w:rsidR="006B10C5">
              <w:rPr>
                <w:rFonts w:ascii="Calibri" w:hAnsi="Calibri" w:cs="Calibri"/>
                <w:b/>
                <w:sz w:val="16"/>
                <w:szCs w:val="16"/>
                <w:lang w:val="en-US"/>
              </w:rPr>
              <w:t>6</w:t>
            </w:r>
            <w:r w:rsidRPr="003D7D3C">
              <w:rPr>
                <w:rFonts w:ascii="Calibri" w:hAnsi="Calibri" w:cs="Calibri"/>
                <w:b/>
                <w:sz w:val="16"/>
                <w:szCs w:val="16"/>
                <w:lang w:val="en-US"/>
              </w:rPr>
              <w:t>)</w:t>
            </w:r>
          </w:p>
        </w:tc>
      </w:tr>
      <w:tr w:rsidR="004476C3" w:rsidRPr="003D7D3C" w14:paraId="45590747" w14:textId="77777777" w:rsidTr="005B4673">
        <w:trPr>
          <w:jc w:val="center"/>
        </w:trPr>
        <w:tc>
          <w:tcPr>
            <w:tcW w:w="1785" w:type="dxa"/>
            <w:tcBorders>
              <w:top w:val="nil"/>
              <w:left w:val="nil"/>
              <w:bottom w:val="single" w:sz="6" w:space="0" w:color="auto"/>
              <w:right w:val="nil"/>
            </w:tcBorders>
          </w:tcPr>
          <w:p w14:paraId="3635FF51" w14:textId="77777777" w:rsidR="004476C3" w:rsidRPr="003D7D3C" w:rsidRDefault="004476C3" w:rsidP="005B4673">
            <w:pPr>
              <w:widowControl w:val="0"/>
              <w:autoSpaceDE w:val="0"/>
              <w:autoSpaceDN w:val="0"/>
              <w:adjustRightInd w:val="0"/>
              <w:rPr>
                <w:sz w:val="16"/>
                <w:szCs w:val="16"/>
              </w:rPr>
            </w:pPr>
          </w:p>
        </w:tc>
        <w:tc>
          <w:tcPr>
            <w:tcW w:w="0" w:type="auto"/>
            <w:tcBorders>
              <w:top w:val="nil"/>
              <w:left w:val="nil"/>
              <w:bottom w:val="single" w:sz="6" w:space="0" w:color="auto"/>
              <w:right w:val="nil"/>
            </w:tcBorders>
            <w:vAlign w:val="center"/>
          </w:tcPr>
          <w:p w14:paraId="50909D44" w14:textId="77777777" w:rsidR="004476C3" w:rsidRPr="003D7D3C" w:rsidRDefault="004476C3" w:rsidP="005B4673">
            <w:pPr>
              <w:widowControl w:val="0"/>
              <w:autoSpaceDE w:val="0"/>
              <w:autoSpaceDN w:val="0"/>
              <w:adjustRightInd w:val="0"/>
              <w:jc w:val="center"/>
              <w:rPr>
                <w:rFonts w:ascii="Calibri" w:hAnsi="Calibri" w:cs="Calibri"/>
                <w:b/>
                <w:sz w:val="16"/>
                <w:szCs w:val="16"/>
                <w:lang w:val="en-US"/>
              </w:rPr>
            </w:pPr>
            <w:r w:rsidRPr="003D7D3C">
              <w:rPr>
                <w:rFonts w:ascii="Calibri" w:hAnsi="Calibri" w:cs="Calibri"/>
                <w:b/>
                <w:sz w:val="16"/>
                <w:szCs w:val="16"/>
                <w:lang w:val="en-US"/>
              </w:rPr>
              <w:t>Total consumption</w:t>
            </w:r>
          </w:p>
        </w:tc>
        <w:tc>
          <w:tcPr>
            <w:tcW w:w="0" w:type="auto"/>
            <w:tcBorders>
              <w:top w:val="nil"/>
              <w:left w:val="nil"/>
              <w:bottom w:val="single" w:sz="6" w:space="0" w:color="auto"/>
              <w:right w:val="nil"/>
            </w:tcBorders>
            <w:vAlign w:val="center"/>
          </w:tcPr>
          <w:p w14:paraId="56EE278C" w14:textId="77777777" w:rsidR="004476C3" w:rsidRPr="003D7D3C" w:rsidRDefault="004476C3" w:rsidP="005B4673">
            <w:pPr>
              <w:widowControl w:val="0"/>
              <w:autoSpaceDE w:val="0"/>
              <w:autoSpaceDN w:val="0"/>
              <w:adjustRightInd w:val="0"/>
              <w:jc w:val="center"/>
              <w:rPr>
                <w:rFonts w:ascii="Calibri" w:hAnsi="Calibri" w:cs="Calibri"/>
                <w:b/>
                <w:sz w:val="16"/>
                <w:szCs w:val="16"/>
                <w:lang w:val="en-US"/>
              </w:rPr>
            </w:pPr>
            <w:r w:rsidRPr="003D7D3C">
              <w:rPr>
                <w:rFonts w:ascii="Calibri" w:hAnsi="Calibri" w:cs="Calibri"/>
                <w:b/>
                <w:sz w:val="16"/>
                <w:szCs w:val="16"/>
                <w:lang w:val="en-US"/>
              </w:rPr>
              <w:t>Non-durables consumption</w:t>
            </w:r>
          </w:p>
        </w:tc>
        <w:tc>
          <w:tcPr>
            <w:tcW w:w="0" w:type="auto"/>
            <w:tcBorders>
              <w:top w:val="nil"/>
              <w:left w:val="nil"/>
              <w:bottom w:val="single" w:sz="6" w:space="0" w:color="auto"/>
              <w:right w:val="nil"/>
            </w:tcBorders>
            <w:vAlign w:val="center"/>
          </w:tcPr>
          <w:p w14:paraId="09700AA4" w14:textId="77777777" w:rsidR="004476C3" w:rsidRPr="003D7D3C" w:rsidRDefault="004476C3" w:rsidP="005B4673">
            <w:pPr>
              <w:widowControl w:val="0"/>
              <w:autoSpaceDE w:val="0"/>
              <w:autoSpaceDN w:val="0"/>
              <w:adjustRightInd w:val="0"/>
              <w:jc w:val="center"/>
              <w:rPr>
                <w:rFonts w:ascii="Calibri" w:hAnsi="Calibri" w:cs="Calibri"/>
                <w:b/>
                <w:sz w:val="16"/>
                <w:szCs w:val="16"/>
                <w:lang w:val="en-US"/>
              </w:rPr>
            </w:pPr>
            <w:r w:rsidRPr="003D7D3C">
              <w:rPr>
                <w:rFonts w:ascii="Calibri" w:hAnsi="Calibri" w:cs="Calibri"/>
                <w:b/>
                <w:sz w:val="16"/>
                <w:szCs w:val="16"/>
                <w:lang w:val="en-US"/>
              </w:rPr>
              <w:t>Non-education consumption</w:t>
            </w:r>
          </w:p>
        </w:tc>
        <w:tc>
          <w:tcPr>
            <w:tcW w:w="0" w:type="auto"/>
            <w:tcBorders>
              <w:top w:val="nil"/>
              <w:left w:val="nil"/>
              <w:bottom w:val="single" w:sz="6" w:space="0" w:color="auto"/>
              <w:right w:val="nil"/>
            </w:tcBorders>
            <w:vAlign w:val="center"/>
          </w:tcPr>
          <w:p w14:paraId="2A54F4D2" w14:textId="77777777" w:rsidR="004476C3" w:rsidRPr="003D7D3C" w:rsidRDefault="004476C3" w:rsidP="005B4673">
            <w:pPr>
              <w:pStyle w:val="NoSpacing"/>
              <w:jc w:val="center"/>
              <w:rPr>
                <w:rFonts w:ascii="Calibri" w:hAnsi="Calibri" w:cs="Calibri"/>
                <w:b/>
                <w:sz w:val="16"/>
                <w:szCs w:val="16"/>
                <w:lang w:val="en-US"/>
              </w:rPr>
            </w:pPr>
            <w:r w:rsidRPr="003D7D3C">
              <w:rPr>
                <w:rFonts w:ascii="Calibri" w:hAnsi="Calibri" w:cs="Calibri"/>
                <w:b/>
                <w:sz w:val="16"/>
                <w:szCs w:val="16"/>
                <w:lang w:val="en-US"/>
              </w:rPr>
              <w:t>Total consumption</w:t>
            </w:r>
          </w:p>
          <w:p w14:paraId="1840DB75"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b/>
                <w:sz w:val="16"/>
                <w:szCs w:val="16"/>
                <w:lang w:val="en-US"/>
              </w:rPr>
              <w:t>EQS</w:t>
            </w:r>
          </w:p>
        </w:tc>
        <w:tc>
          <w:tcPr>
            <w:tcW w:w="0" w:type="auto"/>
            <w:tcBorders>
              <w:top w:val="nil"/>
              <w:left w:val="nil"/>
              <w:bottom w:val="single" w:sz="6" w:space="0" w:color="auto"/>
              <w:right w:val="nil"/>
            </w:tcBorders>
            <w:vAlign w:val="center"/>
          </w:tcPr>
          <w:p w14:paraId="0B2FCFB4" w14:textId="77777777" w:rsidR="004476C3" w:rsidRPr="003D7D3C" w:rsidRDefault="004476C3" w:rsidP="005B4673">
            <w:pPr>
              <w:pStyle w:val="NoSpacing"/>
              <w:jc w:val="center"/>
              <w:rPr>
                <w:rFonts w:ascii="Calibri" w:hAnsi="Calibri" w:cs="Calibri"/>
                <w:b/>
                <w:sz w:val="16"/>
                <w:szCs w:val="16"/>
                <w:lang w:val="en-US"/>
              </w:rPr>
            </w:pPr>
            <w:r w:rsidRPr="003D7D3C">
              <w:rPr>
                <w:rFonts w:ascii="Calibri" w:hAnsi="Calibri" w:cs="Calibri"/>
                <w:b/>
                <w:sz w:val="16"/>
                <w:szCs w:val="16"/>
                <w:lang w:val="en-US"/>
              </w:rPr>
              <w:t>Non-durables consumption</w:t>
            </w:r>
          </w:p>
          <w:p w14:paraId="443FE8B5"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b/>
                <w:sz w:val="16"/>
                <w:szCs w:val="16"/>
                <w:lang w:val="en-US"/>
              </w:rPr>
              <w:t>EQS</w:t>
            </w:r>
          </w:p>
        </w:tc>
        <w:tc>
          <w:tcPr>
            <w:tcW w:w="0" w:type="auto"/>
            <w:tcBorders>
              <w:top w:val="nil"/>
              <w:left w:val="nil"/>
              <w:bottom w:val="single" w:sz="6" w:space="0" w:color="auto"/>
              <w:right w:val="nil"/>
            </w:tcBorders>
            <w:vAlign w:val="center"/>
          </w:tcPr>
          <w:p w14:paraId="62CF4A0F"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b/>
                <w:sz w:val="16"/>
                <w:szCs w:val="16"/>
                <w:lang w:val="en-US"/>
              </w:rPr>
              <w:t>Non-education consumption EQS</w:t>
            </w:r>
          </w:p>
        </w:tc>
      </w:tr>
      <w:tr w:rsidR="004476C3" w:rsidRPr="003D7D3C" w14:paraId="2BD0DD9E" w14:textId="77777777" w:rsidTr="005B4673">
        <w:trPr>
          <w:jc w:val="center"/>
        </w:trPr>
        <w:tc>
          <w:tcPr>
            <w:tcW w:w="1785" w:type="dxa"/>
            <w:tcBorders>
              <w:top w:val="nil"/>
              <w:left w:val="nil"/>
              <w:bottom w:val="nil"/>
              <w:right w:val="nil"/>
            </w:tcBorders>
          </w:tcPr>
          <w:p w14:paraId="037902DE" w14:textId="77777777" w:rsidR="004476C3" w:rsidRPr="003D7D3C" w:rsidRDefault="004476C3" w:rsidP="005B4673">
            <w:pPr>
              <w:widowControl w:val="0"/>
              <w:autoSpaceDE w:val="0"/>
              <w:autoSpaceDN w:val="0"/>
              <w:adjustRightInd w:val="0"/>
              <w:rPr>
                <w:sz w:val="16"/>
                <w:szCs w:val="16"/>
              </w:rPr>
            </w:pPr>
          </w:p>
        </w:tc>
        <w:tc>
          <w:tcPr>
            <w:tcW w:w="0" w:type="auto"/>
            <w:tcBorders>
              <w:top w:val="nil"/>
              <w:left w:val="nil"/>
              <w:bottom w:val="nil"/>
              <w:right w:val="nil"/>
            </w:tcBorders>
          </w:tcPr>
          <w:p w14:paraId="546FAA7B" w14:textId="77777777" w:rsidR="004476C3" w:rsidRPr="003D7D3C" w:rsidRDefault="004476C3" w:rsidP="005B4673">
            <w:pPr>
              <w:widowControl w:val="0"/>
              <w:autoSpaceDE w:val="0"/>
              <w:autoSpaceDN w:val="0"/>
              <w:adjustRightInd w:val="0"/>
              <w:jc w:val="center"/>
              <w:rPr>
                <w:sz w:val="16"/>
                <w:szCs w:val="16"/>
              </w:rPr>
            </w:pPr>
          </w:p>
        </w:tc>
        <w:tc>
          <w:tcPr>
            <w:tcW w:w="0" w:type="auto"/>
            <w:tcBorders>
              <w:top w:val="nil"/>
              <w:left w:val="nil"/>
              <w:bottom w:val="nil"/>
              <w:right w:val="nil"/>
            </w:tcBorders>
          </w:tcPr>
          <w:p w14:paraId="5AEC147D" w14:textId="77777777" w:rsidR="004476C3" w:rsidRPr="003D7D3C" w:rsidRDefault="004476C3" w:rsidP="005B4673">
            <w:pPr>
              <w:widowControl w:val="0"/>
              <w:autoSpaceDE w:val="0"/>
              <w:autoSpaceDN w:val="0"/>
              <w:adjustRightInd w:val="0"/>
              <w:jc w:val="center"/>
              <w:rPr>
                <w:sz w:val="16"/>
                <w:szCs w:val="16"/>
              </w:rPr>
            </w:pPr>
          </w:p>
        </w:tc>
        <w:tc>
          <w:tcPr>
            <w:tcW w:w="0" w:type="auto"/>
            <w:tcBorders>
              <w:top w:val="nil"/>
              <w:left w:val="nil"/>
              <w:bottom w:val="nil"/>
              <w:right w:val="nil"/>
            </w:tcBorders>
          </w:tcPr>
          <w:p w14:paraId="2DDAD727" w14:textId="77777777" w:rsidR="004476C3" w:rsidRPr="003D7D3C" w:rsidRDefault="004476C3" w:rsidP="005B4673">
            <w:pPr>
              <w:widowControl w:val="0"/>
              <w:autoSpaceDE w:val="0"/>
              <w:autoSpaceDN w:val="0"/>
              <w:adjustRightInd w:val="0"/>
              <w:jc w:val="center"/>
              <w:rPr>
                <w:sz w:val="16"/>
                <w:szCs w:val="16"/>
              </w:rPr>
            </w:pPr>
          </w:p>
        </w:tc>
        <w:tc>
          <w:tcPr>
            <w:tcW w:w="0" w:type="auto"/>
            <w:tcBorders>
              <w:top w:val="nil"/>
              <w:left w:val="nil"/>
              <w:bottom w:val="nil"/>
              <w:right w:val="nil"/>
            </w:tcBorders>
          </w:tcPr>
          <w:p w14:paraId="3F7CC18B" w14:textId="77777777" w:rsidR="004476C3" w:rsidRPr="003D7D3C" w:rsidRDefault="004476C3" w:rsidP="005B4673">
            <w:pPr>
              <w:widowControl w:val="0"/>
              <w:autoSpaceDE w:val="0"/>
              <w:autoSpaceDN w:val="0"/>
              <w:adjustRightInd w:val="0"/>
              <w:jc w:val="center"/>
              <w:rPr>
                <w:sz w:val="16"/>
                <w:szCs w:val="16"/>
              </w:rPr>
            </w:pPr>
          </w:p>
        </w:tc>
        <w:tc>
          <w:tcPr>
            <w:tcW w:w="0" w:type="auto"/>
            <w:tcBorders>
              <w:top w:val="nil"/>
              <w:left w:val="nil"/>
              <w:bottom w:val="nil"/>
              <w:right w:val="nil"/>
            </w:tcBorders>
          </w:tcPr>
          <w:p w14:paraId="3019CB30" w14:textId="77777777" w:rsidR="004476C3" w:rsidRPr="003D7D3C" w:rsidRDefault="004476C3" w:rsidP="005B4673">
            <w:pPr>
              <w:widowControl w:val="0"/>
              <w:autoSpaceDE w:val="0"/>
              <w:autoSpaceDN w:val="0"/>
              <w:adjustRightInd w:val="0"/>
              <w:jc w:val="center"/>
              <w:rPr>
                <w:sz w:val="16"/>
                <w:szCs w:val="16"/>
              </w:rPr>
            </w:pPr>
          </w:p>
        </w:tc>
        <w:tc>
          <w:tcPr>
            <w:tcW w:w="0" w:type="auto"/>
            <w:tcBorders>
              <w:top w:val="nil"/>
              <w:left w:val="nil"/>
              <w:bottom w:val="nil"/>
              <w:right w:val="nil"/>
            </w:tcBorders>
          </w:tcPr>
          <w:p w14:paraId="6894B42C" w14:textId="77777777" w:rsidR="004476C3" w:rsidRPr="003D7D3C" w:rsidRDefault="004476C3" w:rsidP="005B4673">
            <w:pPr>
              <w:widowControl w:val="0"/>
              <w:autoSpaceDE w:val="0"/>
              <w:autoSpaceDN w:val="0"/>
              <w:adjustRightInd w:val="0"/>
              <w:jc w:val="center"/>
              <w:rPr>
                <w:sz w:val="16"/>
                <w:szCs w:val="16"/>
              </w:rPr>
            </w:pPr>
          </w:p>
        </w:tc>
      </w:tr>
      <w:tr w:rsidR="004476C3" w:rsidRPr="003D7D3C" w14:paraId="79E3A118" w14:textId="77777777" w:rsidTr="005B4673">
        <w:trPr>
          <w:jc w:val="center"/>
        </w:trPr>
        <w:tc>
          <w:tcPr>
            <w:tcW w:w="1785" w:type="dxa"/>
            <w:tcBorders>
              <w:top w:val="nil"/>
              <w:left w:val="nil"/>
              <w:bottom w:val="nil"/>
              <w:right w:val="nil"/>
            </w:tcBorders>
          </w:tcPr>
          <w:p w14:paraId="06D2C3E1" w14:textId="77777777" w:rsidR="004476C3" w:rsidRPr="003D7D3C" w:rsidRDefault="004476C3" w:rsidP="005B4673">
            <w:pPr>
              <w:widowControl w:val="0"/>
              <w:autoSpaceDE w:val="0"/>
              <w:autoSpaceDN w:val="0"/>
              <w:adjustRightInd w:val="0"/>
              <w:rPr>
                <w:sz w:val="16"/>
                <w:szCs w:val="16"/>
              </w:rPr>
            </w:pPr>
            <w:r w:rsidRPr="003D7D3C">
              <w:rPr>
                <w:rFonts w:ascii="Calibri" w:hAnsi="Calibri" w:cs="Calibri"/>
                <w:b/>
                <w:sz w:val="16"/>
                <w:szCs w:val="16"/>
                <w:lang w:val="en-US"/>
              </w:rPr>
              <w:t>Age</w:t>
            </w:r>
          </w:p>
        </w:tc>
        <w:tc>
          <w:tcPr>
            <w:tcW w:w="0" w:type="auto"/>
            <w:tcBorders>
              <w:top w:val="nil"/>
              <w:left w:val="nil"/>
              <w:bottom w:val="nil"/>
              <w:right w:val="nil"/>
            </w:tcBorders>
          </w:tcPr>
          <w:p w14:paraId="5EB13B2B"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0.0073</w:t>
            </w:r>
          </w:p>
        </w:tc>
        <w:tc>
          <w:tcPr>
            <w:tcW w:w="0" w:type="auto"/>
            <w:tcBorders>
              <w:top w:val="nil"/>
              <w:left w:val="nil"/>
              <w:bottom w:val="nil"/>
              <w:right w:val="nil"/>
            </w:tcBorders>
          </w:tcPr>
          <w:p w14:paraId="5037D5CF"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0.0107</w:t>
            </w:r>
          </w:p>
        </w:tc>
        <w:tc>
          <w:tcPr>
            <w:tcW w:w="0" w:type="auto"/>
            <w:tcBorders>
              <w:top w:val="nil"/>
              <w:left w:val="nil"/>
              <w:bottom w:val="nil"/>
              <w:right w:val="nil"/>
            </w:tcBorders>
          </w:tcPr>
          <w:p w14:paraId="09124357"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0.0040</w:t>
            </w:r>
          </w:p>
        </w:tc>
        <w:tc>
          <w:tcPr>
            <w:tcW w:w="0" w:type="auto"/>
            <w:tcBorders>
              <w:top w:val="nil"/>
              <w:left w:val="nil"/>
              <w:bottom w:val="nil"/>
              <w:right w:val="nil"/>
            </w:tcBorders>
          </w:tcPr>
          <w:p w14:paraId="1CAE0B9E"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0.0068</w:t>
            </w:r>
          </w:p>
        </w:tc>
        <w:tc>
          <w:tcPr>
            <w:tcW w:w="0" w:type="auto"/>
            <w:tcBorders>
              <w:top w:val="nil"/>
              <w:left w:val="nil"/>
              <w:bottom w:val="nil"/>
              <w:right w:val="nil"/>
            </w:tcBorders>
          </w:tcPr>
          <w:p w14:paraId="5C0069EA"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0.0103</w:t>
            </w:r>
          </w:p>
        </w:tc>
        <w:tc>
          <w:tcPr>
            <w:tcW w:w="0" w:type="auto"/>
            <w:tcBorders>
              <w:top w:val="nil"/>
              <w:left w:val="nil"/>
              <w:bottom w:val="nil"/>
              <w:right w:val="nil"/>
            </w:tcBorders>
          </w:tcPr>
          <w:p w14:paraId="16EC14B8"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0.0035</w:t>
            </w:r>
          </w:p>
        </w:tc>
      </w:tr>
      <w:tr w:rsidR="004476C3" w:rsidRPr="003D7D3C" w14:paraId="7BD654D7" w14:textId="77777777" w:rsidTr="005B4673">
        <w:trPr>
          <w:jc w:val="center"/>
        </w:trPr>
        <w:tc>
          <w:tcPr>
            <w:tcW w:w="1785" w:type="dxa"/>
            <w:tcBorders>
              <w:top w:val="nil"/>
              <w:left w:val="nil"/>
              <w:bottom w:val="nil"/>
              <w:right w:val="nil"/>
            </w:tcBorders>
          </w:tcPr>
          <w:p w14:paraId="2CA81626" w14:textId="77777777" w:rsidR="004476C3" w:rsidRPr="003D7D3C" w:rsidRDefault="004476C3" w:rsidP="005B4673">
            <w:pPr>
              <w:widowControl w:val="0"/>
              <w:autoSpaceDE w:val="0"/>
              <w:autoSpaceDN w:val="0"/>
              <w:adjustRightInd w:val="0"/>
              <w:rPr>
                <w:sz w:val="16"/>
                <w:szCs w:val="16"/>
              </w:rPr>
            </w:pPr>
          </w:p>
        </w:tc>
        <w:tc>
          <w:tcPr>
            <w:tcW w:w="0" w:type="auto"/>
            <w:tcBorders>
              <w:top w:val="nil"/>
              <w:left w:val="nil"/>
              <w:bottom w:val="nil"/>
              <w:right w:val="nil"/>
            </w:tcBorders>
          </w:tcPr>
          <w:p w14:paraId="4766702B"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(0.0215)</w:t>
            </w:r>
          </w:p>
        </w:tc>
        <w:tc>
          <w:tcPr>
            <w:tcW w:w="0" w:type="auto"/>
            <w:tcBorders>
              <w:top w:val="nil"/>
              <w:left w:val="nil"/>
              <w:bottom w:val="nil"/>
              <w:right w:val="nil"/>
            </w:tcBorders>
          </w:tcPr>
          <w:p w14:paraId="3FE9FC96"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(0.0222)</w:t>
            </w:r>
          </w:p>
        </w:tc>
        <w:tc>
          <w:tcPr>
            <w:tcW w:w="0" w:type="auto"/>
            <w:tcBorders>
              <w:top w:val="nil"/>
              <w:left w:val="nil"/>
              <w:bottom w:val="nil"/>
              <w:right w:val="nil"/>
            </w:tcBorders>
          </w:tcPr>
          <w:p w14:paraId="0E8BCD9A"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(0.0212)</w:t>
            </w:r>
          </w:p>
        </w:tc>
        <w:tc>
          <w:tcPr>
            <w:tcW w:w="0" w:type="auto"/>
            <w:tcBorders>
              <w:top w:val="nil"/>
              <w:left w:val="nil"/>
              <w:bottom w:val="nil"/>
              <w:right w:val="nil"/>
            </w:tcBorders>
          </w:tcPr>
          <w:p w14:paraId="245B4EE2"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(0.0216)</w:t>
            </w:r>
          </w:p>
        </w:tc>
        <w:tc>
          <w:tcPr>
            <w:tcW w:w="0" w:type="auto"/>
            <w:tcBorders>
              <w:top w:val="nil"/>
              <w:left w:val="nil"/>
              <w:bottom w:val="nil"/>
              <w:right w:val="nil"/>
            </w:tcBorders>
          </w:tcPr>
          <w:p w14:paraId="5DEE07F2"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(0.0222)</w:t>
            </w:r>
          </w:p>
        </w:tc>
        <w:tc>
          <w:tcPr>
            <w:tcW w:w="0" w:type="auto"/>
            <w:tcBorders>
              <w:top w:val="nil"/>
              <w:left w:val="nil"/>
              <w:bottom w:val="nil"/>
              <w:right w:val="nil"/>
            </w:tcBorders>
          </w:tcPr>
          <w:p w14:paraId="0FB3B292"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(0.0213)</w:t>
            </w:r>
          </w:p>
        </w:tc>
      </w:tr>
      <w:tr w:rsidR="004476C3" w:rsidRPr="003D7D3C" w14:paraId="288EF532" w14:textId="77777777" w:rsidTr="005B4673">
        <w:trPr>
          <w:jc w:val="center"/>
        </w:trPr>
        <w:tc>
          <w:tcPr>
            <w:tcW w:w="1785" w:type="dxa"/>
            <w:tcBorders>
              <w:top w:val="nil"/>
              <w:left w:val="nil"/>
              <w:bottom w:val="nil"/>
              <w:right w:val="nil"/>
            </w:tcBorders>
          </w:tcPr>
          <w:p w14:paraId="6881B915" w14:textId="77777777" w:rsidR="004476C3" w:rsidRPr="003D7D3C" w:rsidRDefault="004476C3" w:rsidP="005B4673">
            <w:pPr>
              <w:widowControl w:val="0"/>
              <w:autoSpaceDE w:val="0"/>
              <w:autoSpaceDN w:val="0"/>
              <w:adjustRightInd w:val="0"/>
              <w:rPr>
                <w:sz w:val="16"/>
                <w:szCs w:val="16"/>
              </w:rPr>
            </w:pPr>
            <w:r w:rsidRPr="003D7D3C">
              <w:rPr>
                <w:rFonts w:ascii="Calibri" w:hAnsi="Calibri" w:cs="Calibri"/>
                <w:b/>
                <w:sz w:val="16"/>
                <w:szCs w:val="16"/>
                <w:lang w:val="en-US"/>
              </w:rPr>
              <w:t>Married</w:t>
            </w:r>
          </w:p>
        </w:tc>
        <w:tc>
          <w:tcPr>
            <w:tcW w:w="0" w:type="auto"/>
            <w:tcBorders>
              <w:top w:val="nil"/>
              <w:left w:val="nil"/>
              <w:bottom w:val="nil"/>
              <w:right w:val="nil"/>
            </w:tcBorders>
          </w:tcPr>
          <w:p w14:paraId="53A659EE"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0.6264***</w:t>
            </w:r>
          </w:p>
        </w:tc>
        <w:tc>
          <w:tcPr>
            <w:tcW w:w="0" w:type="auto"/>
            <w:tcBorders>
              <w:top w:val="nil"/>
              <w:left w:val="nil"/>
              <w:bottom w:val="nil"/>
              <w:right w:val="nil"/>
            </w:tcBorders>
          </w:tcPr>
          <w:p w14:paraId="2FD4F09B"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0.6050***</w:t>
            </w:r>
          </w:p>
        </w:tc>
        <w:tc>
          <w:tcPr>
            <w:tcW w:w="0" w:type="auto"/>
            <w:tcBorders>
              <w:top w:val="nil"/>
              <w:left w:val="nil"/>
              <w:bottom w:val="nil"/>
              <w:right w:val="nil"/>
            </w:tcBorders>
          </w:tcPr>
          <w:p w14:paraId="171F286D"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0.6194***</w:t>
            </w:r>
          </w:p>
        </w:tc>
        <w:tc>
          <w:tcPr>
            <w:tcW w:w="0" w:type="auto"/>
            <w:tcBorders>
              <w:top w:val="nil"/>
              <w:left w:val="nil"/>
              <w:bottom w:val="nil"/>
              <w:right w:val="nil"/>
            </w:tcBorders>
          </w:tcPr>
          <w:p w14:paraId="215EA754"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0.6105***</w:t>
            </w:r>
          </w:p>
        </w:tc>
        <w:tc>
          <w:tcPr>
            <w:tcW w:w="0" w:type="auto"/>
            <w:tcBorders>
              <w:top w:val="nil"/>
              <w:left w:val="nil"/>
              <w:bottom w:val="nil"/>
              <w:right w:val="nil"/>
            </w:tcBorders>
          </w:tcPr>
          <w:p w14:paraId="4746112A"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0.5900***</w:t>
            </w:r>
          </w:p>
        </w:tc>
        <w:tc>
          <w:tcPr>
            <w:tcW w:w="0" w:type="auto"/>
            <w:tcBorders>
              <w:top w:val="nil"/>
              <w:left w:val="nil"/>
              <w:bottom w:val="nil"/>
              <w:right w:val="nil"/>
            </w:tcBorders>
          </w:tcPr>
          <w:p w14:paraId="660D5551"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0.6036***</w:t>
            </w:r>
          </w:p>
        </w:tc>
      </w:tr>
      <w:tr w:rsidR="004476C3" w:rsidRPr="003D7D3C" w14:paraId="1C1C9B7A" w14:textId="77777777" w:rsidTr="005B4673">
        <w:trPr>
          <w:jc w:val="center"/>
        </w:trPr>
        <w:tc>
          <w:tcPr>
            <w:tcW w:w="1785" w:type="dxa"/>
            <w:tcBorders>
              <w:top w:val="nil"/>
              <w:left w:val="nil"/>
              <w:bottom w:val="nil"/>
              <w:right w:val="nil"/>
            </w:tcBorders>
          </w:tcPr>
          <w:p w14:paraId="0F6140CE" w14:textId="77777777" w:rsidR="004476C3" w:rsidRPr="003D7D3C" w:rsidRDefault="004476C3" w:rsidP="005B4673">
            <w:pPr>
              <w:widowControl w:val="0"/>
              <w:autoSpaceDE w:val="0"/>
              <w:autoSpaceDN w:val="0"/>
              <w:adjustRightInd w:val="0"/>
              <w:rPr>
                <w:sz w:val="16"/>
                <w:szCs w:val="16"/>
              </w:rPr>
            </w:pPr>
          </w:p>
        </w:tc>
        <w:tc>
          <w:tcPr>
            <w:tcW w:w="0" w:type="auto"/>
            <w:tcBorders>
              <w:top w:val="nil"/>
              <w:left w:val="nil"/>
              <w:bottom w:val="nil"/>
              <w:right w:val="nil"/>
            </w:tcBorders>
          </w:tcPr>
          <w:p w14:paraId="20FFD6CF"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(0.1475)</w:t>
            </w:r>
          </w:p>
        </w:tc>
        <w:tc>
          <w:tcPr>
            <w:tcW w:w="0" w:type="auto"/>
            <w:tcBorders>
              <w:top w:val="nil"/>
              <w:left w:val="nil"/>
              <w:bottom w:val="nil"/>
              <w:right w:val="nil"/>
            </w:tcBorders>
          </w:tcPr>
          <w:p w14:paraId="11E090FA"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(0.1439)</w:t>
            </w:r>
          </w:p>
        </w:tc>
        <w:tc>
          <w:tcPr>
            <w:tcW w:w="0" w:type="auto"/>
            <w:tcBorders>
              <w:top w:val="nil"/>
              <w:left w:val="nil"/>
              <w:bottom w:val="nil"/>
              <w:right w:val="nil"/>
            </w:tcBorders>
          </w:tcPr>
          <w:p w14:paraId="6F268F20"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(0.1459)</w:t>
            </w:r>
          </w:p>
        </w:tc>
        <w:tc>
          <w:tcPr>
            <w:tcW w:w="0" w:type="auto"/>
            <w:tcBorders>
              <w:top w:val="nil"/>
              <w:left w:val="nil"/>
              <w:bottom w:val="nil"/>
              <w:right w:val="nil"/>
            </w:tcBorders>
          </w:tcPr>
          <w:p w14:paraId="354DA354"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(0.1488)</w:t>
            </w:r>
          </w:p>
        </w:tc>
        <w:tc>
          <w:tcPr>
            <w:tcW w:w="0" w:type="auto"/>
            <w:tcBorders>
              <w:top w:val="nil"/>
              <w:left w:val="nil"/>
              <w:bottom w:val="nil"/>
              <w:right w:val="nil"/>
            </w:tcBorders>
          </w:tcPr>
          <w:p w14:paraId="7E7FAC26"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(0.1454)</w:t>
            </w:r>
          </w:p>
        </w:tc>
        <w:tc>
          <w:tcPr>
            <w:tcW w:w="0" w:type="auto"/>
            <w:tcBorders>
              <w:top w:val="nil"/>
              <w:left w:val="nil"/>
              <w:bottom w:val="nil"/>
              <w:right w:val="nil"/>
            </w:tcBorders>
          </w:tcPr>
          <w:p w14:paraId="02FC1775"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(0.1474)</w:t>
            </w:r>
          </w:p>
        </w:tc>
      </w:tr>
      <w:tr w:rsidR="004476C3" w:rsidRPr="003D7D3C" w14:paraId="6D54CB91" w14:textId="77777777" w:rsidTr="005B4673">
        <w:trPr>
          <w:jc w:val="center"/>
        </w:trPr>
        <w:tc>
          <w:tcPr>
            <w:tcW w:w="1785" w:type="dxa"/>
            <w:tcBorders>
              <w:top w:val="nil"/>
              <w:left w:val="nil"/>
              <w:bottom w:val="nil"/>
              <w:right w:val="nil"/>
            </w:tcBorders>
          </w:tcPr>
          <w:p w14:paraId="1085651A" w14:textId="77777777" w:rsidR="004476C3" w:rsidRPr="003D7D3C" w:rsidRDefault="004476C3" w:rsidP="005B4673">
            <w:pPr>
              <w:widowControl w:val="0"/>
              <w:autoSpaceDE w:val="0"/>
              <w:autoSpaceDN w:val="0"/>
              <w:adjustRightInd w:val="0"/>
              <w:rPr>
                <w:sz w:val="16"/>
                <w:szCs w:val="16"/>
              </w:rPr>
            </w:pPr>
            <w:r w:rsidRPr="003D7D3C">
              <w:rPr>
                <w:rFonts w:ascii="Calibri" w:hAnsi="Calibri" w:cs="Calibri"/>
                <w:b/>
                <w:sz w:val="16"/>
                <w:szCs w:val="16"/>
                <w:lang w:val="en-US"/>
              </w:rPr>
              <w:t>Widowed</w:t>
            </w:r>
          </w:p>
        </w:tc>
        <w:tc>
          <w:tcPr>
            <w:tcW w:w="0" w:type="auto"/>
            <w:tcBorders>
              <w:top w:val="nil"/>
              <w:left w:val="nil"/>
              <w:bottom w:val="nil"/>
              <w:right w:val="nil"/>
            </w:tcBorders>
          </w:tcPr>
          <w:p w14:paraId="68844F63"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0.5759***</w:t>
            </w:r>
          </w:p>
        </w:tc>
        <w:tc>
          <w:tcPr>
            <w:tcW w:w="0" w:type="auto"/>
            <w:tcBorders>
              <w:top w:val="nil"/>
              <w:left w:val="nil"/>
              <w:bottom w:val="nil"/>
              <w:right w:val="nil"/>
            </w:tcBorders>
          </w:tcPr>
          <w:p w14:paraId="36E68AF7"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0.5064***</w:t>
            </w:r>
          </w:p>
        </w:tc>
        <w:tc>
          <w:tcPr>
            <w:tcW w:w="0" w:type="auto"/>
            <w:tcBorders>
              <w:top w:val="nil"/>
              <w:left w:val="nil"/>
              <w:bottom w:val="nil"/>
              <w:right w:val="nil"/>
            </w:tcBorders>
          </w:tcPr>
          <w:p w14:paraId="456E0530"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0.5982***</w:t>
            </w:r>
          </w:p>
        </w:tc>
        <w:tc>
          <w:tcPr>
            <w:tcW w:w="0" w:type="auto"/>
            <w:tcBorders>
              <w:top w:val="nil"/>
              <w:left w:val="nil"/>
              <w:bottom w:val="nil"/>
              <w:right w:val="nil"/>
            </w:tcBorders>
          </w:tcPr>
          <w:p w14:paraId="28C9EC03"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0.6435***</w:t>
            </w:r>
          </w:p>
        </w:tc>
        <w:tc>
          <w:tcPr>
            <w:tcW w:w="0" w:type="auto"/>
            <w:tcBorders>
              <w:top w:val="nil"/>
              <w:left w:val="nil"/>
              <w:bottom w:val="nil"/>
              <w:right w:val="nil"/>
            </w:tcBorders>
          </w:tcPr>
          <w:p w14:paraId="6570064E"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0.5729***</w:t>
            </w:r>
          </w:p>
        </w:tc>
        <w:tc>
          <w:tcPr>
            <w:tcW w:w="0" w:type="auto"/>
            <w:tcBorders>
              <w:top w:val="nil"/>
              <w:left w:val="nil"/>
              <w:bottom w:val="nil"/>
              <w:right w:val="nil"/>
            </w:tcBorders>
          </w:tcPr>
          <w:p w14:paraId="15AEC8A9"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0.6666***</w:t>
            </w:r>
          </w:p>
        </w:tc>
      </w:tr>
      <w:tr w:rsidR="004476C3" w:rsidRPr="003D7D3C" w14:paraId="1A6BC6AB" w14:textId="77777777" w:rsidTr="005B4673">
        <w:trPr>
          <w:jc w:val="center"/>
        </w:trPr>
        <w:tc>
          <w:tcPr>
            <w:tcW w:w="1785" w:type="dxa"/>
            <w:tcBorders>
              <w:top w:val="nil"/>
              <w:left w:val="nil"/>
              <w:bottom w:val="nil"/>
              <w:right w:val="nil"/>
            </w:tcBorders>
          </w:tcPr>
          <w:p w14:paraId="69126126" w14:textId="77777777" w:rsidR="004476C3" w:rsidRPr="003D7D3C" w:rsidRDefault="004476C3" w:rsidP="005B4673">
            <w:pPr>
              <w:widowControl w:val="0"/>
              <w:autoSpaceDE w:val="0"/>
              <w:autoSpaceDN w:val="0"/>
              <w:adjustRightInd w:val="0"/>
              <w:rPr>
                <w:sz w:val="16"/>
                <w:szCs w:val="16"/>
              </w:rPr>
            </w:pPr>
          </w:p>
        </w:tc>
        <w:tc>
          <w:tcPr>
            <w:tcW w:w="0" w:type="auto"/>
            <w:tcBorders>
              <w:top w:val="nil"/>
              <w:left w:val="nil"/>
              <w:bottom w:val="nil"/>
              <w:right w:val="nil"/>
            </w:tcBorders>
          </w:tcPr>
          <w:p w14:paraId="0125E92B"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(0.1554)</w:t>
            </w:r>
          </w:p>
        </w:tc>
        <w:tc>
          <w:tcPr>
            <w:tcW w:w="0" w:type="auto"/>
            <w:tcBorders>
              <w:top w:val="nil"/>
              <w:left w:val="nil"/>
              <w:bottom w:val="nil"/>
              <w:right w:val="nil"/>
            </w:tcBorders>
          </w:tcPr>
          <w:p w14:paraId="266EBB7D"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(0.1509)</w:t>
            </w:r>
          </w:p>
        </w:tc>
        <w:tc>
          <w:tcPr>
            <w:tcW w:w="0" w:type="auto"/>
            <w:tcBorders>
              <w:top w:val="nil"/>
              <w:left w:val="nil"/>
              <w:bottom w:val="nil"/>
              <w:right w:val="nil"/>
            </w:tcBorders>
          </w:tcPr>
          <w:p w14:paraId="011B6BFA"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(0.1538)</w:t>
            </w:r>
          </w:p>
        </w:tc>
        <w:tc>
          <w:tcPr>
            <w:tcW w:w="0" w:type="auto"/>
            <w:tcBorders>
              <w:top w:val="nil"/>
              <w:left w:val="nil"/>
              <w:bottom w:val="nil"/>
              <w:right w:val="nil"/>
            </w:tcBorders>
          </w:tcPr>
          <w:p w14:paraId="140A1254"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(0.1577)</w:t>
            </w:r>
          </w:p>
        </w:tc>
        <w:tc>
          <w:tcPr>
            <w:tcW w:w="0" w:type="auto"/>
            <w:tcBorders>
              <w:top w:val="nil"/>
              <w:left w:val="nil"/>
              <w:bottom w:val="nil"/>
              <w:right w:val="nil"/>
            </w:tcBorders>
          </w:tcPr>
          <w:p w14:paraId="616DDAB2"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(0.1532)</w:t>
            </w:r>
          </w:p>
        </w:tc>
        <w:tc>
          <w:tcPr>
            <w:tcW w:w="0" w:type="auto"/>
            <w:tcBorders>
              <w:top w:val="nil"/>
              <w:left w:val="nil"/>
              <w:bottom w:val="nil"/>
              <w:right w:val="nil"/>
            </w:tcBorders>
          </w:tcPr>
          <w:p w14:paraId="4E6BD8DF"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(0.1560)</w:t>
            </w:r>
          </w:p>
        </w:tc>
      </w:tr>
      <w:tr w:rsidR="004476C3" w:rsidRPr="003D7D3C" w14:paraId="7878110A" w14:textId="77777777" w:rsidTr="005B4673">
        <w:trPr>
          <w:jc w:val="center"/>
        </w:trPr>
        <w:tc>
          <w:tcPr>
            <w:tcW w:w="1785" w:type="dxa"/>
            <w:tcBorders>
              <w:top w:val="nil"/>
              <w:left w:val="nil"/>
              <w:bottom w:val="nil"/>
              <w:right w:val="nil"/>
            </w:tcBorders>
          </w:tcPr>
          <w:p w14:paraId="33B157ED" w14:textId="77777777" w:rsidR="004476C3" w:rsidRPr="003D7D3C" w:rsidRDefault="004476C3" w:rsidP="005B4673">
            <w:pPr>
              <w:widowControl w:val="0"/>
              <w:autoSpaceDE w:val="0"/>
              <w:autoSpaceDN w:val="0"/>
              <w:adjustRightInd w:val="0"/>
              <w:rPr>
                <w:sz w:val="16"/>
                <w:szCs w:val="16"/>
              </w:rPr>
            </w:pPr>
            <w:r w:rsidRPr="003D7D3C">
              <w:rPr>
                <w:rFonts w:ascii="Calibri" w:hAnsi="Calibri" w:cs="Calibri"/>
                <w:b/>
                <w:sz w:val="16"/>
                <w:szCs w:val="16"/>
                <w:lang w:val="en-US"/>
              </w:rPr>
              <w:t>Income</w:t>
            </w:r>
          </w:p>
        </w:tc>
        <w:tc>
          <w:tcPr>
            <w:tcW w:w="0" w:type="auto"/>
            <w:tcBorders>
              <w:top w:val="nil"/>
              <w:left w:val="nil"/>
              <w:bottom w:val="nil"/>
              <w:right w:val="nil"/>
            </w:tcBorders>
          </w:tcPr>
          <w:p w14:paraId="3586F5B7"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0.0414***</w:t>
            </w:r>
          </w:p>
        </w:tc>
        <w:tc>
          <w:tcPr>
            <w:tcW w:w="0" w:type="auto"/>
            <w:tcBorders>
              <w:top w:val="nil"/>
              <w:left w:val="nil"/>
              <w:bottom w:val="nil"/>
              <w:right w:val="nil"/>
            </w:tcBorders>
          </w:tcPr>
          <w:p w14:paraId="158D466C"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0.0370***</w:t>
            </w:r>
          </w:p>
        </w:tc>
        <w:tc>
          <w:tcPr>
            <w:tcW w:w="0" w:type="auto"/>
            <w:tcBorders>
              <w:top w:val="nil"/>
              <w:left w:val="nil"/>
              <w:bottom w:val="nil"/>
              <w:right w:val="nil"/>
            </w:tcBorders>
          </w:tcPr>
          <w:p w14:paraId="67D36803"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0.0426***</w:t>
            </w:r>
          </w:p>
        </w:tc>
        <w:tc>
          <w:tcPr>
            <w:tcW w:w="0" w:type="auto"/>
            <w:tcBorders>
              <w:top w:val="nil"/>
              <w:left w:val="nil"/>
              <w:bottom w:val="nil"/>
              <w:right w:val="nil"/>
            </w:tcBorders>
          </w:tcPr>
          <w:p w14:paraId="344A1F92"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0.0400***</w:t>
            </w:r>
          </w:p>
        </w:tc>
        <w:tc>
          <w:tcPr>
            <w:tcW w:w="0" w:type="auto"/>
            <w:tcBorders>
              <w:top w:val="nil"/>
              <w:left w:val="nil"/>
              <w:bottom w:val="nil"/>
              <w:right w:val="nil"/>
            </w:tcBorders>
          </w:tcPr>
          <w:p w14:paraId="1AA9EDC5"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0.0356***</w:t>
            </w:r>
          </w:p>
        </w:tc>
        <w:tc>
          <w:tcPr>
            <w:tcW w:w="0" w:type="auto"/>
            <w:tcBorders>
              <w:top w:val="nil"/>
              <w:left w:val="nil"/>
              <w:bottom w:val="nil"/>
              <w:right w:val="nil"/>
            </w:tcBorders>
          </w:tcPr>
          <w:p w14:paraId="04136E38"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0.0412***</w:t>
            </w:r>
          </w:p>
        </w:tc>
      </w:tr>
      <w:tr w:rsidR="004476C3" w:rsidRPr="003D7D3C" w14:paraId="4BE8DED3" w14:textId="77777777" w:rsidTr="005B4673">
        <w:trPr>
          <w:jc w:val="center"/>
        </w:trPr>
        <w:tc>
          <w:tcPr>
            <w:tcW w:w="1785" w:type="dxa"/>
            <w:tcBorders>
              <w:top w:val="nil"/>
              <w:left w:val="nil"/>
              <w:bottom w:val="nil"/>
              <w:right w:val="nil"/>
            </w:tcBorders>
          </w:tcPr>
          <w:p w14:paraId="31329D67" w14:textId="77777777" w:rsidR="004476C3" w:rsidRPr="003D7D3C" w:rsidRDefault="004476C3" w:rsidP="005B4673">
            <w:pPr>
              <w:widowControl w:val="0"/>
              <w:autoSpaceDE w:val="0"/>
              <w:autoSpaceDN w:val="0"/>
              <w:adjustRightInd w:val="0"/>
              <w:rPr>
                <w:sz w:val="16"/>
                <w:szCs w:val="16"/>
              </w:rPr>
            </w:pPr>
          </w:p>
        </w:tc>
        <w:tc>
          <w:tcPr>
            <w:tcW w:w="0" w:type="auto"/>
            <w:tcBorders>
              <w:top w:val="nil"/>
              <w:left w:val="nil"/>
              <w:bottom w:val="nil"/>
              <w:right w:val="nil"/>
            </w:tcBorders>
          </w:tcPr>
          <w:p w14:paraId="7DCD3A20"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(0.0088)</w:t>
            </w:r>
          </w:p>
        </w:tc>
        <w:tc>
          <w:tcPr>
            <w:tcW w:w="0" w:type="auto"/>
            <w:tcBorders>
              <w:top w:val="nil"/>
              <w:left w:val="nil"/>
              <w:bottom w:val="nil"/>
              <w:right w:val="nil"/>
            </w:tcBorders>
          </w:tcPr>
          <w:p w14:paraId="453BE94B"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(0.0086)</w:t>
            </w:r>
          </w:p>
        </w:tc>
        <w:tc>
          <w:tcPr>
            <w:tcW w:w="0" w:type="auto"/>
            <w:tcBorders>
              <w:top w:val="nil"/>
              <w:left w:val="nil"/>
              <w:bottom w:val="nil"/>
              <w:right w:val="nil"/>
            </w:tcBorders>
          </w:tcPr>
          <w:p w14:paraId="2671ABE7"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(0.0087)</w:t>
            </w:r>
          </w:p>
        </w:tc>
        <w:tc>
          <w:tcPr>
            <w:tcW w:w="0" w:type="auto"/>
            <w:tcBorders>
              <w:top w:val="nil"/>
              <w:left w:val="nil"/>
              <w:bottom w:val="nil"/>
              <w:right w:val="nil"/>
            </w:tcBorders>
          </w:tcPr>
          <w:p w14:paraId="71DC8598"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(0.0088)</w:t>
            </w:r>
          </w:p>
        </w:tc>
        <w:tc>
          <w:tcPr>
            <w:tcW w:w="0" w:type="auto"/>
            <w:tcBorders>
              <w:top w:val="nil"/>
              <w:left w:val="nil"/>
              <w:bottom w:val="nil"/>
              <w:right w:val="nil"/>
            </w:tcBorders>
          </w:tcPr>
          <w:p w14:paraId="33FE1FC4"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(0.0086)</w:t>
            </w:r>
          </w:p>
        </w:tc>
        <w:tc>
          <w:tcPr>
            <w:tcW w:w="0" w:type="auto"/>
            <w:tcBorders>
              <w:top w:val="nil"/>
              <w:left w:val="nil"/>
              <w:bottom w:val="nil"/>
              <w:right w:val="nil"/>
            </w:tcBorders>
          </w:tcPr>
          <w:p w14:paraId="37156C4F"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(0.0087)</w:t>
            </w:r>
          </w:p>
        </w:tc>
      </w:tr>
      <w:tr w:rsidR="004476C3" w:rsidRPr="003D7D3C" w14:paraId="3AADB236" w14:textId="77777777" w:rsidTr="005B4673">
        <w:trPr>
          <w:jc w:val="center"/>
        </w:trPr>
        <w:tc>
          <w:tcPr>
            <w:tcW w:w="1785" w:type="dxa"/>
            <w:tcBorders>
              <w:top w:val="nil"/>
              <w:left w:val="nil"/>
              <w:bottom w:val="nil"/>
              <w:right w:val="nil"/>
            </w:tcBorders>
          </w:tcPr>
          <w:p w14:paraId="3FB93379" w14:textId="77777777" w:rsidR="004476C3" w:rsidRPr="003D7D3C" w:rsidRDefault="004476C3" w:rsidP="005B4673">
            <w:pPr>
              <w:widowControl w:val="0"/>
              <w:autoSpaceDE w:val="0"/>
              <w:autoSpaceDN w:val="0"/>
              <w:adjustRightInd w:val="0"/>
              <w:rPr>
                <w:sz w:val="16"/>
                <w:szCs w:val="16"/>
              </w:rPr>
            </w:pPr>
            <w:r w:rsidRPr="003D7D3C">
              <w:rPr>
                <w:rFonts w:ascii="Calibri" w:hAnsi="Calibri" w:cs="Calibri"/>
                <w:b/>
                <w:sz w:val="16"/>
                <w:szCs w:val="16"/>
                <w:lang w:val="en-US"/>
              </w:rPr>
              <w:t>Wealth</w:t>
            </w:r>
          </w:p>
        </w:tc>
        <w:tc>
          <w:tcPr>
            <w:tcW w:w="0" w:type="auto"/>
            <w:tcBorders>
              <w:top w:val="nil"/>
              <w:left w:val="nil"/>
              <w:bottom w:val="nil"/>
              <w:right w:val="nil"/>
            </w:tcBorders>
          </w:tcPr>
          <w:p w14:paraId="3EF8753C"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0.0175***</w:t>
            </w:r>
          </w:p>
        </w:tc>
        <w:tc>
          <w:tcPr>
            <w:tcW w:w="0" w:type="auto"/>
            <w:tcBorders>
              <w:top w:val="nil"/>
              <w:left w:val="nil"/>
              <w:bottom w:val="nil"/>
              <w:right w:val="nil"/>
            </w:tcBorders>
          </w:tcPr>
          <w:p w14:paraId="5CB65530"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0.0154***</w:t>
            </w:r>
          </w:p>
        </w:tc>
        <w:tc>
          <w:tcPr>
            <w:tcW w:w="0" w:type="auto"/>
            <w:tcBorders>
              <w:top w:val="nil"/>
              <w:left w:val="nil"/>
              <w:bottom w:val="nil"/>
              <w:right w:val="nil"/>
            </w:tcBorders>
          </w:tcPr>
          <w:p w14:paraId="59EEFCD6"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0.0201***</w:t>
            </w:r>
          </w:p>
        </w:tc>
        <w:tc>
          <w:tcPr>
            <w:tcW w:w="0" w:type="auto"/>
            <w:tcBorders>
              <w:top w:val="nil"/>
              <w:left w:val="nil"/>
              <w:bottom w:val="nil"/>
              <w:right w:val="nil"/>
            </w:tcBorders>
          </w:tcPr>
          <w:p w14:paraId="406674E2"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0.0175***</w:t>
            </w:r>
          </w:p>
        </w:tc>
        <w:tc>
          <w:tcPr>
            <w:tcW w:w="0" w:type="auto"/>
            <w:tcBorders>
              <w:top w:val="nil"/>
              <w:left w:val="nil"/>
              <w:bottom w:val="nil"/>
              <w:right w:val="nil"/>
            </w:tcBorders>
          </w:tcPr>
          <w:p w14:paraId="359EE575"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0.0154***</w:t>
            </w:r>
          </w:p>
        </w:tc>
        <w:tc>
          <w:tcPr>
            <w:tcW w:w="0" w:type="auto"/>
            <w:tcBorders>
              <w:top w:val="nil"/>
              <w:left w:val="nil"/>
              <w:bottom w:val="nil"/>
              <w:right w:val="nil"/>
            </w:tcBorders>
          </w:tcPr>
          <w:p w14:paraId="2BD58DCD"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0.0200***</w:t>
            </w:r>
          </w:p>
        </w:tc>
      </w:tr>
      <w:tr w:rsidR="004476C3" w:rsidRPr="003D7D3C" w14:paraId="76226B89" w14:textId="77777777" w:rsidTr="005B4673">
        <w:trPr>
          <w:jc w:val="center"/>
        </w:trPr>
        <w:tc>
          <w:tcPr>
            <w:tcW w:w="1785" w:type="dxa"/>
            <w:tcBorders>
              <w:top w:val="nil"/>
              <w:left w:val="nil"/>
              <w:bottom w:val="nil"/>
              <w:right w:val="nil"/>
            </w:tcBorders>
          </w:tcPr>
          <w:p w14:paraId="349A990F" w14:textId="77777777" w:rsidR="004476C3" w:rsidRPr="003D7D3C" w:rsidRDefault="004476C3" w:rsidP="005B4673">
            <w:pPr>
              <w:widowControl w:val="0"/>
              <w:autoSpaceDE w:val="0"/>
              <w:autoSpaceDN w:val="0"/>
              <w:adjustRightInd w:val="0"/>
              <w:rPr>
                <w:sz w:val="16"/>
                <w:szCs w:val="16"/>
              </w:rPr>
            </w:pPr>
          </w:p>
        </w:tc>
        <w:tc>
          <w:tcPr>
            <w:tcW w:w="0" w:type="auto"/>
            <w:tcBorders>
              <w:top w:val="nil"/>
              <w:left w:val="nil"/>
              <w:bottom w:val="nil"/>
              <w:right w:val="nil"/>
            </w:tcBorders>
          </w:tcPr>
          <w:p w14:paraId="29EEAD51"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(0.0041)</w:t>
            </w:r>
          </w:p>
        </w:tc>
        <w:tc>
          <w:tcPr>
            <w:tcW w:w="0" w:type="auto"/>
            <w:tcBorders>
              <w:top w:val="nil"/>
              <w:left w:val="nil"/>
              <w:bottom w:val="nil"/>
              <w:right w:val="nil"/>
            </w:tcBorders>
          </w:tcPr>
          <w:p w14:paraId="447BC03C"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(0.0041)</w:t>
            </w:r>
          </w:p>
        </w:tc>
        <w:tc>
          <w:tcPr>
            <w:tcW w:w="0" w:type="auto"/>
            <w:tcBorders>
              <w:top w:val="nil"/>
              <w:left w:val="nil"/>
              <w:bottom w:val="nil"/>
              <w:right w:val="nil"/>
            </w:tcBorders>
          </w:tcPr>
          <w:p w14:paraId="5A8AA665"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(0.0041)</w:t>
            </w:r>
          </w:p>
        </w:tc>
        <w:tc>
          <w:tcPr>
            <w:tcW w:w="0" w:type="auto"/>
            <w:tcBorders>
              <w:top w:val="nil"/>
              <w:left w:val="nil"/>
              <w:bottom w:val="nil"/>
              <w:right w:val="nil"/>
            </w:tcBorders>
          </w:tcPr>
          <w:p w14:paraId="141E606A"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(0.0041)</w:t>
            </w:r>
          </w:p>
        </w:tc>
        <w:tc>
          <w:tcPr>
            <w:tcW w:w="0" w:type="auto"/>
            <w:tcBorders>
              <w:top w:val="nil"/>
              <w:left w:val="nil"/>
              <w:bottom w:val="nil"/>
              <w:right w:val="nil"/>
            </w:tcBorders>
          </w:tcPr>
          <w:p w14:paraId="6C656F50"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(0.0041)</w:t>
            </w:r>
          </w:p>
        </w:tc>
        <w:tc>
          <w:tcPr>
            <w:tcW w:w="0" w:type="auto"/>
            <w:tcBorders>
              <w:top w:val="nil"/>
              <w:left w:val="nil"/>
              <w:bottom w:val="nil"/>
              <w:right w:val="nil"/>
            </w:tcBorders>
          </w:tcPr>
          <w:p w14:paraId="0A6C41BB"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(0.0041)</w:t>
            </w:r>
          </w:p>
        </w:tc>
      </w:tr>
      <w:tr w:rsidR="004476C3" w:rsidRPr="003D7D3C" w14:paraId="57A3862F" w14:textId="77777777" w:rsidTr="005B4673">
        <w:trPr>
          <w:jc w:val="center"/>
        </w:trPr>
        <w:tc>
          <w:tcPr>
            <w:tcW w:w="1785" w:type="dxa"/>
            <w:tcBorders>
              <w:top w:val="nil"/>
              <w:left w:val="nil"/>
              <w:bottom w:val="nil"/>
              <w:right w:val="nil"/>
            </w:tcBorders>
          </w:tcPr>
          <w:p w14:paraId="21846759" w14:textId="77777777" w:rsidR="004476C3" w:rsidRPr="003D7D3C" w:rsidRDefault="004476C3" w:rsidP="005B4673">
            <w:pPr>
              <w:widowControl w:val="0"/>
              <w:autoSpaceDE w:val="0"/>
              <w:autoSpaceDN w:val="0"/>
              <w:adjustRightInd w:val="0"/>
              <w:rPr>
                <w:sz w:val="16"/>
                <w:szCs w:val="16"/>
              </w:rPr>
            </w:pPr>
            <w:r w:rsidRPr="003D7D3C">
              <w:rPr>
                <w:rFonts w:ascii="Calibri" w:hAnsi="Calibri" w:cs="Calibri"/>
                <w:b/>
                <w:sz w:val="16"/>
                <w:szCs w:val="16"/>
                <w:lang w:val="en-US"/>
              </w:rPr>
              <w:t>Home ownership</w:t>
            </w:r>
          </w:p>
        </w:tc>
        <w:tc>
          <w:tcPr>
            <w:tcW w:w="0" w:type="auto"/>
            <w:tcBorders>
              <w:top w:val="nil"/>
              <w:left w:val="nil"/>
              <w:bottom w:val="nil"/>
              <w:right w:val="nil"/>
            </w:tcBorders>
          </w:tcPr>
          <w:p w14:paraId="6F7D8F7B"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0.0519</w:t>
            </w:r>
          </w:p>
        </w:tc>
        <w:tc>
          <w:tcPr>
            <w:tcW w:w="0" w:type="auto"/>
            <w:tcBorders>
              <w:top w:val="nil"/>
              <w:left w:val="nil"/>
              <w:bottom w:val="nil"/>
              <w:right w:val="nil"/>
            </w:tcBorders>
          </w:tcPr>
          <w:p w14:paraId="3EF64CD5"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0.0758</w:t>
            </w:r>
          </w:p>
        </w:tc>
        <w:tc>
          <w:tcPr>
            <w:tcW w:w="0" w:type="auto"/>
            <w:tcBorders>
              <w:top w:val="nil"/>
              <w:left w:val="nil"/>
              <w:bottom w:val="nil"/>
              <w:right w:val="nil"/>
            </w:tcBorders>
          </w:tcPr>
          <w:p w14:paraId="09EE57A1"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0.0637</w:t>
            </w:r>
          </w:p>
        </w:tc>
        <w:tc>
          <w:tcPr>
            <w:tcW w:w="0" w:type="auto"/>
            <w:tcBorders>
              <w:top w:val="nil"/>
              <w:left w:val="nil"/>
              <w:bottom w:val="nil"/>
              <w:right w:val="nil"/>
            </w:tcBorders>
          </w:tcPr>
          <w:p w14:paraId="17A48392"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0.0490</w:t>
            </w:r>
          </w:p>
        </w:tc>
        <w:tc>
          <w:tcPr>
            <w:tcW w:w="0" w:type="auto"/>
            <w:tcBorders>
              <w:top w:val="nil"/>
              <w:left w:val="nil"/>
              <w:bottom w:val="nil"/>
              <w:right w:val="nil"/>
            </w:tcBorders>
          </w:tcPr>
          <w:p w14:paraId="1D5847D7"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0.0724</w:t>
            </w:r>
          </w:p>
        </w:tc>
        <w:tc>
          <w:tcPr>
            <w:tcW w:w="0" w:type="auto"/>
            <w:tcBorders>
              <w:top w:val="nil"/>
              <w:left w:val="nil"/>
              <w:bottom w:val="nil"/>
              <w:right w:val="nil"/>
            </w:tcBorders>
          </w:tcPr>
          <w:p w14:paraId="5EC8C7BD"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0.0607</w:t>
            </w:r>
          </w:p>
        </w:tc>
      </w:tr>
      <w:tr w:rsidR="004476C3" w:rsidRPr="003D7D3C" w14:paraId="2B4CDC4D" w14:textId="77777777" w:rsidTr="005B4673">
        <w:trPr>
          <w:jc w:val="center"/>
        </w:trPr>
        <w:tc>
          <w:tcPr>
            <w:tcW w:w="1785" w:type="dxa"/>
            <w:tcBorders>
              <w:top w:val="nil"/>
              <w:left w:val="nil"/>
              <w:bottom w:val="nil"/>
              <w:right w:val="nil"/>
            </w:tcBorders>
          </w:tcPr>
          <w:p w14:paraId="375FA1D3" w14:textId="77777777" w:rsidR="004476C3" w:rsidRPr="003D7D3C" w:rsidRDefault="004476C3" w:rsidP="005B4673">
            <w:pPr>
              <w:widowControl w:val="0"/>
              <w:autoSpaceDE w:val="0"/>
              <w:autoSpaceDN w:val="0"/>
              <w:adjustRightInd w:val="0"/>
              <w:rPr>
                <w:sz w:val="16"/>
                <w:szCs w:val="16"/>
              </w:rPr>
            </w:pPr>
          </w:p>
        </w:tc>
        <w:tc>
          <w:tcPr>
            <w:tcW w:w="0" w:type="auto"/>
            <w:tcBorders>
              <w:top w:val="nil"/>
              <w:left w:val="nil"/>
              <w:bottom w:val="nil"/>
              <w:right w:val="nil"/>
            </w:tcBorders>
          </w:tcPr>
          <w:p w14:paraId="6ACFF2F1"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(0.0458)</w:t>
            </w:r>
          </w:p>
        </w:tc>
        <w:tc>
          <w:tcPr>
            <w:tcW w:w="0" w:type="auto"/>
            <w:tcBorders>
              <w:top w:val="nil"/>
              <w:left w:val="nil"/>
              <w:bottom w:val="nil"/>
              <w:right w:val="nil"/>
            </w:tcBorders>
          </w:tcPr>
          <w:p w14:paraId="46A7F8D8"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(0.0489)</w:t>
            </w:r>
          </w:p>
        </w:tc>
        <w:tc>
          <w:tcPr>
            <w:tcW w:w="0" w:type="auto"/>
            <w:tcBorders>
              <w:top w:val="nil"/>
              <w:left w:val="nil"/>
              <w:bottom w:val="nil"/>
              <w:right w:val="nil"/>
            </w:tcBorders>
          </w:tcPr>
          <w:p w14:paraId="35024286"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(0.0455)</w:t>
            </w:r>
          </w:p>
        </w:tc>
        <w:tc>
          <w:tcPr>
            <w:tcW w:w="0" w:type="auto"/>
            <w:tcBorders>
              <w:top w:val="nil"/>
              <w:left w:val="nil"/>
              <w:bottom w:val="nil"/>
              <w:right w:val="nil"/>
            </w:tcBorders>
          </w:tcPr>
          <w:p w14:paraId="32BED02B"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(0.0459)</w:t>
            </w:r>
          </w:p>
        </w:tc>
        <w:tc>
          <w:tcPr>
            <w:tcW w:w="0" w:type="auto"/>
            <w:tcBorders>
              <w:top w:val="nil"/>
              <w:left w:val="nil"/>
              <w:bottom w:val="nil"/>
              <w:right w:val="nil"/>
            </w:tcBorders>
          </w:tcPr>
          <w:p w14:paraId="5D44D205"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(0.0486)</w:t>
            </w:r>
          </w:p>
        </w:tc>
        <w:tc>
          <w:tcPr>
            <w:tcW w:w="0" w:type="auto"/>
            <w:tcBorders>
              <w:top w:val="nil"/>
              <w:left w:val="nil"/>
              <w:bottom w:val="nil"/>
              <w:right w:val="nil"/>
            </w:tcBorders>
          </w:tcPr>
          <w:p w14:paraId="3439DFD6"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(0.0457)</w:t>
            </w:r>
          </w:p>
        </w:tc>
      </w:tr>
      <w:tr w:rsidR="004476C3" w:rsidRPr="003D7D3C" w14:paraId="56FF6155" w14:textId="77777777" w:rsidTr="005B4673">
        <w:trPr>
          <w:jc w:val="center"/>
        </w:trPr>
        <w:tc>
          <w:tcPr>
            <w:tcW w:w="1785" w:type="dxa"/>
            <w:tcBorders>
              <w:top w:val="nil"/>
              <w:left w:val="nil"/>
              <w:bottom w:val="nil"/>
              <w:right w:val="nil"/>
            </w:tcBorders>
          </w:tcPr>
          <w:p w14:paraId="3EAC3B5B" w14:textId="77777777" w:rsidR="004476C3" w:rsidRPr="003D7D3C" w:rsidRDefault="004476C3" w:rsidP="005B4673">
            <w:pPr>
              <w:widowControl w:val="0"/>
              <w:autoSpaceDE w:val="0"/>
              <w:autoSpaceDN w:val="0"/>
              <w:adjustRightInd w:val="0"/>
              <w:rPr>
                <w:sz w:val="16"/>
                <w:szCs w:val="16"/>
              </w:rPr>
            </w:pPr>
            <w:r w:rsidRPr="003D7D3C">
              <w:rPr>
                <w:rFonts w:ascii="Calibri" w:hAnsi="Calibri" w:cs="Calibri"/>
                <w:b/>
                <w:sz w:val="16"/>
                <w:szCs w:val="16"/>
                <w:lang w:val="en-US"/>
              </w:rPr>
              <w:t>Good health</w:t>
            </w:r>
          </w:p>
        </w:tc>
        <w:tc>
          <w:tcPr>
            <w:tcW w:w="0" w:type="auto"/>
            <w:tcBorders>
              <w:top w:val="nil"/>
              <w:left w:val="nil"/>
              <w:bottom w:val="nil"/>
              <w:right w:val="nil"/>
            </w:tcBorders>
          </w:tcPr>
          <w:p w14:paraId="706DF38A"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0.0766</w:t>
            </w:r>
          </w:p>
        </w:tc>
        <w:tc>
          <w:tcPr>
            <w:tcW w:w="0" w:type="auto"/>
            <w:tcBorders>
              <w:top w:val="nil"/>
              <w:left w:val="nil"/>
              <w:bottom w:val="nil"/>
              <w:right w:val="nil"/>
            </w:tcBorders>
          </w:tcPr>
          <w:p w14:paraId="4524DB09"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0.1072**</w:t>
            </w:r>
          </w:p>
        </w:tc>
        <w:tc>
          <w:tcPr>
            <w:tcW w:w="0" w:type="auto"/>
            <w:tcBorders>
              <w:top w:val="nil"/>
              <w:left w:val="nil"/>
              <w:bottom w:val="nil"/>
              <w:right w:val="nil"/>
            </w:tcBorders>
          </w:tcPr>
          <w:p w14:paraId="31F3C34F"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0.0686</w:t>
            </w:r>
          </w:p>
        </w:tc>
        <w:tc>
          <w:tcPr>
            <w:tcW w:w="0" w:type="auto"/>
            <w:tcBorders>
              <w:top w:val="nil"/>
              <w:left w:val="nil"/>
              <w:bottom w:val="nil"/>
              <w:right w:val="nil"/>
            </w:tcBorders>
          </w:tcPr>
          <w:p w14:paraId="6F987BC6"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0.0796</w:t>
            </w:r>
          </w:p>
        </w:tc>
        <w:tc>
          <w:tcPr>
            <w:tcW w:w="0" w:type="auto"/>
            <w:tcBorders>
              <w:top w:val="nil"/>
              <w:left w:val="nil"/>
              <w:bottom w:val="nil"/>
              <w:right w:val="nil"/>
            </w:tcBorders>
          </w:tcPr>
          <w:p w14:paraId="47D13F1C"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0.1095**</w:t>
            </w:r>
          </w:p>
        </w:tc>
        <w:tc>
          <w:tcPr>
            <w:tcW w:w="0" w:type="auto"/>
            <w:tcBorders>
              <w:top w:val="nil"/>
              <w:left w:val="nil"/>
              <w:bottom w:val="nil"/>
              <w:right w:val="nil"/>
            </w:tcBorders>
          </w:tcPr>
          <w:p w14:paraId="416EE977"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0.0717</w:t>
            </w:r>
          </w:p>
        </w:tc>
      </w:tr>
      <w:tr w:rsidR="004476C3" w:rsidRPr="003D7D3C" w14:paraId="5DF7DD88" w14:textId="77777777" w:rsidTr="005B4673">
        <w:trPr>
          <w:jc w:val="center"/>
        </w:trPr>
        <w:tc>
          <w:tcPr>
            <w:tcW w:w="1785" w:type="dxa"/>
            <w:tcBorders>
              <w:top w:val="nil"/>
              <w:left w:val="nil"/>
              <w:bottom w:val="nil"/>
              <w:right w:val="nil"/>
            </w:tcBorders>
          </w:tcPr>
          <w:p w14:paraId="1E45D153" w14:textId="77777777" w:rsidR="004476C3" w:rsidRPr="003D7D3C" w:rsidRDefault="004476C3" w:rsidP="005B4673">
            <w:pPr>
              <w:widowControl w:val="0"/>
              <w:autoSpaceDE w:val="0"/>
              <w:autoSpaceDN w:val="0"/>
              <w:adjustRightInd w:val="0"/>
              <w:rPr>
                <w:sz w:val="16"/>
                <w:szCs w:val="16"/>
              </w:rPr>
            </w:pPr>
          </w:p>
        </w:tc>
        <w:tc>
          <w:tcPr>
            <w:tcW w:w="0" w:type="auto"/>
            <w:tcBorders>
              <w:top w:val="nil"/>
              <w:left w:val="nil"/>
              <w:bottom w:val="nil"/>
              <w:right w:val="nil"/>
            </w:tcBorders>
          </w:tcPr>
          <w:p w14:paraId="777C0FA7"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(0.0490)</w:t>
            </w:r>
          </w:p>
        </w:tc>
        <w:tc>
          <w:tcPr>
            <w:tcW w:w="0" w:type="auto"/>
            <w:tcBorders>
              <w:top w:val="nil"/>
              <w:left w:val="nil"/>
              <w:bottom w:val="nil"/>
              <w:right w:val="nil"/>
            </w:tcBorders>
          </w:tcPr>
          <w:p w14:paraId="6D7163D7"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(0.0494)</w:t>
            </w:r>
          </w:p>
        </w:tc>
        <w:tc>
          <w:tcPr>
            <w:tcW w:w="0" w:type="auto"/>
            <w:tcBorders>
              <w:top w:val="nil"/>
              <w:left w:val="nil"/>
              <w:bottom w:val="nil"/>
              <w:right w:val="nil"/>
            </w:tcBorders>
          </w:tcPr>
          <w:p w14:paraId="321017C8"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(0.0490)</w:t>
            </w:r>
          </w:p>
        </w:tc>
        <w:tc>
          <w:tcPr>
            <w:tcW w:w="0" w:type="auto"/>
            <w:tcBorders>
              <w:top w:val="nil"/>
              <w:left w:val="nil"/>
              <w:bottom w:val="nil"/>
              <w:right w:val="nil"/>
            </w:tcBorders>
          </w:tcPr>
          <w:p w14:paraId="2E6D240E"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(0.0490)</w:t>
            </w:r>
          </w:p>
        </w:tc>
        <w:tc>
          <w:tcPr>
            <w:tcW w:w="0" w:type="auto"/>
            <w:tcBorders>
              <w:top w:val="nil"/>
              <w:left w:val="nil"/>
              <w:bottom w:val="nil"/>
              <w:right w:val="nil"/>
            </w:tcBorders>
          </w:tcPr>
          <w:p w14:paraId="2C0D031B"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(0.0493)</w:t>
            </w:r>
          </w:p>
        </w:tc>
        <w:tc>
          <w:tcPr>
            <w:tcW w:w="0" w:type="auto"/>
            <w:tcBorders>
              <w:top w:val="nil"/>
              <w:left w:val="nil"/>
              <w:bottom w:val="nil"/>
              <w:right w:val="nil"/>
            </w:tcBorders>
          </w:tcPr>
          <w:p w14:paraId="0A3CEA5E"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(0.0490)</w:t>
            </w:r>
          </w:p>
        </w:tc>
      </w:tr>
      <w:tr w:rsidR="004476C3" w:rsidRPr="003D7D3C" w14:paraId="7254A77D" w14:textId="77777777" w:rsidTr="005B4673">
        <w:trPr>
          <w:jc w:val="center"/>
        </w:trPr>
        <w:tc>
          <w:tcPr>
            <w:tcW w:w="1785" w:type="dxa"/>
            <w:tcBorders>
              <w:top w:val="nil"/>
              <w:left w:val="nil"/>
              <w:bottom w:val="nil"/>
              <w:right w:val="nil"/>
            </w:tcBorders>
          </w:tcPr>
          <w:p w14:paraId="08FA8BE4" w14:textId="77777777" w:rsidR="004476C3" w:rsidRPr="003D7D3C" w:rsidRDefault="004476C3" w:rsidP="005B4673">
            <w:pPr>
              <w:widowControl w:val="0"/>
              <w:autoSpaceDE w:val="0"/>
              <w:autoSpaceDN w:val="0"/>
              <w:adjustRightInd w:val="0"/>
              <w:rPr>
                <w:sz w:val="16"/>
                <w:szCs w:val="16"/>
              </w:rPr>
            </w:pPr>
            <w:r w:rsidRPr="003D7D3C">
              <w:rPr>
                <w:rFonts w:ascii="Calibri" w:hAnsi="Calibri" w:cs="Calibri"/>
                <w:b/>
                <w:sz w:val="16"/>
                <w:szCs w:val="16"/>
                <w:lang w:val="en-US"/>
              </w:rPr>
              <w:t>Fair health</w:t>
            </w:r>
          </w:p>
        </w:tc>
        <w:tc>
          <w:tcPr>
            <w:tcW w:w="0" w:type="auto"/>
            <w:tcBorders>
              <w:top w:val="nil"/>
              <w:left w:val="nil"/>
              <w:bottom w:val="nil"/>
              <w:right w:val="nil"/>
            </w:tcBorders>
          </w:tcPr>
          <w:p w14:paraId="0ED5695F"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0.0134</w:t>
            </w:r>
          </w:p>
        </w:tc>
        <w:tc>
          <w:tcPr>
            <w:tcW w:w="0" w:type="auto"/>
            <w:tcBorders>
              <w:top w:val="nil"/>
              <w:left w:val="nil"/>
              <w:bottom w:val="nil"/>
              <w:right w:val="nil"/>
            </w:tcBorders>
          </w:tcPr>
          <w:p w14:paraId="2C381630"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0.0420</w:t>
            </w:r>
          </w:p>
        </w:tc>
        <w:tc>
          <w:tcPr>
            <w:tcW w:w="0" w:type="auto"/>
            <w:tcBorders>
              <w:top w:val="nil"/>
              <w:left w:val="nil"/>
              <w:bottom w:val="nil"/>
              <w:right w:val="nil"/>
            </w:tcBorders>
          </w:tcPr>
          <w:p w14:paraId="7EB7FD82"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-0.0003</w:t>
            </w:r>
          </w:p>
        </w:tc>
        <w:tc>
          <w:tcPr>
            <w:tcW w:w="0" w:type="auto"/>
            <w:tcBorders>
              <w:top w:val="nil"/>
              <w:left w:val="nil"/>
              <w:bottom w:val="nil"/>
              <w:right w:val="nil"/>
            </w:tcBorders>
          </w:tcPr>
          <w:p w14:paraId="73856EC4"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0.0155</w:t>
            </w:r>
          </w:p>
        </w:tc>
        <w:tc>
          <w:tcPr>
            <w:tcW w:w="0" w:type="auto"/>
            <w:tcBorders>
              <w:top w:val="nil"/>
              <w:left w:val="nil"/>
              <w:bottom w:val="nil"/>
              <w:right w:val="nil"/>
            </w:tcBorders>
          </w:tcPr>
          <w:p w14:paraId="60F74FDC"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0.0436</w:t>
            </w:r>
          </w:p>
        </w:tc>
        <w:tc>
          <w:tcPr>
            <w:tcW w:w="0" w:type="auto"/>
            <w:tcBorders>
              <w:top w:val="nil"/>
              <w:left w:val="nil"/>
              <w:bottom w:val="nil"/>
              <w:right w:val="nil"/>
            </w:tcBorders>
          </w:tcPr>
          <w:p w14:paraId="0ABF921A"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0.0020</w:t>
            </w:r>
          </w:p>
        </w:tc>
      </w:tr>
      <w:tr w:rsidR="004476C3" w:rsidRPr="003D7D3C" w14:paraId="3FFFDCAB" w14:textId="77777777" w:rsidTr="005B4673">
        <w:trPr>
          <w:jc w:val="center"/>
        </w:trPr>
        <w:tc>
          <w:tcPr>
            <w:tcW w:w="1785" w:type="dxa"/>
            <w:tcBorders>
              <w:top w:val="nil"/>
              <w:left w:val="nil"/>
              <w:bottom w:val="nil"/>
              <w:right w:val="nil"/>
            </w:tcBorders>
          </w:tcPr>
          <w:p w14:paraId="34AA6185" w14:textId="77777777" w:rsidR="004476C3" w:rsidRPr="003D7D3C" w:rsidRDefault="004476C3" w:rsidP="005B4673">
            <w:pPr>
              <w:widowControl w:val="0"/>
              <w:autoSpaceDE w:val="0"/>
              <w:autoSpaceDN w:val="0"/>
              <w:adjustRightInd w:val="0"/>
              <w:rPr>
                <w:sz w:val="16"/>
                <w:szCs w:val="16"/>
              </w:rPr>
            </w:pPr>
          </w:p>
        </w:tc>
        <w:tc>
          <w:tcPr>
            <w:tcW w:w="0" w:type="auto"/>
            <w:tcBorders>
              <w:top w:val="nil"/>
              <w:left w:val="nil"/>
              <w:bottom w:val="nil"/>
              <w:right w:val="nil"/>
            </w:tcBorders>
          </w:tcPr>
          <w:p w14:paraId="076BEF94"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(0.0391)</w:t>
            </w:r>
          </w:p>
        </w:tc>
        <w:tc>
          <w:tcPr>
            <w:tcW w:w="0" w:type="auto"/>
            <w:tcBorders>
              <w:top w:val="nil"/>
              <w:left w:val="nil"/>
              <w:bottom w:val="nil"/>
              <w:right w:val="nil"/>
            </w:tcBorders>
          </w:tcPr>
          <w:p w14:paraId="52D2C673"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(0.0386)</w:t>
            </w:r>
          </w:p>
        </w:tc>
        <w:tc>
          <w:tcPr>
            <w:tcW w:w="0" w:type="auto"/>
            <w:tcBorders>
              <w:top w:val="nil"/>
              <w:left w:val="nil"/>
              <w:bottom w:val="nil"/>
              <w:right w:val="nil"/>
            </w:tcBorders>
          </w:tcPr>
          <w:p w14:paraId="7B1400C4"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(0.0393)</w:t>
            </w:r>
          </w:p>
        </w:tc>
        <w:tc>
          <w:tcPr>
            <w:tcW w:w="0" w:type="auto"/>
            <w:tcBorders>
              <w:top w:val="nil"/>
              <w:left w:val="nil"/>
              <w:bottom w:val="nil"/>
              <w:right w:val="nil"/>
            </w:tcBorders>
          </w:tcPr>
          <w:p w14:paraId="496E5AFC"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(0.0391)</w:t>
            </w:r>
          </w:p>
        </w:tc>
        <w:tc>
          <w:tcPr>
            <w:tcW w:w="0" w:type="auto"/>
            <w:tcBorders>
              <w:top w:val="nil"/>
              <w:left w:val="nil"/>
              <w:bottom w:val="nil"/>
              <w:right w:val="nil"/>
            </w:tcBorders>
          </w:tcPr>
          <w:p w14:paraId="29A55216"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(0.0387)</w:t>
            </w:r>
          </w:p>
        </w:tc>
        <w:tc>
          <w:tcPr>
            <w:tcW w:w="0" w:type="auto"/>
            <w:tcBorders>
              <w:top w:val="nil"/>
              <w:left w:val="nil"/>
              <w:bottom w:val="nil"/>
              <w:right w:val="nil"/>
            </w:tcBorders>
          </w:tcPr>
          <w:p w14:paraId="464AD5FB"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(0.0394)</w:t>
            </w:r>
          </w:p>
        </w:tc>
      </w:tr>
      <w:tr w:rsidR="004476C3" w:rsidRPr="006C7818" w14:paraId="309ADA55" w14:textId="77777777" w:rsidTr="005B4673">
        <w:trPr>
          <w:jc w:val="center"/>
        </w:trPr>
        <w:tc>
          <w:tcPr>
            <w:tcW w:w="1785" w:type="dxa"/>
            <w:tcBorders>
              <w:top w:val="nil"/>
              <w:left w:val="nil"/>
              <w:bottom w:val="nil"/>
              <w:right w:val="nil"/>
            </w:tcBorders>
          </w:tcPr>
          <w:p w14:paraId="55C167D5" w14:textId="6C14E5BB" w:rsidR="004476C3" w:rsidRPr="006C7818" w:rsidRDefault="004476C3" w:rsidP="005B4673">
            <w:pPr>
              <w:widowControl w:val="0"/>
              <w:autoSpaceDE w:val="0"/>
              <w:autoSpaceDN w:val="0"/>
              <w:adjustRightInd w:val="0"/>
              <w:rPr>
                <w:sz w:val="16"/>
                <w:szCs w:val="16"/>
              </w:rPr>
            </w:pPr>
            <w:r w:rsidRPr="006C7818">
              <w:rPr>
                <w:rFonts w:ascii="Calibri" w:hAnsi="Calibri" w:cs="Calibri"/>
                <w:b/>
                <w:bCs/>
                <w:sz w:val="16"/>
                <w:szCs w:val="16"/>
                <w:lang w:val="en-US"/>
              </w:rPr>
              <w:t>YoungMove0_16</w:t>
            </w:r>
          </w:p>
        </w:tc>
        <w:tc>
          <w:tcPr>
            <w:tcW w:w="0" w:type="auto"/>
            <w:tcBorders>
              <w:top w:val="nil"/>
              <w:left w:val="nil"/>
              <w:bottom w:val="nil"/>
              <w:right w:val="nil"/>
            </w:tcBorders>
          </w:tcPr>
          <w:p w14:paraId="77B93CCE"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-0.1804***</w:t>
            </w:r>
          </w:p>
        </w:tc>
        <w:tc>
          <w:tcPr>
            <w:tcW w:w="0" w:type="auto"/>
            <w:tcBorders>
              <w:top w:val="nil"/>
              <w:left w:val="nil"/>
              <w:bottom w:val="nil"/>
              <w:right w:val="nil"/>
            </w:tcBorders>
          </w:tcPr>
          <w:p w14:paraId="185E904B"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-0.2378***</w:t>
            </w:r>
          </w:p>
        </w:tc>
        <w:tc>
          <w:tcPr>
            <w:tcW w:w="0" w:type="auto"/>
            <w:tcBorders>
              <w:top w:val="nil"/>
              <w:left w:val="nil"/>
              <w:bottom w:val="nil"/>
              <w:right w:val="nil"/>
            </w:tcBorders>
          </w:tcPr>
          <w:p w14:paraId="7ED23E9F"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-0.1556**</w:t>
            </w:r>
          </w:p>
        </w:tc>
        <w:tc>
          <w:tcPr>
            <w:tcW w:w="0" w:type="auto"/>
            <w:tcBorders>
              <w:top w:val="nil"/>
              <w:left w:val="nil"/>
              <w:bottom w:val="nil"/>
              <w:right w:val="nil"/>
            </w:tcBorders>
          </w:tcPr>
          <w:p w14:paraId="62B94E80"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0.0254</w:t>
            </w:r>
          </w:p>
        </w:tc>
        <w:tc>
          <w:tcPr>
            <w:tcW w:w="0" w:type="auto"/>
            <w:tcBorders>
              <w:top w:val="nil"/>
              <w:left w:val="nil"/>
              <w:bottom w:val="nil"/>
              <w:right w:val="nil"/>
            </w:tcBorders>
          </w:tcPr>
          <w:p w14:paraId="7A055E56"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-0.0303</w:t>
            </w:r>
          </w:p>
        </w:tc>
        <w:tc>
          <w:tcPr>
            <w:tcW w:w="0" w:type="auto"/>
            <w:tcBorders>
              <w:top w:val="nil"/>
              <w:left w:val="nil"/>
              <w:bottom w:val="nil"/>
              <w:right w:val="nil"/>
            </w:tcBorders>
          </w:tcPr>
          <w:p w14:paraId="3B010147"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0.0500</w:t>
            </w:r>
          </w:p>
        </w:tc>
      </w:tr>
      <w:tr w:rsidR="004476C3" w:rsidRPr="006C7818" w14:paraId="253659A0" w14:textId="77777777" w:rsidTr="005B4673">
        <w:trPr>
          <w:jc w:val="center"/>
        </w:trPr>
        <w:tc>
          <w:tcPr>
            <w:tcW w:w="1785" w:type="dxa"/>
            <w:tcBorders>
              <w:top w:val="nil"/>
              <w:left w:val="nil"/>
              <w:bottom w:val="nil"/>
              <w:right w:val="nil"/>
            </w:tcBorders>
          </w:tcPr>
          <w:p w14:paraId="3FB6CB0B" w14:textId="77777777" w:rsidR="004476C3" w:rsidRPr="006C7818" w:rsidRDefault="004476C3" w:rsidP="005B4673">
            <w:pPr>
              <w:widowControl w:val="0"/>
              <w:autoSpaceDE w:val="0"/>
              <w:autoSpaceDN w:val="0"/>
              <w:adjustRightInd w:val="0"/>
              <w:rPr>
                <w:sz w:val="16"/>
                <w:szCs w:val="16"/>
              </w:rPr>
            </w:pPr>
          </w:p>
        </w:tc>
        <w:tc>
          <w:tcPr>
            <w:tcW w:w="0" w:type="auto"/>
            <w:tcBorders>
              <w:top w:val="nil"/>
              <w:left w:val="nil"/>
              <w:bottom w:val="nil"/>
              <w:right w:val="nil"/>
            </w:tcBorders>
          </w:tcPr>
          <w:p w14:paraId="62982881"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(0.0617)</w:t>
            </w:r>
          </w:p>
        </w:tc>
        <w:tc>
          <w:tcPr>
            <w:tcW w:w="0" w:type="auto"/>
            <w:tcBorders>
              <w:top w:val="nil"/>
              <w:left w:val="nil"/>
              <w:bottom w:val="nil"/>
              <w:right w:val="nil"/>
            </w:tcBorders>
          </w:tcPr>
          <w:p w14:paraId="0256CFF5"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(0.0729)</w:t>
            </w:r>
          </w:p>
        </w:tc>
        <w:tc>
          <w:tcPr>
            <w:tcW w:w="0" w:type="auto"/>
            <w:tcBorders>
              <w:top w:val="nil"/>
              <w:left w:val="nil"/>
              <w:bottom w:val="nil"/>
              <w:right w:val="nil"/>
            </w:tcBorders>
          </w:tcPr>
          <w:p w14:paraId="57749D7B"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(0.0608)</w:t>
            </w:r>
          </w:p>
        </w:tc>
        <w:tc>
          <w:tcPr>
            <w:tcW w:w="0" w:type="auto"/>
            <w:tcBorders>
              <w:top w:val="nil"/>
              <w:left w:val="nil"/>
              <w:bottom w:val="nil"/>
              <w:right w:val="nil"/>
            </w:tcBorders>
          </w:tcPr>
          <w:p w14:paraId="2FCA495C"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(0.0608)</w:t>
            </w:r>
          </w:p>
        </w:tc>
        <w:tc>
          <w:tcPr>
            <w:tcW w:w="0" w:type="auto"/>
            <w:tcBorders>
              <w:top w:val="nil"/>
              <w:left w:val="nil"/>
              <w:bottom w:val="nil"/>
              <w:right w:val="nil"/>
            </w:tcBorders>
          </w:tcPr>
          <w:p w14:paraId="7E6D1873"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(0.0716)</w:t>
            </w:r>
          </w:p>
        </w:tc>
        <w:tc>
          <w:tcPr>
            <w:tcW w:w="0" w:type="auto"/>
            <w:tcBorders>
              <w:top w:val="nil"/>
              <w:left w:val="nil"/>
              <w:bottom w:val="nil"/>
              <w:right w:val="nil"/>
            </w:tcBorders>
          </w:tcPr>
          <w:p w14:paraId="3A4FDF4D"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(0.0600)</w:t>
            </w:r>
          </w:p>
        </w:tc>
      </w:tr>
      <w:tr w:rsidR="004476C3" w:rsidRPr="006C7818" w14:paraId="6A72F0D1" w14:textId="77777777" w:rsidTr="005B4673">
        <w:trPr>
          <w:jc w:val="center"/>
        </w:trPr>
        <w:tc>
          <w:tcPr>
            <w:tcW w:w="1785" w:type="dxa"/>
            <w:tcBorders>
              <w:top w:val="nil"/>
              <w:left w:val="nil"/>
              <w:bottom w:val="nil"/>
              <w:right w:val="nil"/>
            </w:tcBorders>
          </w:tcPr>
          <w:p w14:paraId="311921FF" w14:textId="653587CB" w:rsidR="004476C3" w:rsidRPr="006C7818" w:rsidRDefault="004476C3" w:rsidP="005B4673">
            <w:pPr>
              <w:widowControl w:val="0"/>
              <w:autoSpaceDE w:val="0"/>
              <w:autoSpaceDN w:val="0"/>
              <w:adjustRightInd w:val="0"/>
              <w:rPr>
                <w:sz w:val="16"/>
                <w:szCs w:val="16"/>
              </w:rPr>
            </w:pPr>
            <w:r w:rsidRPr="006C7818">
              <w:rPr>
                <w:rFonts w:ascii="Calibri" w:hAnsi="Calibri" w:cs="Calibri"/>
                <w:b/>
                <w:bCs/>
                <w:sz w:val="16"/>
                <w:szCs w:val="16"/>
                <w:lang w:val="en-US"/>
              </w:rPr>
              <w:t>YoungMove17_24</w:t>
            </w:r>
          </w:p>
        </w:tc>
        <w:tc>
          <w:tcPr>
            <w:tcW w:w="0" w:type="auto"/>
            <w:tcBorders>
              <w:top w:val="nil"/>
              <w:left w:val="nil"/>
              <w:bottom w:val="nil"/>
              <w:right w:val="nil"/>
            </w:tcBorders>
          </w:tcPr>
          <w:p w14:paraId="2C3A096E"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-0.2079***</w:t>
            </w:r>
          </w:p>
        </w:tc>
        <w:tc>
          <w:tcPr>
            <w:tcW w:w="0" w:type="auto"/>
            <w:tcBorders>
              <w:top w:val="nil"/>
              <w:left w:val="nil"/>
              <w:bottom w:val="nil"/>
              <w:right w:val="nil"/>
            </w:tcBorders>
          </w:tcPr>
          <w:p w14:paraId="498899FA"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-0.2441***</w:t>
            </w:r>
          </w:p>
        </w:tc>
        <w:tc>
          <w:tcPr>
            <w:tcW w:w="0" w:type="auto"/>
            <w:tcBorders>
              <w:top w:val="nil"/>
              <w:left w:val="nil"/>
              <w:bottom w:val="nil"/>
              <w:right w:val="nil"/>
            </w:tcBorders>
          </w:tcPr>
          <w:p w14:paraId="1887DD92"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-0.1296*</w:t>
            </w:r>
          </w:p>
        </w:tc>
        <w:tc>
          <w:tcPr>
            <w:tcW w:w="0" w:type="auto"/>
            <w:tcBorders>
              <w:top w:val="nil"/>
              <w:left w:val="nil"/>
              <w:bottom w:val="nil"/>
              <w:right w:val="nil"/>
            </w:tcBorders>
          </w:tcPr>
          <w:p w14:paraId="2F4BE409"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0.0441</w:t>
            </w:r>
          </w:p>
        </w:tc>
        <w:tc>
          <w:tcPr>
            <w:tcW w:w="0" w:type="auto"/>
            <w:tcBorders>
              <w:top w:val="nil"/>
              <w:left w:val="nil"/>
              <w:bottom w:val="nil"/>
              <w:right w:val="nil"/>
            </w:tcBorders>
          </w:tcPr>
          <w:p w14:paraId="0D77F761"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0.0062</w:t>
            </w:r>
          </w:p>
        </w:tc>
        <w:tc>
          <w:tcPr>
            <w:tcW w:w="0" w:type="auto"/>
            <w:tcBorders>
              <w:top w:val="nil"/>
              <w:left w:val="nil"/>
              <w:bottom w:val="nil"/>
              <w:right w:val="nil"/>
            </w:tcBorders>
          </w:tcPr>
          <w:p w14:paraId="4E59EA00"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0.1220*</w:t>
            </w:r>
          </w:p>
        </w:tc>
      </w:tr>
      <w:tr w:rsidR="004476C3" w:rsidRPr="006C7818" w14:paraId="6621A5E6" w14:textId="77777777" w:rsidTr="005B4673">
        <w:trPr>
          <w:jc w:val="center"/>
        </w:trPr>
        <w:tc>
          <w:tcPr>
            <w:tcW w:w="1785" w:type="dxa"/>
            <w:tcBorders>
              <w:top w:val="nil"/>
              <w:left w:val="nil"/>
              <w:bottom w:val="nil"/>
              <w:right w:val="nil"/>
            </w:tcBorders>
          </w:tcPr>
          <w:p w14:paraId="568D7491" w14:textId="77777777" w:rsidR="004476C3" w:rsidRPr="006C7818" w:rsidRDefault="004476C3" w:rsidP="005B4673">
            <w:pPr>
              <w:widowControl w:val="0"/>
              <w:autoSpaceDE w:val="0"/>
              <w:autoSpaceDN w:val="0"/>
              <w:adjustRightInd w:val="0"/>
              <w:rPr>
                <w:sz w:val="16"/>
                <w:szCs w:val="16"/>
              </w:rPr>
            </w:pPr>
          </w:p>
        </w:tc>
        <w:tc>
          <w:tcPr>
            <w:tcW w:w="0" w:type="auto"/>
            <w:tcBorders>
              <w:top w:val="nil"/>
              <w:left w:val="nil"/>
              <w:bottom w:val="nil"/>
              <w:right w:val="nil"/>
            </w:tcBorders>
          </w:tcPr>
          <w:p w14:paraId="0BBDB512"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(0.0720)</w:t>
            </w:r>
          </w:p>
        </w:tc>
        <w:tc>
          <w:tcPr>
            <w:tcW w:w="0" w:type="auto"/>
            <w:tcBorders>
              <w:top w:val="nil"/>
              <w:left w:val="nil"/>
              <w:bottom w:val="nil"/>
              <w:right w:val="nil"/>
            </w:tcBorders>
          </w:tcPr>
          <w:p w14:paraId="07D83794"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(0.0690)</w:t>
            </w:r>
          </w:p>
        </w:tc>
        <w:tc>
          <w:tcPr>
            <w:tcW w:w="0" w:type="auto"/>
            <w:tcBorders>
              <w:top w:val="nil"/>
              <w:left w:val="nil"/>
              <w:bottom w:val="nil"/>
              <w:right w:val="nil"/>
            </w:tcBorders>
          </w:tcPr>
          <w:p w14:paraId="0CD8D98C"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(0.0686)</w:t>
            </w:r>
          </w:p>
        </w:tc>
        <w:tc>
          <w:tcPr>
            <w:tcW w:w="0" w:type="auto"/>
            <w:tcBorders>
              <w:top w:val="nil"/>
              <w:left w:val="nil"/>
              <w:bottom w:val="nil"/>
              <w:right w:val="nil"/>
            </w:tcBorders>
          </w:tcPr>
          <w:p w14:paraId="761E8CD9"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(0.0723)</w:t>
            </w:r>
          </w:p>
        </w:tc>
        <w:tc>
          <w:tcPr>
            <w:tcW w:w="0" w:type="auto"/>
            <w:tcBorders>
              <w:top w:val="nil"/>
              <w:left w:val="nil"/>
              <w:bottom w:val="nil"/>
              <w:right w:val="nil"/>
            </w:tcBorders>
          </w:tcPr>
          <w:p w14:paraId="0D0E5B7E"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(0.0693)</w:t>
            </w:r>
          </w:p>
        </w:tc>
        <w:tc>
          <w:tcPr>
            <w:tcW w:w="0" w:type="auto"/>
            <w:tcBorders>
              <w:top w:val="nil"/>
              <w:left w:val="nil"/>
              <w:bottom w:val="nil"/>
              <w:right w:val="nil"/>
            </w:tcBorders>
          </w:tcPr>
          <w:p w14:paraId="7AD8B195"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(0.0692)</w:t>
            </w:r>
          </w:p>
        </w:tc>
      </w:tr>
      <w:tr w:rsidR="004476C3" w:rsidRPr="006C7818" w14:paraId="27471E71" w14:textId="77777777" w:rsidTr="005B4673">
        <w:trPr>
          <w:jc w:val="center"/>
        </w:trPr>
        <w:tc>
          <w:tcPr>
            <w:tcW w:w="1785" w:type="dxa"/>
            <w:tcBorders>
              <w:top w:val="nil"/>
              <w:left w:val="nil"/>
              <w:bottom w:val="nil"/>
              <w:right w:val="nil"/>
            </w:tcBorders>
          </w:tcPr>
          <w:p w14:paraId="33E663AA" w14:textId="1A2B9102" w:rsidR="004476C3" w:rsidRPr="006C7818" w:rsidRDefault="004476C3" w:rsidP="005B4673">
            <w:pPr>
              <w:widowControl w:val="0"/>
              <w:autoSpaceDE w:val="0"/>
              <w:autoSpaceDN w:val="0"/>
              <w:adjustRightInd w:val="0"/>
              <w:rPr>
                <w:sz w:val="16"/>
                <w:szCs w:val="16"/>
              </w:rPr>
            </w:pPr>
            <w:r w:rsidRPr="006C7818">
              <w:rPr>
                <w:rFonts w:ascii="Calibri" w:hAnsi="Calibri" w:cs="Calibri"/>
                <w:b/>
                <w:bCs/>
                <w:sz w:val="16"/>
                <w:szCs w:val="16"/>
                <w:lang w:val="en-US"/>
              </w:rPr>
              <w:t>YoungMove25_30</w:t>
            </w:r>
          </w:p>
        </w:tc>
        <w:tc>
          <w:tcPr>
            <w:tcW w:w="0" w:type="auto"/>
            <w:tcBorders>
              <w:top w:val="nil"/>
              <w:left w:val="nil"/>
              <w:bottom w:val="nil"/>
              <w:right w:val="nil"/>
            </w:tcBorders>
          </w:tcPr>
          <w:p w14:paraId="288A34F2"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-0.0457</w:t>
            </w:r>
          </w:p>
        </w:tc>
        <w:tc>
          <w:tcPr>
            <w:tcW w:w="0" w:type="auto"/>
            <w:tcBorders>
              <w:top w:val="nil"/>
              <w:left w:val="nil"/>
              <w:bottom w:val="nil"/>
              <w:right w:val="nil"/>
            </w:tcBorders>
          </w:tcPr>
          <w:p w14:paraId="591DE6A1"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-0.0405</w:t>
            </w:r>
          </w:p>
        </w:tc>
        <w:tc>
          <w:tcPr>
            <w:tcW w:w="0" w:type="auto"/>
            <w:tcBorders>
              <w:top w:val="nil"/>
              <w:left w:val="nil"/>
              <w:bottom w:val="nil"/>
              <w:right w:val="nil"/>
            </w:tcBorders>
          </w:tcPr>
          <w:p w14:paraId="6B258999"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-0.0397</w:t>
            </w:r>
          </w:p>
        </w:tc>
        <w:tc>
          <w:tcPr>
            <w:tcW w:w="0" w:type="auto"/>
            <w:tcBorders>
              <w:top w:val="nil"/>
              <w:left w:val="nil"/>
              <w:bottom w:val="nil"/>
              <w:right w:val="nil"/>
            </w:tcBorders>
          </w:tcPr>
          <w:p w14:paraId="1A1CADFE"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0.1826***</w:t>
            </w:r>
          </w:p>
        </w:tc>
        <w:tc>
          <w:tcPr>
            <w:tcW w:w="0" w:type="auto"/>
            <w:tcBorders>
              <w:top w:val="nil"/>
              <w:left w:val="nil"/>
              <w:bottom w:val="nil"/>
              <w:right w:val="nil"/>
            </w:tcBorders>
          </w:tcPr>
          <w:p w14:paraId="594BA30B"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0.1880***</w:t>
            </w:r>
          </w:p>
        </w:tc>
        <w:tc>
          <w:tcPr>
            <w:tcW w:w="0" w:type="auto"/>
            <w:tcBorders>
              <w:top w:val="nil"/>
              <w:left w:val="nil"/>
              <w:bottom w:val="nil"/>
              <w:right w:val="nil"/>
            </w:tcBorders>
          </w:tcPr>
          <w:p w14:paraId="45BAB88F"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0.1886***</w:t>
            </w:r>
          </w:p>
        </w:tc>
      </w:tr>
      <w:tr w:rsidR="004476C3" w:rsidRPr="006C7818" w14:paraId="39B04D02" w14:textId="77777777" w:rsidTr="005B4673">
        <w:trPr>
          <w:jc w:val="center"/>
        </w:trPr>
        <w:tc>
          <w:tcPr>
            <w:tcW w:w="1785" w:type="dxa"/>
            <w:tcBorders>
              <w:top w:val="nil"/>
              <w:left w:val="nil"/>
              <w:bottom w:val="nil"/>
              <w:right w:val="nil"/>
            </w:tcBorders>
          </w:tcPr>
          <w:p w14:paraId="6E679C61" w14:textId="77777777" w:rsidR="004476C3" w:rsidRPr="006C7818" w:rsidRDefault="004476C3" w:rsidP="005B4673">
            <w:pPr>
              <w:widowControl w:val="0"/>
              <w:autoSpaceDE w:val="0"/>
              <w:autoSpaceDN w:val="0"/>
              <w:adjustRightInd w:val="0"/>
              <w:rPr>
                <w:sz w:val="16"/>
                <w:szCs w:val="16"/>
              </w:rPr>
            </w:pPr>
          </w:p>
        </w:tc>
        <w:tc>
          <w:tcPr>
            <w:tcW w:w="0" w:type="auto"/>
            <w:tcBorders>
              <w:top w:val="nil"/>
              <w:left w:val="nil"/>
              <w:bottom w:val="nil"/>
              <w:right w:val="nil"/>
            </w:tcBorders>
          </w:tcPr>
          <w:p w14:paraId="17E73272"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(0.0465)</w:t>
            </w:r>
          </w:p>
        </w:tc>
        <w:tc>
          <w:tcPr>
            <w:tcW w:w="0" w:type="auto"/>
            <w:tcBorders>
              <w:top w:val="nil"/>
              <w:left w:val="nil"/>
              <w:bottom w:val="nil"/>
              <w:right w:val="nil"/>
            </w:tcBorders>
          </w:tcPr>
          <w:p w14:paraId="1B8706F9"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(0.0489)</w:t>
            </w:r>
          </w:p>
        </w:tc>
        <w:tc>
          <w:tcPr>
            <w:tcW w:w="0" w:type="auto"/>
            <w:tcBorders>
              <w:top w:val="nil"/>
              <w:left w:val="nil"/>
              <w:bottom w:val="nil"/>
              <w:right w:val="nil"/>
            </w:tcBorders>
          </w:tcPr>
          <w:p w14:paraId="262343D8"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(0.0460)</w:t>
            </w:r>
          </w:p>
        </w:tc>
        <w:tc>
          <w:tcPr>
            <w:tcW w:w="0" w:type="auto"/>
            <w:tcBorders>
              <w:top w:val="nil"/>
              <w:left w:val="nil"/>
              <w:bottom w:val="nil"/>
              <w:right w:val="nil"/>
            </w:tcBorders>
          </w:tcPr>
          <w:p w14:paraId="31EE7097"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(0.0472)</w:t>
            </w:r>
          </w:p>
        </w:tc>
        <w:tc>
          <w:tcPr>
            <w:tcW w:w="0" w:type="auto"/>
            <w:tcBorders>
              <w:top w:val="nil"/>
              <w:left w:val="nil"/>
              <w:bottom w:val="nil"/>
              <w:right w:val="nil"/>
            </w:tcBorders>
          </w:tcPr>
          <w:p w14:paraId="23621066"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(0.0497)</w:t>
            </w:r>
          </w:p>
        </w:tc>
        <w:tc>
          <w:tcPr>
            <w:tcW w:w="0" w:type="auto"/>
            <w:tcBorders>
              <w:top w:val="nil"/>
              <w:left w:val="nil"/>
              <w:bottom w:val="nil"/>
              <w:right w:val="nil"/>
            </w:tcBorders>
          </w:tcPr>
          <w:p w14:paraId="041BCDBC"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(0.0470)</w:t>
            </w:r>
          </w:p>
        </w:tc>
      </w:tr>
      <w:tr w:rsidR="004476C3" w:rsidRPr="003D7D3C" w14:paraId="66B6BAB0" w14:textId="77777777" w:rsidTr="005B4673">
        <w:trPr>
          <w:jc w:val="center"/>
        </w:trPr>
        <w:tc>
          <w:tcPr>
            <w:tcW w:w="1785" w:type="dxa"/>
            <w:tcBorders>
              <w:top w:val="nil"/>
              <w:left w:val="nil"/>
              <w:bottom w:val="nil"/>
              <w:right w:val="nil"/>
            </w:tcBorders>
          </w:tcPr>
          <w:p w14:paraId="3B8729E8" w14:textId="70FB6CD2" w:rsidR="004476C3" w:rsidRPr="006C7818" w:rsidRDefault="004476C3" w:rsidP="005B4673">
            <w:pPr>
              <w:widowControl w:val="0"/>
              <w:autoSpaceDE w:val="0"/>
              <w:autoSpaceDN w:val="0"/>
              <w:adjustRightInd w:val="0"/>
              <w:rPr>
                <w:sz w:val="16"/>
                <w:szCs w:val="16"/>
              </w:rPr>
            </w:pPr>
            <w:r w:rsidRPr="006C7818">
              <w:rPr>
                <w:rFonts w:ascii="Calibri" w:hAnsi="Calibri" w:cs="Calibri"/>
                <w:b/>
                <w:bCs/>
                <w:sz w:val="16"/>
                <w:szCs w:val="16"/>
                <w:lang w:val="en-US"/>
              </w:rPr>
              <w:t>YoungMove31+</w:t>
            </w:r>
          </w:p>
        </w:tc>
        <w:tc>
          <w:tcPr>
            <w:tcW w:w="0" w:type="auto"/>
            <w:tcBorders>
              <w:top w:val="nil"/>
              <w:left w:val="nil"/>
              <w:bottom w:val="nil"/>
              <w:right w:val="nil"/>
            </w:tcBorders>
          </w:tcPr>
          <w:p w14:paraId="4B5F7D80"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-0.0675</w:t>
            </w:r>
          </w:p>
        </w:tc>
        <w:tc>
          <w:tcPr>
            <w:tcW w:w="0" w:type="auto"/>
            <w:tcBorders>
              <w:top w:val="nil"/>
              <w:left w:val="nil"/>
              <w:bottom w:val="nil"/>
              <w:right w:val="nil"/>
            </w:tcBorders>
          </w:tcPr>
          <w:p w14:paraId="295E77A2"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-0.0110</w:t>
            </w:r>
          </w:p>
        </w:tc>
        <w:tc>
          <w:tcPr>
            <w:tcW w:w="0" w:type="auto"/>
            <w:tcBorders>
              <w:top w:val="nil"/>
              <w:left w:val="nil"/>
              <w:bottom w:val="nil"/>
              <w:right w:val="nil"/>
            </w:tcBorders>
          </w:tcPr>
          <w:p w14:paraId="28205D6A"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-0.0690</w:t>
            </w:r>
          </w:p>
        </w:tc>
        <w:tc>
          <w:tcPr>
            <w:tcW w:w="0" w:type="auto"/>
            <w:tcBorders>
              <w:top w:val="nil"/>
              <w:left w:val="nil"/>
              <w:bottom w:val="nil"/>
              <w:right w:val="nil"/>
            </w:tcBorders>
          </w:tcPr>
          <w:p w14:paraId="7CAC83FF"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0.1726***</w:t>
            </w:r>
          </w:p>
        </w:tc>
        <w:tc>
          <w:tcPr>
            <w:tcW w:w="0" w:type="auto"/>
            <w:tcBorders>
              <w:top w:val="nil"/>
              <w:left w:val="nil"/>
              <w:bottom w:val="nil"/>
              <w:right w:val="nil"/>
            </w:tcBorders>
          </w:tcPr>
          <w:p w14:paraId="0150BB56"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0.2285***</w:t>
            </w:r>
          </w:p>
        </w:tc>
        <w:tc>
          <w:tcPr>
            <w:tcW w:w="0" w:type="auto"/>
            <w:tcBorders>
              <w:top w:val="nil"/>
              <w:left w:val="nil"/>
              <w:bottom w:val="nil"/>
              <w:right w:val="nil"/>
            </w:tcBorders>
          </w:tcPr>
          <w:p w14:paraId="112F82B9"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0.1710***</w:t>
            </w:r>
          </w:p>
        </w:tc>
      </w:tr>
      <w:tr w:rsidR="004476C3" w:rsidRPr="006C7818" w14:paraId="2FB87C5A" w14:textId="77777777" w:rsidTr="005B4673">
        <w:trPr>
          <w:jc w:val="center"/>
        </w:trPr>
        <w:tc>
          <w:tcPr>
            <w:tcW w:w="1785" w:type="dxa"/>
            <w:tcBorders>
              <w:top w:val="nil"/>
              <w:left w:val="nil"/>
              <w:bottom w:val="nil"/>
              <w:right w:val="nil"/>
            </w:tcBorders>
          </w:tcPr>
          <w:p w14:paraId="0B24E239" w14:textId="77777777" w:rsidR="004476C3" w:rsidRPr="006C7818" w:rsidRDefault="004476C3" w:rsidP="005B4673">
            <w:pPr>
              <w:widowControl w:val="0"/>
              <w:autoSpaceDE w:val="0"/>
              <w:autoSpaceDN w:val="0"/>
              <w:adjustRightInd w:val="0"/>
              <w:rPr>
                <w:sz w:val="16"/>
                <w:szCs w:val="16"/>
              </w:rPr>
            </w:pPr>
          </w:p>
        </w:tc>
        <w:tc>
          <w:tcPr>
            <w:tcW w:w="0" w:type="auto"/>
            <w:tcBorders>
              <w:top w:val="nil"/>
              <w:left w:val="nil"/>
              <w:bottom w:val="nil"/>
              <w:right w:val="nil"/>
            </w:tcBorders>
          </w:tcPr>
          <w:p w14:paraId="21074C45"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(0.0463)</w:t>
            </w:r>
          </w:p>
        </w:tc>
        <w:tc>
          <w:tcPr>
            <w:tcW w:w="0" w:type="auto"/>
            <w:tcBorders>
              <w:top w:val="nil"/>
              <w:left w:val="nil"/>
              <w:bottom w:val="nil"/>
              <w:right w:val="nil"/>
            </w:tcBorders>
          </w:tcPr>
          <w:p w14:paraId="3005C94F"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(0.0474)</w:t>
            </w:r>
          </w:p>
        </w:tc>
        <w:tc>
          <w:tcPr>
            <w:tcW w:w="0" w:type="auto"/>
            <w:tcBorders>
              <w:top w:val="nil"/>
              <w:left w:val="nil"/>
              <w:bottom w:val="nil"/>
              <w:right w:val="nil"/>
            </w:tcBorders>
          </w:tcPr>
          <w:p w14:paraId="6908B829"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(0.0459)</w:t>
            </w:r>
          </w:p>
        </w:tc>
        <w:tc>
          <w:tcPr>
            <w:tcW w:w="0" w:type="auto"/>
            <w:tcBorders>
              <w:top w:val="nil"/>
              <w:left w:val="nil"/>
              <w:bottom w:val="nil"/>
              <w:right w:val="nil"/>
            </w:tcBorders>
          </w:tcPr>
          <w:p w14:paraId="0E8DDC48"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(0.0475)</w:t>
            </w:r>
          </w:p>
        </w:tc>
        <w:tc>
          <w:tcPr>
            <w:tcW w:w="0" w:type="auto"/>
            <w:tcBorders>
              <w:top w:val="nil"/>
              <w:left w:val="nil"/>
              <w:bottom w:val="nil"/>
              <w:right w:val="nil"/>
            </w:tcBorders>
          </w:tcPr>
          <w:p w14:paraId="73487265"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(0.0486)</w:t>
            </w:r>
          </w:p>
        </w:tc>
        <w:tc>
          <w:tcPr>
            <w:tcW w:w="0" w:type="auto"/>
            <w:tcBorders>
              <w:top w:val="nil"/>
              <w:left w:val="nil"/>
              <w:bottom w:val="nil"/>
              <w:right w:val="nil"/>
            </w:tcBorders>
          </w:tcPr>
          <w:p w14:paraId="3D598E65"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(0.0473)</w:t>
            </w:r>
          </w:p>
        </w:tc>
      </w:tr>
      <w:tr w:rsidR="004476C3" w:rsidRPr="003D7D3C" w14:paraId="6AA00356" w14:textId="77777777" w:rsidTr="005B4673">
        <w:trPr>
          <w:jc w:val="center"/>
        </w:trPr>
        <w:tc>
          <w:tcPr>
            <w:tcW w:w="1785" w:type="dxa"/>
            <w:tcBorders>
              <w:top w:val="nil"/>
              <w:left w:val="nil"/>
              <w:bottom w:val="nil"/>
              <w:right w:val="nil"/>
            </w:tcBorders>
          </w:tcPr>
          <w:p w14:paraId="5387635C" w14:textId="77777777" w:rsidR="004476C3" w:rsidRPr="006C7818" w:rsidRDefault="004476C3" w:rsidP="005B4673">
            <w:pPr>
              <w:widowControl w:val="0"/>
              <w:autoSpaceDE w:val="0"/>
              <w:autoSpaceDN w:val="0"/>
              <w:adjustRightInd w:val="0"/>
              <w:rPr>
                <w:sz w:val="16"/>
                <w:szCs w:val="16"/>
              </w:rPr>
            </w:pPr>
            <w:r w:rsidRPr="006C7818">
              <w:rPr>
                <w:rFonts w:ascii="Calibri" w:hAnsi="Calibri" w:cs="Calibri"/>
                <w:b/>
                <w:sz w:val="16"/>
                <w:szCs w:val="16"/>
                <w:lang w:val="en-US"/>
              </w:rPr>
              <w:t xml:space="preserve">No. of non-offspring </w:t>
            </w:r>
          </w:p>
        </w:tc>
        <w:tc>
          <w:tcPr>
            <w:tcW w:w="0" w:type="auto"/>
            <w:tcBorders>
              <w:top w:val="nil"/>
              <w:left w:val="nil"/>
              <w:bottom w:val="nil"/>
              <w:right w:val="nil"/>
            </w:tcBorders>
          </w:tcPr>
          <w:p w14:paraId="0BFB9206"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0.1279</w:t>
            </w:r>
          </w:p>
        </w:tc>
        <w:tc>
          <w:tcPr>
            <w:tcW w:w="0" w:type="auto"/>
            <w:tcBorders>
              <w:top w:val="nil"/>
              <w:left w:val="nil"/>
              <w:bottom w:val="nil"/>
              <w:right w:val="nil"/>
            </w:tcBorders>
          </w:tcPr>
          <w:p w14:paraId="4D1D9C3D"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0.1767*</w:t>
            </w:r>
          </w:p>
        </w:tc>
        <w:tc>
          <w:tcPr>
            <w:tcW w:w="0" w:type="auto"/>
            <w:tcBorders>
              <w:top w:val="nil"/>
              <w:left w:val="nil"/>
              <w:bottom w:val="nil"/>
              <w:right w:val="nil"/>
            </w:tcBorders>
          </w:tcPr>
          <w:p w14:paraId="03FFA283"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0.1567*</w:t>
            </w:r>
          </w:p>
        </w:tc>
        <w:tc>
          <w:tcPr>
            <w:tcW w:w="0" w:type="auto"/>
            <w:tcBorders>
              <w:top w:val="nil"/>
              <w:left w:val="nil"/>
              <w:bottom w:val="nil"/>
              <w:right w:val="nil"/>
            </w:tcBorders>
          </w:tcPr>
          <w:p w14:paraId="010A209C"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-0.1507</w:t>
            </w:r>
          </w:p>
        </w:tc>
        <w:tc>
          <w:tcPr>
            <w:tcW w:w="0" w:type="auto"/>
            <w:tcBorders>
              <w:top w:val="nil"/>
              <w:left w:val="nil"/>
              <w:bottom w:val="nil"/>
              <w:right w:val="nil"/>
            </w:tcBorders>
          </w:tcPr>
          <w:p w14:paraId="7C91A9CE" w14:textId="77777777" w:rsidR="004476C3" w:rsidRPr="006C7818"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-0.1013</w:t>
            </w:r>
          </w:p>
        </w:tc>
        <w:tc>
          <w:tcPr>
            <w:tcW w:w="0" w:type="auto"/>
            <w:tcBorders>
              <w:top w:val="nil"/>
              <w:left w:val="nil"/>
              <w:bottom w:val="nil"/>
              <w:right w:val="nil"/>
            </w:tcBorders>
          </w:tcPr>
          <w:p w14:paraId="7B2C3952" w14:textId="77777777" w:rsidR="004476C3" w:rsidRPr="003D7D3C" w:rsidRDefault="004476C3" w:rsidP="005B4673">
            <w:pPr>
              <w:widowControl w:val="0"/>
              <w:autoSpaceDE w:val="0"/>
              <w:autoSpaceDN w:val="0"/>
              <w:adjustRightInd w:val="0"/>
              <w:jc w:val="center"/>
              <w:rPr>
                <w:sz w:val="16"/>
                <w:szCs w:val="16"/>
              </w:rPr>
            </w:pPr>
            <w:r w:rsidRPr="006C7818">
              <w:rPr>
                <w:rFonts w:ascii="Calibri" w:hAnsi="Calibri" w:cs="Calibri"/>
                <w:sz w:val="16"/>
                <w:szCs w:val="16"/>
              </w:rPr>
              <w:t>-0.1218</w:t>
            </w:r>
          </w:p>
        </w:tc>
      </w:tr>
      <w:tr w:rsidR="004476C3" w:rsidRPr="003D7D3C" w14:paraId="343A2F5D" w14:textId="77777777" w:rsidTr="005B4673">
        <w:trPr>
          <w:jc w:val="center"/>
        </w:trPr>
        <w:tc>
          <w:tcPr>
            <w:tcW w:w="1785" w:type="dxa"/>
            <w:tcBorders>
              <w:top w:val="nil"/>
              <w:left w:val="nil"/>
              <w:bottom w:val="nil"/>
              <w:right w:val="nil"/>
            </w:tcBorders>
          </w:tcPr>
          <w:p w14:paraId="17ACE086" w14:textId="77777777" w:rsidR="004476C3" w:rsidRPr="003D7D3C" w:rsidRDefault="004476C3" w:rsidP="005B4673">
            <w:pPr>
              <w:widowControl w:val="0"/>
              <w:autoSpaceDE w:val="0"/>
              <w:autoSpaceDN w:val="0"/>
              <w:adjustRightInd w:val="0"/>
              <w:rPr>
                <w:sz w:val="16"/>
                <w:szCs w:val="16"/>
              </w:rPr>
            </w:pPr>
            <w:r w:rsidRPr="003D7D3C">
              <w:rPr>
                <w:rFonts w:ascii="Calibri" w:hAnsi="Calibri" w:cs="Calibri"/>
                <w:b/>
                <w:sz w:val="16"/>
                <w:szCs w:val="16"/>
                <w:lang w:val="en-US"/>
              </w:rPr>
              <w:t>Members</w:t>
            </w:r>
          </w:p>
        </w:tc>
        <w:tc>
          <w:tcPr>
            <w:tcW w:w="0" w:type="auto"/>
            <w:tcBorders>
              <w:top w:val="nil"/>
              <w:left w:val="nil"/>
              <w:bottom w:val="nil"/>
              <w:right w:val="nil"/>
            </w:tcBorders>
          </w:tcPr>
          <w:p w14:paraId="5E2E25D5"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(0.0911)</w:t>
            </w:r>
          </w:p>
        </w:tc>
        <w:tc>
          <w:tcPr>
            <w:tcW w:w="0" w:type="auto"/>
            <w:tcBorders>
              <w:top w:val="nil"/>
              <w:left w:val="nil"/>
              <w:bottom w:val="nil"/>
              <w:right w:val="nil"/>
            </w:tcBorders>
          </w:tcPr>
          <w:p w14:paraId="2B6E3C37"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(0.0908)</w:t>
            </w:r>
          </w:p>
        </w:tc>
        <w:tc>
          <w:tcPr>
            <w:tcW w:w="0" w:type="auto"/>
            <w:tcBorders>
              <w:top w:val="nil"/>
              <w:left w:val="nil"/>
              <w:bottom w:val="nil"/>
              <w:right w:val="nil"/>
            </w:tcBorders>
          </w:tcPr>
          <w:p w14:paraId="3F08C9AB"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(0.0864)</w:t>
            </w:r>
          </w:p>
        </w:tc>
        <w:tc>
          <w:tcPr>
            <w:tcW w:w="0" w:type="auto"/>
            <w:tcBorders>
              <w:top w:val="nil"/>
              <w:left w:val="nil"/>
              <w:bottom w:val="nil"/>
              <w:right w:val="nil"/>
            </w:tcBorders>
          </w:tcPr>
          <w:p w14:paraId="4F2D8E18"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(0.1132)</w:t>
            </w:r>
          </w:p>
        </w:tc>
        <w:tc>
          <w:tcPr>
            <w:tcW w:w="0" w:type="auto"/>
            <w:tcBorders>
              <w:top w:val="nil"/>
              <w:left w:val="nil"/>
              <w:bottom w:val="nil"/>
              <w:right w:val="nil"/>
            </w:tcBorders>
          </w:tcPr>
          <w:p w14:paraId="21B11AEB"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(0.1126)</w:t>
            </w:r>
          </w:p>
        </w:tc>
        <w:tc>
          <w:tcPr>
            <w:tcW w:w="0" w:type="auto"/>
            <w:tcBorders>
              <w:top w:val="nil"/>
              <w:left w:val="nil"/>
              <w:bottom w:val="nil"/>
              <w:right w:val="nil"/>
            </w:tcBorders>
          </w:tcPr>
          <w:p w14:paraId="226267F0"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(0.1072)</w:t>
            </w:r>
          </w:p>
        </w:tc>
      </w:tr>
      <w:tr w:rsidR="004476C3" w:rsidRPr="003D7D3C" w14:paraId="039F4A76" w14:textId="77777777" w:rsidTr="005B4673">
        <w:trPr>
          <w:jc w:val="center"/>
        </w:trPr>
        <w:tc>
          <w:tcPr>
            <w:tcW w:w="1785" w:type="dxa"/>
            <w:tcBorders>
              <w:top w:val="nil"/>
              <w:left w:val="nil"/>
              <w:bottom w:val="nil"/>
              <w:right w:val="nil"/>
            </w:tcBorders>
          </w:tcPr>
          <w:p w14:paraId="3737E012" w14:textId="77777777" w:rsidR="004476C3" w:rsidRPr="003D7D3C" w:rsidRDefault="004476C3" w:rsidP="005B4673">
            <w:pPr>
              <w:widowControl w:val="0"/>
              <w:autoSpaceDE w:val="0"/>
              <w:autoSpaceDN w:val="0"/>
              <w:adjustRightInd w:val="0"/>
              <w:rPr>
                <w:sz w:val="16"/>
                <w:szCs w:val="16"/>
              </w:rPr>
            </w:pPr>
            <w:r w:rsidRPr="003D7D3C">
              <w:rPr>
                <w:rFonts w:ascii="Calibri" w:hAnsi="Calibri" w:cs="Calibri"/>
                <w:b/>
                <w:sz w:val="16"/>
                <w:szCs w:val="16"/>
                <w:lang w:val="en-US"/>
              </w:rPr>
              <w:t>Constant</w:t>
            </w:r>
          </w:p>
        </w:tc>
        <w:tc>
          <w:tcPr>
            <w:tcW w:w="0" w:type="auto"/>
            <w:tcBorders>
              <w:top w:val="nil"/>
              <w:left w:val="nil"/>
              <w:bottom w:val="nil"/>
              <w:right w:val="nil"/>
            </w:tcBorders>
          </w:tcPr>
          <w:p w14:paraId="759BF1D8"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7.6411***</w:t>
            </w:r>
          </w:p>
        </w:tc>
        <w:tc>
          <w:tcPr>
            <w:tcW w:w="0" w:type="auto"/>
            <w:tcBorders>
              <w:top w:val="nil"/>
              <w:left w:val="nil"/>
              <w:bottom w:val="nil"/>
              <w:right w:val="nil"/>
            </w:tcBorders>
          </w:tcPr>
          <w:p w14:paraId="7A99ED77"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7.3198***</w:t>
            </w:r>
          </w:p>
        </w:tc>
        <w:tc>
          <w:tcPr>
            <w:tcW w:w="0" w:type="auto"/>
            <w:tcBorders>
              <w:top w:val="nil"/>
              <w:left w:val="nil"/>
              <w:bottom w:val="nil"/>
              <w:right w:val="nil"/>
            </w:tcBorders>
          </w:tcPr>
          <w:p w14:paraId="7E37F420"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7.6839***</w:t>
            </w:r>
          </w:p>
        </w:tc>
        <w:tc>
          <w:tcPr>
            <w:tcW w:w="0" w:type="auto"/>
            <w:tcBorders>
              <w:top w:val="nil"/>
              <w:left w:val="nil"/>
              <w:bottom w:val="nil"/>
              <w:right w:val="nil"/>
            </w:tcBorders>
          </w:tcPr>
          <w:p w14:paraId="439D603E"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7.3535***</w:t>
            </w:r>
          </w:p>
        </w:tc>
        <w:tc>
          <w:tcPr>
            <w:tcW w:w="0" w:type="auto"/>
            <w:tcBorders>
              <w:top w:val="nil"/>
              <w:left w:val="nil"/>
              <w:bottom w:val="nil"/>
              <w:right w:val="nil"/>
            </w:tcBorders>
          </w:tcPr>
          <w:p w14:paraId="078204AA"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7.0331***</w:t>
            </w:r>
          </w:p>
        </w:tc>
        <w:tc>
          <w:tcPr>
            <w:tcW w:w="0" w:type="auto"/>
            <w:tcBorders>
              <w:top w:val="nil"/>
              <w:left w:val="nil"/>
              <w:bottom w:val="nil"/>
              <w:right w:val="nil"/>
            </w:tcBorders>
          </w:tcPr>
          <w:p w14:paraId="21F9B4F1"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7.4012***</w:t>
            </w:r>
          </w:p>
        </w:tc>
      </w:tr>
      <w:tr w:rsidR="004476C3" w:rsidRPr="003D7D3C" w14:paraId="4891BC71" w14:textId="77777777" w:rsidTr="005B4673">
        <w:trPr>
          <w:jc w:val="center"/>
        </w:trPr>
        <w:tc>
          <w:tcPr>
            <w:tcW w:w="1785" w:type="dxa"/>
            <w:tcBorders>
              <w:top w:val="nil"/>
              <w:left w:val="nil"/>
              <w:bottom w:val="nil"/>
              <w:right w:val="nil"/>
            </w:tcBorders>
          </w:tcPr>
          <w:p w14:paraId="10F83A3B" w14:textId="77777777" w:rsidR="004476C3" w:rsidRPr="003D7D3C" w:rsidRDefault="004476C3" w:rsidP="005B4673">
            <w:pPr>
              <w:widowControl w:val="0"/>
              <w:autoSpaceDE w:val="0"/>
              <w:autoSpaceDN w:val="0"/>
              <w:adjustRightInd w:val="0"/>
              <w:rPr>
                <w:sz w:val="16"/>
                <w:szCs w:val="16"/>
              </w:rPr>
            </w:pPr>
          </w:p>
        </w:tc>
        <w:tc>
          <w:tcPr>
            <w:tcW w:w="0" w:type="auto"/>
            <w:tcBorders>
              <w:top w:val="nil"/>
              <w:left w:val="nil"/>
              <w:bottom w:val="nil"/>
              <w:right w:val="nil"/>
            </w:tcBorders>
          </w:tcPr>
          <w:p w14:paraId="1DDEA71A"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(1.3253)</w:t>
            </w:r>
          </w:p>
        </w:tc>
        <w:tc>
          <w:tcPr>
            <w:tcW w:w="0" w:type="auto"/>
            <w:tcBorders>
              <w:top w:val="nil"/>
              <w:left w:val="nil"/>
              <w:bottom w:val="nil"/>
              <w:right w:val="nil"/>
            </w:tcBorders>
          </w:tcPr>
          <w:p w14:paraId="01BD56BB"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(1.3626)</w:t>
            </w:r>
          </w:p>
        </w:tc>
        <w:tc>
          <w:tcPr>
            <w:tcW w:w="0" w:type="auto"/>
            <w:tcBorders>
              <w:top w:val="nil"/>
              <w:left w:val="nil"/>
              <w:bottom w:val="nil"/>
              <w:right w:val="nil"/>
            </w:tcBorders>
          </w:tcPr>
          <w:p w14:paraId="57B505F2"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(1.3053)</w:t>
            </w:r>
          </w:p>
        </w:tc>
        <w:tc>
          <w:tcPr>
            <w:tcW w:w="0" w:type="auto"/>
            <w:tcBorders>
              <w:top w:val="nil"/>
              <w:left w:val="nil"/>
              <w:bottom w:val="nil"/>
              <w:right w:val="nil"/>
            </w:tcBorders>
          </w:tcPr>
          <w:p w14:paraId="56B1EFBA"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(1.3332)</w:t>
            </w:r>
          </w:p>
        </w:tc>
        <w:tc>
          <w:tcPr>
            <w:tcW w:w="0" w:type="auto"/>
            <w:tcBorders>
              <w:top w:val="nil"/>
              <w:left w:val="nil"/>
              <w:bottom w:val="nil"/>
              <w:right w:val="nil"/>
            </w:tcBorders>
          </w:tcPr>
          <w:p w14:paraId="0346A91C"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(1.3696)</w:t>
            </w:r>
          </w:p>
        </w:tc>
        <w:tc>
          <w:tcPr>
            <w:tcW w:w="0" w:type="auto"/>
            <w:tcBorders>
              <w:top w:val="nil"/>
              <w:left w:val="nil"/>
              <w:bottom w:val="nil"/>
              <w:right w:val="nil"/>
            </w:tcBorders>
          </w:tcPr>
          <w:p w14:paraId="48D25849"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(1.3135)</w:t>
            </w:r>
          </w:p>
        </w:tc>
      </w:tr>
      <w:tr w:rsidR="004476C3" w:rsidRPr="003D7D3C" w14:paraId="42D115A6" w14:textId="77777777" w:rsidTr="005B4673">
        <w:trPr>
          <w:jc w:val="center"/>
        </w:trPr>
        <w:tc>
          <w:tcPr>
            <w:tcW w:w="1785" w:type="dxa"/>
            <w:tcBorders>
              <w:top w:val="nil"/>
              <w:left w:val="nil"/>
              <w:bottom w:val="nil"/>
              <w:right w:val="nil"/>
            </w:tcBorders>
          </w:tcPr>
          <w:p w14:paraId="19F71651" w14:textId="77777777" w:rsidR="004476C3" w:rsidRPr="003D7D3C" w:rsidRDefault="004476C3" w:rsidP="005B4673">
            <w:pPr>
              <w:widowControl w:val="0"/>
              <w:autoSpaceDE w:val="0"/>
              <w:autoSpaceDN w:val="0"/>
              <w:adjustRightInd w:val="0"/>
              <w:rPr>
                <w:sz w:val="16"/>
                <w:szCs w:val="16"/>
              </w:rPr>
            </w:pPr>
          </w:p>
        </w:tc>
        <w:tc>
          <w:tcPr>
            <w:tcW w:w="0" w:type="auto"/>
            <w:tcBorders>
              <w:top w:val="nil"/>
              <w:left w:val="nil"/>
              <w:bottom w:val="nil"/>
              <w:right w:val="nil"/>
            </w:tcBorders>
          </w:tcPr>
          <w:p w14:paraId="371FDE0B" w14:textId="77777777" w:rsidR="004476C3" w:rsidRPr="003D7D3C" w:rsidRDefault="004476C3" w:rsidP="005B4673">
            <w:pPr>
              <w:widowControl w:val="0"/>
              <w:autoSpaceDE w:val="0"/>
              <w:autoSpaceDN w:val="0"/>
              <w:adjustRightInd w:val="0"/>
              <w:jc w:val="center"/>
              <w:rPr>
                <w:sz w:val="16"/>
                <w:szCs w:val="16"/>
              </w:rPr>
            </w:pPr>
          </w:p>
        </w:tc>
        <w:tc>
          <w:tcPr>
            <w:tcW w:w="0" w:type="auto"/>
            <w:tcBorders>
              <w:top w:val="nil"/>
              <w:left w:val="nil"/>
              <w:bottom w:val="nil"/>
              <w:right w:val="nil"/>
            </w:tcBorders>
          </w:tcPr>
          <w:p w14:paraId="5C9623D0" w14:textId="77777777" w:rsidR="004476C3" w:rsidRPr="003D7D3C" w:rsidRDefault="004476C3" w:rsidP="005B4673">
            <w:pPr>
              <w:widowControl w:val="0"/>
              <w:autoSpaceDE w:val="0"/>
              <w:autoSpaceDN w:val="0"/>
              <w:adjustRightInd w:val="0"/>
              <w:jc w:val="center"/>
              <w:rPr>
                <w:sz w:val="16"/>
                <w:szCs w:val="16"/>
              </w:rPr>
            </w:pPr>
          </w:p>
        </w:tc>
        <w:tc>
          <w:tcPr>
            <w:tcW w:w="0" w:type="auto"/>
            <w:tcBorders>
              <w:top w:val="nil"/>
              <w:left w:val="nil"/>
              <w:bottom w:val="nil"/>
              <w:right w:val="nil"/>
            </w:tcBorders>
          </w:tcPr>
          <w:p w14:paraId="06E8B7E9" w14:textId="77777777" w:rsidR="004476C3" w:rsidRPr="003D7D3C" w:rsidRDefault="004476C3" w:rsidP="005B4673">
            <w:pPr>
              <w:widowControl w:val="0"/>
              <w:autoSpaceDE w:val="0"/>
              <w:autoSpaceDN w:val="0"/>
              <w:adjustRightInd w:val="0"/>
              <w:jc w:val="center"/>
              <w:rPr>
                <w:sz w:val="16"/>
                <w:szCs w:val="16"/>
              </w:rPr>
            </w:pPr>
          </w:p>
        </w:tc>
        <w:tc>
          <w:tcPr>
            <w:tcW w:w="0" w:type="auto"/>
            <w:tcBorders>
              <w:top w:val="nil"/>
              <w:left w:val="nil"/>
              <w:bottom w:val="nil"/>
              <w:right w:val="nil"/>
            </w:tcBorders>
          </w:tcPr>
          <w:p w14:paraId="28E414DA" w14:textId="77777777" w:rsidR="004476C3" w:rsidRPr="003D7D3C" w:rsidRDefault="004476C3" w:rsidP="005B4673">
            <w:pPr>
              <w:widowControl w:val="0"/>
              <w:autoSpaceDE w:val="0"/>
              <w:autoSpaceDN w:val="0"/>
              <w:adjustRightInd w:val="0"/>
              <w:jc w:val="center"/>
              <w:rPr>
                <w:sz w:val="16"/>
                <w:szCs w:val="16"/>
              </w:rPr>
            </w:pPr>
          </w:p>
        </w:tc>
        <w:tc>
          <w:tcPr>
            <w:tcW w:w="0" w:type="auto"/>
            <w:tcBorders>
              <w:top w:val="nil"/>
              <w:left w:val="nil"/>
              <w:bottom w:val="nil"/>
              <w:right w:val="nil"/>
            </w:tcBorders>
          </w:tcPr>
          <w:p w14:paraId="5100B34E" w14:textId="77777777" w:rsidR="004476C3" w:rsidRPr="003D7D3C" w:rsidRDefault="004476C3" w:rsidP="005B4673">
            <w:pPr>
              <w:widowControl w:val="0"/>
              <w:autoSpaceDE w:val="0"/>
              <w:autoSpaceDN w:val="0"/>
              <w:adjustRightInd w:val="0"/>
              <w:jc w:val="center"/>
              <w:rPr>
                <w:sz w:val="16"/>
                <w:szCs w:val="16"/>
              </w:rPr>
            </w:pPr>
          </w:p>
        </w:tc>
        <w:tc>
          <w:tcPr>
            <w:tcW w:w="0" w:type="auto"/>
            <w:tcBorders>
              <w:top w:val="nil"/>
              <w:left w:val="nil"/>
              <w:bottom w:val="nil"/>
              <w:right w:val="nil"/>
            </w:tcBorders>
          </w:tcPr>
          <w:p w14:paraId="22EB9573" w14:textId="77777777" w:rsidR="004476C3" w:rsidRPr="003D7D3C" w:rsidRDefault="004476C3" w:rsidP="005B4673">
            <w:pPr>
              <w:widowControl w:val="0"/>
              <w:autoSpaceDE w:val="0"/>
              <w:autoSpaceDN w:val="0"/>
              <w:adjustRightInd w:val="0"/>
              <w:jc w:val="center"/>
              <w:rPr>
                <w:sz w:val="16"/>
                <w:szCs w:val="16"/>
              </w:rPr>
            </w:pPr>
          </w:p>
        </w:tc>
      </w:tr>
      <w:tr w:rsidR="004476C3" w:rsidRPr="003D7D3C" w14:paraId="38F676BF" w14:textId="77777777" w:rsidTr="005B4673">
        <w:trPr>
          <w:jc w:val="center"/>
        </w:trPr>
        <w:tc>
          <w:tcPr>
            <w:tcW w:w="1785" w:type="dxa"/>
            <w:tcBorders>
              <w:top w:val="nil"/>
              <w:left w:val="nil"/>
              <w:bottom w:val="nil"/>
              <w:right w:val="nil"/>
            </w:tcBorders>
          </w:tcPr>
          <w:p w14:paraId="6A3855F9" w14:textId="77777777" w:rsidR="004476C3" w:rsidRPr="003D7D3C" w:rsidRDefault="004476C3" w:rsidP="005B4673">
            <w:pPr>
              <w:widowControl w:val="0"/>
              <w:autoSpaceDE w:val="0"/>
              <w:autoSpaceDN w:val="0"/>
              <w:adjustRightInd w:val="0"/>
              <w:rPr>
                <w:sz w:val="16"/>
                <w:szCs w:val="16"/>
              </w:rPr>
            </w:pPr>
            <w:r w:rsidRPr="003D7D3C">
              <w:rPr>
                <w:rFonts w:ascii="Calibri" w:hAnsi="Calibri" w:cs="Calibri"/>
                <w:b/>
                <w:sz w:val="16"/>
                <w:szCs w:val="16"/>
                <w:lang w:val="en-US"/>
              </w:rPr>
              <w:t>Obs.</w:t>
            </w:r>
          </w:p>
        </w:tc>
        <w:tc>
          <w:tcPr>
            <w:tcW w:w="0" w:type="auto"/>
            <w:tcBorders>
              <w:top w:val="nil"/>
              <w:left w:val="nil"/>
              <w:bottom w:val="nil"/>
              <w:right w:val="nil"/>
            </w:tcBorders>
          </w:tcPr>
          <w:p w14:paraId="0E47150A"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10,795</w:t>
            </w:r>
          </w:p>
        </w:tc>
        <w:tc>
          <w:tcPr>
            <w:tcW w:w="0" w:type="auto"/>
            <w:tcBorders>
              <w:top w:val="nil"/>
              <w:left w:val="nil"/>
              <w:bottom w:val="nil"/>
              <w:right w:val="nil"/>
            </w:tcBorders>
          </w:tcPr>
          <w:p w14:paraId="57FEE378"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10,640</w:t>
            </w:r>
          </w:p>
        </w:tc>
        <w:tc>
          <w:tcPr>
            <w:tcW w:w="0" w:type="auto"/>
            <w:tcBorders>
              <w:top w:val="nil"/>
              <w:left w:val="nil"/>
              <w:bottom w:val="nil"/>
              <w:right w:val="nil"/>
            </w:tcBorders>
          </w:tcPr>
          <w:p w14:paraId="68694D54"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10,762</w:t>
            </w:r>
          </w:p>
        </w:tc>
        <w:tc>
          <w:tcPr>
            <w:tcW w:w="0" w:type="auto"/>
            <w:tcBorders>
              <w:top w:val="nil"/>
              <w:left w:val="nil"/>
              <w:bottom w:val="nil"/>
              <w:right w:val="nil"/>
            </w:tcBorders>
          </w:tcPr>
          <w:p w14:paraId="2AC88E72"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10,795</w:t>
            </w:r>
          </w:p>
        </w:tc>
        <w:tc>
          <w:tcPr>
            <w:tcW w:w="0" w:type="auto"/>
            <w:tcBorders>
              <w:top w:val="nil"/>
              <w:left w:val="nil"/>
              <w:bottom w:val="nil"/>
              <w:right w:val="nil"/>
            </w:tcBorders>
          </w:tcPr>
          <w:p w14:paraId="6B0D79B6"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10,640</w:t>
            </w:r>
          </w:p>
        </w:tc>
        <w:tc>
          <w:tcPr>
            <w:tcW w:w="0" w:type="auto"/>
            <w:tcBorders>
              <w:top w:val="nil"/>
              <w:left w:val="nil"/>
              <w:bottom w:val="nil"/>
              <w:right w:val="nil"/>
            </w:tcBorders>
          </w:tcPr>
          <w:p w14:paraId="7F033433"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10,762</w:t>
            </w:r>
          </w:p>
        </w:tc>
      </w:tr>
      <w:tr w:rsidR="004476C3" w:rsidRPr="003D7D3C" w14:paraId="666FC78C" w14:textId="77777777" w:rsidTr="005B4673">
        <w:tblPrEx>
          <w:tblBorders>
            <w:bottom w:val="single" w:sz="6" w:space="0" w:color="auto"/>
          </w:tblBorders>
        </w:tblPrEx>
        <w:trPr>
          <w:jc w:val="center"/>
        </w:trPr>
        <w:tc>
          <w:tcPr>
            <w:tcW w:w="1785" w:type="dxa"/>
            <w:tcBorders>
              <w:top w:val="nil"/>
              <w:left w:val="nil"/>
              <w:bottom w:val="single" w:sz="6" w:space="0" w:color="auto"/>
              <w:right w:val="nil"/>
            </w:tcBorders>
          </w:tcPr>
          <w:p w14:paraId="62365EB8" w14:textId="77777777" w:rsidR="004476C3" w:rsidRPr="003D7D3C" w:rsidRDefault="004476C3" w:rsidP="005B4673">
            <w:pPr>
              <w:widowControl w:val="0"/>
              <w:autoSpaceDE w:val="0"/>
              <w:autoSpaceDN w:val="0"/>
              <w:adjustRightInd w:val="0"/>
              <w:rPr>
                <w:sz w:val="16"/>
                <w:szCs w:val="16"/>
              </w:rPr>
            </w:pPr>
            <w:r w:rsidRPr="003D7D3C">
              <w:rPr>
                <w:rFonts w:ascii="Calibri" w:hAnsi="Calibri" w:cs="Calibri"/>
                <w:b/>
                <w:sz w:val="16"/>
                <w:szCs w:val="16"/>
                <w:lang w:val="en-US"/>
              </w:rPr>
              <w:t>Number of households</w:t>
            </w:r>
          </w:p>
        </w:tc>
        <w:tc>
          <w:tcPr>
            <w:tcW w:w="0" w:type="auto"/>
            <w:tcBorders>
              <w:top w:val="nil"/>
              <w:left w:val="nil"/>
              <w:bottom w:val="single" w:sz="6" w:space="0" w:color="auto"/>
              <w:right w:val="nil"/>
            </w:tcBorders>
          </w:tcPr>
          <w:p w14:paraId="5ADC90CF"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6,101</w:t>
            </w:r>
          </w:p>
        </w:tc>
        <w:tc>
          <w:tcPr>
            <w:tcW w:w="0" w:type="auto"/>
            <w:tcBorders>
              <w:top w:val="nil"/>
              <w:left w:val="nil"/>
              <w:bottom w:val="single" w:sz="6" w:space="0" w:color="auto"/>
              <w:right w:val="nil"/>
            </w:tcBorders>
          </w:tcPr>
          <w:p w14:paraId="5AAC387A"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6,076</w:t>
            </w:r>
          </w:p>
        </w:tc>
        <w:tc>
          <w:tcPr>
            <w:tcW w:w="0" w:type="auto"/>
            <w:tcBorders>
              <w:top w:val="nil"/>
              <w:left w:val="nil"/>
              <w:bottom w:val="single" w:sz="6" w:space="0" w:color="auto"/>
              <w:right w:val="nil"/>
            </w:tcBorders>
          </w:tcPr>
          <w:p w14:paraId="1BFF9403"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6,094</w:t>
            </w:r>
          </w:p>
        </w:tc>
        <w:tc>
          <w:tcPr>
            <w:tcW w:w="0" w:type="auto"/>
            <w:tcBorders>
              <w:top w:val="nil"/>
              <w:left w:val="nil"/>
              <w:bottom w:val="single" w:sz="6" w:space="0" w:color="auto"/>
              <w:right w:val="nil"/>
            </w:tcBorders>
          </w:tcPr>
          <w:p w14:paraId="36DDFBF3"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6,101</w:t>
            </w:r>
          </w:p>
        </w:tc>
        <w:tc>
          <w:tcPr>
            <w:tcW w:w="0" w:type="auto"/>
            <w:tcBorders>
              <w:top w:val="nil"/>
              <w:left w:val="nil"/>
              <w:bottom w:val="single" w:sz="6" w:space="0" w:color="auto"/>
              <w:right w:val="nil"/>
            </w:tcBorders>
          </w:tcPr>
          <w:p w14:paraId="7D177057"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6,076</w:t>
            </w:r>
          </w:p>
        </w:tc>
        <w:tc>
          <w:tcPr>
            <w:tcW w:w="0" w:type="auto"/>
            <w:tcBorders>
              <w:top w:val="nil"/>
              <w:left w:val="nil"/>
              <w:bottom w:val="single" w:sz="6" w:space="0" w:color="auto"/>
              <w:right w:val="nil"/>
            </w:tcBorders>
          </w:tcPr>
          <w:p w14:paraId="073DBC5C" w14:textId="77777777" w:rsidR="004476C3" w:rsidRPr="003D7D3C" w:rsidRDefault="004476C3" w:rsidP="005B4673">
            <w:pPr>
              <w:widowControl w:val="0"/>
              <w:autoSpaceDE w:val="0"/>
              <w:autoSpaceDN w:val="0"/>
              <w:adjustRightInd w:val="0"/>
              <w:jc w:val="center"/>
              <w:rPr>
                <w:sz w:val="16"/>
                <w:szCs w:val="16"/>
              </w:rPr>
            </w:pPr>
            <w:r w:rsidRPr="003D7D3C">
              <w:rPr>
                <w:rFonts w:ascii="Calibri" w:hAnsi="Calibri" w:cs="Calibri"/>
                <w:sz w:val="16"/>
                <w:szCs w:val="16"/>
              </w:rPr>
              <w:t>6,094</w:t>
            </w:r>
          </w:p>
        </w:tc>
      </w:tr>
    </w:tbl>
    <w:p w14:paraId="1893326E" w14:textId="77777777" w:rsidR="0044273A" w:rsidRDefault="0044273A" w:rsidP="004476C3">
      <w:pPr>
        <w:jc w:val="both"/>
        <w:rPr>
          <w:i/>
          <w:sz w:val="16"/>
          <w:szCs w:val="16"/>
          <w:lang w:val="en-US"/>
        </w:rPr>
      </w:pPr>
    </w:p>
    <w:p w14:paraId="6947338D" w14:textId="7AE53A87" w:rsidR="004476C3" w:rsidRDefault="004476C3" w:rsidP="004476C3">
      <w:pPr>
        <w:jc w:val="both"/>
        <w:rPr>
          <w:sz w:val="16"/>
          <w:szCs w:val="16"/>
          <w:lang w:val="en-US"/>
        </w:rPr>
      </w:pPr>
      <w:r w:rsidRPr="006A0E79">
        <w:rPr>
          <w:i/>
          <w:sz w:val="16"/>
          <w:szCs w:val="16"/>
          <w:lang w:val="en-US"/>
        </w:rPr>
        <w:t>Note:</w:t>
      </w:r>
      <w:r w:rsidRPr="006A0E79">
        <w:rPr>
          <w:sz w:val="16"/>
          <w:szCs w:val="16"/>
          <w:lang w:val="en-US"/>
        </w:rPr>
        <w:t xml:space="preserve"> </w:t>
      </w:r>
      <w:r w:rsidR="00AE69B6">
        <w:rPr>
          <w:iCs/>
          <w:sz w:val="16"/>
          <w:szCs w:val="16"/>
          <w:lang w:val="en-US"/>
        </w:rPr>
        <w:t>All models are estimated using a fixed-effects estimator</w:t>
      </w:r>
      <w:r w:rsidR="00AE69B6" w:rsidRPr="006A0E79">
        <w:rPr>
          <w:sz w:val="16"/>
          <w:szCs w:val="16"/>
          <w:lang w:val="en-US"/>
        </w:rPr>
        <w:t>.</w:t>
      </w:r>
      <w:r w:rsidRPr="006A0E79">
        <w:rPr>
          <w:sz w:val="16"/>
          <w:szCs w:val="16"/>
          <w:lang w:val="en-US"/>
        </w:rPr>
        <w:t xml:space="preserve"> See Table A</w:t>
      </w:r>
      <w:r w:rsidR="006B10C5">
        <w:rPr>
          <w:sz w:val="16"/>
          <w:szCs w:val="16"/>
          <w:lang w:val="en-US"/>
        </w:rPr>
        <w:t>1</w:t>
      </w:r>
      <w:r w:rsidRPr="006A0E79">
        <w:rPr>
          <w:sz w:val="16"/>
          <w:szCs w:val="16"/>
          <w:lang w:val="en-US"/>
        </w:rPr>
        <w:t xml:space="preserve"> for definitions of all variables. The dependent variable</w:t>
      </w:r>
      <w:r>
        <w:rPr>
          <w:sz w:val="16"/>
          <w:szCs w:val="16"/>
          <w:lang w:val="en-US"/>
        </w:rPr>
        <w:t>s</w:t>
      </w:r>
      <w:r w:rsidRPr="006A0E79">
        <w:rPr>
          <w:sz w:val="16"/>
          <w:szCs w:val="16"/>
          <w:lang w:val="en-US"/>
        </w:rPr>
        <w:t xml:space="preserve"> in columns 1-3 </w:t>
      </w:r>
      <w:r>
        <w:rPr>
          <w:sz w:val="16"/>
          <w:szCs w:val="16"/>
          <w:lang w:val="en-US"/>
        </w:rPr>
        <w:t>are</w:t>
      </w:r>
      <w:r w:rsidRPr="006A0E79">
        <w:rPr>
          <w:sz w:val="16"/>
          <w:szCs w:val="16"/>
          <w:lang w:val="en-US"/>
        </w:rPr>
        <w:t xml:space="preserve"> the logarithm</w:t>
      </w:r>
      <w:r>
        <w:rPr>
          <w:sz w:val="16"/>
          <w:szCs w:val="16"/>
          <w:lang w:val="en-US"/>
        </w:rPr>
        <w:t>s</w:t>
      </w:r>
      <w:r w:rsidRPr="006A0E79">
        <w:rPr>
          <w:sz w:val="16"/>
          <w:szCs w:val="16"/>
          <w:lang w:val="en-US"/>
        </w:rPr>
        <w:t xml:space="preserve"> of total</w:t>
      </w:r>
      <w:r>
        <w:rPr>
          <w:sz w:val="16"/>
          <w:szCs w:val="16"/>
          <w:lang w:val="en-US"/>
        </w:rPr>
        <w:t>,</w:t>
      </w:r>
      <w:r w:rsidRPr="006A0E79">
        <w:rPr>
          <w:sz w:val="16"/>
          <w:szCs w:val="16"/>
          <w:lang w:val="en-US"/>
        </w:rPr>
        <w:t xml:space="preserve"> non-durable</w:t>
      </w:r>
      <w:r>
        <w:rPr>
          <w:sz w:val="16"/>
          <w:szCs w:val="16"/>
          <w:lang w:val="en-US"/>
        </w:rPr>
        <w:t xml:space="preserve">, </w:t>
      </w:r>
      <w:r w:rsidRPr="006A0E79">
        <w:rPr>
          <w:sz w:val="16"/>
          <w:szCs w:val="16"/>
          <w:lang w:val="en-US"/>
        </w:rPr>
        <w:t xml:space="preserve">and non-education </w:t>
      </w:r>
      <w:r>
        <w:rPr>
          <w:sz w:val="16"/>
          <w:szCs w:val="16"/>
          <w:lang w:val="en-US"/>
        </w:rPr>
        <w:t xml:space="preserve">household </w:t>
      </w:r>
      <w:r w:rsidRPr="006A0E79">
        <w:rPr>
          <w:sz w:val="16"/>
          <w:szCs w:val="16"/>
          <w:lang w:val="en-US"/>
        </w:rPr>
        <w:t>consumption</w:t>
      </w:r>
      <w:r>
        <w:rPr>
          <w:sz w:val="16"/>
          <w:szCs w:val="16"/>
          <w:lang w:val="en-US"/>
        </w:rPr>
        <w:t>, respectively</w:t>
      </w:r>
      <w:r w:rsidRPr="006A0E79">
        <w:rPr>
          <w:sz w:val="16"/>
          <w:szCs w:val="16"/>
          <w:lang w:val="en-US"/>
        </w:rPr>
        <w:t>. The dependent variable</w:t>
      </w:r>
      <w:r>
        <w:rPr>
          <w:sz w:val="16"/>
          <w:szCs w:val="16"/>
          <w:lang w:val="en-US"/>
        </w:rPr>
        <w:t>s</w:t>
      </w:r>
      <w:r w:rsidRPr="006A0E79">
        <w:rPr>
          <w:sz w:val="16"/>
          <w:szCs w:val="16"/>
          <w:lang w:val="en-US"/>
        </w:rPr>
        <w:t xml:space="preserve"> in columns </w:t>
      </w:r>
      <w:r>
        <w:rPr>
          <w:sz w:val="16"/>
          <w:szCs w:val="16"/>
          <w:lang w:val="en-US"/>
        </w:rPr>
        <w:t>4-6</w:t>
      </w:r>
      <w:r w:rsidRPr="006A0E79">
        <w:rPr>
          <w:sz w:val="16"/>
          <w:szCs w:val="16"/>
          <w:lang w:val="en-US"/>
        </w:rPr>
        <w:t xml:space="preserve"> </w:t>
      </w:r>
      <w:r>
        <w:rPr>
          <w:sz w:val="16"/>
          <w:szCs w:val="16"/>
          <w:lang w:val="en-US"/>
        </w:rPr>
        <w:t>are</w:t>
      </w:r>
      <w:r w:rsidRPr="006A0E79">
        <w:rPr>
          <w:sz w:val="16"/>
          <w:szCs w:val="16"/>
          <w:lang w:val="en-US"/>
        </w:rPr>
        <w:t xml:space="preserve"> the logarithm</w:t>
      </w:r>
      <w:r>
        <w:rPr>
          <w:sz w:val="16"/>
          <w:szCs w:val="16"/>
          <w:lang w:val="en-US"/>
        </w:rPr>
        <w:t>s</w:t>
      </w:r>
      <w:r w:rsidRPr="006A0E79">
        <w:rPr>
          <w:sz w:val="16"/>
          <w:szCs w:val="16"/>
          <w:lang w:val="en-US"/>
        </w:rPr>
        <w:t xml:space="preserve"> of </w:t>
      </w:r>
      <w:r>
        <w:rPr>
          <w:sz w:val="16"/>
          <w:szCs w:val="16"/>
          <w:lang w:val="en-US"/>
        </w:rPr>
        <w:t xml:space="preserve">adult-equivalent total, non-durable, and non-education </w:t>
      </w:r>
      <w:r w:rsidRPr="006A0E79">
        <w:rPr>
          <w:sz w:val="16"/>
          <w:szCs w:val="16"/>
          <w:lang w:val="en-US"/>
        </w:rPr>
        <w:t xml:space="preserve">consumption, </w:t>
      </w:r>
      <w:r>
        <w:rPr>
          <w:sz w:val="16"/>
          <w:szCs w:val="16"/>
          <w:lang w:val="en-US"/>
        </w:rPr>
        <w:t xml:space="preserve">respectively, </w:t>
      </w:r>
      <w:r w:rsidRPr="006A0E79">
        <w:rPr>
          <w:sz w:val="16"/>
          <w:szCs w:val="16"/>
          <w:lang w:val="en-US"/>
        </w:rPr>
        <w:t xml:space="preserve">which </w:t>
      </w:r>
      <w:r w:rsidR="0014754F">
        <w:rPr>
          <w:sz w:val="16"/>
          <w:szCs w:val="16"/>
          <w:lang w:val="en-US"/>
        </w:rPr>
        <w:t>are</w:t>
      </w:r>
      <w:r w:rsidRPr="006A0E79">
        <w:rPr>
          <w:sz w:val="16"/>
          <w:szCs w:val="16"/>
          <w:lang w:val="en-US"/>
        </w:rPr>
        <w:t xml:space="preserve"> calculated by dividing consumption by the equivalence scale (</w:t>
      </w:r>
      <w:r w:rsidRPr="006A0E79">
        <w:rPr>
          <w:i/>
          <w:sz w:val="16"/>
          <w:szCs w:val="16"/>
          <w:lang w:val="en-US"/>
        </w:rPr>
        <w:t>n</w:t>
      </w:r>
      <w:r w:rsidRPr="006A0E79">
        <w:rPr>
          <w:i/>
          <w:sz w:val="16"/>
          <w:szCs w:val="16"/>
          <w:vertAlign w:val="superscript"/>
          <w:lang w:val="en-US"/>
        </w:rPr>
        <w:t>0.8</w:t>
      </w:r>
      <w:r w:rsidRPr="006A0E79">
        <w:rPr>
          <w:sz w:val="16"/>
          <w:szCs w:val="16"/>
          <w:lang w:val="en-US"/>
        </w:rPr>
        <w:t xml:space="preserve">).  </w:t>
      </w:r>
      <w:r>
        <w:rPr>
          <w:sz w:val="16"/>
          <w:szCs w:val="16"/>
          <w:lang w:val="en-US"/>
        </w:rPr>
        <w:t>Y</w:t>
      </w:r>
      <w:r w:rsidRPr="006A0E79">
        <w:rPr>
          <w:sz w:val="16"/>
          <w:szCs w:val="16"/>
          <w:lang w:val="en-US"/>
        </w:rPr>
        <w:t>ear dumm</w:t>
      </w:r>
      <w:r>
        <w:rPr>
          <w:sz w:val="16"/>
          <w:szCs w:val="16"/>
          <w:lang w:val="en-US"/>
        </w:rPr>
        <w:t>ies</w:t>
      </w:r>
      <w:r w:rsidRPr="006A0E79">
        <w:rPr>
          <w:sz w:val="16"/>
          <w:szCs w:val="16"/>
          <w:lang w:val="en-US"/>
        </w:rPr>
        <w:t xml:space="preserve"> and the interactions between provincial and year dummies are included in all models, but their estimates are not reported for brevity. Robust standard errors are in parentheses. ***, ** and * indicate significance at the 1%, 5% and 10% levels, respectively.</w:t>
      </w:r>
    </w:p>
    <w:p w14:paraId="2D29ED26" w14:textId="77777777" w:rsidR="0044273A" w:rsidRDefault="0044273A" w:rsidP="0044273A">
      <w:pPr>
        <w:rPr>
          <w:rFonts w:ascii="Calibri" w:hAnsi="Calibri" w:cs="Calibri"/>
          <w:b/>
          <w:sz w:val="22"/>
          <w:szCs w:val="22"/>
          <w:lang w:val="en-US"/>
        </w:rPr>
      </w:pPr>
    </w:p>
    <w:p w14:paraId="3C7BA64B" w14:textId="77777777" w:rsidR="0044273A" w:rsidRPr="00FC05BF" w:rsidRDefault="0044273A" w:rsidP="0044273A">
      <w:pPr>
        <w:rPr>
          <w:bCs/>
          <w:lang w:val="en-US"/>
        </w:rPr>
      </w:pPr>
      <w:r w:rsidRPr="00FC05BF">
        <w:rPr>
          <w:b/>
          <w:lang w:val="en-US"/>
        </w:rPr>
        <w:t>Table A</w:t>
      </w:r>
      <w:r>
        <w:rPr>
          <w:b/>
          <w:lang w:val="en-US"/>
        </w:rPr>
        <w:t>8</w:t>
      </w:r>
      <w:r w:rsidRPr="00FC05BF">
        <w:rPr>
          <w:b/>
          <w:lang w:val="en-US"/>
        </w:rPr>
        <w:t xml:space="preserve">. </w:t>
      </w:r>
      <w:r w:rsidRPr="00FC05BF">
        <w:rPr>
          <w:bCs/>
          <w:lang w:val="en-US"/>
        </w:rPr>
        <w:t xml:space="preserve">Young leavers and household consumption differentiating leavers by age; different consumption </w:t>
      </w:r>
      <w:proofErr w:type="gramStart"/>
      <w:r w:rsidRPr="00FC05BF">
        <w:rPr>
          <w:bCs/>
          <w:lang w:val="en-US"/>
        </w:rPr>
        <w:t>aggregates</w:t>
      </w:r>
      <w:proofErr w:type="gramEnd"/>
    </w:p>
    <w:p w14:paraId="6EA75CC4" w14:textId="77777777" w:rsidR="0044273A" w:rsidRDefault="0044273A" w:rsidP="0044273A">
      <w:pPr>
        <w:rPr>
          <w:rFonts w:ascii="Calibri" w:hAnsi="Calibri" w:cs="Calibri"/>
          <w:b/>
          <w:sz w:val="22"/>
          <w:szCs w:val="22"/>
          <w:lang w:val="en-US"/>
        </w:rPr>
      </w:pPr>
    </w:p>
    <w:tbl>
      <w:tblPr>
        <w:tblW w:w="5000" w:type="pct"/>
        <w:jc w:val="center"/>
        <w:tblCellMar>
          <w:left w:w="75" w:type="dxa"/>
          <w:right w:w="75" w:type="dxa"/>
        </w:tblCellMar>
        <w:tblLook w:val="0000" w:firstRow="0" w:lastRow="0" w:firstColumn="0" w:lastColumn="0" w:noHBand="0" w:noVBand="0"/>
      </w:tblPr>
      <w:tblGrid>
        <w:gridCol w:w="3317"/>
        <w:gridCol w:w="2008"/>
        <w:gridCol w:w="1630"/>
        <w:gridCol w:w="1736"/>
        <w:gridCol w:w="2007"/>
        <w:gridCol w:w="1630"/>
        <w:gridCol w:w="1630"/>
      </w:tblGrid>
      <w:tr w:rsidR="0044273A" w:rsidRPr="006C7818" w14:paraId="7C0F03DA" w14:textId="77777777" w:rsidTr="00B15C6C">
        <w:trPr>
          <w:jc w:val="center"/>
        </w:trPr>
        <w:tc>
          <w:tcPr>
            <w:tcW w:w="1188" w:type="pct"/>
            <w:tcBorders>
              <w:top w:val="single" w:sz="6" w:space="0" w:color="auto"/>
              <w:left w:val="nil"/>
              <w:bottom w:val="nil"/>
              <w:right w:val="nil"/>
            </w:tcBorders>
          </w:tcPr>
          <w:p w14:paraId="259EBD05" w14:textId="77777777" w:rsidR="0044273A" w:rsidRPr="001928CB" w:rsidRDefault="0044273A" w:rsidP="00B15C6C">
            <w:pPr>
              <w:widowControl w:val="0"/>
              <w:autoSpaceDE w:val="0"/>
              <w:autoSpaceDN w:val="0"/>
              <w:adjustRightInd w:val="0"/>
              <w:rPr>
                <w:sz w:val="16"/>
                <w:szCs w:val="16"/>
              </w:rPr>
            </w:pPr>
          </w:p>
        </w:tc>
        <w:tc>
          <w:tcPr>
            <w:tcW w:w="719" w:type="pct"/>
            <w:tcBorders>
              <w:top w:val="single" w:sz="6" w:space="0" w:color="auto"/>
              <w:left w:val="nil"/>
              <w:bottom w:val="nil"/>
              <w:right w:val="nil"/>
            </w:tcBorders>
          </w:tcPr>
          <w:p w14:paraId="55C63F5C" w14:textId="77777777" w:rsidR="0044273A" w:rsidRPr="006C7818" w:rsidRDefault="0044273A" w:rsidP="00B15C6C">
            <w:pPr>
              <w:widowControl w:val="0"/>
              <w:autoSpaceDE w:val="0"/>
              <w:autoSpaceDN w:val="0"/>
              <w:adjustRightInd w:val="0"/>
              <w:rPr>
                <w:sz w:val="16"/>
                <w:szCs w:val="16"/>
              </w:rPr>
            </w:pPr>
            <w:r w:rsidRPr="006C7818">
              <w:rPr>
                <w:b/>
                <w:bCs/>
                <w:sz w:val="16"/>
                <w:szCs w:val="16"/>
              </w:rPr>
              <w:t>(1)</w:t>
            </w:r>
          </w:p>
        </w:tc>
        <w:tc>
          <w:tcPr>
            <w:tcW w:w="584" w:type="pct"/>
            <w:tcBorders>
              <w:top w:val="single" w:sz="6" w:space="0" w:color="auto"/>
              <w:left w:val="nil"/>
              <w:bottom w:val="nil"/>
              <w:right w:val="nil"/>
            </w:tcBorders>
          </w:tcPr>
          <w:p w14:paraId="31797E65" w14:textId="77777777" w:rsidR="0044273A" w:rsidRPr="006C7818" w:rsidRDefault="0044273A" w:rsidP="00B15C6C">
            <w:pPr>
              <w:widowControl w:val="0"/>
              <w:autoSpaceDE w:val="0"/>
              <w:autoSpaceDN w:val="0"/>
              <w:adjustRightInd w:val="0"/>
              <w:rPr>
                <w:sz w:val="16"/>
                <w:szCs w:val="16"/>
              </w:rPr>
            </w:pPr>
            <w:r w:rsidRPr="006C7818">
              <w:rPr>
                <w:b/>
                <w:bCs/>
                <w:sz w:val="16"/>
                <w:szCs w:val="16"/>
              </w:rPr>
              <w:t>(2)</w:t>
            </w:r>
          </w:p>
        </w:tc>
        <w:tc>
          <w:tcPr>
            <w:tcW w:w="622" w:type="pct"/>
            <w:tcBorders>
              <w:top w:val="single" w:sz="6" w:space="0" w:color="auto"/>
              <w:left w:val="nil"/>
              <w:bottom w:val="nil"/>
              <w:right w:val="nil"/>
            </w:tcBorders>
          </w:tcPr>
          <w:p w14:paraId="1CF2B798" w14:textId="77777777" w:rsidR="0044273A" w:rsidRPr="006C7818" w:rsidRDefault="0044273A" w:rsidP="00B15C6C">
            <w:pPr>
              <w:widowControl w:val="0"/>
              <w:autoSpaceDE w:val="0"/>
              <w:autoSpaceDN w:val="0"/>
              <w:adjustRightInd w:val="0"/>
              <w:rPr>
                <w:sz w:val="16"/>
                <w:szCs w:val="16"/>
              </w:rPr>
            </w:pPr>
            <w:r w:rsidRPr="006C7818">
              <w:rPr>
                <w:b/>
                <w:bCs/>
                <w:sz w:val="16"/>
                <w:szCs w:val="16"/>
              </w:rPr>
              <w:t>(3)</w:t>
            </w:r>
          </w:p>
        </w:tc>
        <w:tc>
          <w:tcPr>
            <w:tcW w:w="719" w:type="pct"/>
            <w:tcBorders>
              <w:top w:val="single" w:sz="6" w:space="0" w:color="auto"/>
              <w:left w:val="nil"/>
              <w:bottom w:val="nil"/>
              <w:right w:val="nil"/>
            </w:tcBorders>
          </w:tcPr>
          <w:p w14:paraId="2679FFF6" w14:textId="77777777" w:rsidR="0044273A" w:rsidRPr="006C7818" w:rsidRDefault="0044273A" w:rsidP="00B15C6C">
            <w:pPr>
              <w:widowControl w:val="0"/>
              <w:autoSpaceDE w:val="0"/>
              <w:autoSpaceDN w:val="0"/>
              <w:adjustRightInd w:val="0"/>
              <w:rPr>
                <w:b/>
                <w:bCs/>
                <w:sz w:val="16"/>
                <w:szCs w:val="16"/>
              </w:rPr>
            </w:pPr>
            <w:r w:rsidRPr="006C7818">
              <w:rPr>
                <w:b/>
                <w:bCs/>
                <w:sz w:val="16"/>
                <w:szCs w:val="16"/>
              </w:rPr>
              <w:t>(4)</w:t>
            </w:r>
          </w:p>
        </w:tc>
        <w:tc>
          <w:tcPr>
            <w:tcW w:w="584" w:type="pct"/>
            <w:tcBorders>
              <w:top w:val="single" w:sz="6" w:space="0" w:color="auto"/>
              <w:left w:val="nil"/>
              <w:bottom w:val="nil"/>
              <w:right w:val="nil"/>
            </w:tcBorders>
          </w:tcPr>
          <w:p w14:paraId="315D4D9F" w14:textId="77777777" w:rsidR="0044273A" w:rsidRPr="006C7818" w:rsidRDefault="0044273A" w:rsidP="00B15C6C">
            <w:pPr>
              <w:widowControl w:val="0"/>
              <w:autoSpaceDE w:val="0"/>
              <w:autoSpaceDN w:val="0"/>
              <w:adjustRightInd w:val="0"/>
              <w:rPr>
                <w:b/>
                <w:bCs/>
                <w:sz w:val="16"/>
                <w:szCs w:val="16"/>
              </w:rPr>
            </w:pPr>
            <w:r w:rsidRPr="006C7818">
              <w:rPr>
                <w:b/>
                <w:bCs/>
                <w:sz w:val="16"/>
                <w:szCs w:val="16"/>
              </w:rPr>
              <w:t>(5)</w:t>
            </w:r>
          </w:p>
        </w:tc>
        <w:tc>
          <w:tcPr>
            <w:tcW w:w="584" w:type="pct"/>
            <w:tcBorders>
              <w:top w:val="single" w:sz="6" w:space="0" w:color="auto"/>
              <w:left w:val="nil"/>
              <w:bottom w:val="nil"/>
              <w:right w:val="nil"/>
            </w:tcBorders>
          </w:tcPr>
          <w:p w14:paraId="63778AA7" w14:textId="77777777" w:rsidR="0044273A" w:rsidRPr="006C7818" w:rsidRDefault="0044273A" w:rsidP="00B15C6C">
            <w:pPr>
              <w:widowControl w:val="0"/>
              <w:autoSpaceDE w:val="0"/>
              <w:autoSpaceDN w:val="0"/>
              <w:adjustRightInd w:val="0"/>
              <w:rPr>
                <w:b/>
                <w:bCs/>
                <w:sz w:val="16"/>
                <w:szCs w:val="16"/>
              </w:rPr>
            </w:pPr>
            <w:r w:rsidRPr="006C7818">
              <w:rPr>
                <w:b/>
                <w:bCs/>
                <w:sz w:val="16"/>
                <w:szCs w:val="16"/>
              </w:rPr>
              <w:t>(6)</w:t>
            </w:r>
          </w:p>
        </w:tc>
      </w:tr>
      <w:tr w:rsidR="0044273A" w:rsidRPr="006C7818" w14:paraId="42CB0770" w14:textId="77777777" w:rsidTr="00B15C6C">
        <w:trPr>
          <w:jc w:val="center"/>
        </w:trPr>
        <w:tc>
          <w:tcPr>
            <w:tcW w:w="1188" w:type="pct"/>
            <w:tcBorders>
              <w:top w:val="nil"/>
              <w:left w:val="nil"/>
              <w:bottom w:val="single" w:sz="6" w:space="0" w:color="auto"/>
              <w:right w:val="nil"/>
            </w:tcBorders>
          </w:tcPr>
          <w:p w14:paraId="6713C492" w14:textId="77777777" w:rsidR="0044273A" w:rsidRPr="006C7818" w:rsidRDefault="0044273A" w:rsidP="00B15C6C">
            <w:pPr>
              <w:widowControl w:val="0"/>
              <w:autoSpaceDE w:val="0"/>
              <w:autoSpaceDN w:val="0"/>
              <w:adjustRightInd w:val="0"/>
              <w:rPr>
                <w:sz w:val="16"/>
                <w:szCs w:val="16"/>
              </w:rPr>
            </w:pPr>
          </w:p>
        </w:tc>
        <w:tc>
          <w:tcPr>
            <w:tcW w:w="719" w:type="pct"/>
            <w:tcBorders>
              <w:top w:val="nil"/>
              <w:left w:val="nil"/>
              <w:bottom w:val="single" w:sz="6" w:space="0" w:color="auto"/>
              <w:right w:val="nil"/>
            </w:tcBorders>
          </w:tcPr>
          <w:p w14:paraId="7C68F0F9" w14:textId="77777777" w:rsidR="0044273A" w:rsidRPr="006C7818" w:rsidRDefault="0044273A" w:rsidP="00B15C6C">
            <w:pPr>
              <w:widowControl w:val="0"/>
              <w:autoSpaceDE w:val="0"/>
              <w:autoSpaceDN w:val="0"/>
              <w:adjustRightInd w:val="0"/>
              <w:rPr>
                <w:sz w:val="16"/>
                <w:szCs w:val="16"/>
              </w:rPr>
            </w:pPr>
            <w:r w:rsidRPr="006C7818">
              <w:rPr>
                <w:b/>
                <w:bCs/>
                <w:sz w:val="16"/>
                <w:szCs w:val="16"/>
              </w:rPr>
              <w:t xml:space="preserve">Non-durable </w:t>
            </w:r>
          </w:p>
        </w:tc>
        <w:tc>
          <w:tcPr>
            <w:tcW w:w="584" w:type="pct"/>
            <w:tcBorders>
              <w:top w:val="nil"/>
              <w:left w:val="nil"/>
              <w:bottom w:val="single" w:sz="6" w:space="0" w:color="auto"/>
              <w:right w:val="nil"/>
            </w:tcBorders>
          </w:tcPr>
          <w:p w14:paraId="60F17BCA" w14:textId="77777777" w:rsidR="0044273A" w:rsidRPr="006C7818" w:rsidRDefault="0044273A" w:rsidP="00B15C6C">
            <w:pPr>
              <w:widowControl w:val="0"/>
              <w:autoSpaceDE w:val="0"/>
              <w:autoSpaceDN w:val="0"/>
              <w:adjustRightInd w:val="0"/>
              <w:rPr>
                <w:sz w:val="16"/>
                <w:szCs w:val="16"/>
              </w:rPr>
            </w:pPr>
            <w:r w:rsidRPr="006C7818">
              <w:rPr>
                <w:b/>
                <w:bCs/>
                <w:sz w:val="16"/>
                <w:szCs w:val="16"/>
              </w:rPr>
              <w:t xml:space="preserve">Medical  </w:t>
            </w:r>
          </w:p>
        </w:tc>
        <w:tc>
          <w:tcPr>
            <w:tcW w:w="622" w:type="pct"/>
            <w:tcBorders>
              <w:top w:val="nil"/>
              <w:left w:val="nil"/>
              <w:bottom w:val="single" w:sz="6" w:space="0" w:color="auto"/>
              <w:right w:val="nil"/>
            </w:tcBorders>
          </w:tcPr>
          <w:p w14:paraId="2B26CDA0" w14:textId="77777777" w:rsidR="0044273A" w:rsidRPr="006C7818" w:rsidRDefault="0044273A" w:rsidP="00B15C6C">
            <w:pPr>
              <w:widowControl w:val="0"/>
              <w:autoSpaceDE w:val="0"/>
              <w:autoSpaceDN w:val="0"/>
              <w:adjustRightInd w:val="0"/>
              <w:rPr>
                <w:sz w:val="16"/>
                <w:szCs w:val="16"/>
              </w:rPr>
            </w:pPr>
            <w:r w:rsidRPr="006C7818">
              <w:rPr>
                <w:b/>
                <w:bCs/>
                <w:sz w:val="16"/>
                <w:szCs w:val="16"/>
              </w:rPr>
              <w:t>Other</w:t>
            </w:r>
          </w:p>
        </w:tc>
        <w:tc>
          <w:tcPr>
            <w:tcW w:w="719" w:type="pct"/>
            <w:tcBorders>
              <w:top w:val="nil"/>
              <w:left w:val="nil"/>
              <w:bottom w:val="single" w:sz="6" w:space="0" w:color="auto"/>
              <w:right w:val="nil"/>
            </w:tcBorders>
          </w:tcPr>
          <w:p w14:paraId="0AAB336B" w14:textId="77777777" w:rsidR="0044273A" w:rsidRPr="006C7818" w:rsidRDefault="0044273A" w:rsidP="00B15C6C">
            <w:pPr>
              <w:widowControl w:val="0"/>
              <w:autoSpaceDE w:val="0"/>
              <w:autoSpaceDN w:val="0"/>
              <w:adjustRightInd w:val="0"/>
              <w:rPr>
                <w:b/>
                <w:bCs/>
                <w:sz w:val="16"/>
                <w:szCs w:val="16"/>
              </w:rPr>
            </w:pPr>
            <w:r w:rsidRPr="006C7818">
              <w:rPr>
                <w:b/>
                <w:bCs/>
                <w:sz w:val="16"/>
                <w:szCs w:val="16"/>
              </w:rPr>
              <w:t xml:space="preserve">Non-durable </w:t>
            </w:r>
          </w:p>
          <w:p w14:paraId="64E03D80" w14:textId="77777777" w:rsidR="0044273A" w:rsidRPr="006C7818" w:rsidRDefault="0044273A" w:rsidP="00B15C6C">
            <w:pPr>
              <w:widowControl w:val="0"/>
              <w:autoSpaceDE w:val="0"/>
              <w:autoSpaceDN w:val="0"/>
              <w:adjustRightInd w:val="0"/>
              <w:rPr>
                <w:b/>
                <w:bCs/>
                <w:sz w:val="16"/>
                <w:szCs w:val="16"/>
              </w:rPr>
            </w:pPr>
            <w:r w:rsidRPr="006C7818">
              <w:rPr>
                <w:b/>
                <w:bCs/>
                <w:sz w:val="16"/>
                <w:szCs w:val="16"/>
              </w:rPr>
              <w:t>EQS</w:t>
            </w:r>
          </w:p>
        </w:tc>
        <w:tc>
          <w:tcPr>
            <w:tcW w:w="584" w:type="pct"/>
            <w:tcBorders>
              <w:top w:val="nil"/>
              <w:left w:val="nil"/>
              <w:bottom w:val="single" w:sz="6" w:space="0" w:color="auto"/>
              <w:right w:val="nil"/>
            </w:tcBorders>
          </w:tcPr>
          <w:p w14:paraId="09A44918" w14:textId="77777777" w:rsidR="0044273A" w:rsidRPr="006C7818" w:rsidRDefault="0044273A" w:rsidP="00B15C6C">
            <w:pPr>
              <w:widowControl w:val="0"/>
              <w:autoSpaceDE w:val="0"/>
              <w:autoSpaceDN w:val="0"/>
              <w:adjustRightInd w:val="0"/>
              <w:rPr>
                <w:b/>
                <w:bCs/>
                <w:sz w:val="16"/>
                <w:szCs w:val="16"/>
              </w:rPr>
            </w:pPr>
            <w:r w:rsidRPr="006C7818">
              <w:rPr>
                <w:b/>
                <w:bCs/>
                <w:sz w:val="16"/>
                <w:szCs w:val="16"/>
              </w:rPr>
              <w:t xml:space="preserve">Medical </w:t>
            </w:r>
          </w:p>
          <w:p w14:paraId="7E94DF47" w14:textId="77777777" w:rsidR="0044273A" w:rsidRPr="006C7818" w:rsidRDefault="0044273A" w:rsidP="00B15C6C">
            <w:pPr>
              <w:widowControl w:val="0"/>
              <w:autoSpaceDE w:val="0"/>
              <w:autoSpaceDN w:val="0"/>
              <w:adjustRightInd w:val="0"/>
              <w:rPr>
                <w:b/>
                <w:bCs/>
                <w:sz w:val="16"/>
                <w:szCs w:val="16"/>
              </w:rPr>
            </w:pPr>
            <w:r w:rsidRPr="006C7818">
              <w:rPr>
                <w:b/>
                <w:bCs/>
                <w:sz w:val="16"/>
                <w:szCs w:val="16"/>
              </w:rPr>
              <w:t>EQS</w:t>
            </w:r>
          </w:p>
        </w:tc>
        <w:tc>
          <w:tcPr>
            <w:tcW w:w="584" w:type="pct"/>
            <w:tcBorders>
              <w:top w:val="nil"/>
              <w:left w:val="nil"/>
              <w:bottom w:val="single" w:sz="6" w:space="0" w:color="auto"/>
              <w:right w:val="nil"/>
            </w:tcBorders>
          </w:tcPr>
          <w:p w14:paraId="3046A486" w14:textId="77777777" w:rsidR="0044273A" w:rsidRPr="006C7818" w:rsidRDefault="0044273A" w:rsidP="00B15C6C">
            <w:pPr>
              <w:widowControl w:val="0"/>
              <w:autoSpaceDE w:val="0"/>
              <w:autoSpaceDN w:val="0"/>
              <w:adjustRightInd w:val="0"/>
              <w:rPr>
                <w:b/>
                <w:bCs/>
                <w:sz w:val="16"/>
                <w:szCs w:val="16"/>
              </w:rPr>
            </w:pPr>
            <w:r w:rsidRPr="006C7818">
              <w:rPr>
                <w:b/>
                <w:bCs/>
                <w:sz w:val="16"/>
                <w:szCs w:val="16"/>
              </w:rPr>
              <w:t xml:space="preserve">Other </w:t>
            </w:r>
          </w:p>
          <w:p w14:paraId="21227ABA" w14:textId="77777777" w:rsidR="0044273A" w:rsidRPr="006C7818" w:rsidRDefault="0044273A" w:rsidP="00B15C6C">
            <w:pPr>
              <w:widowControl w:val="0"/>
              <w:autoSpaceDE w:val="0"/>
              <w:autoSpaceDN w:val="0"/>
              <w:adjustRightInd w:val="0"/>
              <w:rPr>
                <w:b/>
                <w:bCs/>
                <w:sz w:val="16"/>
                <w:szCs w:val="16"/>
              </w:rPr>
            </w:pPr>
            <w:r w:rsidRPr="006C7818">
              <w:rPr>
                <w:b/>
                <w:bCs/>
                <w:sz w:val="16"/>
                <w:szCs w:val="16"/>
              </w:rPr>
              <w:t>EQS</w:t>
            </w:r>
          </w:p>
        </w:tc>
      </w:tr>
      <w:tr w:rsidR="0044273A" w:rsidRPr="006C7818" w14:paraId="57853C75" w14:textId="77777777" w:rsidTr="00B15C6C">
        <w:trPr>
          <w:jc w:val="center"/>
        </w:trPr>
        <w:tc>
          <w:tcPr>
            <w:tcW w:w="1188" w:type="pct"/>
            <w:tcBorders>
              <w:top w:val="nil"/>
              <w:left w:val="nil"/>
              <w:bottom w:val="nil"/>
              <w:right w:val="nil"/>
            </w:tcBorders>
          </w:tcPr>
          <w:p w14:paraId="01E933AD" w14:textId="77777777" w:rsidR="0044273A" w:rsidRPr="006C7818" w:rsidRDefault="0044273A" w:rsidP="00B15C6C">
            <w:pPr>
              <w:widowControl w:val="0"/>
              <w:autoSpaceDE w:val="0"/>
              <w:autoSpaceDN w:val="0"/>
              <w:adjustRightInd w:val="0"/>
              <w:rPr>
                <w:sz w:val="16"/>
                <w:szCs w:val="16"/>
              </w:rPr>
            </w:pPr>
          </w:p>
        </w:tc>
        <w:tc>
          <w:tcPr>
            <w:tcW w:w="719" w:type="pct"/>
            <w:tcBorders>
              <w:top w:val="nil"/>
              <w:left w:val="nil"/>
              <w:bottom w:val="nil"/>
              <w:right w:val="nil"/>
            </w:tcBorders>
          </w:tcPr>
          <w:p w14:paraId="6A701B1C" w14:textId="77777777" w:rsidR="0044273A" w:rsidRPr="006C7818" w:rsidRDefault="0044273A" w:rsidP="00B15C6C">
            <w:pPr>
              <w:widowControl w:val="0"/>
              <w:autoSpaceDE w:val="0"/>
              <w:autoSpaceDN w:val="0"/>
              <w:adjustRightInd w:val="0"/>
              <w:rPr>
                <w:sz w:val="16"/>
                <w:szCs w:val="16"/>
              </w:rPr>
            </w:pPr>
          </w:p>
        </w:tc>
        <w:tc>
          <w:tcPr>
            <w:tcW w:w="584" w:type="pct"/>
            <w:tcBorders>
              <w:top w:val="nil"/>
              <w:left w:val="nil"/>
              <w:bottom w:val="nil"/>
              <w:right w:val="nil"/>
            </w:tcBorders>
          </w:tcPr>
          <w:p w14:paraId="69CCE1E8" w14:textId="77777777" w:rsidR="0044273A" w:rsidRPr="006C7818" w:rsidRDefault="0044273A" w:rsidP="00B15C6C">
            <w:pPr>
              <w:widowControl w:val="0"/>
              <w:autoSpaceDE w:val="0"/>
              <w:autoSpaceDN w:val="0"/>
              <w:adjustRightInd w:val="0"/>
              <w:rPr>
                <w:sz w:val="16"/>
                <w:szCs w:val="16"/>
              </w:rPr>
            </w:pPr>
          </w:p>
        </w:tc>
        <w:tc>
          <w:tcPr>
            <w:tcW w:w="622" w:type="pct"/>
            <w:tcBorders>
              <w:top w:val="nil"/>
              <w:left w:val="nil"/>
              <w:bottom w:val="nil"/>
              <w:right w:val="nil"/>
            </w:tcBorders>
          </w:tcPr>
          <w:p w14:paraId="74035EDD" w14:textId="77777777" w:rsidR="0044273A" w:rsidRPr="006C7818" w:rsidRDefault="0044273A" w:rsidP="00B15C6C">
            <w:pPr>
              <w:widowControl w:val="0"/>
              <w:autoSpaceDE w:val="0"/>
              <w:autoSpaceDN w:val="0"/>
              <w:adjustRightInd w:val="0"/>
              <w:rPr>
                <w:sz w:val="16"/>
                <w:szCs w:val="16"/>
              </w:rPr>
            </w:pPr>
          </w:p>
        </w:tc>
        <w:tc>
          <w:tcPr>
            <w:tcW w:w="719" w:type="pct"/>
            <w:tcBorders>
              <w:top w:val="nil"/>
              <w:left w:val="nil"/>
              <w:bottom w:val="nil"/>
              <w:right w:val="nil"/>
            </w:tcBorders>
          </w:tcPr>
          <w:p w14:paraId="405B3F78" w14:textId="77777777" w:rsidR="0044273A" w:rsidRPr="006C7818" w:rsidRDefault="0044273A" w:rsidP="00B15C6C">
            <w:pPr>
              <w:widowControl w:val="0"/>
              <w:autoSpaceDE w:val="0"/>
              <w:autoSpaceDN w:val="0"/>
              <w:adjustRightInd w:val="0"/>
              <w:rPr>
                <w:sz w:val="16"/>
                <w:szCs w:val="16"/>
              </w:rPr>
            </w:pPr>
          </w:p>
        </w:tc>
        <w:tc>
          <w:tcPr>
            <w:tcW w:w="584" w:type="pct"/>
            <w:tcBorders>
              <w:top w:val="nil"/>
              <w:left w:val="nil"/>
              <w:bottom w:val="nil"/>
              <w:right w:val="nil"/>
            </w:tcBorders>
          </w:tcPr>
          <w:p w14:paraId="079EA9C0" w14:textId="77777777" w:rsidR="0044273A" w:rsidRPr="006C7818" w:rsidRDefault="0044273A" w:rsidP="00B15C6C">
            <w:pPr>
              <w:widowControl w:val="0"/>
              <w:autoSpaceDE w:val="0"/>
              <w:autoSpaceDN w:val="0"/>
              <w:adjustRightInd w:val="0"/>
              <w:rPr>
                <w:sz w:val="16"/>
                <w:szCs w:val="16"/>
              </w:rPr>
            </w:pPr>
          </w:p>
        </w:tc>
        <w:tc>
          <w:tcPr>
            <w:tcW w:w="584" w:type="pct"/>
            <w:tcBorders>
              <w:top w:val="nil"/>
              <w:left w:val="nil"/>
              <w:bottom w:val="nil"/>
              <w:right w:val="nil"/>
            </w:tcBorders>
          </w:tcPr>
          <w:p w14:paraId="6CE2E557" w14:textId="77777777" w:rsidR="0044273A" w:rsidRPr="006C7818" w:rsidRDefault="0044273A" w:rsidP="00B15C6C">
            <w:pPr>
              <w:widowControl w:val="0"/>
              <w:autoSpaceDE w:val="0"/>
              <w:autoSpaceDN w:val="0"/>
              <w:adjustRightInd w:val="0"/>
              <w:rPr>
                <w:sz w:val="16"/>
                <w:szCs w:val="16"/>
              </w:rPr>
            </w:pPr>
          </w:p>
        </w:tc>
      </w:tr>
      <w:tr w:rsidR="0044273A" w:rsidRPr="006C7818" w14:paraId="36BC55FA" w14:textId="77777777" w:rsidTr="00B15C6C">
        <w:trPr>
          <w:jc w:val="center"/>
        </w:trPr>
        <w:tc>
          <w:tcPr>
            <w:tcW w:w="1188" w:type="pct"/>
            <w:tcBorders>
              <w:top w:val="nil"/>
              <w:left w:val="nil"/>
              <w:bottom w:val="nil"/>
              <w:right w:val="nil"/>
            </w:tcBorders>
          </w:tcPr>
          <w:p w14:paraId="2D6D261A" w14:textId="77777777" w:rsidR="0044273A" w:rsidRPr="006C7818" w:rsidRDefault="0044273A" w:rsidP="00B15C6C">
            <w:pPr>
              <w:widowControl w:val="0"/>
              <w:autoSpaceDE w:val="0"/>
              <w:autoSpaceDN w:val="0"/>
              <w:adjustRightInd w:val="0"/>
              <w:rPr>
                <w:sz w:val="16"/>
                <w:szCs w:val="16"/>
              </w:rPr>
            </w:pPr>
            <w:r w:rsidRPr="006C7818">
              <w:rPr>
                <w:b/>
                <w:sz w:val="16"/>
                <w:szCs w:val="16"/>
                <w:lang w:val="en-US"/>
              </w:rPr>
              <w:t>Age</w:t>
            </w:r>
          </w:p>
        </w:tc>
        <w:tc>
          <w:tcPr>
            <w:tcW w:w="719" w:type="pct"/>
            <w:tcBorders>
              <w:top w:val="nil"/>
              <w:left w:val="nil"/>
              <w:bottom w:val="nil"/>
              <w:right w:val="nil"/>
            </w:tcBorders>
          </w:tcPr>
          <w:p w14:paraId="4F5B85DE" w14:textId="77777777" w:rsidR="0044273A" w:rsidRPr="006C7818" w:rsidRDefault="0044273A" w:rsidP="00B15C6C">
            <w:pPr>
              <w:widowControl w:val="0"/>
              <w:autoSpaceDE w:val="0"/>
              <w:autoSpaceDN w:val="0"/>
              <w:adjustRightInd w:val="0"/>
              <w:rPr>
                <w:sz w:val="16"/>
                <w:szCs w:val="16"/>
              </w:rPr>
            </w:pPr>
            <w:r w:rsidRPr="006C7818">
              <w:rPr>
                <w:sz w:val="16"/>
                <w:szCs w:val="16"/>
              </w:rPr>
              <w:t>0.0084</w:t>
            </w:r>
          </w:p>
        </w:tc>
        <w:tc>
          <w:tcPr>
            <w:tcW w:w="584" w:type="pct"/>
            <w:tcBorders>
              <w:top w:val="nil"/>
              <w:left w:val="nil"/>
              <w:bottom w:val="nil"/>
              <w:right w:val="nil"/>
            </w:tcBorders>
          </w:tcPr>
          <w:p w14:paraId="052B6800" w14:textId="77777777" w:rsidR="0044273A" w:rsidRPr="006C7818" w:rsidRDefault="0044273A" w:rsidP="00B15C6C">
            <w:pPr>
              <w:widowControl w:val="0"/>
              <w:autoSpaceDE w:val="0"/>
              <w:autoSpaceDN w:val="0"/>
              <w:adjustRightInd w:val="0"/>
              <w:rPr>
                <w:sz w:val="16"/>
                <w:szCs w:val="16"/>
              </w:rPr>
            </w:pPr>
            <w:r w:rsidRPr="006C7818">
              <w:rPr>
                <w:sz w:val="16"/>
                <w:szCs w:val="16"/>
              </w:rPr>
              <w:t>0.0552</w:t>
            </w:r>
          </w:p>
        </w:tc>
        <w:tc>
          <w:tcPr>
            <w:tcW w:w="622" w:type="pct"/>
            <w:tcBorders>
              <w:top w:val="nil"/>
              <w:left w:val="nil"/>
              <w:bottom w:val="nil"/>
              <w:right w:val="nil"/>
            </w:tcBorders>
          </w:tcPr>
          <w:p w14:paraId="6D416D03" w14:textId="77777777" w:rsidR="0044273A" w:rsidRPr="006C7818" w:rsidRDefault="0044273A" w:rsidP="00B15C6C">
            <w:pPr>
              <w:widowControl w:val="0"/>
              <w:autoSpaceDE w:val="0"/>
              <w:autoSpaceDN w:val="0"/>
              <w:adjustRightInd w:val="0"/>
              <w:rPr>
                <w:sz w:val="16"/>
                <w:szCs w:val="16"/>
              </w:rPr>
            </w:pPr>
            <w:r w:rsidRPr="006C7818">
              <w:rPr>
                <w:rFonts w:ascii="Calibri" w:hAnsi="Calibri" w:cs="Calibri"/>
                <w:sz w:val="16"/>
                <w:szCs w:val="16"/>
              </w:rPr>
              <w:t>0.0069</w:t>
            </w:r>
          </w:p>
        </w:tc>
        <w:tc>
          <w:tcPr>
            <w:tcW w:w="719" w:type="pct"/>
            <w:tcBorders>
              <w:top w:val="nil"/>
              <w:left w:val="nil"/>
              <w:bottom w:val="nil"/>
              <w:right w:val="nil"/>
            </w:tcBorders>
          </w:tcPr>
          <w:p w14:paraId="020001F5" w14:textId="77777777" w:rsidR="0044273A" w:rsidRPr="006C7818" w:rsidRDefault="0044273A" w:rsidP="00B15C6C">
            <w:pPr>
              <w:widowControl w:val="0"/>
              <w:autoSpaceDE w:val="0"/>
              <w:autoSpaceDN w:val="0"/>
              <w:adjustRightInd w:val="0"/>
              <w:rPr>
                <w:sz w:val="16"/>
                <w:szCs w:val="16"/>
              </w:rPr>
            </w:pPr>
            <w:r w:rsidRPr="006C7818">
              <w:rPr>
                <w:sz w:val="16"/>
                <w:szCs w:val="16"/>
              </w:rPr>
              <w:t>0.0090</w:t>
            </w:r>
          </w:p>
        </w:tc>
        <w:tc>
          <w:tcPr>
            <w:tcW w:w="584" w:type="pct"/>
            <w:tcBorders>
              <w:top w:val="nil"/>
              <w:left w:val="nil"/>
              <w:bottom w:val="nil"/>
              <w:right w:val="nil"/>
            </w:tcBorders>
          </w:tcPr>
          <w:p w14:paraId="5557BCD7" w14:textId="77777777" w:rsidR="0044273A" w:rsidRPr="006C7818" w:rsidRDefault="0044273A" w:rsidP="00B15C6C">
            <w:pPr>
              <w:widowControl w:val="0"/>
              <w:autoSpaceDE w:val="0"/>
              <w:autoSpaceDN w:val="0"/>
              <w:adjustRightInd w:val="0"/>
              <w:rPr>
                <w:sz w:val="16"/>
                <w:szCs w:val="16"/>
              </w:rPr>
            </w:pPr>
            <w:r w:rsidRPr="006C7818">
              <w:rPr>
                <w:sz w:val="16"/>
                <w:szCs w:val="16"/>
              </w:rPr>
              <w:t>0.0460</w:t>
            </w:r>
          </w:p>
        </w:tc>
        <w:tc>
          <w:tcPr>
            <w:tcW w:w="584" w:type="pct"/>
            <w:tcBorders>
              <w:top w:val="nil"/>
              <w:left w:val="nil"/>
              <w:bottom w:val="nil"/>
              <w:right w:val="nil"/>
            </w:tcBorders>
          </w:tcPr>
          <w:p w14:paraId="21F45DB9" w14:textId="77777777" w:rsidR="0044273A" w:rsidRPr="006C7818" w:rsidRDefault="0044273A" w:rsidP="00B15C6C">
            <w:pPr>
              <w:widowControl w:val="0"/>
              <w:autoSpaceDE w:val="0"/>
              <w:autoSpaceDN w:val="0"/>
              <w:adjustRightInd w:val="0"/>
              <w:rPr>
                <w:sz w:val="16"/>
                <w:szCs w:val="16"/>
              </w:rPr>
            </w:pPr>
            <w:r w:rsidRPr="006C7818">
              <w:rPr>
                <w:sz w:val="16"/>
                <w:szCs w:val="16"/>
              </w:rPr>
              <w:t>0.0071</w:t>
            </w:r>
          </w:p>
        </w:tc>
      </w:tr>
      <w:tr w:rsidR="0044273A" w:rsidRPr="006C7818" w14:paraId="0D8AB2D5" w14:textId="77777777" w:rsidTr="00B15C6C">
        <w:trPr>
          <w:jc w:val="center"/>
        </w:trPr>
        <w:tc>
          <w:tcPr>
            <w:tcW w:w="1188" w:type="pct"/>
            <w:tcBorders>
              <w:top w:val="nil"/>
              <w:left w:val="nil"/>
              <w:bottom w:val="nil"/>
              <w:right w:val="nil"/>
            </w:tcBorders>
          </w:tcPr>
          <w:p w14:paraId="723B3481" w14:textId="77777777" w:rsidR="0044273A" w:rsidRPr="006C7818" w:rsidRDefault="0044273A" w:rsidP="00B15C6C">
            <w:pPr>
              <w:widowControl w:val="0"/>
              <w:autoSpaceDE w:val="0"/>
              <w:autoSpaceDN w:val="0"/>
              <w:adjustRightInd w:val="0"/>
              <w:rPr>
                <w:sz w:val="16"/>
                <w:szCs w:val="16"/>
              </w:rPr>
            </w:pPr>
          </w:p>
        </w:tc>
        <w:tc>
          <w:tcPr>
            <w:tcW w:w="719" w:type="pct"/>
            <w:tcBorders>
              <w:top w:val="nil"/>
              <w:left w:val="nil"/>
              <w:bottom w:val="nil"/>
              <w:right w:val="nil"/>
            </w:tcBorders>
          </w:tcPr>
          <w:p w14:paraId="645A2D26" w14:textId="77777777" w:rsidR="0044273A" w:rsidRPr="006C7818" w:rsidRDefault="0044273A" w:rsidP="00B15C6C">
            <w:pPr>
              <w:widowControl w:val="0"/>
              <w:autoSpaceDE w:val="0"/>
              <w:autoSpaceDN w:val="0"/>
              <w:adjustRightInd w:val="0"/>
              <w:rPr>
                <w:sz w:val="16"/>
                <w:szCs w:val="16"/>
              </w:rPr>
            </w:pPr>
            <w:r w:rsidRPr="006C7818">
              <w:rPr>
                <w:sz w:val="16"/>
                <w:szCs w:val="16"/>
              </w:rPr>
              <w:t>(0.0210)</w:t>
            </w:r>
          </w:p>
        </w:tc>
        <w:tc>
          <w:tcPr>
            <w:tcW w:w="584" w:type="pct"/>
            <w:tcBorders>
              <w:top w:val="nil"/>
              <w:left w:val="nil"/>
              <w:bottom w:val="nil"/>
              <w:right w:val="nil"/>
            </w:tcBorders>
          </w:tcPr>
          <w:p w14:paraId="72830768" w14:textId="77777777" w:rsidR="0044273A" w:rsidRPr="006C7818" w:rsidRDefault="0044273A" w:rsidP="00B15C6C">
            <w:pPr>
              <w:widowControl w:val="0"/>
              <w:autoSpaceDE w:val="0"/>
              <w:autoSpaceDN w:val="0"/>
              <w:adjustRightInd w:val="0"/>
              <w:rPr>
                <w:sz w:val="16"/>
                <w:szCs w:val="16"/>
              </w:rPr>
            </w:pPr>
            <w:r w:rsidRPr="006C7818">
              <w:rPr>
                <w:sz w:val="16"/>
                <w:szCs w:val="16"/>
              </w:rPr>
              <w:t>(0.0534)</w:t>
            </w:r>
          </w:p>
        </w:tc>
        <w:tc>
          <w:tcPr>
            <w:tcW w:w="622" w:type="pct"/>
            <w:tcBorders>
              <w:top w:val="nil"/>
              <w:left w:val="nil"/>
              <w:bottom w:val="nil"/>
              <w:right w:val="nil"/>
            </w:tcBorders>
          </w:tcPr>
          <w:p w14:paraId="27C0239C" w14:textId="77777777" w:rsidR="0044273A" w:rsidRPr="006C7818" w:rsidRDefault="0044273A" w:rsidP="00B15C6C">
            <w:pPr>
              <w:widowControl w:val="0"/>
              <w:autoSpaceDE w:val="0"/>
              <w:autoSpaceDN w:val="0"/>
              <w:adjustRightInd w:val="0"/>
              <w:rPr>
                <w:sz w:val="16"/>
                <w:szCs w:val="16"/>
              </w:rPr>
            </w:pPr>
            <w:r w:rsidRPr="006C7818">
              <w:rPr>
                <w:rFonts w:ascii="Calibri" w:hAnsi="Calibri" w:cs="Calibri"/>
                <w:sz w:val="16"/>
                <w:szCs w:val="16"/>
              </w:rPr>
              <w:t>(0.0218)</w:t>
            </w:r>
          </w:p>
        </w:tc>
        <w:tc>
          <w:tcPr>
            <w:tcW w:w="719" w:type="pct"/>
            <w:tcBorders>
              <w:top w:val="nil"/>
              <w:left w:val="nil"/>
              <w:bottom w:val="nil"/>
              <w:right w:val="nil"/>
            </w:tcBorders>
          </w:tcPr>
          <w:p w14:paraId="1122D0D8" w14:textId="77777777" w:rsidR="0044273A" w:rsidRPr="006C7818" w:rsidRDefault="0044273A" w:rsidP="00B15C6C">
            <w:pPr>
              <w:widowControl w:val="0"/>
              <w:autoSpaceDE w:val="0"/>
              <w:autoSpaceDN w:val="0"/>
              <w:adjustRightInd w:val="0"/>
              <w:rPr>
                <w:sz w:val="16"/>
                <w:szCs w:val="16"/>
              </w:rPr>
            </w:pPr>
            <w:r w:rsidRPr="006C7818">
              <w:rPr>
                <w:sz w:val="16"/>
                <w:szCs w:val="16"/>
              </w:rPr>
              <w:t>(0.0210)</w:t>
            </w:r>
          </w:p>
        </w:tc>
        <w:tc>
          <w:tcPr>
            <w:tcW w:w="584" w:type="pct"/>
            <w:tcBorders>
              <w:top w:val="nil"/>
              <w:left w:val="nil"/>
              <w:bottom w:val="nil"/>
              <w:right w:val="nil"/>
            </w:tcBorders>
          </w:tcPr>
          <w:p w14:paraId="7FB2B8A5" w14:textId="77777777" w:rsidR="0044273A" w:rsidRPr="006C7818" w:rsidRDefault="0044273A" w:rsidP="00B15C6C">
            <w:pPr>
              <w:widowControl w:val="0"/>
              <w:autoSpaceDE w:val="0"/>
              <w:autoSpaceDN w:val="0"/>
              <w:adjustRightInd w:val="0"/>
              <w:rPr>
                <w:sz w:val="16"/>
                <w:szCs w:val="16"/>
              </w:rPr>
            </w:pPr>
            <w:r w:rsidRPr="006C7818">
              <w:rPr>
                <w:sz w:val="16"/>
                <w:szCs w:val="16"/>
              </w:rPr>
              <w:t>(0.0488)</w:t>
            </w:r>
          </w:p>
        </w:tc>
        <w:tc>
          <w:tcPr>
            <w:tcW w:w="584" w:type="pct"/>
            <w:tcBorders>
              <w:top w:val="nil"/>
              <w:left w:val="nil"/>
              <w:bottom w:val="nil"/>
              <w:right w:val="nil"/>
            </w:tcBorders>
          </w:tcPr>
          <w:p w14:paraId="06628B67" w14:textId="77777777" w:rsidR="0044273A" w:rsidRPr="006C7818" w:rsidRDefault="0044273A" w:rsidP="00B15C6C">
            <w:pPr>
              <w:widowControl w:val="0"/>
              <w:autoSpaceDE w:val="0"/>
              <w:autoSpaceDN w:val="0"/>
              <w:adjustRightInd w:val="0"/>
              <w:rPr>
                <w:sz w:val="16"/>
                <w:szCs w:val="16"/>
              </w:rPr>
            </w:pPr>
            <w:r w:rsidRPr="006C7818">
              <w:rPr>
                <w:sz w:val="16"/>
                <w:szCs w:val="16"/>
              </w:rPr>
              <w:t>(0.0220)</w:t>
            </w:r>
          </w:p>
        </w:tc>
      </w:tr>
      <w:tr w:rsidR="0044273A" w:rsidRPr="006C7818" w14:paraId="6F481495" w14:textId="77777777" w:rsidTr="00B15C6C">
        <w:trPr>
          <w:jc w:val="center"/>
        </w:trPr>
        <w:tc>
          <w:tcPr>
            <w:tcW w:w="1188" w:type="pct"/>
            <w:tcBorders>
              <w:top w:val="nil"/>
              <w:left w:val="nil"/>
              <w:bottom w:val="nil"/>
              <w:right w:val="nil"/>
            </w:tcBorders>
          </w:tcPr>
          <w:p w14:paraId="1CFB42A3" w14:textId="77777777" w:rsidR="0044273A" w:rsidRPr="006C7818" w:rsidRDefault="0044273A" w:rsidP="00B15C6C">
            <w:pPr>
              <w:widowControl w:val="0"/>
              <w:autoSpaceDE w:val="0"/>
              <w:autoSpaceDN w:val="0"/>
              <w:adjustRightInd w:val="0"/>
              <w:rPr>
                <w:sz w:val="16"/>
                <w:szCs w:val="16"/>
              </w:rPr>
            </w:pPr>
            <w:r w:rsidRPr="006C7818">
              <w:rPr>
                <w:b/>
                <w:sz w:val="16"/>
                <w:szCs w:val="16"/>
                <w:lang w:val="en-US"/>
              </w:rPr>
              <w:t>Married</w:t>
            </w:r>
          </w:p>
        </w:tc>
        <w:tc>
          <w:tcPr>
            <w:tcW w:w="719" w:type="pct"/>
            <w:tcBorders>
              <w:top w:val="nil"/>
              <w:left w:val="nil"/>
              <w:bottom w:val="nil"/>
              <w:right w:val="nil"/>
            </w:tcBorders>
          </w:tcPr>
          <w:p w14:paraId="6E3835F6" w14:textId="77777777" w:rsidR="0044273A" w:rsidRPr="006C7818" w:rsidRDefault="0044273A" w:rsidP="00B15C6C">
            <w:pPr>
              <w:widowControl w:val="0"/>
              <w:autoSpaceDE w:val="0"/>
              <w:autoSpaceDN w:val="0"/>
              <w:adjustRightInd w:val="0"/>
              <w:rPr>
                <w:sz w:val="16"/>
                <w:szCs w:val="16"/>
              </w:rPr>
            </w:pPr>
            <w:r w:rsidRPr="006C7818">
              <w:rPr>
                <w:sz w:val="16"/>
                <w:szCs w:val="16"/>
              </w:rPr>
              <w:t>0.6061***</w:t>
            </w:r>
          </w:p>
        </w:tc>
        <w:tc>
          <w:tcPr>
            <w:tcW w:w="584" w:type="pct"/>
            <w:tcBorders>
              <w:top w:val="nil"/>
              <w:left w:val="nil"/>
              <w:bottom w:val="nil"/>
              <w:right w:val="nil"/>
            </w:tcBorders>
          </w:tcPr>
          <w:p w14:paraId="7D7B1AE5" w14:textId="77777777" w:rsidR="0044273A" w:rsidRPr="006C7818" w:rsidRDefault="0044273A" w:rsidP="00B15C6C">
            <w:pPr>
              <w:widowControl w:val="0"/>
              <w:autoSpaceDE w:val="0"/>
              <w:autoSpaceDN w:val="0"/>
              <w:adjustRightInd w:val="0"/>
              <w:rPr>
                <w:sz w:val="16"/>
                <w:szCs w:val="16"/>
              </w:rPr>
            </w:pPr>
            <w:r w:rsidRPr="006C7818">
              <w:rPr>
                <w:sz w:val="16"/>
                <w:szCs w:val="16"/>
              </w:rPr>
              <w:t>-0.0625</w:t>
            </w:r>
          </w:p>
        </w:tc>
        <w:tc>
          <w:tcPr>
            <w:tcW w:w="622" w:type="pct"/>
            <w:tcBorders>
              <w:top w:val="nil"/>
              <w:left w:val="nil"/>
              <w:bottom w:val="nil"/>
              <w:right w:val="nil"/>
            </w:tcBorders>
          </w:tcPr>
          <w:p w14:paraId="76C3BF32" w14:textId="77777777" w:rsidR="0044273A" w:rsidRPr="006C7818" w:rsidRDefault="0044273A" w:rsidP="00B15C6C">
            <w:pPr>
              <w:widowControl w:val="0"/>
              <w:autoSpaceDE w:val="0"/>
              <w:autoSpaceDN w:val="0"/>
              <w:adjustRightInd w:val="0"/>
              <w:rPr>
                <w:sz w:val="16"/>
                <w:szCs w:val="16"/>
              </w:rPr>
            </w:pPr>
            <w:r w:rsidRPr="006C7818">
              <w:rPr>
                <w:rFonts w:ascii="Calibri" w:hAnsi="Calibri" w:cs="Calibri"/>
                <w:sz w:val="16"/>
                <w:szCs w:val="16"/>
              </w:rPr>
              <w:t>0.5351***</w:t>
            </w:r>
          </w:p>
        </w:tc>
        <w:tc>
          <w:tcPr>
            <w:tcW w:w="719" w:type="pct"/>
            <w:tcBorders>
              <w:top w:val="nil"/>
              <w:left w:val="nil"/>
              <w:bottom w:val="nil"/>
              <w:right w:val="nil"/>
            </w:tcBorders>
          </w:tcPr>
          <w:p w14:paraId="4E8AD2AE" w14:textId="77777777" w:rsidR="0044273A" w:rsidRPr="006C7818" w:rsidRDefault="0044273A" w:rsidP="00B15C6C">
            <w:pPr>
              <w:widowControl w:val="0"/>
              <w:autoSpaceDE w:val="0"/>
              <w:autoSpaceDN w:val="0"/>
              <w:adjustRightInd w:val="0"/>
              <w:rPr>
                <w:sz w:val="16"/>
                <w:szCs w:val="16"/>
              </w:rPr>
            </w:pPr>
            <w:r w:rsidRPr="006C7818">
              <w:rPr>
                <w:sz w:val="16"/>
                <w:szCs w:val="16"/>
              </w:rPr>
              <w:t>0.5900***</w:t>
            </w:r>
          </w:p>
        </w:tc>
        <w:tc>
          <w:tcPr>
            <w:tcW w:w="584" w:type="pct"/>
            <w:tcBorders>
              <w:top w:val="nil"/>
              <w:left w:val="nil"/>
              <w:bottom w:val="nil"/>
              <w:right w:val="nil"/>
            </w:tcBorders>
          </w:tcPr>
          <w:p w14:paraId="3EC13E3E" w14:textId="77777777" w:rsidR="0044273A" w:rsidRPr="006C7818" w:rsidRDefault="0044273A" w:rsidP="00B15C6C">
            <w:pPr>
              <w:widowControl w:val="0"/>
              <w:autoSpaceDE w:val="0"/>
              <w:autoSpaceDN w:val="0"/>
              <w:adjustRightInd w:val="0"/>
              <w:rPr>
                <w:sz w:val="16"/>
                <w:szCs w:val="16"/>
              </w:rPr>
            </w:pPr>
            <w:r w:rsidRPr="006C7818">
              <w:rPr>
                <w:sz w:val="16"/>
                <w:szCs w:val="16"/>
              </w:rPr>
              <w:t>-0.0324</w:t>
            </w:r>
          </w:p>
        </w:tc>
        <w:tc>
          <w:tcPr>
            <w:tcW w:w="584" w:type="pct"/>
            <w:tcBorders>
              <w:top w:val="nil"/>
              <w:left w:val="nil"/>
              <w:bottom w:val="nil"/>
              <w:right w:val="nil"/>
            </w:tcBorders>
          </w:tcPr>
          <w:p w14:paraId="167DB2FB" w14:textId="77777777" w:rsidR="0044273A" w:rsidRPr="006C7818" w:rsidRDefault="0044273A" w:rsidP="00B15C6C">
            <w:pPr>
              <w:widowControl w:val="0"/>
              <w:autoSpaceDE w:val="0"/>
              <w:autoSpaceDN w:val="0"/>
              <w:adjustRightInd w:val="0"/>
              <w:rPr>
                <w:sz w:val="16"/>
                <w:szCs w:val="16"/>
              </w:rPr>
            </w:pPr>
            <w:r w:rsidRPr="006C7818">
              <w:rPr>
                <w:sz w:val="16"/>
                <w:szCs w:val="16"/>
              </w:rPr>
              <w:t>0.5182***</w:t>
            </w:r>
          </w:p>
        </w:tc>
      </w:tr>
      <w:tr w:rsidR="0044273A" w:rsidRPr="006C7818" w14:paraId="2F1D96C2" w14:textId="77777777" w:rsidTr="00B15C6C">
        <w:trPr>
          <w:jc w:val="center"/>
        </w:trPr>
        <w:tc>
          <w:tcPr>
            <w:tcW w:w="1188" w:type="pct"/>
            <w:tcBorders>
              <w:top w:val="nil"/>
              <w:left w:val="nil"/>
              <w:bottom w:val="nil"/>
              <w:right w:val="nil"/>
            </w:tcBorders>
          </w:tcPr>
          <w:p w14:paraId="3B4A8A52" w14:textId="77777777" w:rsidR="0044273A" w:rsidRPr="006C7818" w:rsidRDefault="0044273A" w:rsidP="00B15C6C">
            <w:pPr>
              <w:widowControl w:val="0"/>
              <w:autoSpaceDE w:val="0"/>
              <w:autoSpaceDN w:val="0"/>
              <w:adjustRightInd w:val="0"/>
              <w:rPr>
                <w:sz w:val="16"/>
                <w:szCs w:val="16"/>
              </w:rPr>
            </w:pPr>
          </w:p>
        </w:tc>
        <w:tc>
          <w:tcPr>
            <w:tcW w:w="719" w:type="pct"/>
            <w:tcBorders>
              <w:top w:val="nil"/>
              <w:left w:val="nil"/>
              <w:bottom w:val="nil"/>
              <w:right w:val="nil"/>
            </w:tcBorders>
          </w:tcPr>
          <w:p w14:paraId="35A93EBC" w14:textId="77777777" w:rsidR="0044273A" w:rsidRPr="006C7818" w:rsidRDefault="0044273A" w:rsidP="00B15C6C">
            <w:pPr>
              <w:widowControl w:val="0"/>
              <w:autoSpaceDE w:val="0"/>
              <w:autoSpaceDN w:val="0"/>
              <w:adjustRightInd w:val="0"/>
              <w:rPr>
                <w:sz w:val="16"/>
                <w:szCs w:val="16"/>
              </w:rPr>
            </w:pPr>
            <w:r w:rsidRPr="006C7818">
              <w:rPr>
                <w:sz w:val="16"/>
                <w:szCs w:val="16"/>
              </w:rPr>
              <w:t>(0.1408)</w:t>
            </w:r>
          </w:p>
        </w:tc>
        <w:tc>
          <w:tcPr>
            <w:tcW w:w="584" w:type="pct"/>
            <w:tcBorders>
              <w:top w:val="nil"/>
              <w:left w:val="nil"/>
              <w:bottom w:val="nil"/>
              <w:right w:val="nil"/>
            </w:tcBorders>
          </w:tcPr>
          <w:p w14:paraId="38D88F0F" w14:textId="77777777" w:rsidR="0044273A" w:rsidRPr="006C7818" w:rsidRDefault="0044273A" w:rsidP="00B15C6C">
            <w:pPr>
              <w:widowControl w:val="0"/>
              <w:autoSpaceDE w:val="0"/>
              <w:autoSpaceDN w:val="0"/>
              <w:adjustRightInd w:val="0"/>
              <w:rPr>
                <w:sz w:val="16"/>
                <w:szCs w:val="16"/>
              </w:rPr>
            </w:pPr>
            <w:r w:rsidRPr="006C7818">
              <w:rPr>
                <w:sz w:val="16"/>
                <w:szCs w:val="16"/>
              </w:rPr>
              <w:t>(0.4936)</w:t>
            </w:r>
          </w:p>
        </w:tc>
        <w:tc>
          <w:tcPr>
            <w:tcW w:w="622" w:type="pct"/>
            <w:tcBorders>
              <w:top w:val="nil"/>
              <w:left w:val="nil"/>
              <w:bottom w:val="nil"/>
              <w:right w:val="nil"/>
            </w:tcBorders>
          </w:tcPr>
          <w:p w14:paraId="66F50757" w14:textId="77777777" w:rsidR="0044273A" w:rsidRPr="006C7818" w:rsidRDefault="0044273A" w:rsidP="00B15C6C">
            <w:pPr>
              <w:widowControl w:val="0"/>
              <w:autoSpaceDE w:val="0"/>
              <w:autoSpaceDN w:val="0"/>
              <w:adjustRightInd w:val="0"/>
              <w:rPr>
                <w:sz w:val="16"/>
                <w:szCs w:val="16"/>
              </w:rPr>
            </w:pPr>
            <w:r w:rsidRPr="006C7818">
              <w:rPr>
                <w:rFonts w:ascii="Calibri" w:hAnsi="Calibri" w:cs="Calibri"/>
                <w:sz w:val="16"/>
                <w:szCs w:val="16"/>
              </w:rPr>
              <w:t>(0.1407)</w:t>
            </w:r>
          </w:p>
        </w:tc>
        <w:tc>
          <w:tcPr>
            <w:tcW w:w="719" w:type="pct"/>
            <w:tcBorders>
              <w:top w:val="nil"/>
              <w:left w:val="nil"/>
              <w:bottom w:val="nil"/>
              <w:right w:val="nil"/>
            </w:tcBorders>
          </w:tcPr>
          <w:p w14:paraId="61278D17" w14:textId="77777777" w:rsidR="0044273A" w:rsidRPr="006C7818" w:rsidRDefault="0044273A" w:rsidP="00B15C6C">
            <w:pPr>
              <w:widowControl w:val="0"/>
              <w:autoSpaceDE w:val="0"/>
              <w:autoSpaceDN w:val="0"/>
              <w:adjustRightInd w:val="0"/>
              <w:rPr>
                <w:sz w:val="16"/>
                <w:szCs w:val="16"/>
              </w:rPr>
            </w:pPr>
            <w:r w:rsidRPr="006C7818">
              <w:rPr>
                <w:sz w:val="16"/>
                <w:szCs w:val="16"/>
              </w:rPr>
              <w:t>(0.1412)</w:t>
            </w:r>
          </w:p>
        </w:tc>
        <w:tc>
          <w:tcPr>
            <w:tcW w:w="584" w:type="pct"/>
            <w:tcBorders>
              <w:top w:val="nil"/>
              <w:left w:val="nil"/>
              <w:bottom w:val="nil"/>
              <w:right w:val="nil"/>
            </w:tcBorders>
          </w:tcPr>
          <w:p w14:paraId="455C8831" w14:textId="77777777" w:rsidR="0044273A" w:rsidRPr="006C7818" w:rsidRDefault="0044273A" w:rsidP="00B15C6C">
            <w:pPr>
              <w:widowControl w:val="0"/>
              <w:autoSpaceDE w:val="0"/>
              <w:autoSpaceDN w:val="0"/>
              <w:adjustRightInd w:val="0"/>
              <w:rPr>
                <w:sz w:val="16"/>
                <w:szCs w:val="16"/>
              </w:rPr>
            </w:pPr>
            <w:r w:rsidRPr="006C7818">
              <w:rPr>
                <w:sz w:val="16"/>
                <w:szCs w:val="16"/>
              </w:rPr>
              <w:t>(0.4542)</w:t>
            </w:r>
          </w:p>
        </w:tc>
        <w:tc>
          <w:tcPr>
            <w:tcW w:w="584" w:type="pct"/>
            <w:tcBorders>
              <w:top w:val="nil"/>
              <w:left w:val="nil"/>
              <w:bottom w:val="nil"/>
              <w:right w:val="nil"/>
            </w:tcBorders>
          </w:tcPr>
          <w:p w14:paraId="09E19BAB" w14:textId="77777777" w:rsidR="0044273A" w:rsidRPr="006C7818" w:rsidRDefault="0044273A" w:rsidP="00B15C6C">
            <w:pPr>
              <w:widowControl w:val="0"/>
              <w:autoSpaceDE w:val="0"/>
              <w:autoSpaceDN w:val="0"/>
              <w:adjustRightInd w:val="0"/>
              <w:rPr>
                <w:sz w:val="16"/>
                <w:szCs w:val="16"/>
              </w:rPr>
            </w:pPr>
            <w:r w:rsidRPr="006C7818">
              <w:rPr>
                <w:sz w:val="16"/>
                <w:szCs w:val="16"/>
              </w:rPr>
              <w:t>(0.1419)</w:t>
            </w:r>
          </w:p>
        </w:tc>
      </w:tr>
      <w:tr w:rsidR="0044273A" w:rsidRPr="006C7818" w14:paraId="22FED933" w14:textId="77777777" w:rsidTr="00B15C6C">
        <w:trPr>
          <w:jc w:val="center"/>
        </w:trPr>
        <w:tc>
          <w:tcPr>
            <w:tcW w:w="1188" w:type="pct"/>
            <w:tcBorders>
              <w:top w:val="nil"/>
              <w:left w:val="nil"/>
              <w:bottom w:val="nil"/>
              <w:right w:val="nil"/>
            </w:tcBorders>
          </w:tcPr>
          <w:p w14:paraId="1D2D6DB1" w14:textId="77777777" w:rsidR="0044273A" w:rsidRPr="006C7818" w:rsidRDefault="0044273A" w:rsidP="00B15C6C">
            <w:pPr>
              <w:widowControl w:val="0"/>
              <w:autoSpaceDE w:val="0"/>
              <w:autoSpaceDN w:val="0"/>
              <w:adjustRightInd w:val="0"/>
              <w:rPr>
                <w:sz w:val="16"/>
                <w:szCs w:val="16"/>
              </w:rPr>
            </w:pPr>
            <w:r w:rsidRPr="006C7818">
              <w:rPr>
                <w:b/>
                <w:sz w:val="16"/>
                <w:szCs w:val="16"/>
                <w:lang w:val="en-US"/>
              </w:rPr>
              <w:t>Widowed</w:t>
            </w:r>
          </w:p>
        </w:tc>
        <w:tc>
          <w:tcPr>
            <w:tcW w:w="719" w:type="pct"/>
            <w:tcBorders>
              <w:top w:val="nil"/>
              <w:left w:val="nil"/>
              <w:bottom w:val="nil"/>
              <w:right w:val="nil"/>
            </w:tcBorders>
          </w:tcPr>
          <w:p w14:paraId="72D5D146" w14:textId="77777777" w:rsidR="0044273A" w:rsidRPr="006C7818" w:rsidRDefault="0044273A" w:rsidP="00B15C6C">
            <w:pPr>
              <w:widowControl w:val="0"/>
              <w:autoSpaceDE w:val="0"/>
              <w:autoSpaceDN w:val="0"/>
              <w:adjustRightInd w:val="0"/>
              <w:rPr>
                <w:sz w:val="16"/>
                <w:szCs w:val="16"/>
              </w:rPr>
            </w:pPr>
            <w:r w:rsidRPr="006C7818">
              <w:rPr>
                <w:sz w:val="16"/>
                <w:szCs w:val="16"/>
              </w:rPr>
              <w:t>0.4542***</w:t>
            </w:r>
          </w:p>
        </w:tc>
        <w:tc>
          <w:tcPr>
            <w:tcW w:w="584" w:type="pct"/>
            <w:tcBorders>
              <w:top w:val="nil"/>
              <w:left w:val="nil"/>
              <w:bottom w:val="nil"/>
              <w:right w:val="nil"/>
            </w:tcBorders>
          </w:tcPr>
          <w:p w14:paraId="0FCA708E" w14:textId="77777777" w:rsidR="0044273A" w:rsidRPr="006C7818" w:rsidRDefault="0044273A" w:rsidP="00B15C6C">
            <w:pPr>
              <w:widowControl w:val="0"/>
              <w:autoSpaceDE w:val="0"/>
              <w:autoSpaceDN w:val="0"/>
              <w:adjustRightInd w:val="0"/>
              <w:rPr>
                <w:sz w:val="16"/>
                <w:szCs w:val="16"/>
              </w:rPr>
            </w:pPr>
            <w:r w:rsidRPr="006C7818">
              <w:rPr>
                <w:sz w:val="16"/>
                <w:szCs w:val="16"/>
              </w:rPr>
              <w:t>-0.7335</w:t>
            </w:r>
          </w:p>
        </w:tc>
        <w:tc>
          <w:tcPr>
            <w:tcW w:w="622" w:type="pct"/>
            <w:tcBorders>
              <w:top w:val="nil"/>
              <w:left w:val="nil"/>
              <w:bottom w:val="nil"/>
              <w:right w:val="nil"/>
            </w:tcBorders>
          </w:tcPr>
          <w:p w14:paraId="644CB074" w14:textId="77777777" w:rsidR="0044273A" w:rsidRPr="006C7818" w:rsidRDefault="0044273A" w:rsidP="00B15C6C">
            <w:pPr>
              <w:widowControl w:val="0"/>
              <w:autoSpaceDE w:val="0"/>
              <w:autoSpaceDN w:val="0"/>
              <w:adjustRightInd w:val="0"/>
              <w:rPr>
                <w:sz w:val="16"/>
                <w:szCs w:val="16"/>
              </w:rPr>
            </w:pPr>
            <w:r w:rsidRPr="006C7818">
              <w:rPr>
                <w:rFonts w:ascii="Calibri" w:hAnsi="Calibri" w:cs="Calibri"/>
                <w:sz w:val="16"/>
                <w:szCs w:val="16"/>
              </w:rPr>
              <w:t>0.4910***</w:t>
            </w:r>
          </w:p>
        </w:tc>
        <w:tc>
          <w:tcPr>
            <w:tcW w:w="719" w:type="pct"/>
            <w:tcBorders>
              <w:top w:val="nil"/>
              <w:left w:val="nil"/>
              <w:bottom w:val="nil"/>
              <w:right w:val="nil"/>
            </w:tcBorders>
          </w:tcPr>
          <w:p w14:paraId="6D1A4D2C" w14:textId="77777777" w:rsidR="0044273A" w:rsidRPr="006C7818" w:rsidRDefault="0044273A" w:rsidP="00B15C6C">
            <w:pPr>
              <w:widowControl w:val="0"/>
              <w:autoSpaceDE w:val="0"/>
              <w:autoSpaceDN w:val="0"/>
              <w:adjustRightInd w:val="0"/>
              <w:rPr>
                <w:sz w:val="16"/>
                <w:szCs w:val="16"/>
              </w:rPr>
            </w:pPr>
            <w:r w:rsidRPr="006C7818">
              <w:rPr>
                <w:sz w:val="16"/>
                <w:szCs w:val="16"/>
              </w:rPr>
              <w:t>0.5256***</w:t>
            </w:r>
          </w:p>
        </w:tc>
        <w:tc>
          <w:tcPr>
            <w:tcW w:w="584" w:type="pct"/>
            <w:tcBorders>
              <w:top w:val="nil"/>
              <w:left w:val="nil"/>
              <w:bottom w:val="nil"/>
              <w:right w:val="nil"/>
            </w:tcBorders>
          </w:tcPr>
          <w:p w14:paraId="250F7491" w14:textId="77777777" w:rsidR="0044273A" w:rsidRPr="006C7818" w:rsidRDefault="0044273A" w:rsidP="00B15C6C">
            <w:pPr>
              <w:widowControl w:val="0"/>
              <w:autoSpaceDE w:val="0"/>
              <w:autoSpaceDN w:val="0"/>
              <w:adjustRightInd w:val="0"/>
              <w:rPr>
                <w:sz w:val="16"/>
                <w:szCs w:val="16"/>
              </w:rPr>
            </w:pPr>
            <w:r w:rsidRPr="006C7818">
              <w:rPr>
                <w:sz w:val="16"/>
                <w:szCs w:val="16"/>
              </w:rPr>
              <w:t>-0.6609</w:t>
            </w:r>
          </w:p>
        </w:tc>
        <w:tc>
          <w:tcPr>
            <w:tcW w:w="584" w:type="pct"/>
            <w:tcBorders>
              <w:top w:val="nil"/>
              <w:left w:val="nil"/>
              <w:bottom w:val="nil"/>
              <w:right w:val="nil"/>
            </w:tcBorders>
          </w:tcPr>
          <w:p w14:paraId="5CF7A196" w14:textId="77777777" w:rsidR="0044273A" w:rsidRPr="006C7818" w:rsidRDefault="0044273A" w:rsidP="00B15C6C">
            <w:pPr>
              <w:widowControl w:val="0"/>
              <w:autoSpaceDE w:val="0"/>
              <w:autoSpaceDN w:val="0"/>
              <w:adjustRightInd w:val="0"/>
              <w:rPr>
                <w:sz w:val="16"/>
                <w:szCs w:val="16"/>
              </w:rPr>
            </w:pPr>
            <w:r w:rsidRPr="006C7818">
              <w:rPr>
                <w:sz w:val="16"/>
                <w:szCs w:val="16"/>
              </w:rPr>
              <w:t>0.5646***</w:t>
            </w:r>
          </w:p>
        </w:tc>
      </w:tr>
      <w:tr w:rsidR="0044273A" w:rsidRPr="006C7818" w14:paraId="7869A1D8" w14:textId="77777777" w:rsidTr="00B15C6C">
        <w:trPr>
          <w:jc w:val="center"/>
        </w:trPr>
        <w:tc>
          <w:tcPr>
            <w:tcW w:w="1188" w:type="pct"/>
            <w:tcBorders>
              <w:top w:val="nil"/>
              <w:left w:val="nil"/>
              <w:bottom w:val="nil"/>
              <w:right w:val="nil"/>
            </w:tcBorders>
          </w:tcPr>
          <w:p w14:paraId="25DF4DF9" w14:textId="77777777" w:rsidR="0044273A" w:rsidRPr="006C7818" w:rsidRDefault="0044273A" w:rsidP="00B15C6C">
            <w:pPr>
              <w:widowControl w:val="0"/>
              <w:autoSpaceDE w:val="0"/>
              <w:autoSpaceDN w:val="0"/>
              <w:adjustRightInd w:val="0"/>
              <w:rPr>
                <w:sz w:val="16"/>
                <w:szCs w:val="16"/>
              </w:rPr>
            </w:pPr>
          </w:p>
        </w:tc>
        <w:tc>
          <w:tcPr>
            <w:tcW w:w="719" w:type="pct"/>
            <w:tcBorders>
              <w:top w:val="nil"/>
              <w:left w:val="nil"/>
              <w:bottom w:val="nil"/>
              <w:right w:val="nil"/>
            </w:tcBorders>
          </w:tcPr>
          <w:p w14:paraId="02BF1823" w14:textId="77777777" w:rsidR="0044273A" w:rsidRPr="006C7818" w:rsidRDefault="0044273A" w:rsidP="00B15C6C">
            <w:pPr>
              <w:widowControl w:val="0"/>
              <w:autoSpaceDE w:val="0"/>
              <w:autoSpaceDN w:val="0"/>
              <w:adjustRightInd w:val="0"/>
              <w:rPr>
                <w:sz w:val="16"/>
                <w:szCs w:val="16"/>
              </w:rPr>
            </w:pPr>
            <w:r w:rsidRPr="006C7818">
              <w:rPr>
                <w:sz w:val="16"/>
                <w:szCs w:val="16"/>
              </w:rPr>
              <w:t>(0.1456)</w:t>
            </w:r>
          </w:p>
        </w:tc>
        <w:tc>
          <w:tcPr>
            <w:tcW w:w="584" w:type="pct"/>
            <w:tcBorders>
              <w:top w:val="nil"/>
              <w:left w:val="nil"/>
              <w:bottom w:val="nil"/>
              <w:right w:val="nil"/>
            </w:tcBorders>
          </w:tcPr>
          <w:p w14:paraId="780D9F8C" w14:textId="77777777" w:rsidR="0044273A" w:rsidRPr="006C7818" w:rsidRDefault="0044273A" w:rsidP="00B15C6C">
            <w:pPr>
              <w:widowControl w:val="0"/>
              <w:autoSpaceDE w:val="0"/>
              <w:autoSpaceDN w:val="0"/>
              <w:adjustRightInd w:val="0"/>
              <w:rPr>
                <w:sz w:val="16"/>
                <w:szCs w:val="16"/>
              </w:rPr>
            </w:pPr>
            <w:r w:rsidRPr="006C7818">
              <w:rPr>
                <w:sz w:val="16"/>
                <w:szCs w:val="16"/>
              </w:rPr>
              <w:t>(0.4846)</w:t>
            </w:r>
          </w:p>
        </w:tc>
        <w:tc>
          <w:tcPr>
            <w:tcW w:w="622" w:type="pct"/>
            <w:tcBorders>
              <w:top w:val="nil"/>
              <w:left w:val="nil"/>
              <w:bottom w:val="nil"/>
              <w:right w:val="nil"/>
            </w:tcBorders>
          </w:tcPr>
          <w:p w14:paraId="3DAEBDD7" w14:textId="77777777" w:rsidR="0044273A" w:rsidRPr="006C7818" w:rsidRDefault="0044273A" w:rsidP="00B15C6C">
            <w:pPr>
              <w:widowControl w:val="0"/>
              <w:autoSpaceDE w:val="0"/>
              <w:autoSpaceDN w:val="0"/>
              <w:adjustRightInd w:val="0"/>
              <w:rPr>
                <w:sz w:val="16"/>
                <w:szCs w:val="16"/>
              </w:rPr>
            </w:pPr>
            <w:r w:rsidRPr="006C7818">
              <w:rPr>
                <w:rFonts w:ascii="Calibri" w:hAnsi="Calibri" w:cs="Calibri"/>
                <w:sz w:val="16"/>
                <w:szCs w:val="16"/>
              </w:rPr>
              <w:t>(0.1434)</w:t>
            </w:r>
          </w:p>
        </w:tc>
        <w:tc>
          <w:tcPr>
            <w:tcW w:w="719" w:type="pct"/>
            <w:tcBorders>
              <w:top w:val="nil"/>
              <w:left w:val="nil"/>
              <w:bottom w:val="nil"/>
              <w:right w:val="nil"/>
            </w:tcBorders>
          </w:tcPr>
          <w:p w14:paraId="73B5B4F3" w14:textId="77777777" w:rsidR="0044273A" w:rsidRPr="006C7818" w:rsidRDefault="0044273A" w:rsidP="00B15C6C">
            <w:pPr>
              <w:widowControl w:val="0"/>
              <w:autoSpaceDE w:val="0"/>
              <w:autoSpaceDN w:val="0"/>
              <w:adjustRightInd w:val="0"/>
              <w:rPr>
                <w:sz w:val="16"/>
                <w:szCs w:val="16"/>
              </w:rPr>
            </w:pPr>
            <w:r w:rsidRPr="006C7818">
              <w:rPr>
                <w:sz w:val="16"/>
                <w:szCs w:val="16"/>
              </w:rPr>
              <w:t>(0.1462)</w:t>
            </w:r>
          </w:p>
        </w:tc>
        <w:tc>
          <w:tcPr>
            <w:tcW w:w="584" w:type="pct"/>
            <w:tcBorders>
              <w:top w:val="nil"/>
              <w:left w:val="nil"/>
              <w:bottom w:val="nil"/>
              <w:right w:val="nil"/>
            </w:tcBorders>
          </w:tcPr>
          <w:p w14:paraId="1CEBB1EF" w14:textId="77777777" w:rsidR="0044273A" w:rsidRPr="006C7818" w:rsidRDefault="0044273A" w:rsidP="00B15C6C">
            <w:pPr>
              <w:widowControl w:val="0"/>
              <w:autoSpaceDE w:val="0"/>
              <w:autoSpaceDN w:val="0"/>
              <w:adjustRightInd w:val="0"/>
              <w:rPr>
                <w:sz w:val="16"/>
                <w:szCs w:val="16"/>
              </w:rPr>
            </w:pPr>
            <w:r w:rsidRPr="006C7818">
              <w:rPr>
                <w:sz w:val="16"/>
                <w:szCs w:val="16"/>
              </w:rPr>
              <w:t>(0.4572)</w:t>
            </w:r>
          </w:p>
        </w:tc>
        <w:tc>
          <w:tcPr>
            <w:tcW w:w="584" w:type="pct"/>
            <w:tcBorders>
              <w:top w:val="nil"/>
              <w:left w:val="nil"/>
              <w:bottom w:val="nil"/>
              <w:right w:val="nil"/>
            </w:tcBorders>
          </w:tcPr>
          <w:p w14:paraId="1915E7C8" w14:textId="77777777" w:rsidR="0044273A" w:rsidRPr="006C7818" w:rsidRDefault="0044273A" w:rsidP="00B15C6C">
            <w:pPr>
              <w:widowControl w:val="0"/>
              <w:autoSpaceDE w:val="0"/>
              <w:autoSpaceDN w:val="0"/>
              <w:adjustRightInd w:val="0"/>
              <w:rPr>
                <w:sz w:val="16"/>
                <w:szCs w:val="16"/>
              </w:rPr>
            </w:pPr>
            <w:r w:rsidRPr="006C7818">
              <w:rPr>
                <w:sz w:val="16"/>
                <w:szCs w:val="16"/>
              </w:rPr>
              <w:t>(0.1441)</w:t>
            </w:r>
          </w:p>
        </w:tc>
      </w:tr>
      <w:tr w:rsidR="0044273A" w:rsidRPr="006C7818" w14:paraId="7FC29E0C" w14:textId="77777777" w:rsidTr="00B15C6C">
        <w:trPr>
          <w:jc w:val="center"/>
        </w:trPr>
        <w:tc>
          <w:tcPr>
            <w:tcW w:w="1188" w:type="pct"/>
            <w:tcBorders>
              <w:top w:val="nil"/>
              <w:left w:val="nil"/>
              <w:bottom w:val="nil"/>
              <w:right w:val="nil"/>
            </w:tcBorders>
          </w:tcPr>
          <w:p w14:paraId="0772D289" w14:textId="77777777" w:rsidR="0044273A" w:rsidRPr="006C7818" w:rsidRDefault="0044273A" w:rsidP="00B15C6C">
            <w:pPr>
              <w:widowControl w:val="0"/>
              <w:autoSpaceDE w:val="0"/>
              <w:autoSpaceDN w:val="0"/>
              <w:adjustRightInd w:val="0"/>
              <w:rPr>
                <w:sz w:val="16"/>
                <w:szCs w:val="16"/>
              </w:rPr>
            </w:pPr>
            <w:r w:rsidRPr="006C7818">
              <w:rPr>
                <w:b/>
                <w:sz w:val="16"/>
                <w:szCs w:val="16"/>
                <w:lang w:val="en-US"/>
              </w:rPr>
              <w:t>Income</w:t>
            </w:r>
          </w:p>
        </w:tc>
        <w:tc>
          <w:tcPr>
            <w:tcW w:w="719" w:type="pct"/>
            <w:tcBorders>
              <w:top w:val="nil"/>
              <w:left w:val="nil"/>
              <w:bottom w:val="nil"/>
              <w:right w:val="nil"/>
            </w:tcBorders>
          </w:tcPr>
          <w:p w14:paraId="5B037702" w14:textId="77777777" w:rsidR="0044273A" w:rsidRPr="006C7818" w:rsidRDefault="0044273A" w:rsidP="00B15C6C">
            <w:pPr>
              <w:widowControl w:val="0"/>
              <w:autoSpaceDE w:val="0"/>
              <w:autoSpaceDN w:val="0"/>
              <w:adjustRightInd w:val="0"/>
              <w:rPr>
                <w:sz w:val="16"/>
                <w:szCs w:val="16"/>
              </w:rPr>
            </w:pPr>
            <w:r w:rsidRPr="006C7818">
              <w:rPr>
                <w:sz w:val="16"/>
                <w:szCs w:val="16"/>
              </w:rPr>
              <w:t>0.0393***</w:t>
            </w:r>
          </w:p>
        </w:tc>
        <w:tc>
          <w:tcPr>
            <w:tcW w:w="584" w:type="pct"/>
            <w:tcBorders>
              <w:top w:val="nil"/>
              <w:left w:val="nil"/>
              <w:bottom w:val="nil"/>
              <w:right w:val="nil"/>
            </w:tcBorders>
          </w:tcPr>
          <w:p w14:paraId="2EF96C22" w14:textId="77777777" w:rsidR="0044273A" w:rsidRPr="006C7818" w:rsidRDefault="0044273A" w:rsidP="00B15C6C">
            <w:pPr>
              <w:widowControl w:val="0"/>
              <w:autoSpaceDE w:val="0"/>
              <w:autoSpaceDN w:val="0"/>
              <w:adjustRightInd w:val="0"/>
              <w:rPr>
                <w:sz w:val="16"/>
                <w:szCs w:val="16"/>
              </w:rPr>
            </w:pPr>
            <w:r w:rsidRPr="006C7818">
              <w:rPr>
                <w:sz w:val="16"/>
                <w:szCs w:val="16"/>
              </w:rPr>
              <w:t>0.1159***</w:t>
            </w:r>
          </w:p>
        </w:tc>
        <w:tc>
          <w:tcPr>
            <w:tcW w:w="622" w:type="pct"/>
            <w:tcBorders>
              <w:top w:val="nil"/>
              <w:left w:val="nil"/>
              <w:bottom w:val="nil"/>
              <w:right w:val="nil"/>
            </w:tcBorders>
          </w:tcPr>
          <w:p w14:paraId="31B6171D" w14:textId="77777777" w:rsidR="0044273A" w:rsidRPr="006C7818" w:rsidRDefault="0044273A" w:rsidP="00B15C6C">
            <w:pPr>
              <w:widowControl w:val="0"/>
              <w:autoSpaceDE w:val="0"/>
              <w:autoSpaceDN w:val="0"/>
              <w:adjustRightInd w:val="0"/>
              <w:rPr>
                <w:sz w:val="16"/>
                <w:szCs w:val="16"/>
              </w:rPr>
            </w:pPr>
            <w:r w:rsidRPr="006C7818">
              <w:rPr>
                <w:rFonts w:ascii="Calibri" w:hAnsi="Calibri" w:cs="Calibri"/>
                <w:sz w:val="16"/>
                <w:szCs w:val="16"/>
              </w:rPr>
              <w:t>0.0314***</w:t>
            </w:r>
          </w:p>
        </w:tc>
        <w:tc>
          <w:tcPr>
            <w:tcW w:w="719" w:type="pct"/>
            <w:tcBorders>
              <w:top w:val="nil"/>
              <w:left w:val="nil"/>
              <w:bottom w:val="nil"/>
              <w:right w:val="nil"/>
            </w:tcBorders>
          </w:tcPr>
          <w:p w14:paraId="31A1874E" w14:textId="77777777" w:rsidR="0044273A" w:rsidRPr="006C7818" w:rsidRDefault="0044273A" w:rsidP="00B15C6C">
            <w:pPr>
              <w:widowControl w:val="0"/>
              <w:autoSpaceDE w:val="0"/>
              <w:autoSpaceDN w:val="0"/>
              <w:adjustRightInd w:val="0"/>
              <w:rPr>
                <w:sz w:val="16"/>
                <w:szCs w:val="16"/>
              </w:rPr>
            </w:pPr>
            <w:r w:rsidRPr="006C7818">
              <w:rPr>
                <w:sz w:val="16"/>
                <w:szCs w:val="16"/>
              </w:rPr>
              <w:t>0.0367***</w:t>
            </w:r>
          </w:p>
        </w:tc>
        <w:tc>
          <w:tcPr>
            <w:tcW w:w="584" w:type="pct"/>
            <w:tcBorders>
              <w:top w:val="nil"/>
              <w:left w:val="nil"/>
              <w:bottom w:val="nil"/>
              <w:right w:val="nil"/>
            </w:tcBorders>
          </w:tcPr>
          <w:p w14:paraId="1CD09806" w14:textId="77777777" w:rsidR="0044273A" w:rsidRPr="006C7818" w:rsidRDefault="0044273A" w:rsidP="00B15C6C">
            <w:pPr>
              <w:widowControl w:val="0"/>
              <w:autoSpaceDE w:val="0"/>
              <w:autoSpaceDN w:val="0"/>
              <w:adjustRightInd w:val="0"/>
              <w:rPr>
                <w:sz w:val="16"/>
                <w:szCs w:val="16"/>
              </w:rPr>
            </w:pPr>
            <w:r w:rsidRPr="006C7818">
              <w:rPr>
                <w:sz w:val="16"/>
                <w:szCs w:val="16"/>
              </w:rPr>
              <w:t>0.1040***</w:t>
            </w:r>
          </w:p>
        </w:tc>
        <w:tc>
          <w:tcPr>
            <w:tcW w:w="584" w:type="pct"/>
            <w:tcBorders>
              <w:top w:val="nil"/>
              <w:left w:val="nil"/>
              <w:bottom w:val="nil"/>
              <w:right w:val="nil"/>
            </w:tcBorders>
          </w:tcPr>
          <w:p w14:paraId="0964EC1C" w14:textId="77777777" w:rsidR="0044273A" w:rsidRPr="006C7818" w:rsidRDefault="0044273A" w:rsidP="00B15C6C">
            <w:pPr>
              <w:widowControl w:val="0"/>
              <w:autoSpaceDE w:val="0"/>
              <w:autoSpaceDN w:val="0"/>
              <w:adjustRightInd w:val="0"/>
              <w:rPr>
                <w:sz w:val="16"/>
                <w:szCs w:val="16"/>
              </w:rPr>
            </w:pPr>
            <w:r w:rsidRPr="006C7818">
              <w:rPr>
                <w:sz w:val="16"/>
                <w:szCs w:val="16"/>
              </w:rPr>
              <w:t>0.0286***</w:t>
            </w:r>
          </w:p>
        </w:tc>
      </w:tr>
      <w:tr w:rsidR="0044273A" w:rsidRPr="006C7818" w14:paraId="14157FFB" w14:textId="77777777" w:rsidTr="00B15C6C">
        <w:trPr>
          <w:jc w:val="center"/>
        </w:trPr>
        <w:tc>
          <w:tcPr>
            <w:tcW w:w="1188" w:type="pct"/>
            <w:tcBorders>
              <w:top w:val="nil"/>
              <w:left w:val="nil"/>
              <w:bottom w:val="nil"/>
              <w:right w:val="nil"/>
            </w:tcBorders>
          </w:tcPr>
          <w:p w14:paraId="6836352F" w14:textId="77777777" w:rsidR="0044273A" w:rsidRPr="006C7818" w:rsidRDefault="0044273A" w:rsidP="00B15C6C">
            <w:pPr>
              <w:widowControl w:val="0"/>
              <w:autoSpaceDE w:val="0"/>
              <w:autoSpaceDN w:val="0"/>
              <w:adjustRightInd w:val="0"/>
              <w:rPr>
                <w:sz w:val="16"/>
                <w:szCs w:val="16"/>
              </w:rPr>
            </w:pPr>
          </w:p>
        </w:tc>
        <w:tc>
          <w:tcPr>
            <w:tcW w:w="719" w:type="pct"/>
            <w:tcBorders>
              <w:top w:val="nil"/>
              <w:left w:val="nil"/>
              <w:bottom w:val="nil"/>
              <w:right w:val="nil"/>
            </w:tcBorders>
          </w:tcPr>
          <w:p w14:paraId="02A32B9D" w14:textId="77777777" w:rsidR="0044273A" w:rsidRPr="006C7818" w:rsidRDefault="0044273A" w:rsidP="00B15C6C">
            <w:pPr>
              <w:widowControl w:val="0"/>
              <w:autoSpaceDE w:val="0"/>
              <w:autoSpaceDN w:val="0"/>
              <w:adjustRightInd w:val="0"/>
              <w:rPr>
                <w:sz w:val="16"/>
                <w:szCs w:val="16"/>
              </w:rPr>
            </w:pPr>
            <w:r w:rsidRPr="006C7818">
              <w:rPr>
                <w:sz w:val="16"/>
                <w:szCs w:val="16"/>
              </w:rPr>
              <w:t>(0.0084)</w:t>
            </w:r>
          </w:p>
        </w:tc>
        <w:tc>
          <w:tcPr>
            <w:tcW w:w="584" w:type="pct"/>
            <w:tcBorders>
              <w:top w:val="nil"/>
              <w:left w:val="nil"/>
              <w:bottom w:val="nil"/>
              <w:right w:val="nil"/>
            </w:tcBorders>
          </w:tcPr>
          <w:p w14:paraId="48CCC9DA" w14:textId="77777777" w:rsidR="0044273A" w:rsidRPr="006C7818" w:rsidRDefault="0044273A" w:rsidP="00B15C6C">
            <w:pPr>
              <w:widowControl w:val="0"/>
              <w:autoSpaceDE w:val="0"/>
              <w:autoSpaceDN w:val="0"/>
              <w:adjustRightInd w:val="0"/>
              <w:rPr>
                <w:sz w:val="16"/>
                <w:szCs w:val="16"/>
              </w:rPr>
            </w:pPr>
            <w:r w:rsidRPr="006C7818">
              <w:rPr>
                <w:sz w:val="16"/>
                <w:szCs w:val="16"/>
              </w:rPr>
              <w:t>(0.0308)</w:t>
            </w:r>
          </w:p>
        </w:tc>
        <w:tc>
          <w:tcPr>
            <w:tcW w:w="622" w:type="pct"/>
            <w:tcBorders>
              <w:top w:val="nil"/>
              <w:left w:val="nil"/>
              <w:bottom w:val="nil"/>
              <w:right w:val="nil"/>
            </w:tcBorders>
          </w:tcPr>
          <w:p w14:paraId="7368834A" w14:textId="77777777" w:rsidR="0044273A" w:rsidRPr="006C7818" w:rsidRDefault="0044273A" w:rsidP="00B15C6C">
            <w:pPr>
              <w:widowControl w:val="0"/>
              <w:autoSpaceDE w:val="0"/>
              <w:autoSpaceDN w:val="0"/>
              <w:adjustRightInd w:val="0"/>
              <w:rPr>
                <w:sz w:val="16"/>
                <w:szCs w:val="16"/>
              </w:rPr>
            </w:pPr>
            <w:r w:rsidRPr="006C7818">
              <w:rPr>
                <w:rFonts w:ascii="Calibri" w:hAnsi="Calibri" w:cs="Calibri"/>
                <w:sz w:val="16"/>
                <w:szCs w:val="16"/>
              </w:rPr>
              <w:t>(0.0087)</w:t>
            </w:r>
          </w:p>
        </w:tc>
        <w:tc>
          <w:tcPr>
            <w:tcW w:w="719" w:type="pct"/>
            <w:tcBorders>
              <w:top w:val="nil"/>
              <w:left w:val="nil"/>
              <w:bottom w:val="nil"/>
              <w:right w:val="nil"/>
            </w:tcBorders>
          </w:tcPr>
          <w:p w14:paraId="0B81AF96" w14:textId="77777777" w:rsidR="0044273A" w:rsidRPr="006C7818" w:rsidRDefault="0044273A" w:rsidP="00B15C6C">
            <w:pPr>
              <w:widowControl w:val="0"/>
              <w:autoSpaceDE w:val="0"/>
              <w:autoSpaceDN w:val="0"/>
              <w:adjustRightInd w:val="0"/>
              <w:rPr>
                <w:sz w:val="16"/>
                <w:szCs w:val="16"/>
              </w:rPr>
            </w:pPr>
            <w:r w:rsidRPr="006C7818">
              <w:rPr>
                <w:sz w:val="16"/>
                <w:szCs w:val="16"/>
              </w:rPr>
              <w:t>(0.0085)</w:t>
            </w:r>
          </w:p>
        </w:tc>
        <w:tc>
          <w:tcPr>
            <w:tcW w:w="584" w:type="pct"/>
            <w:tcBorders>
              <w:top w:val="nil"/>
              <w:left w:val="nil"/>
              <w:bottom w:val="nil"/>
              <w:right w:val="nil"/>
            </w:tcBorders>
          </w:tcPr>
          <w:p w14:paraId="0939D128" w14:textId="77777777" w:rsidR="0044273A" w:rsidRPr="006C7818" w:rsidRDefault="0044273A" w:rsidP="00B15C6C">
            <w:pPr>
              <w:widowControl w:val="0"/>
              <w:autoSpaceDE w:val="0"/>
              <w:autoSpaceDN w:val="0"/>
              <w:adjustRightInd w:val="0"/>
              <w:rPr>
                <w:sz w:val="16"/>
                <w:szCs w:val="16"/>
              </w:rPr>
            </w:pPr>
            <w:r w:rsidRPr="006C7818">
              <w:rPr>
                <w:sz w:val="16"/>
                <w:szCs w:val="16"/>
              </w:rPr>
              <w:t>(0.0277)</w:t>
            </w:r>
          </w:p>
        </w:tc>
        <w:tc>
          <w:tcPr>
            <w:tcW w:w="584" w:type="pct"/>
            <w:tcBorders>
              <w:top w:val="nil"/>
              <w:left w:val="nil"/>
              <w:bottom w:val="nil"/>
              <w:right w:val="nil"/>
            </w:tcBorders>
          </w:tcPr>
          <w:p w14:paraId="0A199FD6" w14:textId="77777777" w:rsidR="0044273A" w:rsidRPr="006C7818" w:rsidRDefault="0044273A" w:rsidP="00B15C6C">
            <w:pPr>
              <w:widowControl w:val="0"/>
              <w:autoSpaceDE w:val="0"/>
              <w:autoSpaceDN w:val="0"/>
              <w:adjustRightInd w:val="0"/>
              <w:rPr>
                <w:sz w:val="16"/>
                <w:szCs w:val="16"/>
              </w:rPr>
            </w:pPr>
            <w:r w:rsidRPr="006C7818">
              <w:rPr>
                <w:sz w:val="16"/>
                <w:szCs w:val="16"/>
              </w:rPr>
              <w:t>(0.0087)</w:t>
            </w:r>
          </w:p>
        </w:tc>
      </w:tr>
      <w:tr w:rsidR="0044273A" w:rsidRPr="006C7818" w14:paraId="6614D1C0" w14:textId="77777777" w:rsidTr="00B15C6C">
        <w:trPr>
          <w:jc w:val="center"/>
        </w:trPr>
        <w:tc>
          <w:tcPr>
            <w:tcW w:w="1188" w:type="pct"/>
            <w:tcBorders>
              <w:top w:val="nil"/>
              <w:left w:val="nil"/>
              <w:bottom w:val="nil"/>
              <w:right w:val="nil"/>
            </w:tcBorders>
          </w:tcPr>
          <w:p w14:paraId="17DB6C3F" w14:textId="77777777" w:rsidR="0044273A" w:rsidRPr="006C7818" w:rsidRDefault="0044273A" w:rsidP="00B15C6C">
            <w:pPr>
              <w:widowControl w:val="0"/>
              <w:autoSpaceDE w:val="0"/>
              <w:autoSpaceDN w:val="0"/>
              <w:adjustRightInd w:val="0"/>
              <w:rPr>
                <w:sz w:val="16"/>
                <w:szCs w:val="16"/>
              </w:rPr>
            </w:pPr>
            <w:r w:rsidRPr="006C7818">
              <w:rPr>
                <w:b/>
                <w:sz w:val="16"/>
                <w:szCs w:val="16"/>
                <w:lang w:val="en-US"/>
              </w:rPr>
              <w:t>Wealth</w:t>
            </w:r>
          </w:p>
        </w:tc>
        <w:tc>
          <w:tcPr>
            <w:tcW w:w="719" w:type="pct"/>
            <w:tcBorders>
              <w:top w:val="nil"/>
              <w:left w:val="nil"/>
              <w:bottom w:val="nil"/>
              <w:right w:val="nil"/>
            </w:tcBorders>
          </w:tcPr>
          <w:p w14:paraId="57D458DE" w14:textId="77777777" w:rsidR="0044273A" w:rsidRPr="006C7818" w:rsidRDefault="0044273A" w:rsidP="00B15C6C">
            <w:pPr>
              <w:widowControl w:val="0"/>
              <w:autoSpaceDE w:val="0"/>
              <w:autoSpaceDN w:val="0"/>
              <w:adjustRightInd w:val="0"/>
              <w:rPr>
                <w:sz w:val="16"/>
                <w:szCs w:val="16"/>
              </w:rPr>
            </w:pPr>
            <w:r w:rsidRPr="006C7818">
              <w:rPr>
                <w:sz w:val="16"/>
                <w:szCs w:val="16"/>
              </w:rPr>
              <w:t>0.0152***</w:t>
            </w:r>
          </w:p>
        </w:tc>
        <w:tc>
          <w:tcPr>
            <w:tcW w:w="584" w:type="pct"/>
            <w:tcBorders>
              <w:top w:val="nil"/>
              <w:left w:val="nil"/>
              <w:bottom w:val="nil"/>
              <w:right w:val="nil"/>
            </w:tcBorders>
          </w:tcPr>
          <w:p w14:paraId="08622E65" w14:textId="77777777" w:rsidR="0044273A" w:rsidRPr="006C7818" w:rsidRDefault="0044273A" w:rsidP="00B15C6C">
            <w:pPr>
              <w:widowControl w:val="0"/>
              <w:autoSpaceDE w:val="0"/>
              <w:autoSpaceDN w:val="0"/>
              <w:adjustRightInd w:val="0"/>
              <w:rPr>
                <w:sz w:val="16"/>
                <w:szCs w:val="16"/>
              </w:rPr>
            </w:pPr>
            <w:r w:rsidRPr="006C7818">
              <w:rPr>
                <w:sz w:val="16"/>
                <w:szCs w:val="16"/>
              </w:rPr>
              <w:t>0.0446***</w:t>
            </w:r>
          </w:p>
        </w:tc>
        <w:tc>
          <w:tcPr>
            <w:tcW w:w="622" w:type="pct"/>
            <w:tcBorders>
              <w:top w:val="nil"/>
              <w:left w:val="nil"/>
              <w:bottom w:val="nil"/>
              <w:right w:val="nil"/>
            </w:tcBorders>
          </w:tcPr>
          <w:p w14:paraId="399A81D4" w14:textId="77777777" w:rsidR="0044273A" w:rsidRPr="006C7818" w:rsidRDefault="0044273A" w:rsidP="00B15C6C">
            <w:pPr>
              <w:widowControl w:val="0"/>
              <w:autoSpaceDE w:val="0"/>
              <w:autoSpaceDN w:val="0"/>
              <w:adjustRightInd w:val="0"/>
              <w:rPr>
                <w:sz w:val="16"/>
                <w:szCs w:val="16"/>
              </w:rPr>
            </w:pPr>
            <w:r w:rsidRPr="006C7818">
              <w:rPr>
                <w:rFonts w:ascii="Calibri" w:hAnsi="Calibri" w:cs="Calibri"/>
                <w:sz w:val="16"/>
                <w:szCs w:val="16"/>
              </w:rPr>
              <w:t>0.0186***</w:t>
            </w:r>
          </w:p>
        </w:tc>
        <w:tc>
          <w:tcPr>
            <w:tcW w:w="719" w:type="pct"/>
            <w:tcBorders>
              <w:top w:val="nil"/>
              <w:left w:val="nil"/>
              <w:bottom w:val="nil"/>
              <w:right w:val="nil"/>
            </w:tcBorders>
          </w:tcPr>
          <w:p w14:paraId="77737123" w14:textId="77777777" w:rsidR="0044273A" w:rsidRPr="006C7818" w:rsidRDefault="0044273A" w:rsidP="00B15C6C">
            <w:pPr>
              <w:widowControl w:val="0"/>
              <w:autoSpaceDE w:val="0"/>
              <w:autoSpaceDN w:val="0"/>
              <w:adjustRightInd w:val="0"/>
              <w:rPr>
                <w:sz w:val="16"/>
                <w:szCs w:val="16"/>
              </w:rPr>
            </w:pPr>
            <w:r w:rsidRPr="006C7818">
              <w:rPr>
                <w:sz w:val="16"/>
                <w:szCs w:val="16"/>
              </w:rPr>
              <w:t>0.0155***</w:t>
            </w:r>
          </w:p>
        </w:tc>
        <w:tc>
          <w:tcPr>
            <w:tcW w:w="584" w:type="pct"/>
            <w:tcBorders>
              <w:top w:val="nil"/>
              <w:left w:val="nil"/>
              <w:bottom w:val="nil"/>
              <w:right w:val="nil"/>
            </w:tcBorders>
          </w:tcPr>
          <w:p w14:paraId="22C844BA" w14:textId="77777777" w:rsidR="0044273A" w:rsidRPr="006C7818" w:rsidRDefault="0044273A" w:rsidP="00B15C6C">
            <w:pPr>
              <w:widowControl w:val="0"/>
              <w:autoSpaceDE w:val="0"/>
              <w:autoSpaceDN w:val="0"/>
              <w:adjustRightInd w:val="0"/>
              <w:rPr>
                <w:sz w:val="16"/>
                <w:szCs w:val="16"/>
              </w:rPr>
            </w:pPr>
            <w:r w:rsidRPr="006C7818">
              <w:rPr>
                <w:sz w:val="16"/>
                <w:szCs w:val="16"/>
              </w:rPr>
              <w:t>0.0414***</w:t>
            </w:r>
          </w:p>
        </w:tc>
        <w:tc>
          <w:tcPr>
            <w:tcW w:w="584" w:type="pct"/>
            <w:tcBorders>
              <w:top w:val="nil"/>
              <w:left w:val="nil"/>
              <w:bottom w:val="nil"/>
              <w:right w:val="nil"/>
            </w:tcBorders>
          </w:tcPr>
          <w:p w14:paraId="78015488" w14:textId="77777777" w:rsidR="0044273A" w:rsidRPr="006C7818" w:rsidRDefault="0044273A" w:rsidP="00B15C6C">
            <w:pPr>
              <w:widowControl w:val="0"/>
              <w:autoSpaceDE w:val="0"/>
              <w:autoSpaceDN w:val="0"/>
              <w:adjustRightInd w:val="0"/>
              <w:rPr>
                <w:sz w:val="16"/>
                <w:szCs w:val="16"/>
              </w:rPr>
            </w:pPr>
            <w:r w:rsidRPr="006C7818">
              <w:rPr>
                <w:sz w:val="16"/>
                <w:szCs w:val="16"/>
              </w:rPr>
              <w:t>0.0189***</w:t>
            </w:r>
          </w:p>
        </w:tc>
      </w:tr>
      <w:tr w:rsidR="0044273A" w:rsidRPr="006C7818" w14:paraId="582204B2" w14:textId="77777777" w:rsidTr="00B15C6C">
        <w:trPr>
          <w:jc w:val="center"/>
        </w:trPr>
        <w:tc>
          <w:tcPr>
            <w:tcW w:w="1188" w:type="pct"/>
            <w:tcBorders>
              <w:top w:val="nil"/>
              <w:left w:val="nil"/>
              <w:bottom w:val="nil"/>
              <w:right w:val="nil"/>
            </w:tcBorders>
          </w:tcPr>
          <w:p w14:paraId="47BFA5C4" w14:textId="77777777" w:rsidR="0044273A" w:rsidRPr="006C7818" w:rsidRDefault="0044273A" w:rsidP="00B15C6C">
            <w:pPr>
              <w:widowControl w:val="0"/>
              <w:autoSpaceDE w:val="0"/>
              <w:autoSpaceDN w:val="0"/>
              <w:adjustRightInd w:val="0"/>
              <w:rPr>
                <w:sz w:val="16"/>
                <w:szCs w:val="16"/>
              </w:rPr>
            </w:pPr>
          </w:p>
        </w:tc>
        <w:tc>
          <w:tcPr>
            <w:tcW w:w="719" w:type="pct"/>
            <w:tcBorders>
              <w:top w:val="nil"/>
              <w:left w:val="nil"/>
              <w:bottom w:val="nil"/>
              <w:right w:val="nil"/>
            </w:tcBorders>
          </w:tcPr>
          <w:p w14:paraId="1E472314" w14:textId="77777777" w:rsidR="0044273A" w:rsidRPr="006C7818" w:rsidRDefault="0044273A" w:rsidP="00B15C6C">
            <w:pPr>
              <w:widowControl w:val="0"/>
              <w:autoSpaceDE w:val="0"/>
              <w:autoSpaceDN w:val="0"/>
              <w:adjustRightInd w:val="0"/>
              <w:rPr>
                <w:sz w:val="16"/>
                <w:szCs w:val="16"/>
              </w:rPr>
            </w:pPr>
            <w:r w:rsidRPr="006C7818">
              <w:rPr>
                <w:sz w:val="16"/>
                <w:szCs w:val="16"/>
              </w:rPr>
              <w:t>(0.0040)</w:t>
            </w:r>
          </w:p>
        </w:tc>
        <w:tc>
          <w:tcPr>
            <w:tcW w:w="584" w:type="pct"/>
            <w:tcBorders>
              <w:top w:val="nil"/>
              <w:left w:val="nil"/>
              <w:bottom w:val="nil"/>
              <w:right w:val="nil"/>
            </w:tcBorders>
          </w:tcPr>
          <w:p w14:paraId="2A1965B2" w14:textId="77777777" w:rsidR="0044273A" w:rsidRPr="006C7818" w:rsidRDefault="0044273A" w:rsidP="00B15C6C">
            <w:pPr>
              <w:widowControl w:val="0"/>
              <w:autoSpaceDE w:val="0"/>
              <w:autoSpaceDN w:val="0"/>
              <w:adjustRightInd w:val="0"/>
              <w:rPr>
                <w:sz w:val="16"/>
                <w:szCs w:val="16"/>
              </w:rPr>
            </w:pPr>
            <w:r w:rsidRPr="006C7818">
              <w:rPr>
                <w:sz w:val="16"/>
                <w:szCs w:val="16"/>
              </w:rPr>
              <w:t>(0.0145)</w:t>
            </w:r>
          </w:p>
        </w:tc>
        <w:tc>
          <w:tcPr>
            <w:tcW w:w="622" w:type="pct"/>
            <w:tcBorders>
              <w:top w:val="nil"/>
              <w:left w:val="nil"/>
              <w:bottom w:val="nil"/>
              <w:right w:val="nil"/>
            </w:tcBorders>
          </w:tcPr>
          <w:p w14:paraId="2B5F36AE" w14:textId="77777777" w:rsidR="0044273A" w:rsidRPr="006C7818" w:rsidRDefault="0044273A" w:rsidP="00B15C6C">
            <w:pPr>
              <w:widowControl w:val="0"/>
              <w:autoSpaceDE w:val="0"/>
              <w:autoSpaceDN w:val="0"/>
              <w:adjustRightInd w:val="0"/>
              <w:rPr>
                <w:sz w:val="16"/>
                <w:szCs w:val="16"/>
              </w:rPr>
            </w:pPr>
            <w:r w:rsidRPr="006C7818">
              <w:rPr>
                <w:rFonts w:ascii="Calibri" w:hAnsi="Calibri" w:cs="Calibri"/>
                <w:sz w:val="16"/>
                <w:szCs w:val="16"/>
              </w:rPr>
              <w:t>(0.0040)</w:t>
            </w:r>
          </w:p>
        </w:tc>
        <w:tc>
          <w:tcPr>
            <w:tcW w:w="719" w:type="pct"/>
            <w:tcBorders>
              <w:top w:val="nil"/>
              <w:left w:val="nil"/>
              <w:bottom w:val="nil"/>
              <w:right w:val="nil"/>
            </w:tcBorders>
          </w:tcPr>
          <w:p w14:paraId="7EC182F4" w14:textId="77777777" w:rsidR="0044273A" w:rsidRPr="006C7818" w:rsidRDefault="0044273A" w:rsidP="00B15C6C">
            <w:pPr>
              <w:widowControl w:val="0"/>
              <w:autoSpaceDE w:val="0"/>
              <w:autoSpaceDN w:val="0"/>
              <w:adjustRightInd w:val="0"/>
              <w:rPr>
                <w:sz w:val="16"/>
                <w:szCs w:val="16"/>
              </w:rPr>
            </w:pPr>
            <w:r w:rsidRPr="006C7818">
              <w:rPr>
                <w:sz w:val="16"/>
                <w:szCs w:val="16"/>
              </w:rPr>
              <w:t>(0.0040)</w:t>
            </w:r>
          </w:p>
        </w:tc>
        <w:tc>
          <w:tcPr>
            <w:tcW w:w="584" w:type="pct"/>
            <w:tcBorders>
              <w:top w:val="nil"/>
              <w:left w:val="nil"/>
              <w:bottom w:val="nil"/>
              <w:right w:val="nil"/>
            </w:tcBorders>
          </w:tcPr>
          <w:p w14:paraId="60C9D15C" w14:textId="77777777" w:rsidR="0044273A" w:rsidRPr="006C7818" w:rsidRDefault="0044273A" w:rsidP="00B15C6C">
            <w:pPr>
              <w:widowControl w:val="0"/>
              <w:autoSpaceDE w:val="0"/>
              <w:autoSpaceDN w:val="0"/>
              <w:adjustRightInd w:val="0"/>
              <w:rPr>
                <w:sz w:val="16"/>
                <w:szCs w:val="16"/>
              </w:rPr>
            </w:pPr>
            <w:r w:rsidRPr="006C7818">
              <w:rPr>
                <w:sz w:val="16"/>
                <w:szCs w:val="16"/>
              </w:rPr>
              <w:t>(0.0131)</w:t>
            </w:r>
          </w:p>
        </w:tc>
        <w:tc>
          <w:tcPr>
            <w:tcW w:w="584" w:type="pct"/>
            <w:tcBorders>
              <w:top w:val="nil"/>
              <w:left w:val="nil"/>
              <w:bottom w:val="nil"/>
              <w:right w:val="nil"/>
            </w:tcBorders>
          </w:tcPr>
          <w:p w14:paraId="3971A70A" w14:textId="77777777" w:rsidR="0044273A" w:rsidRPr="006C7818" w:rsidRDefault="0044273A" w:rsidP="00B15C6C">
            <w:pPr>
              <w:widowControl w:val="0"/>
              <w:autoSpaceDE w:val="0"/>
              <w:autoSpaceDN w:val="0"/>
              <w:adjustRightInd w:val="0"/>
              <w:rPr>
                <w:sz w:val="16"/>
                <w:szCs w:val="16"/>
              </w:rPr>
            </w:pPr>
            <w:r w:rsidRPr="006C7818">
              <w:rPr>
                <w:sz w:val="16"/>
                <w:szCs w:val="16"/>
              </w:rPr>
              <w:t>(0.0039)</w:t>
            </w:r>
          </w:p>
        </w:tc>
      </w:tr>
      <w:tr w:rsidR="0044273A" w:rsidRPr="006C7818" w14:paraId="7BA3C7CE" w14:textId="77777777" w:rsidTr="00B15C6C">
        <w:trPr>
          <w:jc w:val="center"/>
        </w:trPr>
        <w:tc>
          <w:tcPr>
            <w:tcW w:w="1188" w:type="pct"/>
            <w:tcBorders>
              <w:top w:val="nil"/>
              <w:left w:val="nil"/>
              <w:bottom w:val="nil"/>
              <w:right w:val="nil"/>
            </w:tcBorders>
          </w:tcPr>
          <w:p w14:paraId="2C1B073E" w14:textId="77777777" w:rsidR="0044273A" w:rsidRPr="006C7818" w:rsidRDefault="0044273A" w:rsidP="00B15C6C">
            <w:pPr>
              <w:widowControl w:val="0"/>
              <w:autoSpaceDE w:val="0"/>
              <w:autoSpaceDN w:val="0"/>
              <w:adjustRightInd w:val="0"/>
              <w:rPr>
                <w:sz w:val="16"/>
                <w:szCs w:val="16"/>
              </w:rPr>
            </w:pPr>
            <w:r w:rsidRPr="006C7818">
              <w:rPr>
                <w:b/>
                <w:sz w:val="16"/>
                <w:szCs w:val="16"/>
                <w:lang w:val="en-US"/>
              </w:rPr>
              <w:t>Home ownership</w:t>
            </w:r>
          </w:p>
        </w:tc>
        <w:tc>
          <w:tcPr>
            <w:tcW w:w="719" w:type="pct"/>
            <w:tcBorders>
              <w:top w:val="nil"/>
              <w:left w:val="nil"/>
              <w:bottom w:val="nil"/>
              <w:right w:val="nil"/>
            </w:tcBorders>
          </w:tcPr>
          <w:p w14:paraId="23F1A28D" w14:textId="77777777" w:rsidR="0044273A" w:rsidRPr="006C7818" w:rsidRDefault="0044273A" w:rsidP="00B15C6C">
            <w:pPr>
              <w:widowControl w:val="0"/>
              <w:autoSpaceDE w:val="0"/>
              <w:autoSpaceDN w:val="0"/>
              <w:adjustRightInd w:val="0"/>
              <w:rPr>
                <w:sz w:val="16"/>
                <w:szCs w:val="16"/>
              </w:rPr>
            </w:pPr>
            <w:r w:rsidRPr="006C7818">
              <w:rPr>
                <w:sz w:val="16"/>
                <w:szCs w:val="16"/>
              </w:rPr>
              <w:t>0.0898*</w:t>
            </w:r>
          </w:p>
        </w:tc>
        <w:tc>
          <w:tcPr>
            <w:tcW w:w="584" w:type="pct"/>
            <w:tcBorders>
              <w:top w:val="nil"/>
              <w:left w:val="nil"/>
              <w:bottom w:val="nil"/>
              <w:right w:val="nil"/>
            </w:tcBorders>
          </w:tcPr>
          <w:p w14:paraId="07F5CA93" w14:textId="77777777" w:rsidR="0044273A" w:rsidRPr="006C7818" w:rsidRDefault="0044273A" w:rsidP="00B15C6C">
            <w:pPr>
              <w:widowControl w:val="0"/>
              <w:autoSpaceDE w:val="0"/>
              <w:autoSpaceDN w:val="0"/>
              <w:adjustRightInd w:val="0"/>
              <w:rPr>
                <w:sz w:val="16"/>
                <w:szCs w:val="16"/>
              </w:rPr>
            </w:pPr>
            <w:r w:rsidRPr="006C7818">
              <w:rPr>
                <w:sz w:val="16"/>
                <w:szCs w:val="16"/>
              </w:rPr>
              <w:t>-0.0333</w:t>
            </w:r>
          </w:p>
        </w:tc>
        <w:tc>
          <w:tcPr>
            <w:tcW w:w="622" w:type="pct"/>
            <w:tcBorders>
              <w:top w:val="nil"/>
              <w:left w:val="nil"/>
              <w:bottom w:val="nil"/>
              <w:right w:val="nil"/>
            </w:tcBorders>
          </w:tcPr>
          <w:p w14:paraId="7B692A96" w14:textId="77777777" w:rsidR="0044273A" w:rsidRPr="006C7818" w:rsidRDefault="0044273A" w:rsidP="00B15C6C">
            <w:pPr>
              <w:widowControl w:val="0"/>
              <w:autoSpaceDE w:val="0"/>
              <w:autoSpaceDN w:val="0"/>
              <w:adjustRightInd w:val="0"/>
              <w:rPr>
                <w:sz w:val="16"/>
                <w:szCs w:val="16"/>
              </w:rPr>
            </w:pPr>
            <w:r w:rsidRPr="006C7818">
              <w:rPr>
                <w:rFonts w:ascii="Calibri" w:hAnsi="Calibri" w:cs="Calibri"/>
                <w:sz w:val="16"/>
                <w:szCs w:val="16"/>
              </w:rPr>
              <w:t>0.0461</w:t>
            </w:r>
          </w:p>
        </w:tc>
        <w:tc>
          <w:tcPr>
            <w:tcW w:w="719" w:type="pct"/>
            <w:tcBorders>
              <w:top w:val="nil"/>
              <w:left w:val="nil"/>
              <w:bottom w:val="nil"/>
              <w:right w:val="nil"/>
            </w:tcBorders>
          </w:tcPr>
          <w:p w14:paraId="0C93BDBF" w14:textId="77777777" w:rsidR="0044273A" w:rsidRPr="006C7818" w:rsidRDefault="0044273A" w:rsidP="00B15C6C">
            <w:pPr>
              <w:widowControl w:val="0"/>
              <w:autoSpaceDE w:val="0"/>
              <w:autoSpaceDN w:val="0"/>
              <w:adjustRightInd w:val="0"/>
              <w:rPr>
                <w:sz w:val="16"/>
                <w:szCs w:val="16"/>
              </w:rPr>
            </w:pPr>
            <w:r w:rsidRPr="006C7818">
              <w:rPr>
                <w:sz w:val="16"/>
                <w:szCs w:val="16"/>
              </w:rPr>
              <w:t>0.0816*</w:t>
            </w:r>
          </w:p>
        </w:tc>
        <w:tc>
          <w:tcPr>
            <w:tcW w:w="584" w:type="pct"/>
            <w:tcBorders>
              <w:top w:val="nil"/>
              <w:left w:val="nil"/>
              <w:bottom w:val="nil"/>
              <w:right w:val="nil"/>
            </w:tcBorders>
          </w:tcPr>
          <w:p w14:paraId="1AE3089A" w14:textId="77777777" w:rsidR="0044273A" w:rsidRPr="006C7818" w:rsidRDefault="0044273A" w:rsidP="00B15C6C">
            <w:pPr>
              <w:widowControl w:val="0"/>
              <w:autoSpaceDE w:val="0"/>
              <w:autoSpaceDN w:val="0"/>
              <w:adjustRightInd w:val="0"/>
              <w:rPr>
                <w:sz w:val="16"/>
                <w:szCs w:val="16"/>
              </w:rPr>
            </w:pPr>
            <w:r w:rsidRPr="006C7818">
              <w:rPr>
                <w:sz w:val="16"/>
                <w:szCs w:val="16"/>
              </w:rPr>
              <w:t>-0.0181</w:t>
            </w:r>
          </w:p>
        </w:tc>
        <w:tc>
          <w:tcPr>
            <w:tcW w:w="584" w:type="pct"/>
            <w:tcBorders>
              <w:top w:val="nil"/>
              <w:left w:val="nil"/>
              <w:bottom w:val="nil"/>
              <w:right w:val="nil"/>
            </w:tcBorders>
          </w:tcPr>
          <w:p w14:paraId="12CDC8FA" w14:textId="77777777" w:rsidR="0044273A" w:rsidRPr="006C7818" w:rsidRDefault="0044273A" w:rsidP="00B15C6C">
            <w:pPr>
              <w:widowControl w:val="0"/>
              <w:autoSpaceDE w:val="0"/>
              <w:autoSpaceDN w:val="0"/>
              <w:adjustRightInd w:val="0"/>
              <w:rPr>
                <w:sz w:val="16"/>
                <w:szCs w:val="16"/>
              </w:rPr>
            </w:pPr>
            <w:r w:rsidRPr="006C7818">
              <w:rPr>
                <w:sz w:val="16"/>
                <w:szCs w:val="16"/>
              </w:rPr>
              <w:t>0.0388</w:t>
            </w:r>
          </w:p>
        </w:tc>
      </w:tr>
      <w:tr w:rsidR="0044273A" w:rsidRPr="006C7818" w14:paraId="6A8BA992" w14:textId="77777777" w:rsidTr="00B15C6C">
        <w:trPr>
          <w:jc w:val="center"/>
        </w:trPr>
        <w:tc>
          <w:tcPr>
            <w:tcW w:w="1188" w:type="pct"/>
            <w:tcBorders>
              <w:top w:val="nil"/>
              <w:left w:val="nil"/>
              <w:bottom w:val="nil"/>
              <w:right w:val="nil"/>
            </w:tcBorders>
          </w:tcPr>
          <w:p w14:paraId="55351163" w14:textId="77777777" w:rsidR="0044273A" w:rsidRPr="006C7818" w:rsidRDefault="0044273A" w:rsidP="00B15C6C">
            <w:pPr>
              <w:widowControl w:val="0"/>
              <w:autoSpaceDE w:val="0"/>
              <w:autoSpaceDN w:val="0"/>
              <w:adjustRightInd w:val="0"/>
              <w:rPr>
                <w:sz w:val="16"/>
                <w:szCs w:val="16"/>
              </w:rPr>
            </w:pPr>
          </w:p>
        </w:tc>
        <w:tc>
          <w:tcPr>
            <w:tcW w:w="719" w:type="pct"/>
            <w:tcBorders>
              <w:top w:val="nil"/>
              <w:left w:val="nil"/>
              <w:bottom w:val="nil"/>
              <w:right w:val="nil"/>
            </w:tcBorders>
          </w:tcPr>
          <w:p w14:paraId="6FE8DE00" w14:textId="77777777" w:rsidR="0044273A" w:rsidRPr="006C7818" w:rsidRDefault="0044273A" w:rsidP="00B15C6C">
            <w:pPr>
              <w:widowControl w:val="0"/>
              <w:autoSpaceDE w:val="0"/>
              <w:autoSpaceDN w:val="0"/>
              <w:adjustRightInd w:val="0"/>
              <w:rPr>
                <w:sz w:val="16"/>
                <w:szCs w:val="16"/>
              </w:rPr>
            </w:pPr>
            <w:r w:rsidRPr="006C7818">
              <w:rPr>
                <w:sz w:val="16"/>
                <w:szCs w:val="16"/>
              </w:rPr>
              <w:t>(0.0473)</w:t>
            </w:r>
          </w:p>
        </w:tc>
        <w:tc>
          <w:tcPr>
            <w:tcW w:w="584" w:type="pct"/>
            <w:tcBorders>
              <w:top w:val="nil"/>
              <w:left w:val="nil"/>
              <w:bottom w:val="nil"/>
              <w:right w:val="nil"/>
            </w:tcBorders>
          </w:tcPr>
          <w:p w14:paraId="53999A70" w14:textId="77777777" w:rsidR="0044273A" w:rsidRPr="006C7818" w:rsidRDefault="0044273A" w:rsidP="00B15C6C">
            <w:pPr>
              <w:widowControl w:val="0"/>
              <w:autoSpaceDE w:val="0"/>
              <w:autoSpaceDN w:val="0"/>
              <w:adjustRightInd w:val="0"/>
              <w:rPr>
                <w:sz w:val="16"/>
                <w:szCs w:val="16"/>
              </w:rPr>
            </w:pPr>
            <w:r w:rsidRPr="006C7818">
              <w:rPr>
                <w:sz w:val="16"/>
                <w:szCs w:val="16"/>
              </w:rPr>
              <w:t>(0.1558)</w:t>
            </w:r>
          </w:p>
        </w:tc>
        <w:tc>
          <w:tcPr>
            <w:tcW w:w="622" w:type="pct"/>
            <w:tcBorders>
              <w:top w:val="nil"/>
              <w:left w:val="nil"/>
              <w:bottom w:val="nil"/>
              <w:right w:val="nil"/>
            </w:tcBorders>
          </w:tcPr>
          <w:p w14:paraId="46C69F04" w14:textId="77777777" w:rsidR="0044273A" w:rsidRPr="006C7818" w:rsidRDefault="0044273A" w:rsidP="00B15C6C">
            <w:pPr>
              <w:widowControl w:val="0"/>
              <w:autoSpaceDE w:val="0"/>
              <w:autoSpaceDN w:val="0"/>
              <w:adjustRightInd w:val="0"/>
              <w:rPr>
                <w:sz w:val="16"/>
                <w:szCs w:val="16"/>
              </w:rPr>
            </w:pPr>
            <w:r w:rsidRPr="006C7818">
              <w:rPr>
                <w:rFonts w:ascii="Calibri" w:hAnsi="Calibri" w:cs="Calibri"/>
                <w:sz w:val="16"/>
                <w:szCs w:val="16"/>
              </w:rPr>
              <w:t>(0.0446)</w:t>
            </w:r>
          </w:p>
        </w:tc>
        <w:tc>
          <w:tcPr>
            <w:tcW w:w="719" w:type="pct"/>
            <w:tcBorders>
              <w:top w:val="nil"/>
              <w:left w:val="nil"/>
              <w:bottom w:val="nil"/>
              <w:right w:val="nil"/>
            </w:tcBorders>
          </w:tcPr>
          <w:p w14:paraId="4CCF3E9C" w14:textId="77777777" w:rsidR="0044273A" w:rsidRPr="006C7818" w:rsidRDefault="0044273A" w:rsidP="00B15C6C">
            <w:pPr>
              <w:widowControl w:val="0"/>
              <w:autoSpaceDE w:val="0"/>
              <w:autoSpaceDN w:val="0"/>
              <w:adjustRightInd w:val="0"/>
              <w:rPr>
                <w:sz w:val="16"/>
                <w:szCs w:val="16"/>
              </w:rPr>
            </w:pPr>
            <w:r w:rsidRPr="006C7818">
              <w:rPr>
                <w:sz w:val="16"/>
                <w:szCs w:val="16"/>
              </w:rPr>
              <w:t>(0.0470)</w:t>
            </w:r>
          </w:p>
        </w:tc>
        <w:tc>
          <w:tcPr>
            <w:tcW w:w="584" w:type="pct"/>
            <w:tcBorders>
              <w:top w:val="nil"/>
              <w:left w:val="nil"/>
              <w:bottom w:val="nil"/>
              <w:right w:val="nil"/>
            </w:tcBorders>
          </w:tcPr>
          <w:p w14:paraId="45A1BE90" w14:textId="77777777" w:rsidR="0044273A" w:rsidRPr="006C7818" w:rsidRDefault="0044273A" w:rsidP="00B15C6C">
            <w:pPr>
              <w:widowControl w:val="0"/>
              <w:autoSpaceDE w:val="0"/>
              <w:autoSpaceDN w:val="0"/>
              <w:adjustRightInd w:val="0"/>
              <w:rPr>
                <w:sz w:val="16"/>
                <w:szCs w:val="16"/>
              </w:rPr>
            </w:pPr>
            <w:r w:rsidRPr="006C7818">
              <w:rPr>
                <w:sz w:val="16"/>
                <w:szCs w:val="16"/>
              </w:rPr>
              <w:t>(0.1449)</w:t>
            </w:r>
          </w:p>
        </w:tc>
        <w:tc>
          <w:tcPr>
            <w:tcW w:w="584" w:type="pct"/>
            <w:tcBorders>
              <w:top w:val="nil"/>
              <w:left w:val="nil"/>
              <w:bottom w:val="nil"/>
              <w:right w:val="nil"/>
            </w:tcBorders>
          </w:tcPr>
          <w:p w14:paraId="6918769F" w14:textId="77777777" w:rsidR="0044273A" w:rsidRPr="006C7818" w:rsidRDefault="0044273A" w:rsidP="00B15C6C">
            <w:pPr>
              <w:widowControl w:val="0"/>
              <w:autoSpaceDE w:val="0"/>
              <w:autoSpaceDN w:val="0"/>
              <w:adjustRightInd w:val="0"/>
              <w:rPr>
                <w:sz w:val="16"/>
                <w:szCs w:val="16"/>
              </w:rPr>
            </w:pPr>
            <w:r w:rsidRPr="006C7818">
              <w:rPr>
                <w:sz w:val="16"/>
                <w:szCs w:val="16"/>
              </w:rPr>
              <w:t>(0.0447)</w:t>
            </w:r>
          </w:p>
        </w:tc>
      </w:tr>
      <w:tr w:rsidR="0044273A" w:rsidRPr="006C7818" w14:paraId="6D488F68" w14:textId="77777777" w:rsidTr="00B15C6C">
        <w:trPr>
          <w:jc w:val="center"/>
        </w:trPr>
        <w:tc>
          <w:tcPr>
            <w:tcW w:w="1188" w:type="pct"/>
            <w:tcBorders>
              <w:top w:val="nil"/>
              <w:left w:val="nil"/>
              <w:bottom w:val="nil"/>
              <w:right w:val="nil"/>
            </w:tcBorders>
          </w:tcPr>
          <w:p w14:paraId="0AF530E4" w14:textId="77777777" w:rsidR="0044273A" w:rsidRPr="006C7818" w:rsidRDefault="0044273A" w:rsidP="00B15C6C">
            <w:pPr>
              <w:widowControl w:val="0"/>
              <w:autoSpaceDE w:val="0"/>
              <w:autoSpaceDN w:val="0"/>
              <w:adjustRightInd w:val="0"/>
              <w:rPr>
                <w:sz w:val="16"/>
                <w:szCs w:val="16"/>
              </w:rPr>
            </w:pPr>
            <w:r w:rsidRPr="006C7818">
              <w:rPr>
                <w:b/>
                <w:sz w:val="16"/>
                <w:szCs w:val="16"/>
                <w:lang w:val="en-US"/>
              </w:rPr>
              <w:t>Good health</w:t>
            </w:r>
          </w:p>
        </w:tc>
        <w:tc>
          <w:tcPr>
            <w:tcW w:w="719" w:type="pct"/>
            <w:tcBorders>
              <w:top w:val="nil"/>
              <w:left w:val="nil"/>
              <w:bottom w:val="nil"/>
              <w:right w:val="nil"/>
            </w:tcBorders>
          </w:tcPr>
          <w:p w14:paraId="7B614F0D" w14:textId="77777777" w:rsidR="0044273A" w:rsidRPr="006C7818" w:rsidRDefault="0044273A" w:rsidP="00B15C6C">
            <w:pPr>
              <w:widowControl w:val="0"/>
              <w:autoSpaceDE w:val="0"/>
              <w:autoSpaceDN w:val="0"/>
              <w:adjustRightInd w:val="0"/>
              <w:rPr>
                <w:sz w:val="16"/>
                <w:szCs w:val="16"/>
              </w:rPr>
            </w:pPr>
            <w:r w:rsidRPr="006C7818">
              <w:rPr>
                <w:sz w:val="16"/>
                <w:szCs w:val="16"/>
              </w:rPr>
              <w:t>0.0958**</w:t>
            </w:r>
          </w:p>
        </w:tc>
        <w:tc>
          <w:tcPr>
            <w:tcW w:w="584" w:type="pct"/>
            <w:tcBorders>
              <w:top w:val="nil"/>
              <w:left w:val="nil"/>
              <w:bottom w:val="nil"/>
              <w:right w:val="nil"/>
            </w:tcBorders>
          </w:tcPr>
          <w:p w14:paraId="5F2296B7" w14:textId="77777777" w:rsidR="0044273A" w:rsidRPr="006C7818" w:rsidRDefault="0044273A" w:rsidP="00B15C6C">
            <w:pPr>
              <w:widowControl w:val="0"/>
              <w:autoSpaceDE w:val="0"/>
              <w:autoSpaceDN w:val="0"/>
              <w:adjustRightInd w:val="0"/>
              <w:rPr>
                <w:sz w:val="16"/>
                <w:szCs w:val="16"/>
              </w:rPr>
            </w:pPr>
            <w:r w:rsidRPr="006C7818">
              <w:rPr>
                <w:sz w:val="16"/>
                <w:szCs w:val="16"/>
              </w:rPr>
              <w:t>0.6657***</w:t>
            </w:r>
          </w:p>
        </w:tc>
        <w:tc>
          <w:tcPr>
            <w:tcW w:w="622" w:type="pct"/>
            <w:tcBorders>
              <w:top w:val="nil"/>
              <w:left w:val="nil"/>
              <w:bottom w:val="nil"/>
              <w:right w:val="nil"/>
            </w:tcBorders>
          </w:tcPr>
          <w:p w14:paraId="4CFCC106" w14:textId="77777777" w:rsidR="0044273A" w:rsidRPr="006C7818" w:rsidRDefault="0044273A" w:rsidP="00B15C6C">
            <w:pPr>
              <w:widowControl w:val="0"/>
              <w:autoSpaceDE w:val="0"/>
              <w:autoSpaceDN w:val="0"/>
              <w:adjustRightInd w:val="0"/>
              <w:rPr>
                <w:sz w:val="16"/>
                <w:szCs w:val="16"/>
              </w:rPr>
            </w:pPr>
            <w:r w:rsidRPr="006C7818">
              <w:rPr>
                <w:rFonts w:ascii="Calibri" w:hAnsi="Calibri" w:cs="Calibri"/>
                <w:sz w:val="16"/>
                <w:szCs w:val="16"/>
              </w:rPr>
              <w:t>0.0519</w:t>
            </w:r>
          </w:p>
        </w:tc>
        <w:tc>
          <w:tcPr>
            <w:tcW w:w="719" w:type="pct"/>
            <w:tcBorders>
              <w:top w:val="nil"/>
              <w:left w:val="nil"/>
              <w:bottom w:val="nil"/>
              <w:right w:val="nil"/>
            </w:tcBorders>
          </w:tcPr>
          <w:p w14:paraId="1785D527" w14:textId="77777777" w:rsidR="0044273A" w:rsidRPr="006C7818" w:rsidRDefault="0044273A" w:rsidP="00B15C6C">
            <w:pPr>
              <w:widowControl w:val="0"/>
              <w:autoSpaceDE w:val="0"/>
              <w:autoSpaceDN w:val="0"/>
              <w:adjustRightInd w:val="0"/>
              <w:rPr>
                <w:sz w:val="16"/>
                <w:szCs w:val="16"/>
              </w:rPr>
            </w:pPr>
            <w:r w:rsidRPr="006C7818">
              <w:rPr>
                <w:sz w:val="16"/>
                <w:szCs w:val="16"/>
              </w:rPr>
              <w:t>0.0923**</w:t>
            </w:r>
          </w:p>
        </w:tc>
        <w:tc>
          <w:tcPr>
            <w:tcW w:w="584" w:type="pct"/>
            <w:tcBorders>
              <w:top w:val="nil"/>
              <w:left w:val="nil"/>
              <w:bottom w:val="nil"/>
              <w:right w:val="nil"/>
            </w:tcBorders>
          </w:tcPr>
          <w:p w14:paraId="044F0812" w14:textId="77777777" w:rsidR="0044273A" w:rsidRPr="006C7818" w:rsidRDefault="0044273A" w:rsidP="00B15C6C">
            <w:pPr>
              <w:widowControl w:val="0"/>
              <w:autoSpaceDE w:val="0"/>
              <w:autoSpaceDN w:val="0"/>
              <w:adjustRightInd w:val="0"/>
              <w:rPr>
                <w:sz w:val="16"/>
                <w:szCs w:val="16"/>
              </w:rPr>
            </w:pPr>
            <w:r w:rsidRPr="006C7818">
              <w:rPr>
                <w:sz w:val="16"/>
                <w:szCs w:val="16"/>
              </w:rPr>
              <w:t>0.6313***</w:t>
            </w:r>
          </w:p>
        </w:tc>
        <w:tc>
          <w:tcPr>
            <w:tcW w:w="584" w:type="pct"/>
            <w:tcBorders>
              <w:top w:val="nil"/>
              <w:left w:val="nil"/>
              <w:bottom w:val="nil"/>
              <w:right w:val="nil"/>
            </w:tcBorders>
          </w:tcPr>
          <w:p w14:paraId="66F55847" w14:textId="77777777" w:rsidR="0044273A" w:rsidRPr="006C7818" w:rsidRDefault="0044273A" w:rsidP="00B15C6C">
            <w:pPr>
              <w:widowControl w:val="0"/>
              <w:autoSpaceDE w:val="0"/>
              <w:autoSpaceDN w:val="0"/>
              <w:adjustRightInd w:val="0"/>
              <w:rPr>
                <w:sz w:val="16"/>
                <w:szCs w:val="16"/>
              </w:rPr>
            </w:pPr>
            <w:r w:rsidRPr="006C7818">
              <w:rPr>
                <w:sz w:val="16"/>
                <w:szCs w:val="16"/>
              </w:rPr>
              <w:t>0.0480</w:t>
            </w:r>
          </w:p>
        </w:tc>
      </w:tr>
      <w:tr w:rsidR="0044273A" w:rsidRPr="006C7818" w14:paraId="022DBA13" w14:textId="77777777" w:rsidTr="00B15C6C">
        <w:trPr>
          <w:jc w:val="center"/>
        </w:trPr>
        <w:tc>
          <w:tcPr>
            <w:tcW w:w="1188" w:type="pct"/>
            <w:tcBorders>
              <w:top w:val="nil"/>
              <w:left w:val="nil"/>
              <w:bottom w:val="nil"/>
              <w:right w:val="nil"/>
            </w:tcBorders>
          </w:tcPr>
          <w:p w14:paraId="13B26D0A" w14:textId="77777777" w:rsidR="0044273A" w:rsidRPr="006C7818" w:rsidRDefault="0044273A" w:rsidP="00B15C6C">
            <w:pPr>
              <w:widowControl w:val="0"/>
              <w:autoSpaceDE w:val="0"/>
              <w:autoSpaceDN w:val="0"/>
              <w:adjustRightInd w:val="0"/>
              <w:rPr>
                <w:sz w:val="16"/>
                <w:szCs w:val="16"/>
              </w:rPr>
            </w:pPr>
          </w:p>
        </w:tc>
        <w:tc>
          <w:tcPr>
            <w:tcW w:w="719" w:type="pct"/>
            <w:tcBorders>
              <w:top w:val="nil"/>
              <w:left w:val="nil"/>
              <w:bottom w:val="nil"/>
              <w:right w:val="nil"/>
            </w:tcBorders>
          </w:tcPr>
          <w:p w14:paraId="3F0DCD9C" w14:textId="77777777" w:rsidR="0044273A" w:rsidRPr="006C7818" w:rsidRDefault="0044273A" w:rsidP="00B15C6C">
            <w:pPr>
              <w:widowControl w:val="0"/>
              <w:autoSpaceDE w:val="0"/>
              <w:autoSpaceDN w:val="0"/>
              <w:adjustRightInd w:val="0"/>
              <w:rPr>
                <w:sz w:val="16"/>
                <w:szCs w:val="16"/>
              </w:rPr>
            </w:pPr>
            <w:r w:rsidRPr="006C7818">
              <w:rPr>
                <w:sz w:val="16"/>
                <w:szCs w:val="16"/>
              </w:rPr>
              <w:t>(0.0469)</w:t>
            </w:r>
          </w:p>
        </w:tc>
        <w:tc>
          <w:tcPr>
            <w:tcW w:w="584" w:type="pct"/>
            <w:tcBorders>
              <w:top w:val="nil"/>
              <w:left w:val="nil"/>
              <w:bottom w:val="nil"/>
              <w:right w:val="nil"/>
            </w:tcBorders>
          </w:tcPr>
          <w:p w14:paraId="0F959D43" w14:textId="77777777" w:rsidR="0044273A" w:rsidRPr="006C7818" w:rsidRDefault="0044273A" w:rsidP="00B15C6C">
            <w:pPr>
              <w:widowControl w:val="0"/>
              <w:autoSpaceDE w:val="0"/>
              <w:autoSpaceDN w:val="0"/>
              <w:adjustRightInd w:val="0"/>
              <w:rPr>
                <w:sz w:val="16"/>
                <w:szCs w:val="16"/>
              </w:rPr>
            </w:pPr>
            <w:r w:rsidRPr="006C7818">
              <w:rPr>
                <w:sz w:val="16"/>
                <w:szCs w:val="16"/>
              </w:rPr>
              <w:t>(0.1815)</w:t>
            </w:r>
          </w:p>
        </w:tc>
        <w:tc>
          <w:tcPr>
            <w:tcW w:w="622" w:type="pct"/>
            <w:tcBorders>
              <w:top w:val="nil"/>
              <w:left w:val="nil"/>
              <w:bottom w:val="nil"/>
              <w:right w:val="nil"/>
            </w:tcBorders>
          </w:tcPr>
          <w:p w14:paraId="79BEC0AB" w14:textId="77777777" w:rsidR="0044273A" w:rsidRPr="006C7818" w:rsidRDefault="0044273A" w:rsidP="00B15C6C">
            <w:pPr>
              <w:widowControl w:val="0"/>
              <w:autoSpaceDE w:val="0"/>
              <w:autoSpaceDN w:val="0"/>
              <w:adjustRightInd w:val="0"/>
              <w:rPr>
                <w:sz w:val="16"/>
                <w:szCs w:val="16"/>
              </w:rPr>
            </w:pPr>
            <w:r w:rsidRPr="006C7818">
              <w:rPr>
                <w:rFonts w:ascii="Calibri" w:hAnsi="Calibri" w:cs="Calibri"/>
                <w:sz w:val="16"/>
                <w:szCs w:val="16"/>
              </w:rPr>
              <w:t>(0.0453)</w:t>
            </w:r>
          </w:p>
        </w:tc>
        <w:tc>
          <w:tcPr>
            <w:tcW w:w="719" w:type="pct"/>
            <w:tcBorders>
              <w:top w:val="nil"/>
              <w:left w:val="nil"/>
              <w:bottom w:val="nil"/>
              <w:right w:val="nil"/>
            </w:tcBorders>
          </w:tcPr>
          <w:p w14:paraId="25F25C34" w14:textId="77777777" w:rsidR="0044273A" w:rsidRPr="006C7818" w:rsidRDefault="0044273A" w:rsidP="00B15C6C">
            <w:pPr>
              <w:widowControl w:val="0"/>
              <w:autoSpaceDE w:val="0"/>
              <w:autoSpaceDN w:val="0"/>
              <w:adjustRightInd w:val="0"/>
              <w:rPr>
                <w:sz w:val="16"/>
                <w:szCs w:val="16"/>
              </w:rPr>
            </w:pPr>
            <w:r w:rsidRPr="006C7818">
              <w:rPr>
                <w:sz w:val="16"/>
                <w:szCs w:val="16"/>
              </w:rPr>
              <w:t>(0.0469)</w:t>
            </w:r>
          </w:p>
        </w:tc>
        <w:tc>
          <w:tcPr>
            <w:tcW w:w="584" w:type="pct"/>
            <w:tcBorders>
              <w:top w:val="nil"/>
              <w:left w:val="nil"/>
              <w:bottom w:val="nil"/>
              <w:right w:val="nil"/>
            </w:tcBorders>
          </w:tcPr>
          <w:p w14:paraId="5DC808F0" w14:textId="77777777" w:rsidR="0044273A" w:rsidRPr="006C7818" w:rsidRDefault="0044273A" w:rsidP="00B15C6C">
            <w:pPr>
              <w:widowControl w:val="0"/>
              <w:autoSpaceDE w:val="0"/>
              <w:autoSpaceDN w:val="0"/>
              <w:adjustRightInd w:val="0"/>
              <w:rPr>
                <w:sz w:val="16"/>
                <w:szCs w:val="16"/>
              </w:rPr>
            </w:pPr>
            <w:r w:rsidRPr="006C7818">
              <w:rPr>
                <w:sz w:val="16"/>
                <w:szCs w:val="16"/>
              </w:rPr>
              <w:t>(0.1651)</w:t>
            </w:r>
          </w:p>
        </w:tc>
        <w:tc>
          <w:tcPr>
            <w:tcW w:w="584" w:type="pct"/>
            <w:tcBorders>
              <w:top w:val="nil"/>
              <w:left w:val="nil"/>
              <w:bottom w:val="nil"/>
              <w:right w:val="nil"/>
            </w:tcBorders>
          </w:tcPr>
          <w:p w14:paraId="5E0BB50E" w14:textId="77777777" w:rsidR="0044273A" w:rsidRPr="006C7818" w:rsidRDefault="0044273A" w:rsidP="00B15C6C">
            <w:pPr>
              <w:widowControl w:val="0"/>
              <w:autoSpaceDE w:val="0"/>
              <w:autoSpaceDN w:val="0"/>
              <w:adjustRightInd w:val="0"/>
              <w:rPr>
                <w:sz w:val="16"/>
                <w:szCs w:val="16"/>
              </w:rPr>
            </w:pPr>
            <w:r w:rsidRPr="006C7818">
              <w:rPr>
                <w:sz w:val="16"/>
                <w:szCs w:val="16"/>
              </w:rPr>
              <w:t>(0.0454)</w:t>
            </w:r>
          </w:p>
        </w:tc>
      </w:tr>
      <w:tr w:rsidR="0044273A" w:rsidRPr="006C7818" w14:paraId="4402938B" w14:textId="77777777" w:rsidTr="00B15C6C">
        <w:trPr>
          <w:jc w:val="center"/>
        </w:trPr>
        <w:tc>
          <w:tcPr>
            <w:tcW w:w="1188" w:type="pct"/>
            <w:tcBorders>
              <w:top w:val="nil"/>
              <w:left w:val="nil"/>
              <w:bottom w:val="nil"/>
              <w:right w:val="nil"/>
            </w:tcBorders>
          </w:tcPr>
          <w:p w14:paraId="2F48122B" w14:textId="77777777" w:rsidR="0044273A" w:rsidRPr="006C7818" w:rsidRDefault="0044273A" w:rsidP="00B15C6C">
            <w:pPr>
              <w:widowControl w:val="0"/>
              <w:autoSpaceDE w:val="0"/>
              <w:autoSpaceDN w:val="0"/>
              <w:adjustRightInd w:val="0"/>
              <w:rPr>
                <w:sz w:val="16"/>
                <w:szCs w:val="16"/>
              </w:rPr>
            </w:pPr>
            <w:r w:rsidRPr="006C7818">
              <w:rPr>
                <w:b/>
                <w:sz w:val="16"/>
                <w:szCs w:val="16"/>
                <w:lang w:val="en-US"/>
              </w:rPr>
              <w:t>Fair health</w:t>
            </w:r>
          </w:p>
        </w:tc>
        <w:tc>
          <w:tcPr>
            <w:tcW w:w="719" w:type="pct"/>
            <w:tcBorders>
              <w:top w:val="nil"/>
              <w:left w:val="nil"/>
              <w:bottom w:val="nil"/>
              <w:right w:val="nil"/>
            </w:tcBorders>
          </w:tcPr>
          <w:p w14:paraId="7AEDB5FD" w14:textId="77777777" w:rsidR="0044273A" w:rsidRPr="006C7818" w:rsidRDefault="0044273A" w:rsidP="00B15C6C">
            <w:pPr>
              <w:widowControl w:val="0"/>
              <w:autoSpaceDE w:val="0"/>
              <w:autoSpaceDN w:val="0"/>
              <w:adjustRightInd w:val="0"/>
              <w:rPr>
                <w:sz w:val="16"/>
                <w:szCs w:val="16"/>
              </w:rPr>
            </w:pPr>
            <w:r w:rsidRPr="006C7818">
              <w:rPr>
                <w:sz w:val="16"/>
                <w:szCs w:val="16"/>
              </w:rPr>
              <w:t>0.0307</w:t>
            </w:r>
          </w:p>
        </w:tc>
        <w:tc>
          <w:tcPr>
            <w:tcW w:w="584" w:type="pct"/>
            <w:tcBorders>
              <w:top w:val="nil"/>
              <w:left w:val="nil"/>
              <w:bottom w:val="nil"/>
              <w:right w:val="nil"/>
            </w:tcBorders>
          </w:tcPr>
          <w:p w14:paraId="0C6BAEDD" w14:textId="77777777" w:rsidR="0044273A" w:rsidRPr="006C7818" w:rsidRDefault="0044273A" w:rsidP="00B15C6C">
            <w:pPr>
              <w:widowControl w:val="0"/>
              <w:autoSpaceDE w:val="0"/>
              <w:autoSpaceDN w:val="0"/>
              <w:adjustRightInd w:val="0"/>
              <w:rPr>
                <w:sz w:val="16"/>
                <w:szCs w:val="16"/>
              </w:rPr>
            </w:pPr>
            <w:r w:rsidRPr="006C7818">
              <w:rPr>
                <w:sz w:val="16"/>
                <w:szCs w:val="16"/>
              </w:rPr>
              <w:t>0.2574*</w:t>
            </w:r>
          </w:p>
        </w:tc>
        <w:tc>
          <w:tcPr>
            <w:tcW w:w="622" w:type="pct"/>
            <w:tcBorders>
              <w:top w:val="nil"/>
              <w:left w:val="nil"/>
              <w:bottom w:val="nil"/>
              <w:right w:val="nil"/>
            </w:tcBorders>
          </w:tcPr>
          <w:p w14:paraId="1A2002D1" w14:textId="77777777" w:rsidR="0044273A" w:rsidRPr="006C7818" w:rsidRDefault="0044273A" w:rsidP="00B15C6C">
            <w:pPr>
              <w:widowControl w:val="0"/>
              <w:autoSpaceDE w:val="0"/>
              <w:autoSpaceDN w:val="0"/>
              <w:adjustRightInd w:val="0"/>
              <w:rPr>
                <w:sz w:val="16"/>
                <w:szCs w:val="16"/>
              </w:rPr>
            </w:pPr>
            <w:r w:rsidRPr="006C7818">
              <w:rPr>
                <w:rFonts w:ascii="Calibri" w:hAnsi="Calibri" w:cs="Calibri"/>
                <w:sz w:val="16"/>
                <w:szCs w:val="16"/>
              </w:rPr>
              <w:t>0.0335</w:t>
            </w:r>
          </w:p>
        </w:tc>
        <w:tc>
          <w:tcPr>
            <w:tcW w:w="719" w:type="pct"/>
            <w:tcBorders>
              <w:top w:val="nil"/>
              <w:left w:val="nil"/>
              <w:bottom w:val="nil"/>
              <w:right w:val="nil"/>
            </w:tcBorders>
          </w:tcPr>
          <w:p w14:paraId="5918DE0C" w14:textId="77777777" w:rsidR="0044273A" w:rsidRPr="006C7818" w:rsidRDefault="0044273A" w:rsidP="00B15C6C">
            <w:pPr>
              <w:widowControl w:val="0"/>
              <w:autoSpaceDE w:val="0"/>
              <w:autoSpaceDN w:val="0"/>
              <w:adjustRightInd w:val="0"/>
              <w:rPr>
                <w:sz w:val="16"/>
                <w:szCs w:val="16"/>
              </w:rPr>
            </w:pPr>
            <w:r w:rsidRPr="006C7818">
              <w:rPr>
                <w:sz w:val="16"/>
                <w:szCs w:val="16"/>
              </w:rPr>
              <w:t>0.0300</w:t>
            </w:r>
          </w:p>
        </w:tc>
        <w:tc>
          <w:tcPr>
            <w:tcW w:w="584" w:type="pct"/>
            <w:tcBorders>
              <w:top w:val="nil"/>
              <w:left w:val="nil"/>
              <w:bottom w:val="nil"/>
              <w:right w:val="nil"/>
            </w:tcBorders>
          </w:tcPr>
          <w:p w14:paraId="2A0B4F32" w14:textId="77777777" w:rsidR="0044273A" w:rsidRPr="006C7818" w:rsidRDefault="0044273A" w:rsidP="00B15C6C">
            <w:pPr>
              <w:widowControl w:val="0"/>
              <w:autoSpaceDE w:val="0"/>
              <w:autoSpaceDN w:val="0"/>
              <w:adjustRightInd w:val="0"/>
              <w:rPr>
                <w:sz w:val="16"/>
                <w:szCs w:val="16"/>
              </w:rPr>
            </w:pPr>
            <w:r w:rsidRPr="006C7818">
              <w:rPr>
                <w:sz w:val="16"/>
                <w:szCs w:val="16"/>
              </w:rPr>
              <w:t>0.2395*</w:t>
            </w:r>
          </w:p>
        </w:tc>
        <w:tc>
          <w:tcPr>
            <w:tcW w:w="584" w:type="pct"/>
            <w:tcBorders>
              <w:top w:val="nil"/>
              <w:left w:val="nil"/>
              <w:bottom w:val="nil"/>
              <w:right w:val="nil"/>
            </w:tcBorders>
          </w:tcPr>
          <w:p w14:paraId="0EEA0D08" w14:textId="77777777" w:rsidR="0044273A" w:rsidRPr="006C7818" w:rsidRDefault="0044273A" w:rsidP="00B15C6C">
            <w:pPr>
              <w:widowControl w:val="0"/>
              <w:autoSpaceDE w:val="0"/>
              <w:autoSpaceDN w:val="0"/>
              <w:adjustRightInd w:val="0"/>
              <w:rPr>
                <w:sz w:val="16"/>
                <w:szCs w:val="16"/>
              </w:rPr>
            </w:pPr>
            <w:r w:rsidRPr="006C7818">
              <w:rPr>
                <w:sz w:val="16"/>
                <w:szCs w:val="16"/>
              </w:rPr>
              <w:t>0.0323</w:t>
            </w:r>
          </w:p>
        </w:tc>
      </w:tr>
      <w:tr w:rsidR="0044273A" w:rsidRPr="006C7818" w14:paraId="35298BBD" w14:textId="77777777" w:rsidTr="00B15C6C">
        <w:trPr>
          <w:jc w:val="center"/>
        </w:trPr>
        <w:tc>
          <w:tcPr>
            <w:tcW w:w="1188" w:type="pct"/>
            <w:tcBorders>
              <w:top w:val="nil"/>
              <w:left w:val="nil"/>
              <w:bottom w:val="nil"/>
              <w:right w:val="nil"/>
            </w:tcBorders>
          </w:tcPr>
          <w:p w14:paraId="31E318B5" w14:textId="77777777" w:rsidR="0044273A" w:rsidRPr="006C7818" w:rsidRDefault="0044273A" w:rsidP="00B15C6C">
            <w:pPr>
              <w:widowControl w:val="0"/>
              <w:autoSpaceDE w:val="0"/>
              <w:autoSpaceDN w:val="0"/>
              <w:adjustRightInd w:val="0"/>
              <w:rPr>
                <w:sz w:val="16"/>
                <w:szCs w:val="16"/>
              </w:rPr>
            </w:pPr>
          </w:p>
        </w:tc>
        <w:tc>
          <w:tcPr>
            <w:tcW w:w="719" w:type="pct"/>
            <w:tcBorders>
              <w:top w:val="nil"/>
              <w:left w:val="nil"/>
              <w:bottom w:val="nil"/>
              <w:right w:val="nil"/>
            </w:tcBorders>
          </w:tcPr>
          <w:p w14:paraId="7037B017" w14:textId="77777777" w:rsidR="0044273A" w:rsidRPr="006C7818" w:rsidRDefault="0044273A" w:rsidP="00B15C6C">
            <w:pPr>
              <w:widowControl w:val="0"/>
              <w:autoSpaceDE w:val="0"/>
              <w:autoSpaceDN w:val="0"/>
              <w:adjustRightInd w:val="0"/>
              <w:rPr>
                <w:sz w:val="16"/>
                <w:szCs w:val="16"/>
              </w:rPr>
            </w:pPr>
            <w:r w:rsidRPr="006C7818">
              <w:rPr>
                <w:sz w:val="16"/>
                <w:szCs w:val="16"/>
              </w:rPr>
              <w:t>(0.0370)</w:t>
            </w:r>
          </w:p>
        </w:tc>
        <w:tc>
          <w:tcPr>
            <w:tcW w:w="584" w:type="pct"/>
            <w:tcBorders>
              <w:top w:val="nil"/>
              <w:left w:val="nil"/>
              <w:bottom w:val="nil"/>
              <w:right w:val="nil"/>
            </w:tcBorders>
          </w:tcPr>
          <w:p w14:paraId="236B687B" w14:textId="77777777" w:rsidR="0044273A" w:rsidRPr="006C7818" w:rsidRDefault="0044273A" w:rsidP="00B15C6C">
            <w:pPr>
              <w:widowControl w:val="0"/>
              <w:autoSpaceDE w:val="0"/>
              <w:autoSpaceDN w:val="0"/>
              <w:adjustRightInd w:val="0"/>
              <w:rPr>
                <w:sz w:val="16"/>
                <w:szCs w:val="16"/>
              </w:rPr>
            </w:pPr>
            <w:r w:rsidRPr="006C7818">
              <w:rPr>
                <w:sz w:val="16"/>
                <w:szCs w:val="16"/>
              </w:rPr>
              <w:t>(0.1557)</w:t>
            </w:r>
          </w:p>
        </w:tc>
        <w:tc>
          <w:tcPr>
            <w:tcW w:w="622" w:type="pct"/>
            <w:tcBorders>
              <w:top w:val="nil"/>
              <w:left w:val="nil"/>
              <w:bottom w:val="nil"/>
              <w:right w:val="nil"/>
            </w:tcBorders>
          </w:tcPr>
          <w:p w14:paraId="6A93EF8D" w14:textId="77777777" w:rsidR="0044273A" w:rsidRPr="006C7818" w:rsidRDefault="0044273A" w:rsidP="00B15C6C">
            <w:pPr>
              <w:widowControl w:val="0"/>
              <w:autoSpaceDE w:val="0"/>
              <w:autoSpaceDN w:val="0"/>
              <w:adjustRightInd w:val="0"/>
              <w:rPr>
                <w:sz w:val="16"/>
                <w:szCs w:val="16"/>
              </w:rPr>
            </w:pPr>
            <w:r w:rsidRPr="006C7818">
              <w:rPr>
                <w:rFonts w:ascii="Calibri" w:hAnsi="Calibri" w:cs="Calibri"/>
                <w:sz w:val="16"/>
                <w:szCs w:val="16"/>
              </w:rPr>
              <w:t>(0.0359)</w:t>
            </w:r>
          </w:p>
        </w:tc>
        <w:tc>
          <w:tcPr>
            <w:tcW w:w="719" w:type="pct"/>
            <w:tcBorders>
              <w:top w:val="nil"/>
              <w:left w:val="nil"/>
              <w:bottom w:val="nil"/>
              <w:right w:val="nil"/>
            </w:tcBorders>
          </w:tcPr>
          <w:p w14:paraId="4859EF41" w14:textId="77777777" w:rsidR="0044273A" w:rsidRPr="006C7818" w:rsidRDefault="0044273A" w:rsidP="00B15C6C">
            <w:pPr>
              <w:widowControl w:val="0"/>
              <w:autoSpaceDE w:val="0"/>
              <w:autoSpaceDN w:val="0"/>
              <w:adjustRightInd w:val="0"/>
              <w:rPr>
                <w:sz w:val="16"/>
                <w:szCs w:val="16"/>
              </w:rPr>
            </w:pPr>
            <w:r w:rsidRPr="006C7818">
              <w:rPr>
                <w:sz w:val="16"/>
                <w:szCs w:val="16"/>
              </w:rPr>
              <w:t>(0.0371)</w:t>
            </w:r>
          </w:p>
        </w:tc>
        <w:tc>
          <w:tcPr>
            <w:tcW w:w="584" w:type="pct"/>
            <w:tcBorders>
              <w:top w:val="nil"/>
              <w:left w:val="nil"/>
              <w:bottom w:val="nil"/>
              <w:right w:val="nil"/>
            </w:tcBorders>
          </w:tcPr>
          <w:p w14:paraId="3D3C7432" w14:textId="77777777" w:rsidR="0044273A" w:rsidRPr="006C7818" w:rsidRDefault="0044273A" w:rsidP="00B15C6C">
            <w:pPr>
              <w:widowControl w:val="0"/>
              <w:autoSpaceDE w:val="0"/>
              <w:autoSpaceDN w:val="0"/>
              <w:adjustRightInd w:val="0"/>
              <w:rPr>
                <w:sz w:val="16"/>
                <w:szCs w:val="16"/>
              </w:rPr>
            </w:pPr>
            <w:r w:rsidRPr="006C7818">
              <w:rPr>
                <w:sz w:val="16"/>
                <w:szCs w:val="16"/>
              </w:rPr>
              <w:t>(0.1408)</w:t>
            </w:r>
          </w:p>
        </w:tc>
        <w:tc>
          <w:tcPr>
            <w:tcW w:w="584" w:type="pct"/>
            <w:tcBorders>
              <w:top w:val="nil"/>
              <w:left w:val="nil"/>
              <w:bottom w:val="nil"/>
              <w:right w:val="nil"/>
            </w:tcBorders>
          </w:tcPr>
          <w:p w14:paraId="53426500" w14:textId="77777777" w:rsidR="0044273A" w:rsidRPr="006C7818" w:rsidRDefault="0044273A" w:rsidP="00B15C6C">
            <w:pPr>
              <w:widowControl w:val="0"/>
              <w:autoSpaceDE w:val="0"/>
              <w:autoSpaceDN w:val="0"/>
              <w:adjustRightInd w:val="0"/>
              <w:rPr>
                <w:sz w:val="16"/>
                <w:szCs w:val="16"/>
              </w:rPr>
            </w:pPr>
            <w:r w:rsidRPr="006C7818">
              <w:rPr>
                <w:sz w:val="16"/>
                <w:szCs w:val="16"/>
              </w:rPr>
              <w:t>(0.0360)</w:t>
            </w:r>
          </w:p>
        </w:tc>
      </w:tr>
      <w:tr w:rsidR="0044273A" w:rsidRPr="006C7818" w14:paraId="4DFFDD2D" w14:textId="77777777" w:rsidTr="00B15C6C">
        <w:trPr>
          <w:jc w:val="center"/>
        </w:trPr>
        <w:tc>
          <w:tcPr>
            <w:tcW w:w="1188" w:type="pct"/>
            <w:tcBorders>
              <w:top w:val="nil"/>
              <w:left w:val="nil"/>
              <w:bottom w:val="nil"/>
              <w:right w:val="nil"/>
            </w:tcBorders>
          </w:tcPr>
          <w:p w14:paraId="15E2AA3A" w14:textId="77777777" w:rsidR="0044273A" w:rsidRPr="006C7818" w:rsidRDefault="0044273A" w:rsidP="00B15C6C">
            <w:pPr>
              <w:widowControl w:val="0"/>
              <w:autoSpaceDE w:val="0"/>
              <w:autoSpaceDN w:val="0"/>
              <w:adjustRightInd w:val="0"/>
              <w:rPr>
                <w:sz w:val="16"/>
                <w:szCs w:val="16"/>
              </w:rPr>
            </w:pPr>
            <w:r w:rsidRPr="006C7818">
              <w:rPr>
                <w:b/>
                <w:bCs/>
                <w:sz w:val="16"/>
                <w:szCs w:val="16"/>
                <w:lang w:val="en-US"/>
              </w:rPr>
              <w:t xml:space="preserve">YoungMove0_16 </w:t>
            </w:r>
          </w:p>
        </w:tc>
        <w:tc>
          <w:tcPr>
            <w:tcW w:w="719" w:type="pct"/>
            <w:tcBorders>
              <w:top w:val="nil"/>
              <w:left w:val="nil"/>
              <w:bottom w:val="nil"/>
              <w:right w:val="nil"/>
            </w:tcBorders>
          </w:tcPr>
          <w:p w14:paraId="33A9415F" w14:textId="77777777" w:rsidR="0044273A" w:rsidRPr="006C7818" w:rsidRDefault="0044273A" w:rsidP="00B15C6C">
            <w:pPr>
              <w:widowControl w:val="0"/>
              <w:autoSpaceDE w:val="0"/>
              <w:autoSpaceDN w:val="0"/>
              <w:adjustRightInd w:val="0"/>
              <w:rPr>
                <w:sz w:val="16"/>
                <w:szCs w:val="16"/>
              </w:rPr>
            </w:pPr>
            <w:r w:rsidRPr="006C7818">
              <w:rPr>
                <w:sz w:val="16"/>
                <w:szCs w:val="16"/>
              </w:rPr>
              <w:t>-0.2604***</w:t>
            </w:r>
          </w:p>
        </w:tc>
        <w:tc>
          <w:tcPr>
            <w:tcW w:w="584" w:type="pct"/>
            <w:tcBorders>
              <w:top w:val="nil"/>
              <w:left w:val="nil"/>
              <w:bottom w:val="nil"/>
              <w:right w:val="nil"/>
            </w:tcBorders>
          </w:tcPr>
          <w:p w14:paraId="7F3DAC3B" w14:textId="77777777" w:rsidR="0044273A" w:rsidRPr="006C7818" w:rsidRDefault="0044273A" w:rsidP="00B15C6C">
            <w:pPr>
              <w:widowControl w:val="0"/>
              <w:autoSpaceDE w:val="0"/>
              <w:autoSpaceDN w:val="0"/>
              <w:adjustRightInd w:val="0"/>
              <w:rPr>
                <w:sz w:val="16"/>
                <w:szCs w:val="16"/>
              </w:rPr>
            </w:pPr>
            <w:r w:rsidRPr="006C7818">
              <w:rPr>
                <w:sz w:val="16"/>
                <w:szCs w:val="16"/>
              </w:rPr>
              <w:t>-0.3495*</w:t>
            </w:r>
          </w:p>
        </w:tc>
        <w:tc>
          <w:tcPr>
            <w:tcW w:w="622" w:type="pct"/>
            <w:tcBorders>
              <w:top w:val="nil"/>
              <w:left w:val="nil"/>
              <w:bottom w:val="nil"/>
              <w:right w:val="nil"/>
            </w:tcBorders>
          </w:tcPr>
          <w:p w14:paraId="7C0541A6" w14:textId="77777777" w:rsidR="0044273A" w:rsidRPr="006C7818" w:rsidRDefault="0044273A" w:rsidP="00B15C6C">
            <w:pPr>
              <w:widowControl w:val="0"/>
              <w:autoSpaceDE w:val="0"/>
              <w:autoSpaceDN w:val="0"/>
              <w:adjustRightInd w:val="0"/>
              <w:rPr>
                <w:sz w:val="16"/>
                <w:szCs w:val="16"/>
              </w:rPr>
            </w:pPr>
            <w:r w:rsidRPr="006C7818">
              <w:rPr>
                <w:rFonts w:ascii="Calibri" w:hAnsi="Calibri" w:cs="Calibri"/>
                <w:sz w:val="16"/>
                <w:szCs w:val="16"/>
              </w:rPr>
              <w:t>-0.2210***</w:t>
            </w:r>
          </w:p>
        </w:tc>
        <w:tc>
          <w:tcPr>
            <w:tcW w:w="719" w:type="pct"/>
            <w:tcBorders>
              <w:top w:val="nil"/>
              <w:left w:val="nil"/>
              <w:bottom w:val="nil"/>
              <w:right w:val="nil"/>
            </w:tcBorders>
          </w:tcPr>
          <w:p w14:paraId="70B484FF" w14:textId="77777777" w:rsidR="0044273A" w:rsidRPr="006C7818" w:rsidRDefault="0044273A" w:rsidP="00B15C6C">
            <w:pPr>
              <w:widowControl w:val="0"/>
              <w:autoSpaceDE w:val="0"/>
              <w:autoSpaceDN w:val="0"/>
              <w:adjustRightInd w:val="0"/>
              <w:rPr>
                <w:sz w:val="16"/>
                <w:szCs w:val="16"/>
              </w:rPr>
            </w:pPr>
            <w:r w:rsidRPr="006C7818">
              <w:rPr>
                <w:sz w:val="16"/>
                <w:szCs w:val="16"/>
              </w:rPr>
              <w:t>-0.0359</w:t>
            </w:r>
          </w:p>
        </w:tc>
        <w:tc>
          <w:tcPr>
            <w:tcW w:w="584" w:type="pct"/>
            <w:tcBorders>
              <w:top w:val="nil"/>
              <w:left w:val="nil"/>
              <w:bottom w:val="nil"/>
              <w:right w:val="nil"/>
            </w:tcBorders>
          </w:tcPr>
          <w:p w14:paraId="585F290A" w14:textId="77777777" w:rsidR="0044273A" w:rsidRPr="006C7818" w:rsidRDefault="0044273A" w:rsidP="00B15C6C">
            <w:pPr>
              <w:widowControl w:val="0"/>
              <w:autoSpaceDE w:val="0"/>
              <w:autoSpaceDN w:val="0"/>
              <w:adjustRightInd w:val="0"/>
              <w:rPr>
                <w:sz w:val="16"/>
                <w:szCs w:val="16"/>
              </w:rPr>
            </w:pPr>
            <w:r w:rsidRPr="006C7818">
              <w:rPr>
                <w:sz w:val="16"/>
                <w:szCs w:val="16"/>
              </w:rPr>
              <w:t>-0.1560</w:t>
            </w:r>
          </w:p>
        </w:tc>
        <w:tc>
          <w:tcPr>
            <w:tcW w:w="584" w:type="pct"/>
            <w:tcBorders>
              <w:top w:val="nil"/>
              <w:left w:val="nil"/>
              <w:bottom w:val="nil"/>
              <w:right w:val="nil"/>
            </w:tcBorders>
          </w:tcPr>
          <w:p w14:paraId="55B64EF4" w14:textId="77777777" w:rsidR="0044273A" w:rsidRPr="006C7818" w:rsidRDefault="0044273A" w:rsidP="00B15C6C">
            <w:pPr>
              <w:widowControl w:val="0"/>
              <w:autoSpaceDE w:val="0"/>
              <w:autoSpaceDN w:val="0"/>
              <w:adjustRightInd w:val="0"/>
              <w:rPr>
                <w:sz w:val="16"/>
                <w:szCs w:val="16"/>
              </w:rPr>
            </w:pPr>
            <w:r w:rsidRPr="006C7818">
              <w:rPr>
                <w:sz w:val="16"/>
                <w:szCs w:val="16"/>
              </w:rPr>
              <w:t>0.0059</w:t>
            </w:r>
          </w:p>
        </w:tc>
      </w:tr>
      <w:tr w:rsidR="0044273A" w:rsidRPr="006C7818" w14:paraId="477A62C8" w14:textId="77777777" w:rsidTr="00B15C6C">
        <w:trPr>
          <w:jc w:val="center"/>
        </w:trPr>
        <w:tc>
          <w:tcPr>
            <w:tcW w:w="1188" w:type="pct"/>
            <w:tcBorders>
              <w:top w:val="nil"/>
              <w:left w:val="nil"/>
              <w:bottom w:val="nil"/>
              <w:right w:val="nil"/>
            </w:tcBorders>
          </w:tcPr>
          <w:p w14:paraId="6BD4EED2" w14:textId="77777777" w:rsidR="0044273A" w:rsidRPr="006C7818" w:rsidRDefault="0044273A" w:rsidP="00B15C6C">
            <w:pPr>
              <w:widowControl w:val="0"/>
              <w:autoSpaceDE w:val="0"/>
              <w:autoSpaceDN w:val="0"/>
              <w:adjustRightInd w:val="0"/>
              <w:rPr>
                <w:sz w:val="16"/>
                <w:szCs w:val="16"/>
              </w:rPr>
            </w:pPr>
          </w:p>
        </w:tc>
        <w:tc>
          <w:tcPr>
            <w:tcW w:w="719" w:type="pct"/>
            <w:tcBorders>
              <w:top w:val="nil"/>
              <w:left w:val="nil"/>
              <w:bottom w:val="nil"/>
              <w:right w:val="nil"/>
            </w:tcBorders>
          </w:tcPr>
          <w:p w14:paraId="62DAE892" w14:textId="77777777" w:rsidR="0044273A" w:rsidRPr="006C7818" w:rsidRDefault="0044273A" w:rsidP="00B15C6C">
            <w:pPr>
              <w:widowControl w:val="0"/>
              <w:autoSpaceDE w:val="0"/>
              <w:autoSpaceDN w:val="0"/>
              <w:adjustRightInd w:val="0"/>
              <w:rPr>
                <w:sz w:val="16"/>
                <w:szCs w:val="16"/>
              </w:rPr>
            </w:pPr>
            <w:r w:rsidRPr="006C7818">
              <w:rPr>
                <w:sz w:val="16"/>
                <w:szCs w:val="16"/>
              </w:rPr>
              <w:t>(0.0616)</w:t>
            </w:r>
          </w:p>
        </w:tc>
        <w:tc>
          <w:tcPr>
            <w:tcW w:w="584" w:type="pct"/>
            <w:tcBorders>
              <w:top w:val="nil"/>
              <w:left w:val="nil"/>
              <w:bottom w:val="nil"/>
              <w:right w:val="nil"/>
            </w:tcBorders>
          </w:tcPr>
          <w:p w14:paraId="031913AB" w14:textId="77777777" w:rsidR="0044273A" w:rsidRPr="006C7818" w:rsidRDefault="0044273A" w:rsidP="00B15C6C">
            <w:pPr>
              <w:widowControl w:val="0"/>
              <w:autoSpaceDE w:val="0"/>
              <w:autoSpaceDN w:val="0"/>
              <w:adjustRightInd w:val="0"/>
              <w:rPr>
                <w:sz w:val="16"/>
                <w:szCs w:val="16"/>
              </w:rPr>
            </w:pPr>
            <w:r w:rsidRPr="006C7818">
              <w:rPr>
                <w:sz w:val="16"/>
                <w:szCs w:val="16"/>
              </w:rPr>
              <w:t>(0.1916)</w:t>
            </w:r>
          </w:p>
        </w:tc>
        <w:tc>
          <w:tcPr>
            <w:tcW w:w="622" w:type="pct"/>
            <w:tcBorders>
              <w:top w:val="nil"/>
              <w:left w:val="nil"/>
              <w:bottom w:val="nil"/>
              <w:right w:val="nil"/>
            </w:tcBorders>
          </w:tcPr>
          <w:p w14:paraId="74142670" w14:textId="77777777" w:rsidR="0044273A" w:rsidRPr="006C7818" w:rsidRDefault="0044273A" w:rsidP="00B15C6C">
            <w:pPr>
              <w:widowControl w:val="0"/>
              <w:autoSpaceDE w:val="0"/>
              <w:autoSpaceDN w:val="0"/>
              <w:adjustRightInd w:val="0"/>
              <w:rPr>
                <w:sz w:val="16"/>
                <w:szCs w:val="16"/>
              </w:rPr>
            </w:pPr>
            <w:r w:rsidRPr="006C7818">
              <w:rPr>
                <w:rFonts w:ascii="Calibri" w:hAnsi="Calibri" w:cs="Calibri"/>
                <w:sz w:val="16"/>
                <w:szCs w:val="16"/>
              </w:rPr>
              <w:t>(0.0594)</w:t>
            </w:r>
          </w:p>
        </w:tc>
        <w:tc>
          <w:tcPr>
            <w:tcW w:w="719" w:type="pct"/>
            <w:tcBorders>
              <w:top w:val="nil"/>
              <w:left w:val="nil"/>
              <w:bottom w:val="nil"/>
              <w:right w:val="nil"/>
            </w:tcBorders>
          </w:tcPr>
          <w:p w14:paraId="4413940C" w14:textId="77777777" w:rsidR="0044273A" w:rsidRPr="006C7818" w:rsidRDefault="0044273A" w:rsidP="00B15C6C">
            <w:pPr>
              <w:widowControl w:val="0"/>
              <w:autoSpaceDE w:val="0"/>
              <w:autoSpaceDN w:val="0"/>
              <w:adjustRightInd w:val="0"/>
              <w:rPr>
                <w:sz w:val="16"/>
                <w:szCs w:val="16"/>
              </w:rPr>
            </w:pPr>
            <w:r w:rsidRPr="006C7818">
              <w:rPr>
                <w:sz w:val="16"/>
                <w:szCs w:val="16"/>
              </w:rPr>
              <w:t>(0.0597)</w:t>
            </w:r>
          </w:p>
        </w:tc>
        <w:tc>
          <w:tcPr>
            <w:tcW w:w="584" w:type="pct"/>
            <w:tcBorders>
              <w:top w:val="nil"/>
              <w:left w:val="nil"/>
              <w:bottom w:val="nil"/>
              <w:right w:val="nil"/>
            </w:tcBorders>
          </w:tcPr>
          <w:p w14:paraId="3E23566B" w14:textId="77777777" w:rsidR="0044273A" w:rsidRPr="006C7818" w:rsidRDefault="0044273A" w:rsidP="00B15C6C">
            <w:pPr>
              <w:widowControl w:val="0"/>
              <w:autoSpaceDE w:val="0"/>
              <w:autoSpaceDN w:val="0"/>
              <w:adjustRightInd w:val="0"/>
              <w:rPr>
                <w:sz w:val="16"/>
                <w:szCs w:val="16"/>
              </w:rPr>
            </w:pPr>
            <w:r w:rsidRPr="006C7818">
              <w:rPr>
                <w:sz w:val="16"/>
                <w:szCs w:val="16"/>
              </w:rPr>
              <w:t>(0.1712)</w:t>
            </w:r>
          </w:p>
        </w:tc>
        <w:tc>
          <w:tcPr>
            <w:tcW w:w="584" w:type="pct"/>
            <w:tcBorders>
              <w:top w:val="nil"/>
              <w:left w:val="nil"/>
              <w:bottom w:val="nil"/>
              <w:right w:val="nil"/>
            </w:tcBorders>
          </w:tcPr>
          <w:p w14:paraId="6CB71A57" w14:textId="77777777" w:rsidR="0044273A" w:rsidRPr="006C7818" w:rsidRDefault="0044273A" w:rsidP="00B15C6C">
            <w:pPr>
              <w:widowControl w:val="0"/>
              <w:autoSpaceDE w:val="0"/>
              <w:autoSpaceDN w:val="0"/>
              <w:adjustRightInd w:val="0"/>
              <w:rPr>
                <w:sz w:val="16"/>
                <w:szCs w:val="16"/>
              </w:rPr>
            </w:pPr>
            <w:r w:rsidRPr="006C7818">
              <w:rPr>
                <w:sz w:val="16"/>
                <w:szCs w:val="16"/>
              </w:rPr>
              <w:t>(0.0575)</w:t>
            </w:r>
          </w:p>
        </w:tc>
      </w:tr>
      <w:tr w:rsidR="0044273A" w:rsidRPr="006C7818" w14:paraId="5EFCFD6C" w14:textId="77777777" w:rsidTr="00B15C6C">
        <w:trPr>
          <w:jc w:val="center"/>
        </w:trPr>
        <w:tc>
          <w:tcPr>
            <w:tcW w:w="1188" w:type="pct"/>
            <w:tcBorders>
              <w:top w:val="nil"/>
              <w:left w:val="nil"/>
              <w:bottom w:val="nil"/>
              <w:right w:val="nil"/>
            </w:tcBorders>
          </w:tcPr>
          <w:p w14:paraId="3D2C7124" w14:textId="77777777" w:rsidR="0044273A" w:rsidRPr="006C7818" w:rsidRDefault="0044273A" w:rsidP="00B15C6C">
            <w:pPr>
              <w:widowControl w:val="0"/>
              <w:autoSpaceDE w:val="0"/>
              <w:autoSpaceDN w:val="0"/>
              <w:adjustRightInd w:val="0"/>
              <w:rPr>
                <w:sz w:val="16"/>
                <w:szCs w:val="16"/>
              </w:rPr>
            </w:pPr>
            <w:r w:rsidRPr="006C7818">
              <w:rPr>
                <w:b/>
                <w:bCs/>
                <w:sz w:val="16"/>
                <w:szCs w:val="16"/>
                <w:lang w:val="en-US"/>
              </w:rPr>
              <w:t xml:space="preserve">YoungMove17_24 </w:t>
            </w:r>
          </w:p>
        </w:tc>
        <w:tc>
          <w:tcPr>
            <w:tcW w:w="719" w:type="pct"/>
            <w:tcBorders>
              <w:top w:val="nil"/>
              <w:left w:val="nil"/>
              <w:bottom w:val="nil"/>
              <w:right w:val="nil"/>
            </w:tcBorders>
          </w:tcPr>
          <w:p w14:paraId="6CFD4DCA" w14:textId="77777777" w:rsidR="0044273A" w:rsidRPr="006C7818" w:rsidRDefault="0044273A" w:rsidP="00B15C6C">
            <w:pPr>
              <w:widowControl w:val="0"/>
              <w:autoSpaceDE w:val="0"/>
              <w:autoSpaceDN w:val="0"/>
              <w:adjustRightInd w:val="0"/>
              <w:rPr>
                <w:sz w:val="16"/>
                <w:szCs w:val="16"/>
              </w:rPr>
            </w:pPr>
            <w:r w:rsidRPr="006C7818">
              <w:rPr>
                <w:sz w:val="16"/>
                <w:szCs w:val="16"/>
              </w:rPr>
              <w:t>-0.2419***</w:t>
            </w:r>
          </w:p>
        </w:tc>
        <w:tc>
          <w:tcPr>
            <w:tcW w:w="584" w:type="pct"/>
            <w:tcBorders>
              <w:top w:val="nil"/>
              <w:left w:val="nil"/>
              <w:bottom w:val="nil"/>
              <w:right w:val="nil"/>
            </w:tcBorders>
          </w:tcPr>
          <w:p w14:paraId="4C9E24CF" w14:textId="77777777" w:rsidR="0044273A" w:rsidRPr="006C7818" w:rsidRDefault="0044273A" w:rsidP="00B15C6C">
            <w:pPr>
              <w:widowControl w:val="0"/>
              <w:autoSpaceDE w:val="0"/>
              <w:autoSpaceDN w:val="0"/>
              <w:adjustRightInd w:val="0"/>
              <w:rPr>
                <w:sz w:val="16"/>
                <w:szCs w:val="16"/>
              </w:rPr>
            </w:pPr>
            <w:r w:rsidRPr="006C7818">
              <w:rPr>
                <w:sz w:val="16"/>
                <w:szCs w:val="16"/>
              </w:rPr>
              <w:t>-0.3885**</w:t>
            </w:r>
          </w:p>
        </w:tc>
        <w:tc>
          <w:tcPr>
            <w:tcW w:w="622" w:type="pct"/>
            <w:tcBorders>
              <w:top w:val="nil"/>
              <w:left w:val="nil"/>
              <w:bottom w:val="nil"/>
              <w:right w:val="nil"/>
            </w:tcBorders>
          </w:tcPr>
          <w:p w14:paraId="69F6FEBA" w14:textId="77777777" w:rsidR="0044273A" w:rsidRPr="006C7818" w:rsidRDefault="0044273A" w:rsidP="00B15C6C">
            <w:pPr>
              <w:widowControl w:val="0"/>
              <w:autoSpaceDE w:val="0"/>
              <w:autoSpaceDN w:val="0"/>
              <w:adjustRightInd w:val="0"/>
              <w:rPr>
                <w:sz w:val="16"/>
                <w:szCs w:val="16"/>
              </w:rPr>
            </w:pPr>
            <w:r w:rsidRPr="006C7818">
              <w:rPr>
                <w:rFonts w:ascii="Calibri" w:hAnsi="Calibri" w:cs="Calibri"/>
                <w:sz w:val="16"/>
                <w:szCs w:val="16"/>
              </w:rPr>
              <w:t>-0.1797***</w:t>
            </w:r>
          </w:p>
        </w:tc>
        <w:tc>
          <w:tcPr>
            <w:tcW w:w="719" w:type="pct"/>
            <w:tcBorders>
              <w:top w:val="nil"/>
              <w:left w:val="nil"/>
              <w:bottom w:val="nil"/>
              <w:right w:val="nil"/>
            </w:tcBorders>
          </w:tcPr>
          <w:p w14:paraId="43970421" w14:textId="77777777" w:rsidR="0044273A" w:rsidRPr="006C7818" w:rsidRDefault="0044273A" w:rsidP="00B15C6C">
            <w:pPr>
              <w:widowControl w:val="0"/>
              <w:autoSpaceDE w:val="0"/>
              <w:autoSpaceDN w:val="0"/>
              <w:adjustRightInd w:val="0"/>
              <w:rPr>
                <w:sz w:val="16"/>
                <w:szCs w:val="16"/>
              </w:rPr>
            </w:pPr>
            <w:r w:rsidRPr="006C7818">
              <w:rPr>
                <w:sz w:val="16"/>
                <w:szCs w:val="16"/>
              </w:rPr>
              <w:t>-0.0035</w:t>
            </w:r>
          </w:p>
        </w:tc>
        <w:tc>
          <w:tcPr>
            <w:tcW w:w="584" w:type="pct"/>
            <w:tcBorders>
              <w:top w:val="nil"/>
              <w:left w:val="nil"/>
              <w:bottom w:val="nil"/>
              <w:right w:val="nil"/>
            </w:tcBorders>
          </w:tcPr>
          <w:p w14:paraId="138648AC" w14:textId="77777777" w:rsidR="0044273A" w:rsidRPr="006C7818" w:rsidRDefault="0044273A" w:rsidP="00B15C6C">
            <w:pPr>
              <w:widowControl w:val="0"/>
              <w:autoSpaceDE w:val="0"/>
              <w:autoSpaceDN w:val="0"/>
              <w:adjustRightInd w:val="0"/>
              <w:rPr>
                <w:sz w:val="16"/>
                <w:szCs w:val="16"/>
              </w:rPr>
            </w:pPr>
            <w:r w:rsidRPr="006C7818">
              <w:rPr>
                <w:sz w:val="16"/>
                <w:szCs w:val="16"/>
              </w:rPr>
              <w:t>-0.1370</w:t>
            </w:r>
          </w:p>
        </w:tc>
        <w:tc>
          <w:tcPr>
            <w:tcW w:w="584" w:type="pct"/>
            <w:tcBorders>
              <w:top w:val="nil"/>
              <w:left w:val="nil"/>
              <w:bottom w:val="nil"/>
              <w:right w:val="nil"/>
            </w:tcBorders>
          </w:tcPr>
          <w:p w14:paraId="219EAA6E" w14:textId="77777777" w:rsidR="0044273A" w:rsidRPr="006C7818" w:rsidRDefault="0044273A" w:rsidP="00B15C6C">
            <w:pPr>
              <w:widowControl w:val="0"/>
              <w:autoSpaceDE w:val="0"/>
              <w:autoSpaceDN w:val="0"/>
              <w:adjustRightInd w:val="0"/>
              <w:rPr>
                <w:sz w:val="16"/>
                <w:szCs w:val="16"/>
              </w:rPr>
            </w:pPr>
            <w:r w:rsidRPr="006C7818">
              <w:rPr>
                <w:sz w:val="16"/>
                <w:szCs w:val="16"/>
              </w:rPr>
              <w:t>0.0598</w:t>
            </w:r>
          </w:p>
        </w:tc>
      </w:tr>
      <w:tr w:rsidR="0044273A" w:rsidRPr="006C7818" w14:paraId="2D618F4C" w14:textId="77777777" w:rsidTr="00B15C6C">
        <w:trPr>
          <w:jc w:val="center"/>
        </w:trPr>
        <w:tc>
          <w:tcPr>
            <w:tcW w:w="1188" w:type="pct"/>
            <w:tcBorders>
              <w:top w:val="nil"/>
              <w:left w:val="nil"/>
              <w:bottom w:val="nil"/>
              <w:right w:val="nil"/>
            </w:tcBorders>
          </w:tcPr>
          <w:p w14:paraId="2A9312AB" w14:textId="77777777" w:rsidR="0044273A" w:rsidRPr="006C7818" w:rsidRDefault="0044273A" w:rsidP="00B15C6C">
            <w:pPr>
              <w:widowControl w:val="0"/>
              <w:autoSpaceDE w:val="0"/>
              <w:autoSpaceDN w:val="0"/>
              <w:adjustRightInd w:val="0"/>
              <w:rPr>
                <w:sz w:val="16"/>
                <w:szCs w:val="16"/>
              </w:rPr>
            </w:pPr>
          </w:p>
        </w:tc>
        <w:tc>
          <w:tcPr>
            <w:tcW w:w="719" w:type="pct"/>
            <w:tcBorders>
              <w:top w:val="nil"/>
              <w:left w:val="nil"/>
              <w:bottom w:val="nil"/>
              <w:right w:val="nil"/>
            </w:tcBorders>
          </w:tcPr>
          <w:p w14:paraId="673FFC51" w14:textId="77777777" w:rsidR="0044273A" w:rsidRPr="006C7818" w:rsidRDefault="0044273A" w:rsidP="00B15C6C">
            <w:pPr>
              <w:widowControl w:val="0"/>
              <w:autoSpaceDE w:val="0"/>
              <w:autoSpaceDN w:val="0"/>
              <w:adjustRightInd w:val="0"/>
              <w:rPr>
                <w:sz w:val="16"/>
                <w:szCs w:val="16"/>
              </w:rPr>
            </w:pPr>
            <w:r w:rsidRPr="006C7818">
              <w:rPr>
                <w:sz w:val="16"/>
                <w:szCs w:val="16"/>
              </w:rPr>
              <w:t>(0.0522)</w:t>
            </w:r>
          </w:p>
        </w:tc>
        <w:tc>
          <w:tcPr>
            <w:tcW w:w="584" w:type="pct"/>
            <w:tcBorders>
              <w:top w:val="nil"/>
              <w:left w:val="nil"/>
              <w:bottom w:val="nil"/>
              <w:right w:val="nil"/>
            </w:tcBorders>
          </w:tcPr>
          <w:p w14:paraId="1CBF933C" w14:textId="77777777" w:rsidR="0044273A" w:rsidRPr="006C7818" w:rsidRDefault="0044273A" w:rsidP="00B15C6C">
            <w:pPr>
              <w:widowControl w:val="0"/>
              <w:autoSpaceDE w:val="0"/>
              <w:autoSpaceDN w:val="0"/>
              <w:adjustRightInd w:val="0"/>
              <w:rPr>
                <w:sz w:val="16"/>
                <w:szCs w:val="16"/>
              </w:rPr>
            </w:pPr>
            <w:r w:rsidRPr="006C7818">
              <w:rPr>
                <w:sz w:val="16"/>
                <w:szCs w:val="16"/>
              </w:rPr>
              <w:t>(0.1808)</w:t>
            </w:r>
          </w:p>
        </w:tc>
        <w:tc>
          <w:tcPr>
            <w:tcW w:w="622" w:type="pct"/>
            <w:tcBorders>
              <w:top w:val="nil"/>
              <w:left w:val="nil"/>
              <w:bottom w:val="nil"/>
              <w:right w:val="nil"/>
            </w:tcBorders>
          </w:tcPr>
          <w:p w14:paraId="7C80162C" w14:textId="77777777" w:rsidR="0044273A" w:rsidRPr="006C7818" w:rsidRDefault="0044273A" w:rsidP="00B15C6C">
            <w:pPr>
              <w:widowControl w:val="0"/>
              <w:autoSpaceDE w:val="0"/>
              <w:autoSpaceDN w:val="0"/>
              <w:adjustRightInd w:val="0"/>
              <w:rPr>
                <w:sz w:val="16"/>
                <w:szCs w:val="16"/>
              </w:rPr>
            </w:pPr>
            <w:r w:rsidRPr="006C7818">
              <w:rPr>
                <w:rFonts w:ascii="Calibri" w:hAnsi="Calibri" w:cs="Calibri"/>
                <w:sz w:val="16"/>
                <w:szCs w:val="16"/>
              </w:rPr>
              <w:t>(0.0495)</w:t>
            </w:r>
          </w:p>
        </w:tc>
        <w:tc>
          <w:tcPr>
            <w:tcW w:w="719" w:type="pct"/>
            <w:tcBorders>
              <w:top w:val="nil"/>
              <w:left w:val="nil"/>
              <w:bottom w:val="nil"/>
              <w:right w:val="nil"/>
            </w:tcBorders>
          </w:tcPr>
          <w:p w14:paraId="58DF8AB9" w14:textId="77777777" w:rsidR="0044273A" w:rsidRPr="006C7818" w:rsidRDefault="0044273A" w:rsidP="00B15C6C">
            <w:pPr>
              <w:widowControl w:val="0"/>
              <w:autoSpaceDE w:val="0"/>
              <w:autoSpaceDN w:val="0"/>
              <w:adjustRightInd w:val="0"/>
              <w:rPr>
                <w:sz w:val="16"/>
                <w:szCs w:val="16"/>
              </w:rPr>
            </w:pPr>
            <w:r w:rsidRPr="006C7818">
              <w:rPr>
                <w:sz w:val="16"/>
                <w:szCs w:val="16"/>
              </w:rPr>
              <w:t>(0.0512)</w:t>
            </w:r>
          </w:p>
        </w:tc>
        <w:tc>
          <w:tcPr>
            <w:tcW w:w="584" w:type="pct"/>
            <w:tcBorders>
              <w:top w:val="nil"/>
              <w:left w:val="nil"/>
              <w:bottom w:val="nil"/>
              <w:right w:val="nil"/>
            </w:tcBorders>
          </w:tcPr>
          <w:p w14:paraId="12D9B50D" w14:textId="77777777" w:rsidR="0044273A" w:rsidRPr="006C7818" w:rsidRDefault="0044273A" w:rsidP="00B15C6C">
            <w:pPr>
              <w:widowControl w:val="0"/>
              <w:autoSpaceDE w:val="0"/>
              <w:autoSpaceDN w:val="0"/>
              <w:adjustRightInd w:val="0"/>
              <w:rPr>
                <w:sz w:val="16"/>
                <w:szCs w:val="16"/>
              </w:rPr>
            </w:pPr>
            <w:r w:rsidRPr="006C7818">
              <w:rPr>
                <w:sz w:val="16"/>
                <w:szCs w:val="16"/>
              </w:rPr>
              <w:t>(0.1633)</w:t>
            </w:r>
          </w:p>
        </w:tc>
        <w:tc>
          <w:tcPr>
            <w:tcW w:w="584" w:type="pct"/>
            <w:tcBorders>
              <w:top w:val="nil"/>
              <w:left w:val="nil"/>
              <w:bottom w:val="nil"/>
              <w:right w:val="nil"/>
            </w:tcBorders>
          </w:tcPr>
          <w:p w14:paraId="45035F08" w14:textId="77777777" w:rsidR="0044273A" w:rsidRPr="006C7818" w:rsidRDefault="0044273A" w:rsidP="00B15C6C">
            <w:pPr>
              <w:widowControl w:val="0"/>
              <w:autoSpaceDE w:val="0"/>
              <w:autoSpaceDN w:val="0"/>
              <w:adjustRightInd w:val="0"/>
              <w:rPr>
                <w:sz w:val="16"/>
                <w:szCs w:val="16"/>
              </w:rPr>
            </w:pPr>
            <w:r w:rsidRPr="006C7818">
              <w:rPr>
                <w:sz w:val="16"/>
                <w:szCs w:val="16"/>
              </w:rPr>
              <w:t>(0.0491)</w:t>
            </w:r>
          </w:p>
        </w:tc>
      </w:tr>
      <w:tr w:rsidR="0044273A" w:rsidRPr="006C7818" w14:paraId="51E8F0C2" w14:textId="77777777" w:rsidTr="00B15C6C">
        <w:trPr>
          <w:jc w:val="center"/>
        </w:trPr>
        <w:tc>
          <w:tcPr>
            <w:tcW w:w="1188" w:type="pct"/>
            <w:tcBorders>
              <w:top w:val="nil"/>
              <w:left w:val="nil"/>
              <w:bottom w:val="nil"/>
              <w:right w:val="nil"/>
            </w:tcBorders>
          </w:tcPr>
          <w:p w14:paraId="12C324D6" w14:textId="77777777" w:rsidR="0044273A" w:rsidRPr="006C7818" w:rsidRDefault="0044273A" w:rsidP="00B15C6C">
            <w:pPr>
              <w:widowControl w:val="0"/>
              <w:autoSpaceDE w:val="0"/>
              <w:autoSpaceDN w:val="0"/>
              <w:adjustRightInd w:val="0"/>
              <w:rPr>
                <w:sz w:val="16"/>
                <w:szCs w:val="16"/>
              </w:rPr>
            </w:pPr>
            <w:r w:rsidRPr="006C7818">
              <w:rPr>
                <w:b/>
                <w:bCs/>
                <w:sz w:val="16"/>
                <w:szCs w:val="16"/>
                <w:lang w:val="en-US"/>
              </w:rPr>
              <w:t xml:space="preserve">YoungMove25_30 </w:t>
            </w:r>
          </w:p>
        </w:tc>
        <w:tc>
          <w:tcPr>
            <w:tcW w:w="719" w:type="pct"/>
            <w:tcBorders>
              <w:top w:val="nil"/>
              <w:left w:val="nil"/>
              <w:bottom w:val="nil"/>
              <w:right w:val="nil"/>
            </w:tcBorders>
          </w:tcPr>
          <w:p w14:paraId="6368F17E" w14:textId="77777777" w:rsidR="0044273A" w:rsidRPr="006C7818" w:rsidRDefault="0044273A" w:rsidP="00B15C6C">
            <w:pPr>
              <w:widowControl w:val="0"/>
              <w:autoSpaceDE w:val="0"/>
              <w:autoSpaceDN w:val="0"/>
              <w:adjustRightInd w:val="0"/>
              <w:rPr>
                <w:sz w:val="16"/>
                <w:szCs w:val="16"/>
              </w:rPr>
            </w:pPr>
            <w:r w:rsidRPr="006C7818">
              <w:rPr>
                <w:sz w:val="16"/>
                <w:szCs w:val="16"/>
              </w:rPr>
              <w:t>-0.0259</w:t>
            </w:r>
          </w:p>
        </w:tc>
        <w:tc>
          <w:tcPr>
            <w:tcW w:w="584" w:type="pct"/>
            <w:tcBorders>
              <w:top w:val="nil"/>
              <w:left w:val="nil"/>
              <w:bottom w:val="nil"/>
              <w:right w:val="nil"/>
            </w:tcBorders>
          </w:tcPr>
          <w:p w14:paraId="4C05611D" w14:textId="77777777" w:rsidR="0044273A" w:rsidRPr="006C7818" w:rsidRDefault="0044273A" w:rsidP="00B15C6C">
            <w:pPr>
              <w:widowControl w:val="0"/>
              <w:autoSpaceDE w:val="0"/>
              <w:autoSpaceDN w:val="0"/>
              <w:adjustRightInd w:val="0"/>
              <w:rPr>
                <w:sz w:val="16"/>
                <w:szCs w:val="16"/>
              </w:rPr>
            </w:pPr>
            <w:r w:rsidRPr="006C7818">
              <w:rPr>
                <w:sz w:val="16"/>
                <w:szCs w:val="16"/>
              </w:rPr>
              <w:t>-0.1611</w:t>
            </w:r>
          </w:p>
        </w:tc>
        <w:tc>
          <w:tcPr>
            <w:tcW w:w="622" w:type="pct"/>
            <w:tcBorders>
              <w:top w:val="nil"/>
              <w:left w:val="nil"/>
              <w:bottom w:val="nil"/>
              <w:right w:val="nil"/>
            </w:tcBorders>
          </w:tcPr>
          <w:p w14:paraId="056B766C" w14:textId="77777777" w:rsidR="0044273A" w:rsidRPr="006C7818" w:rsidRDefault="0044273A" w:rsidP="00B15C6C">
            <w:pPr>
              <w:widowControl w:val="0"/>
              <w:autoSpaceDE w:val="0"/>
              <w:autoSpaceDN w:val="0"/>
              <w:adjustRightInd w:val="0"/>
              <w:rPr>
                <w:sz w:val="16"/>
                <w:szCs w:val="16"/>
              </w:rPr>
            </w:pPr>
            <w:r w:rsidRPr="006C7818">
              <w:rPr>
                <w:rFonts w:ascii="Calibri" w:hAnsi="Calibri" w:cs="Calibri"/>
                <w:sz w:val="16"/>
                <w:szCs w:val="16"/>
              </w:rPr>
              <w:t>-0.0082</w:t>
            </w:r>
          </w:p>
        </w:tc>
        <w:tc>
          <w:tcPr>
            <w:tcW w:w="719" w:type="pct"/>
            <w:tcBorders>
              <w:top w:val="nil"/>
              <w:left w:val="nil"/>
              <w:bottom w:val="nil"/>
              <w:right w:val="nil"/>
            </w:tcBorders>
          </w:tcPr>
          <w:p w14:paraId="06AABB65" w14:textId="77777777" w:rsidR="0044273A" w:rsidRPr="006C7818" w:rsidRDefault="0044273A" w:rsidP="00B15C6C">
            <w:pPr>
              <w:widowControl w:val="0"/>
              <w:autoSpaceDE w:val="0"/>
              <w:autoSpaceDN w:val="0"/>
              <w:adjustRightInd w:val="0"/>
              <w:rPr>
                <w:sz w:val="16"/>
                <w:szCs w:val="16"/>
              </w:rPr>
            </w:pPr>
            <w:r w:rsidRPr="006C7818">
              <w:rPr>
                <w:sz w:val="16"/>
                <w:szCs w:val="16"/>
              </w:rPr>
              <w:t>0.2013***</w:t>
            </w:r>
          </w:p>
        </w:tc>
        <w:tc>
          <w:tcPr>
            <w:tcW w:w="584" w:type="pct"/>
            <w:tcBorders>
              <w:top w:val="nil"/>
              <w:left w:val="nil"/>
              <w:bottom w:val="nil"/>
              <w:right w:val="nil"/>
            </w:tcBorders>
          </w:tcPr>
          <w:p w14:paraId="5EE3C0F8" w14:textId="77777777" w:rsidR="0044273A" w:rsidRPr="006C7818" w:rsidRDefault="0044273A" w:rsidP="00B15C6C">
            <w:pPr>
              <w:widowControl w:val="0"/>
              <w:autoSpaceDE w:val="0"/>
              <w:autoSpaceDN w:val="0"/>
              <w:adjustRightInd w:val="0"/>
              <w:rPr>
                <w:sz w:val="16"/>
                <w:szCs w:val="16"/>
              </w:rPr>
            </w:pPr>
            <w:r w:rsidRPr="006C7818">
              <w:rPr>
                <w:sz w:val="16"/>
                <w:szCs w:val="16"/>
              </w:rPr>
              <w:t>0.0557</w:t>
            </w:r>
          </w:p>
        </w:tc>
        <w:tc>
          <w:tcPr>
            <w:tcW w:w="584" w:type="pct"/>
            <w:tcBorders>
              <w:top w:val="nil"/>
              <w:left w:val="nil"/>
              <w:bottom w:val="nil"/>
              <w:right w:val="nil"/>
            </w:tcBorders>
          </w:tcPr>
          <w:p w14:paraId="626EDB89" w14:textId="77777777" w:rsidR="0044273A" w:rsidRPr="006C7818" w:rsidRDefault="0044273A" w:rsidP="00B15C6C">
            <w:pPr>
              <w:widowControl w:val="0"/>
              <w:autoSpaceDE w:val="0"/>
              <w:autoSpaceDN w:val="0"/>
              <w:adjustRightInd w:val="0"/>
              <w:rPr>
                <w:sz w:val="16"/>
                <w:szCs w:val="16"/>
              </w:rPr>
            </w:pPr>
            <w:r w:rsidRPr="006C7818">
              <w:rPr>
                <w:sz w:val="16"/>
                <w:szCs w:val="16"/>
              </w:rPr>
              <w:t>0.2210***</w:t>
            </w:r>
          </w:p>
        </w:tc>
      </w:tr>
      <w:tr w:rsidR="0044273A" w:rsidRPr="006C7818" w14:paraId="7FE9C508" w14:textId="77777777" w:rsidTr="00B15C6C">
        <w:trPr>
          <w:jc w:val="center"/>
        </w:trPr>
        <w:tc>
          <w:tcPr>
            <w:tcW w:w="1188" w:type="pct"/>
            <w:tcBorders>
              <w:top w:val="nil"/>
              <w:left w:val="nil"/>
              <w:bottom w:val="nil"/>
              <w:right w:val="nil"/>
            </w:tcBorders>
          </w:tcPr>
          <w:p w14:paraId="70692215" w14:textId="77777777" w:rsidR="0044273A" w:rsidRPr="006C7818" w:rsidRDefault="0044273A" w:rsidP="00B15C6C">
            <w:pPr>
              <w:widowControl w:val="0"/>
              <w:autoSpaceDE w:val="0"/>
              <w:autoSpaceDN w:val="0"/>
              <w:adjustRightInd w:val="0"/>
              <w:rPr>
                <w:sz w:val="16"/>
                <w:szCs w:val="16"/>
              </w:rPr>
            </w:pPr>
          </w:p>
        </w:tc>
        <w:tc>
          <w:tcPr>
            <w:tcW w:w="719" w:type="pct"/>
            <w:tcBorders>
              <w:top w:val="nil"/>
              <w:left w:val="nil"/>
              <w:bottom w:val="nil"/>
              <w:right w:val="nil"/>
            </w:tcBorders>
          </w:tcPr>
          <w:p w14:paraId="0C4D7725" w14:textId="77777777" w:rsidR="0044273A" w:rsidRPr="006C7818" w:rsidRDefault="0044273A" w:rsidP="00B15C6C">
            <w:pPr>
              <w:widowControl w:val="0"/>
              <w:autoSpaceDE w:val="0"/>
              <w:autoSpaceDN w:val="0"/>
              <w:adjustRightInd w:val="0"/>
              <w:rPr>
                <w:sz w:val="16"/>
                <w:szCs w:val="16"/>
              </w:rPr>
            </w:pPr>
            <w:r w:rsidRPr="006C7818">
              <w:rPr>
                <w:sz w:val="16"/>
                <w:szCs w:val="16"/>
              </w:rPr>
              <w:t>(0.0379)</w:t>
            </w:r>
          </w:p>
        </w:tc>
        <w:tc>
          <w:tcPr>
            <w:tcW w:w="584" w:type="pct"/>
            <w:tcBorders>
              <w:top w:val="nil"/>
              <w:left w:val="nil"/>
              <w:bottom w:val="nil"/>
              <w:right w:val="nil"/>
            </w:tcBorders>
          </w:tcPr>
          <w:p w14:paraId="12E06F21" w14:textId="77777777" w:rsidR="0044273A" w:rsidRPr="006C7818" w:rsidRDefault="0044273A" w:rsidP="00B15C6C">
            <w:pPr>
              <w:widowControl w:val="0"/>
              <w:autoSpaceDE w:val="0"/>
              <w:autoSpaceDN w:val="0"/>
              <w:adjustRightInd w:val="0"/>
              <w:rPr>
                <w:sz w:val="16"/>
                <w:szCs w:val="16"/>
              </w:rPr>
            </w:pPr>
            <w:r w:rsidRPr="006C7818">
              <w:rPr>
                <w:sz w:val="16"/>
                <w:szCs w:val="16"/>
              </w:rPr>
              <w:t>(0.1396)</w:t>
            </w:r>
          </w:p>
        </w:tc>
        <w:tc>
          <w:tcPr>
            <w:tcW w:w="622" w:type="pct"/>
            <w:tcBorders>
              <w:top w:val="nil"/>
              <w:left w:val="nil"/>
              <w:bottom w:val="nil"/>
              <w:right w:val="nil"/>
            </w:tcBorders>
          </w:tcPr>
          <w:p w14:paraId="471410AA" w14:textId="77777777" w:rsidR="0044273A" w:rsidRPr="006C7818" w:rsidRDefault="0044273A" w:rsidP="00B15C6C">
            <w:pPr>
              <w:widowControl w:val="0"/>
              <w:autoSpaceDE w:val="0"/>
              <w:autoSpaceDN w:val="0"/>
              <w:adjustRightInd w:val="0"/>
              <w:rPr>
                <w:sz w:val="16"/>
                <w:szCs w:val="16"/>
              </w:rPr>
            </w:pPr>
            <w:r w:rsidRPr="006C7818">
              <w:rPr>
                <w:rFonts w:ascii="Calibri" w:hAnsi="Calibri" w:cs="Calibri"/>
                <w:sz w:val="16"/>
                <w:szCs w:val="16"/>
              </w:rPr>
              <w:t>(0.0377)</w:t>
            </w:r>
          </w:p>
        </w:tc>
        <w:tc>
          <w:tcPr>
            <w:tcW w:w="719" w:type="pct"/>
            <w:tcBorders>
              <w:top w:val="nil"/>
              <w:left w:val="nil"/>
              <w:bottom w:val="nil"/>
              <w:right w:val="nil"/>
            </w:tcBorders>
          </w:tcPr>
          <w:p w14:paraId="67D03521" w14:textId="77777777" w:rsidR="0044273A" w:rsidRPr="006C7818" w:rsidRDefault="0044273A" w:rsidP="00B15C6C">
            <w:pPr>
              <w:widowControl w:val="0"/>
              <w:autoSpaceDE w:val="0"/>
              <w:autoSpaceDN w:val="0"/>
              <w:adjustRightInd w:val="0"/>
              <w:rPr>
                <w:sz w:val="16"/>
                <w:szCs w:val="16"/>
              </w:rPr>
            </w:pPr>
            <w:r w:rsidRPr="006C7818">
              <w:rPr>
                <w:sz w:val="16"/>
                <w:szCs w:val="16"/>
              </w:rPr>
              <w:t>(0.0381)</w:t>
            </w:r>
          </w:p>
        </w:tc>
        <w:tc>
          <w:tcPr>
            <w:tcW w:w="584" w:type="pct"/>
            <w:tcBorders>
              <w:top w:val="nil"/>
              <w:left w:val="nil"/>
              <w:bottom w:val="nil"/>
              <w:right w:val="nil"/>
            </w:tcBorders>
          </w:tcPr>
          <w:p w14:paraId="399317FE" w14:textId="77777777" w:rsidR="0044273A" w:rsidRPr="006C7818" w:rsidRDefault="0044273A" w:rsidP="00B15C6C">
            <w:pPr>
              <w:widowControl w:val="0"/>
              <w:autoSpaceDE w:val="0"/>
              <w:autoSpaceDN w:val="0"/>
              <w:adjustRightInd w:val="0"/>
              <w:rPr>
                <w:sz w:val="16"/>
                <w:szCs w:val="16"/>
              </w:rPr>
            </w:pPr>
            <w:r w:rsidRPr="006C7818">
              <w:rPr>
                <w:sz w:val="16"/>
                <w:szCs w:val="16"/>
              </w:rPr>
              <w:t>(0.1266)</w:t>
            </w:r>
          </w:p>
        </w:tc>
        <w:tc>
          <w:tcPr>
            <w:tcW w:w="584" w:type="pct"/>
            <w:tcBorders>
              <w:top w:val="nil"/>
              <w:left w:val="nil"/>
              <w:bottom w:val="nil"/>
              <w:right w:val="nil"/>
            </w:tcBorders>
          </w:tcPr>
          <w:p w14:paraId="5B0C3F6B" w14:textId="77777777" w:rsidR="0044273A" w:rsidRPr="006C7818" w:rsidRDefault="0044273A" w:rsidP="00B15C6C">
            <w:pPr>
              <w:widowControl w:val="0"/>
              <w:autoSpaceDE w:val="0"/>
              <w:autoSpaceDN w:val="0"/>
              <w:adjustRightInd w:val="0"/>
              <w:rPr>
                <w:sz w:val="16"/>
                <w:szCs w:val="16"/>
              </w:rPr>
            </w:pPr>
            <w:r w:rsidRPr="006C7818">
              <w:rPr>
                <w:sz w:val="16"/>
                <w:szCs w:val="16"/>
              </w:rPr>
              <w:t>(0.0381)</w:t>
            </w:r>
          </w:p>
        </w:tc>
      </w:tr>
      <w:tr w:rsidR="0044273A" w:rsidRPr="006C7818" w14:paraId="61852BA4" w14:textId="77777777" w:rsidTr="00B15C6C">
        <w:trPr>
          <w:jc w:val="center"/>
        </w:trPr>
        <w:tc>
          <w:tcPr>
            <w:tcW w:w="1188" w:type="pct"/>
            <w:tcBorders>
              <w:top w:val="nil"/>
              <w:left w:val="nil"/>
              <w:bottom w:val="nil"/>
              <w:right w:val="nil"/>
            </w:tcBorders>
          </w:tcPr>
          <w:p w14:paraId="4638C9F4" w14:textId="77777777" w:rsidR="0044273A" w:rsidRPr="006C7818" w:rsidRDefault="0044273A" w:rsidP="00B15C6C">
            <w:pPr>
              <w:widowControl w:val="0"/>
              <w:autoSpaceDE w:val="0"/>
              <w:autoSpaceDN w:val="0"/>
              <w:adjustRightInd w:val="0"/>
              <w:rPr>
                <w:sz w:val="16"/>
                <w:szCs w:val="16"/>
              </w:rPr>
            </w:pPr>
            <w:r w:rsidRPr="006C7818">
              <w:rPr>
                <w:b/>
                <w:bCs/>
                <w:sz w:val="16"/>
                <w:szCs w:val="16"/>
                <w:lang w:val="en-US"/>
              </w:rPr>
              <w:t xml:space="preserve">YoungMove31+ </w:t>
            </w:r>
          </w:p>
        </w:tc>
        <w:tc>
          <w:tcPr>
            <w:tcW w:w="719" w:type="pct"/>
            <w:tcBorders>
              <w:top w:val="nil"/>
              <w:left w:val="nil"/>
              <w:bottom w:val="nil"/>
              <w:right w:val="nil"/>
            </w:tcBorders>
          </w:tcPr>
          <w:p w14:paraId="0BA86DD6" w14:textId="77777777" w:rsidR="0044273A" w:rsidRPr="006C7818" w:rsidRDefault="0044273A" w:rsidP="00B15C6C">
            <w:pPr>
              <w:widowControl w:val="0"/>
              <w:autoSpaceDE w:val="0"/>
              <w:autoSpaceDN w:val="0"/>
              <w:adjustRightInd w:val="0"/>
              <w:rPr>
                <w:sz w:val="16"/>
                <w:szCs w:val="16"/>
              </w:rPr>
            </w:pPr>
            <w:r w:rsidRPr="006C7818">
              <w:rPr>
                <w:sz w:val="16"/>
                <w:szCs w:val="16"/>
              </w:rPr>
              <w:t>-0.0136</w:t>
            </w:r>
          </w:p>
        </w:tc>
        <w:tc>
          <w:tcPr>
            <w:tcW w:w="584" w:type="pct"/>
            <w:tcBorders>
              <w:top w:val="nil"/>
              <w:left w:val="nil"/>
              <w:bottom w:val="nil"/>
              <w:right w:val="nil"/>
            </w:tcBorders>
          </w:tcPr>
          <w:p w14:paraId="578A5633" w14:textId="77777777" w:rsidR="0044273A" w:rsidRPr="006C7818" w:rsidRDefault="0044273A" w:rsidP="00B15C6C">
            <w:pPr>
              <w:widowControl w:val="0"/>
              <w:autoSpaceDE w:val="0"/>
              <w:autoSpaceDN w:val="0"/>
              <w:adjustRightInd w:val="0"/>
              <w:rPr>
                <w:sz w:val="16"/>
                <w:szCs w:val="16"/>
              </w:rPr>
            </w:pPr>
            <w:r w:rsidRPr="006C7818">
              <w:rPr>
                <w:sz w:val="16"/>
                <w:szCs w:val="16"/>
              </w:rPr>
              <w:t>0.1146</w:t>
            </w:r>
          </w:p>
        </w:tc>
        <w:tc>
          <w:tcPr>
            <w:tcW w:w="622" w:type="pct"/>
            <w:tcBorders>
              <w:top w:val="nil"/>
              <w:left w:val="nil"/>
              <w:bottom w:val="nil"/>
              <w:right w:val="nil"/>
            </w:tcBorders>
          </w:tcPr>
          <w:p w14:paraId="7119C9DA" w14:textId="77777777" w:rsidR="0044273A" w:rsidRPr="006C7818" w:rsidRDefault="0044273A" w:rsidP="00B15C6C">
            <w:pPr>
              <w:widowControl w:val="0"/>
              <w:autoSpaceDE w:val="0"/>
              <w:autoSpaceDN w:val="0"/>
              <w:adjustRightInd w:val="0"/>
              <w:rPr>
                <w:sz w:val="16"/>
                <w:szCs w:val="16"/>
              </w:rPr>
            </w:pPr>
            <w:r w:rsidRPr="006C7818">
              <w:rPr>
                <w:rFonts w:ascii="Calibri" w:hAnsi="Calibri" w:cs="Calibri"/>
                <w:sz w:val="16"/>
                <w:szCs w:val="16"/>
              </w:rPr>
              <w:t>-0.0452</w:t>
            </w:r>
          </w:p>
        </w:tc>
        <w:tc>
          <w:tcPr>
            <w:tcW w:w="719" w:type="pct"/>
            <w:tcBorders>
              <w:top w:val="nil"/>
              <w:left w:val="nil"/>
              <w:bottom w:val="nil"/>
              <w:right w:val="nil"/>
            </w:tcBorders>
          </w:tcPr>
          <w:p w14:paraId="05619C8C" w14:textId="77777777" w:rsidR="0044273A" w:rsidRPr="006C7818" w:rsidRDefault="0044273A" w:rsidP="00B15C6C">
            <w:pPr>
              <w:widowControl w:val="0"/>
              <w:autoSpaceDE w:val="0"/>
              <w:autoSpaceDN w:val="0"/>
              <w:adjustRightInd w:val="0"/>
              <w:rPr>
                <w:sz w:val="16"/>
                <w:szCs w:val="16"/>
              </w:rPr>
            </w:pPr>
            <w:r w:rsidRPr="006C7818">
              <w:rPr>
                <w:sz w:val="16"/>
                <w:szCs w:val="16"/>
              </w:rPr>
              <w:t>0.2210***</w:t>
            </w:r>
          </w:p>
        </w:tc>
        <w:tc>
          <w:tcPr>
            <w:tcW w:w="584" w:type="pct"/>
            <w:tcBorders>
              <w:top w:val="nil"/>
              <w:left w:val="nil"/>
              <w:bottom w:val="nil"/>
              <w:right w:val="nil"/>
            </w:tcBorders>
          </w:tcPr>
          <w:p w14:paraId="0CBF4D27" w14:textId="77777777" w:rsidR="0044273A" w:rsidRPr="006C7818" w:rsidRDefault="0044273A" w:rsidP="00B15C6C">
            <w:pPr>
              <w:widowControl w:val="0"/>
              <w:autoSpaceDE w:val="0"/>
              <w:autoSpaceDN w:val="0"/>
              <w:adjustRightInd w:val="0"/>
              <w:rPr>
                <w:sz w:val="16"/>
                <w:szCs w:val="16"/>
              </w:rPr>
            </w:pPr>
            <w:r w:rsidRPr="006C7818">
              <w:rPr>
                <w:sz w:val="16"/>
                <w:szCs w:val="16"/>
              </w:rPr>
              <w:t>0.2909**</w:t>
            </w:r>
          </w:p>
        </w:tc>
        <w:tc>
          <w:tcPr>
            <w:tcW w:w="584" w:type="pct"/>
            <w:tcBorders>
              <w:top w:val="nil"/>
              <w:left w:val="nil"/>
              <w:bottom w:val="nil"/>
              <w:right w:val="nil"/>
            </w:tcBorders>
          </w:tcPr>
          <w:p w14:paraId="21FF7DAD" w14:textId="77777777" w:rsidR="0044273A" w:rsidRPr="006C7818" w:rsidRDefault="0044273A" w:rsidP="00B15C6C">
            <w:pPr>
              <w:widowControl w:val="0"/>
              <w:autoSpaceDE w:val="0"/>
              <w:autoSpaceDN w:val="0"/>
              <w:adjustRightInd w:val="0"/>
              <w:rPr>
                <w:sz w:val="16"/>
                <w:szCs w:val="16"/>
              </w:rPr>
            </w:pPr>
            <w:r w:rsidRPr="006C7818">
              <w:rPr>
                <w:sz w:val="16"/>
                <w:szCs w:val="16"/>
              </w:rPr>
              <w:t>0.1873***</w:t>
            </w:r>
          </w:p>
        </w:tc>
      </w:tr>
      <w:tr w:rsidR="0044273A" w:rsidRPr="006C7818" w14:paraId="70E377C4" w14:textId="77777777" w:rsidTr="00B15C6C">
        <w:trPr>
          <w:jc w:val="center"/>
        </w:trPr>
        <w:tc>
          <w:tcPr>
            <w:tcW w:w="1188" w:type="pct"/>
            <w:tcBorders>
              <w:top w:val="nil"/>
              <w:left w:val="nil"/>
              <w:bottom w:val="nil"/>
              <w:right w:val="nil"/>
            </w:tcBorders>
          </w:tcPr>
          <w:p w14:paraId="4CE80B98" w14:textId="77777777" w:rsidR="0044273A" w:rsidRPr="006C7818" w:rsidRDefault="0044273A" w:rsidP="00B15C6C">
            <w:pPr>
              <w:widowControl w:val="0"/>
              <w:autoSpaceDE w:val="0"/>
              <w:autoSpaceDN w:val="0"/>
              <w:adjustRightInd w:val="0"/>
              <w:rPr>
                <w:sz w:val="16"/>
                <w:szCs w:val="16"/>
              </w:rPr>
            </w:pPr>
          </w:p>
        </w:tc>
        <w:tc>
          <w:tcPr>
            <w:tcW w:w="719" w:type="pct"/>
            <w:tcBorders>
              <w:top w:val="nil"/>
              <w:left w:val="nil"/>
              <w:bottom w:val="nil"/>
              <w:right w:val="nil"/>
            </w:tcBorders>
          </w:tcPr>
          <w:p w14:paraId="7D1197F6" w14:textId="77777777" w:rsidR="0044273A" w:rsidRPr="006C7818" w:rsidRDefault="0044273A" w:rsidP="00B15C6C">
            <w:pPr>
              <w:widowControl w:val="0"/>
              <w:autoSpaceDE w:val="0"/>
              <w:autoSpaceDN w:val="0"/>
              <w:adjustRightInd w:val="0"/>
              <w:rPr>
                <w:sz w:val="16"/>
                <w:szCs w:val="16"/>
              </w:rPr>
            </w:pPr>
            <w:r w:rsidRPr="006C7818">
              <w:rPr>
                <w:sz w:val="16"/>
                <w:szCs w:val="16"/>
              </w:rPr>
              <w:t>(0.0371)</w:t>
            </w:r>
          </w:p>
        </w:tc>
        <w:tc>
          <w:tcPr>
            <w:tcW w:w="584" w:type="pct"/>
            <w:tcBorders>
              <w:top w:val="nil"/>
              <w:left w:val="nil"/>
              <w:bottom w:val="nil"/>
              <w:right w:val="nil"/>
            </w:tcBorders>
          </w:tcPr>
          <w:p w14:paraId="26FFBF17" w14:textId="77777777" w:rsidR="0044273A" w:rsidRPr="006C7818" w:rsidRDefault="0044273A" w:rsidP="00B15C6C">
            <w:pPr>
              <w:widowControl w:val="0"/>
              <w:autoSpaceDE w:val="0"/>
              <w:autoSpaceDN w:val="0"/>
              <w:adjustRightInd w:val="0"/>
              <w:rPr>
                <w:sz w:val="16"/>
                <w:szCs w:val="16"/>
              </w:rPr>
            </w:pPr>
            <w:r w:rsidRPr="006C7818">
              <w:rPr>
                <w:sz w:val="16"/>
                <w:szCs w:val="16"/>
              </w:rPr>
              <w:t>(0.1314)</w:t>
            </w:r>
          </w:p>
        </w:tc>
        <w:tc>
          <w:tcPr>
            <w:tcW w:w="622" w:type="pct"/>
            <w:tcBorders>
              <w:top w:val="nil"/>
              <w:left w:val="nil"/>
              <w:bottom w:val="nil"/>
              <w:right w:val="nil"/>
            </w:tcBorders>
          </w:tcPr>
          <w:p w14:paraId="3C529F9C" w14:textId="77777777" w:rsidR="0044273A" w:rsidRPr="006C7818" w:rsidRDefault="0044273A" w:rsidP="00B15C6C">
            <w:pPr>
              <w:widowControl w:val="0"/>
              <w:autoSpaceDE w:val="0"/>
              <w:autoSpaceDN w:val="0"/>
              <w:adjustRightInd w:val="0"/>
              <w:rPr>
                <w:sz w:val="16"/>
                <w:szCs w:val="16"/>
              </w:rPr>
            </w:pPr>
            <w:r w:rsidRPr="006C7818">
              <w:rPr>
                <w:rFonts w:ascii="Calibri" w:hAnsi="Calibri" w:cs="Calibri"/>
                <w:sz w:val="16"/>
                <w:szCs w:val="16"/>
              </w:rPr>
              <w:t>(0.0385)</w:t>
            </w:r>
          </w:p>
        </w:tc>
        <w:tc>
          <w:tcPr>
            <w:tcW w:w="719" w:type="pct"/>
            <w:tcBorders>
              <w:top w:val="nil"/>
              <w:left w:val="nil"/>
              <w:bottom w:val="nil"/>
              <w:right w:val="nil"/>
            </w:tcBorders>
          </w:tcPr>
          <w:p w14:paraId="48C1FDBC" w14:textId="77777777" w:rsidR="0044273A" w:rsidRPr="006C7818" w:rsidRDefault="0044273A" w:rsidP="00B15C6C">
            <w:pPr>
              <w:widowControl w:val="0"/>
              <w:autoSpaceDE w:val="0"/>
              <w:autoSpaceDN w:val="0"/>
              <w:adjustRightInd w:val="0"/>
              <w:rPr>
                <w:sz w:val="16"/>
                <w:szCs w:val="16"/>
              </w:rPr>
            </w:pPr>
            <w:r w:rsidRPr="006C7818">
              <w:rPr>
                <w:sz w:val="16"/>
                <w:szCs w:val="16"/>
              </w:rPr>
              <w:t>(0.0376)</w:t>
            </w:r>
          </w:p>
        </w:tc>
        <w:tc>
          <w:tcPr>
            <w:tcW w:w="584" w:type="pct"/>
            <w:tcBorders>
              <w:top w:val="nil"/>
              <w:left w:val="nil"/>
              <w:bottom w:val="nil"/>
              <w:right w:val="nil"/>
            </w:tcBorders>
          </w:tcPr>
          <w:p w14:paraId="552FFBDF" w14:textId="77777777" w:rsidR="0044273A" w:rsidRPr="006C7818" w:rsidRDefault="0044273A" w:rsidP="00B15C6C">
            <w:pPr>
              <w:widowControl w:val="0"/>
              <w:autoSpaceDE w:val="0"/>
              <w:autoSpaceDN w:val="0"/>
              <w:adjustRightInd w:val="0"/>
              <w:rPr>
                <w:sz w:val="16"/>
                <w:szCs w:val="16"/>
              </w:rPr>
            </w:pPr>
            <w:r w:rsidRPr="006C7818">
              <w:rPr>
                <w:sz w:val="16"/>
                <w:szCs w:val="16"/>
              </w:rPr>
              <w:t>(0.1170)</w:t>
            </w:r>
          </w:p>
        </w:tc>
        <w:tc>
          <w:tcPr>
            <w:tcW w:w="584" w:type="pct"/>
            <w:tcBorders>
              <w:top w:val="nil"/>
              <w:left w:val="nil"/>
              <w:bottom w:val="nil"/>
              <w:right w:val="nil"/>
            </w:tcBorders>
          </w:tcPr>
          <w:p w14:paraId="2CDE8D67" w14:textId="77777777" w:rsidR="0044273A" w:rsidRPr="006C7818" w:rsidRDefault="0044273A" w:rsidP="00B15C6C">
            <w:pPr>
              <w:widowControl w:val="0"/>
              <w:autoSpaceDE w:val="0"/>
              <w:autoSpaceDN w:val="0"/>
              <w:adjustRightInd w:val="0"/>
              <w:rPr>
                <w:sz w:val="16"/>
                <w:szCs w:val="16"/>
              </w:rPr>
            </w:pPr>
            <w:r w:rsidRPr="006C7818">
              <w:rPr>
                <w:sz w:val="16"/>
                <w:szCs w:val="16"/>
              </w:rPr>
              <w:t>(0.0390)</w:t>
            </w:r>
          </w:p>
        </w:tc>
      </w:tr>
      <w:tr w:rsidR="0044273A" w:rsidRPr="006C7818" w14:paraId="50A184BF" w14:textId="77777777" w:rsidTr="00B15C6C">
        <w:trPr>
          <w:jc w:val="center"/>
        </w:trPr>
        <w:tc>
          <w:tcPr>
            <w:tcW w:w="1188" w:type="pct"/>
            <w:tcBorders>
              <w:top w:val="nil"/>
              <w:left w:val="nil"/>
              <w:bottom w:val="nil"/>
              <w:right w:val="nil"/>
            </w:tcBorders>
          </w:tcPr>
          <w:p w14:paraId="617681C1" w14:textId="77777777" w:rsidR="0044273A" w:rsidRPr="006C7818" w:rsidRDefault="0044273A" w:rsidP="00B15C6C">
            <w:pPr>
              <w:widowControl w:val="0"/>
              <w:autoSpaceDE w:val="0"/>
              <w:autoSpaceDN w:val="0"/>
              <w:adjustRightInd w:val="0"/>
              <w:rPr>
                <w:sz w:val="16"/>
                <w:szCs w:val="16"/>
              </w:rPr>
            </w:pPr>
            <w:r w:rsidRPr="006C7818">
              <w:rPr>
                <w:b/>
                <w:sz w:val="16"/>
                <w:szCs w:val="16"/>
                <w:lang w:val="en-US"/>
              </w:rPr>
              <w:t xml:space="preserve">No. of non-offspring </w:t>
            </w:r>
          </w:p>
        </w:tc>
        <w:tc>
          <w:tcPr>
            <w:tcW w:w="719" w:type="pct"/>
            <w:tcBorders>
              <w:top w:val="nil"/>
              <w:left w:val="nil"/>
              <w:bottom w:val="nil"/>
              <w:right w:val="nil"/>
            </w:tcBorders>
          </w:tcPr>
          <w:p w14:paraId="1A5CA427" w14:textId="77777777" w:rsidR="0044273A" w:rsidRPr="006C7818" w:rsidRDefault="0044273A" w:rsidP="00B15C6C">
            <w:pPr>
              <w:widowControl w:val="0"/>
              <w:autoSpaceDE w:val="0"/>
              <w:autoSpaceDN w:val="0"/>
              <w:adjustRightInd w:val="0"/>
              <w:rPr>
                <w:sz w:val="16"/>
                <w:szCs w:val="16"/>
              </w:rPr>
            </w:pPr>
            <w:r w:rsidRPr="006C7818">
              <w:rPr>
                <w:sz w:val="16"/>
                <w:szCs w:val="16"/>
              </w:rPr>
              <w:t>0.0941</w:t>
            </w:r>
          </w:p>
        </w:tc>
        <w:tc>
          <w:tcPr>
            <w:tcW w:w="584" w:type="pct"/>
            <w:tcBorders>
              <w:top w:val="nil"/>
              <w:left w:val="nil"/>
              <w:bottom w:val="nil"/>
              <w:right w:val="nil"/>
            </w:tcBorders>
          </w:tcPr>
          <w:p w14:paraId="6F123A3E" w14:textId="77777777" w:rsidR="0044273A" w:rsidRPr="006C7818" w:rsidRDefault="0044273A" w:rsidP="00B15C6C">
            <w:pPr>
              <w:widowControl w:val="0"/>
              <w:autoSpaceDE w:val="0"/>
              <w:autoSpaceDN w:val="0"/>
              <w:adjustRightInd w:val="0"/>
              <w:rPr>
                <w:sz w:val="16"/>
                <w:szCs w:val="16"/>
              </w:rPr>
            </w:pPr>
            <w:r w:rsidRPr="006C7818">
              <w:rPr>
                <w:sz w:val="16"/>
                <w:szCs w:val="16"/>
              </w:rPr>
              <w:t>0.0226</w:t>
            </w:r>
          </w:p>
        </w:tc>
        <w:tc>
          <w:tcPr>
            <w:tcW w:w="622" w:type="pct"/>
            <w:tcBorders>
              <w:top w:val="nil"/>
              <w:left w:val="nil"/>
              <w:bottom w:val="nil"/>
              <w:right w:val="nil"/>
            </w:tcBorders>
          </w:tcPr>
          <w:p w14:paraId="295140B4" w14:textId="77777777" w:rsidR="0044273A" w:rsidRPr="006C7818" w:rsidRDefault="0044273A" w:rsidP="00B15C6C">
            <w:pPr>
              <w:widowControl w:val="0"/>
              <w:autoSpaceDE w:val="0"/>
              <w:autoSpaceDN w:val="0"/>
              <w:adjustRightInd w:val="0"/>
              <w:rPr>
                <w:sz w:val="16"/>
                <w:szCs w:val="16"/>
              </w:rPr>
            </w:pPr>
            <w:r w:rsidRPr="006C7818">
              <w:rPr>
                <w:rFonts w:ascii="Calibri" w:hAnsi="Calibri" w:cs="Calibri"/>
                <w:sz w:val="16"/>
                <w:szCs w:val="16"/>
              </w:rPr>
              <w:t>0.0566</w:t>
            </w:r>
          </w:p>
        </w:tc>
        <w:tc>
          <w:tcPr>
            <w:tcW w:w="719" w:type="pct"/>
            <w:tcBorders>
              <w:top w:val="nil"/>
              <w:left w:val="nil"/>
              <w:bottom w:val="nil"/>
              <w:right w:val="nil"/>
            </w:tcBorders>
          </w:tcPr>
          <w:p w14:paraId="2D2C0DB0" w14:textId="77777777" w:rsidR="0044273A" w:rsidRPr="006C7818" w:rsidRDefault="0044273A" w:rsidP="00B15C6C">
            <w:pPr>
              <w:widowControl w:val="0"/>
              <w:autoSpaceDE w:val="0"/>
              <w:autoSpaceDN w:val="0"/>
              <w:adjustRightInd w:val="0"/>
              <w:rPr>
                <w:sz w:val="16"/>
                <w:szCs w:val="16"/>
              </w:rPr>
            </w:pPr>
            <w:r w:rsidRPr="006C7818">
              <w:rPr>
                <w:sz w:val="16"/>
                <w:szCs w:val="16"/>
              </w:rPr>
              <w:t>-0.1470**</w:t>
            </w:r>
          </w:p>
        </w:tc>
        <w:tc>
          <w:tcPr>
            <w:tcW w:w="584" w:type="pct"/>
            <w:tcBorders>
              <w:top w:val="nil"/>
              <w:left w:val="nil"/>
              <w:bottom w:val="nil"/>
              <w:right w:val="nil"/>
            </w:tcBorders>
          </w:tcPr>
          <w:p w14:paraId="0E15D9AE" w14:textId="77777777" w:rsidR="0044273A" w:rsidRPr="006C7818" w:rsidRDefault="0044273A" w:rsidP="00B15C6C">
            <w:pPr>
              <w:widowControl w:val="0"/>
              <w:autoSpaceDE w:val="0"/>
              <w:autoSpaceDN w:val="0"/>
              <w:adjustRightInd w:val="0"/>
              <w:rPr>
                <w:sz w:val="16"/>
                <w:szCs w:val="16"/>
              </w:rPr>
            </w:pPr>
            <w:r w:rsidRPr="006C7818">
              <w:rPr>
                <w:sz w:val="16"/>
                <w:szCs w:val="16"/>
              </w:rPr>
              <w:t>-0.1967</w:t>
            </w:r>
          </w:p>
        </w:tc>
        <w:tc>
          <w:tcPr>
            <w:tcW w:w="584" w:type="pct"/>
            <w:tcBorders>
              <w:top w:val="nil"/>
              <w:left w:val="nil"/>
              <w:bottom w:val="nil"/>
              <w:right w:val="nil"/>
            </w:tcBorders>
          </w:tcPr>
          <w:p w14:paraId="774C9949" w14:textId="77777777" w:rsidR="0044273A" w:rsidRPr="006C7818" w:rsidRDefault="0044273A" w:rsidP="00B15C6C">
            <w:pPr>
              <w:widowControl w:val="0"/>
              <w:autoSpaceDE w:val="0"/>
              <w:autoSpaceDN w:val="0"/>
              <w:adjustRightInd w:val="0"/>
              <w:rPr>
                <w:sz w:val="16"/>
                <w:szCs w:val="16"/>
              </w:rPr>
            </w:pPr>
            <w:r w:rsidRPr="006C7818">
              <w:rPr>
                <w:sz w:val="16"/>
                <w:szCs w:val="16"/>
              </w:rPr>
              <w:t>-0.1853**</w:t>
            </w:r>
          </w:p>
        </w:tc>
      </w:tr>
      <w:tr w:rsidR="0044273A" w:rsidRPr="006C7818" w14:paraId="2A2CA453" w14:textId="77777777" w:rsidTr="00B15C6C">
        <w:trPr>
          <w:jc w:val="center"/>
        </w:trPr>
        <w:tc>
          <w:tcPr>
            <w:tcW w:w="1188" w:type="pct"/>
            <w:tcBorders>
              <w:top w:val="nil"/>
              <w:left w:val="nil"/>
              <w:bottom w:val="nil"/>
              <w:right w:val="nil"/>
            </w:tcBorders>
          </w:tcPr>
          <w:p w14:paraId="5F6E7DB5" w14:textId="77777777" w:rsidR="0044273A" w:rsidRPr="006C7818" w:rsidRDefault="0044273A" w:rsidP="00B15C6C">
            <w:pPr>
              <w:widowControl w:val="0"/>
              <w:autoSpaceDE w:val="0"/>
              <w:autoSpaceDN w:val="0"/>
              <w:adjustRightInd w:val="0"/>
              <w:rPr>
                <w:sz w:val="16"/>
                <w:szCs w:val="16"/>
              </w:rPr>
            </w:pPr>
            <w:r w:rsidRPr="006C7818">
              <w:rPr>
                <w:b/>
                <w:sz w:val="16"/>
                <w:szCs w:val="16"/>
                <w:lang w:val="en-US"/>
              </w:rPr>
              <w:t>Members</w:t>
            </w:r>
          </w:p>
        </w:tc>
        <w:tc>
          <w:tcPr>
            <w:tcW w:w="719" w:type="pct"/>
            <w:tcBorders>
              <w:top w:val="nil"/>
              <w:left w:val="nil"/>
              <w:bottom w:val="nil"/>
              <w:right w:val="nil"/>
            </w:tcBorders>
          </w:tcPr>
          <w:p w14:paraId="2CD97F4B" w14:textId="77777777" w:rsidR="0044273A" w:rsidRPr="006C7818" w:rsidRDefault="0044273A" w:rsidP="00B15C6C">
            <w:pPr>
              <w:widowControl w:val="0"/>
              <w:autoSpaceDE w:val="0"/>
              <w:autoSpaceDN w:val="0"/>
              <w:adjustRightInd w:val="0"/>
              <w:rPr>
                <w:sz w:val="16"/>
                <w:szCs w:val="16"/>
              </w:rPr>
            </w:pPr>
            <w:r w:rsidRPr="006C7818">
              <w:rPr>
                <w:sz w:val="16"/>
                <w:szCs w:val="16"/>
              </w:rPr>
              <w:t>(0.0605)</w:t>
            </w:r>
          </w:p>
        </w:tc>
        <w:tc>
          <w:tcPr>
            <w:tcW w:w="584" w:type="pct"/>
            <w:tcBorders>
              <w:top w:val="nil"/>
              <w:left w:val="nil"/>
              <w:bottom w:val="nil"/>
              <w:right w:val="nil"/>
            </w:tcBorders>
          </w:tcPr>
          <w:p w14:paraId="2EF5215C" w14:textId="77777777" w:rsidR="0044273A" w:rsidRPr="006C7818" w:rsidRDefault="0044273A" w:rsidP="00B15C6C">
            <w:pPr>
              <w:widowControl w:val="0"/>
              <w:autoSpaceDE w:val="0"/>
              <w:autoSpaceDN w:val="0"/>
              <w:adjustRightInd w:val="0"/>
              <w:rPr>
                <w:sz w:val="16"/>
                <w:szCs w:val="16"/>
              </w:rPr>
            </w:pPr>
            <w:r w:rsidRPr="006C7818">
              <w:rPr>
                <w:sz w:val="16"/>
                <w:szCs w:val="16"/>
              </w:rPr>
              <w:t>(0.2059)</w:t>
            </w:r>
          </w:p>
        </w:tc>
        <w:tc>
          <w:tcPr>
            <w:tcW w:w="622" w:type="pct"/>
            <w:tcBorders>
              <w:top w:val="nil"/>
              <w:left w:val="nil"/>
              <w:bottom w:val="nil"/>
              <w:right w:val="nil"/>
            </w:tcBorders>
          </w:tcPr>
          <w:p w14:paraId="0D0D9A58" w14:textId="77777777" w:rsidR="0044273A" w:rsidRPr="006C7818" w:rsidRDefault="0044273A" w:rsidP="00B15C6C">
            <w:pPr>
              <w:widowControl w:val="0"/>
              <w:autoSpaceDE w:val="0"/>
              <w:autoSpaceDN w:val="0"/>
              <w:adjustRightInd w:val="0"/>
              <w:rPr>
                <w:sz w:val="16"/>
                <w:szCs w:val="16"/>
              </w:rPr>
            </w:pPr>
            <w:r w:rsidRPr="006C7818">
              <w:rPr>
                <w:rFonts w:ascii="Calibri" w:hAnsi="Calibri" w:cs="Calibri"/>
                <w:sz w:val="16"/>
                <w:szCs w:val="16"/>
              </w:rPr>
              <w:t>(0.0759)</w:t>
            </w:r>
          </w:p>
        </w:tc>
        <w:tc>
          <w:tcPr>
            <w:tcW w:w="719" w:type="pct"/>
            <w:tcBorders>
              <w:top w:val="nil"/>
              <w:left w:val="nil"/>
              <w:bottom w:val="nil"/>
              <w:right w:val="nil"/>
            </w:tcBorders>
          </w:tcPr>
          <w:p w14:paraId="5DE6E63A" w14:textId="77777777" w:rsidR="0044273A" w:rsidRPr="006C7818" w:rsidRDefault="0044273A" w:rsidP="00B15C6C">
            <w:pPr>
              <w:widowControl w:val="0"/>
              <w:autoSpaceDE w:val="0"/>
              <w:autoSpaceDN w:val="0"/>
              <w:adjustRightInd w:val="0"/>
              <w:rPr>
                <w:sz w:val="16"/>
                <w:szCs w:val="16"/>
              </w:rPr>
            </w:pPr>
            <w:r w:rsidRPr="006C7818">
              <w:rPr>
                <w:sz w:val="16"/>
                <w:szCs w:val="16"/>
              </w:rPr>
              <w:t>(0.0702)</w:t>
            </w:r>
          </w:p>
        </w:tc>
        <w:tc>
          <w:tcPr>
            <w:tcW w:w="584" w:type="pct"/>
            <w:tcBorders>
              <w:top w:val="nil"/>
              <w:left w:val="nil"/>
              <w:bottom w:val="nil"/>
              <w:right w:val="nil"/>
            </w:tcBorders>
          </w:tcPr>
          <w:p w14:paraId="7E1B2B1D" w14:textId="77777777" w:rsidR="0044273A" w:rsidRPr="006C7818" w:rsidRDefault="0044273A" w:rsidP="00B15C6C">
            <w:pPr>
              <w:widowControl w:val="0"/>
              <w:autoSpaceDE w:val="0"/>
              <w:autoSpaceDN w:val="0"/>
              <w:adjustRightInd w:val="0"/>
              <w:rPr>
                <w:sz w:val="16"/>
                <w:szCs w:val="16"/>
              </w:rPr>
            </w:pPr>
            <w:r w:rsidRPr="006C7818">
              <w:rPr>
                <w:sz w:val="16"/>
                <w:szCs w:val="16"/>
              </w:rPr>
              <w:t>(0.1893)</w:t>
            </w:r>
          </w:p>
        </w:tc>
        <w:tc>
          <w:tcPr>
            <w:tcW w:w="584" w:type="pct"/>
            <w:tcBorders>
              <w:top w:val="nil"/>
              <w:left w:val="nil"/>
              <w:bottom w:val="nil"/>
              <w:right w:val="nil"/>
            </w:tcBorders>
          </w:tcPr>
          <w:p w14:paraId="7351F4E3" w14:textId="77777777" w:rsidR="0044273A" w:rsidRPr="006C7818" w:rsidRDefault="0044273A" w:rsidP="00B15C6C">
            <w:pPr>
              <w:widowControl w:val="0"/>
              <w:autoSpaceDE w:val="0"/>
              <w:autoSpaceDN w:val="0"/>
              <w:adjustRightInd w:val="0"/>
              <w:rPr>
                <w:sz w:val="16"/>
                <w:szCs w:val="16"/>
              </w:rPr>
            </w:pPr>
            <w:r w:rsidRPr="006C7818">
              <w:rPr>
                <w:sz w:val="16"/>
                <w:szCs w:val="16"/>
              </w:rPr>
              <w:t>(0.0909)</w:t>
            </w:r>
          </w:p>
        </w:tc>
      </w:tr>
      <w:tr w:rsidR="0044273A" w:rsidRPr="006C7818" w14:paraId="2F2E2682" w14:textId="77777777" w:rsidTr="00B15C6C">
        <w:trPr>
          <w:jc w:val="center"/>
        </w:trPr>
        <w:tc>
          <w:tcPr>
            <w:tcW w:w="1188" w:type="pct"/>
            <w:tcBorders>
              <w:top w:val="nil"/>
              <w:left w:val="nil"/>
              <w:bottom w:val="nil"/>
              <w:right w:val="nil"/>
            </w:tcBorders>
          </w:tcPr>
          <w:p w14:paraId="0DA8C15F" w14:textId="77777777" w:rsidR="0044273A" w:rsidRPr="006C7818" w:rsidRDefault="0044273A" w:rsidP="00B15C6C">
            <w:pPr>
              <w:widowControl w:val="0"/>
              <w:autoSpaceDE w:val="0"/>
              <w:autoSpaceDN w:val="0"/>
              <w:adjustRightInd w:val="0"/>
              <w:rPr>
                <w:sz w:val="16"/>
                <w:szCs w:val="16"/>
              </w:rPr>
            </w:pPr>
            <w:r w:rsidRPr="006C7818">
              <w:rPr>
                <w:b/>
                <w:sz w:val="16"/>
                <w:szCs w:val="16"/>
                <w:lang w:val="en-US"/>
              </w:rPr>
              <w:t>Constant</w:t>
            </w:r>
          </w:p>
        </w:tc>
        <w:tc>
          <w:tcPr>
            <w:tcW w:w="719" w:type="pct"/>
            <w:tcBorders>
              <w:top w:val="nil"/>
              <w:left w:val="nil"/>
              <w:bottom w:val="nil"/>
              <w:right w:val="nil"/>
            </w:tcBorders>
          </w:tcPr>
          <w:p w14:paraId="1E0F1C5A" w14:textId="77777777" w:rsidR="0044273A" w:rsidRPr="006C7818" w:rsidRDefault="0044273A" w:rsidP="00B15C6C">
            <w:pPr>
              <w:widowControl w:val="0"/>
              <w:autoSpaceDE w:val="0"/>
              <w:autoSpaceDN w:val="0"/>
              <w:adjustRightInd w:val="0"/>
              <w:rPr>
                <w:sz w:val="16"/>
                <w:szCs w:val="16"/>
              </w:rPr>
            </w:pPr>
            <w:r w:rsidRPr="006C7818">
              <w:rPr>
                <w:sz w:val="16"/>
                <w:szCs w:val="16"/>
              </w:rPr>
              <w:t>7.6102***</w:t>
            </w:r>
          </w:p>
        </w:tc>
        <w:tc>
          <w:tcPr>
            <w:tcW w:w="584" w:type="pct"/>
            <w:tcBorders>
              <w:top w:val="nil"/>
              <w:left w:val="nil"/>
              <w:bottom w:val="nil"/>
              <w:right w:val="nil"/>
            </w:tcBorders>
          </w:tcPr>
          <w:p w14:paraId="44BF5D12" w14:textId="77777777" w:rsidR="0044273A" w:rsidRPr="006C7818" w:rsidRDefault="0044273A" w:rsidP="00B15C6C">
            <w:pPr>
              <w:widowControl w:val="0"/>
              <w:autoSpaceDE w:val="0"/>
              <w:autoSpaceDN w:val="0"/>
              <w:adjustRightInd w:val="0"/>
              <w:rPr>
                <w:sz w:val="16"/>
                <w:szCs w:val="16"/>
              </w:rPr>
            </w:pPr>
            <w:r w:rsidRPr="006C7818">
              <w:rPr>
                <w:sz w:val="16"/>
                <w:szCs w:val="16"/>
              </w:rPr>
              <w:t>1.2765</w:t>
            </w:r>
          </w:p>
        </w:tc>
        <w:tc>
          <w:tcPr>
            <w:tcW w:w="622" w:type="pct"/>
            <w:tcBorders>
              <w:top w:val="nil"/>
              <w:left w:val="nil"/>
              <w:bottom w:val="nil"/>
              <w:right w:val="nil"/>
            </w:tcBorders>
          </w:tcPr>
          <w:p w14:paraId="7C62541A" w14:textId="77777777" w:rsidR="0044273A" w:rsidRPr="006C7818" w:rsidRDefault="0044273A" w:rsidP="00B15C6C">
            <w:pPr>
              <w:widowControl w:val="0"/>
              <w:autoSpaceDE w:val="0"/>
              <w:autoSpaceDN w:val="0"/>
              <w:adjustRightInd w:val="0"/>
              <w:rPr>
                <w:sz w:val="16"/>
                <w:szCs w:val="16"/>
              </w:rPr>
            </w:pPr>
            <w:r w:rsidRPr="006C7818">
              <w:rPr>
                <w:rFonts w:ascii="Calibri" w:hAnsi="Calibri" w:cs="Calibri"/>
                <w:sz w:val="16"/>
                <w:szCs w:val="16"/>
              </w:rPr>
              <w:t>7.6187***</w:t>
            </w:r>
          </w:p>
        </w:tc>
        <w:tc>
          <w:tcPr>
            <w:tcW w:w="719" w:type="pct"/>
            <w:tcBorders>
              <w:top w:val="nil"/>
              <w:left w:val="nil"/>
              <w:bottom w:val="nil"/>
              <w:right w:val="nil"/>
            </w:tcBorders>
          </w:tcPr>
          <w:p w14:paraId="63415E1B" w14:textId="77777777" w:rsidR="0044273A" w:rsidRPr="006C7818" w:rsidRDefault="0044273A" w:rsidP="00B15C6C">
            <w:pPr>
              <w:widowControl w:val="0"/>
              <w:autoSpaceDE w:val="0"/>
              <w:autoSpaceDN w:val="0"/>
              <w:adjustRightInd w:val="0"/>
              <w:rPr>
                <w:sz w:val="16"/>
                <w:szCs w:val="16"/>
              </w:rPr>
            </w:pPr>
            <w:r w:rsidRPr="006C7818">
              <w:rPr>
                <w:sz w:val="16"/>
                <w:szCs w:val="16"/>
              </w:rPr>
              <w:t>7.1886***</w:t>
            </w:r>
          </w:p>
        </w:tc>
        <w:tc>
          <w:tcPr>
            <w:tcW w:w="584" w:type="pct"/>
            <w:tcBorders>
              <w:top w:val="nil"/>
              <w:left w:val="nil"/>
              <w:bottom w:val="nil"/>
              <w:right w:val="nil"/>
            </w:tcBorders>
          </w:tcPr>
          <w:p w14:paraId="5DC42AF7" w14:textId="77777777" w:rsidR="0044273A" w:rsidRPr="006C7818" w:rsidRDefault="0044273A" w:rsidP="00B15C6C">
            <w:pPr>
              <w:widowControl w:val="0"/>
              <w:autoSpaceDE w:val="0"/>
              <w:autoSpaceDN w:val="0"/>
              <w:adjustRightInd w:val="0"/>
              <w:rPr>
                <w:sz w:val="16"/>
                <w:szCs w:val="16"/>
              </w:rPr>
            </w:pPr>
            <w:r w:rsidRPr="006C7818">
              <w:rPr>
                <w:sz w:val="16"/>
                <w:szCs w:val="16"/>
              </w:rPr>
              <w:t>1.5816</w:t>
            </w:r>
          </w:p>
        </w:tc>
        <w:tc>
          <w:tcPr>
            <w:tcW w:w="584" w:type="pct"/>
            <w:tcBorders>
              <w:top w:val="nil"/>
              <w:left w:val="nil"/>
              <w:bottom w:val="nil"/>
              <w:right w:val="nil"/>
            </w:tcBorders>
          </w:tcPr>
          <w:p w14:paraId="49B13AEB" w14:textId="77777777" w:rsidR="0044273A" w:rsidRPr="006C7818" w:rsidRDefault="0044273A" w:rsidP="00B15C6C">
            <w:pPr>
              <w:widowControl w:val="0"/>
              <w:autoSpaceDE w:val="0"/>
              <w:autoSpaceDN w:val="0"/>
              <w:adjustRightInd w:val="0"/>
              <w:rPr>
                <w:sz w:val="16"/>
                <w:szCs w:val="16"/>
              </w:rPr>
            </w:pPr>
            <w:r w:rsidRPr="006C7818">
              <w:rPr>
                <w:sz w:val="16"/>
                <w:szCs w:val="16"/>
              </w:rPr>
              <w:t>7.2161***</w:t>
            </w:r>
          </w:p>
        </w:tc>
      </w:tr>
      <w:tr w:rsidR="0044273A" w:rsidRPr="006C7818" w14:paraId="02CE5FB3" w14:textId="77777777" w:rsidTr="00B15C6C">
        <w:trPr>
          <w:jc w:val="center"/>
        </w:trPr>
        <w:tc>
          <w:tcPr>
            <w:tcW w:w="1188" w:type="pct"/>
            <w:tcBorders>
              <w:top w:val="nil"/>
              <w:left w:val="nil"/>
              <w:bottom w:val="nil"/>
              <w:right w:val="nil"/>
            </w:tcBorders>
          </w:tcPr>
          <w:p w14:paraId="18881A9A" w14:textId="77777777" w:rsidR="0044273A" w:rsidRPr="006C7818" w:rsidRDefault="0044273A" w:rsidP="00B15C6C">
            <w:pPr>
              <w:widowControl w:val="0"/>
              <w:autoSpaceDE w:val="0"/>
              <w:autoSpaceDN w:val="0"/>
              <w:adjustRightInd w:val="0"/>
              <w:rPr>
                <w:sz w:val="16"/>
                <w:szCs w:val="16"/>
              </w:rPr>
            </w:pPr>
          </w:p>
        </w:tc>
        <w:tc>
          <w:tcPr>
            <w:tcW w:w="719" w:type="pct"/>
            <w:tcBorders>
              <w:top w:val="nil"/>
              <w:left w:val="nil"/>
              <w:bottom w:val="nil"/>
              <w:right w:val="nil"/>
            </w:tcBorders>
          </w:tcPr>
          <w:p w14:paraId="38714376" w14:textId="77777777" w:rsidR="0044273A" w:rsidRPr="006C7818" w:rsidRDefault="0044273A" w:rsidP="00B15C6C">
            <w:pPr>
              <w:widowControl w:val="0"/>
              <w:autoSpaceDE w:val="0"/>
              <w:autoSpaceDN w:val="0"/>
              <w:adjustRightInd w:val="0"/>
              <w:rPr>
                <w:sz w:val="16"/>
                <w:szCs w:val="16"/>
              </w:rPr>
            </w:pPr>
            <w:r w:rsidRPr="006C7818">
              <w:rPr>
                <w:sz w:val="16"/>
                <w:szCs w:val="16"/>
              </w:rPr>
              <w:t>(1.2867)</w:t>
            </w:r>
          </w:p>
        </w:tc>
        <w:tc>
          <w:tcPr>
            <w:tcW w:w="584" w:type="pct"/>
            <w:tcBorders>
              <w:top w:val="nil"/>
              <w:left w:val="nil"/>
              <w:bottom w:val="nil"/>
              <w:right w:val="nil"/>
            </w:tcBorders>
          </w:tcPr>
          <w:p w14:paraId="6C35E493" w14:textId="77777777" w:rsidR="0044273A" w:rsidRPr="006C7818" w:rsidRDefault="0044273A" w:rsidP="00B15C6C">
            <w:pPr>
              <w:widowControl w:val="0"/>
              <w:autoSpaceDE w:val="0"/>
              <w:autoSpaceDN w:val="0"/>
              <w:adjustRightInd w:val="0"/>
              <w:rPr>
                <w:sz w:val="16"/>
                <w:szCs w:val="16"/>
              </w:rPr>
            </w:pPr>
            <w:r w:rsidRPr="006C7818">
              <w:rPr>
                <w:sz w:val="16"/>
                <w:szCs w:val="16"/>
              </w:rPr>
              <w:t>(3.3014)</w:t>
            </w:r>
          </w:p>
        </w:tc>
        <w:tc>
          <w:tcPr>
            <w:tcW w:w="622" w:type="pct"/>
            <w:tcBorders>
              <w:top w:val="nil"/>
              <w:left w:val="nil"/>
              <w:bottom w:val="nil"/>
              <w:right w:val="nil"/>
            </w:tcBorders>
          </w:tcPr>
          <w:p w14:paraId="6A8ECC04" w14:textId="77777777" w:rsidR="0044273A" w:rsidRPr="006C7818" w:rsidRDefault="0044273A" w:rsidP="00B15C6C">
            <w:pPr>
              <w:widowControl w:val="0"/>
              <w:autoSpaceDE w:val="0"/>
              <w:autoSpaceDN w:val="0"/>
              <w:adjustRightInd w:val="0"/>
              <w:rPr>
                <w:sz w:val="16"/>
                <w:szCs w:val="16"/>
              </w:rPr>
            </w:pPr>
            <w:r w:rsidRPr="006C7818">
              <w:rPr>
                <w:rFonts w:ascii="Calibri" w:hAnsi="Calibri" w:cs="Calibri"/>
                <w:sz w:val="16"/>
                <w:szCs w:val="16"/>
              </w:rPr>
              <w:t>(1.3363)</w:t>
            </w:r>
          </w:p>
        </w:tc>
        <w:tc>
          <w:tcPr>
            <w:tcW w:w="719" w:type="pct"/>
            <w:tcBorders>
              <w:top w:val="nil"/>
              <w:left w:val="nil"/>
              <w:bottom w:val="nil"/>
              <w:right w:val="nil"/>
            </w:tcBorders>
          </w:tcPr>
          <w:p w14:paraId="0335B5F6" w14:textId="77777777" w:rsidR="0044273A" w:rsidRPr="006C7818" w:rsidRDefault="0044273A" w:rsidP="00B15C6C">
            <w:pPr>
              <w:widowControl w:val="0"/>
              <w:autoSpaceDE w:val="0"/>
              <w:autoSpaceDN w:val="0"/>
              <w:adjustRightInd w:val="0"/>
              <w:rPr>
                <w:sz w:val="16"/>
                <w:szCs w:val="16"/>
              </w:rPr>
            </w:pPr>
            <w:r w:rsidRPr="006C7818">
              <w:rPr>
                <w:sz w:val="16"/>
                <w:szCs w:val="16"/>
              </w:rPr>
              <w:t>(1.2884)</w:t>
            </w:r>
          </w:p>
        </w:tc>
        <w:tc>
          <w:tcPr>
            <w:tcW w:w="584" w:type="pct"/>
            <w:tcBorders>
              <w:top w:val="nil"/>
              <w:left w:val="nil"/>
              <w:bottom w:val="nil"/>
              <w:right w:val="nil"/>
            </w:tcBorders>
          </w:tcPr>
          <w:p w14:paraId="3E923F30" w14:textId="77777777" w:rsidR="0044273A" w:rsidRPr="006C7818" w:rsidRDefault="0044273A" w:rsidP="00B15C6C">
            <w:pPr>
              <w:widowControl w:val="0"/>
              <w:autoSpaceDE w:val="0"/>
              <w:autoSpaceDN w:val="0"/>
              <w:adjustRightInd w:val="0"/>
              <w:rPr>
                <w:sz w:val="16"/>
                <w:szCs w:val="16"/>
              </w:rPr>
            </w:pPr>
            <w:r w:rsidRPr="006C7818">
              <w:rPr>
                <w:sz w:val="16"/>
                <w:szCs w:val="16"/>
              </w:rPr>
              <w:t>(3.0214)</w:t>
            </w:r>
          </w:p>
        </w:tc>
        <w:tc>
          <w:tcPr>
            <w:tcW w:w="584" w:type="pct"/>
            <w:tcBorders>
              <w:top w:val="nil"/>
              <w:left w:val="nil"/>
              <w:bottom w:val="nil"/>
              <w:right w:val="nil"/>
            </w:tcBorders>
          </w:tcPr>
          <w:p w14:paraId="0B8EDD59" w14:textId="77777777" w:rsidR="0044273A" w:rsidRPr="006C7818" w:rsidRDefault="0044273A" w:rsidP="00B15C6C">
            <w:pPr>
              <w:widowControl w:val="0"/>
              <w:autoSpaceDE w:val="0"/>
              <w:autoSpaceDN w:val="0"/>
              <w:adjustRightInd w:val="0"/>
              <w:rPr>
                <w:sz w:val="16"/>
                <w:szCs w:val="16"/>
              </w:rPr>
            </w:pPr>
            <w:r w:rsidRPr="006C7818">
              <w:rPr>
                <w:sz w:val="16"/>
                <w:szCs w:val="16"/>
              </w:rPr>
              <w:t>(1.3464)</w:t>
            </w:r>
          </w:p>
        </w:tc>
      </w:tr>
      <w:tr w:rsidR="0044273A" w:rsidRPr="006C7818" w14:paraId="53AF221C" w14:textId="77777777" w:rsidTr="00B15C6C">
        <w:trPr>
          <w:jc w:val="center"/>
        </w:trPr>
        <w:tc>
          <w:tcPr>
            <w:tcW w:w="1188" w:type="pct"/>
            <w:tcBorders>
              <w:top w:val="nil"/>
              <w:left w:val="nil"/>
              <w:bottom w:val="nil"/>
              <w:right w:val="nil"/>
            </w:tcBorders>
          </w:tcPr>
          <w:p w14:paraId="423A0AA1" w14:textId="77777777" w:rsidR="0044273A" w:rsidRPr="006C7818" w:rsidRDefault="0044273A" w:rsidP="00B15C6C">
            <w:pPr>
              <w:widowControl w:val="0"/>
              <w:autoSpaceDE w:val="0"/>
              <w:autoSpaceDN w:val="0"/>
              <w:adjustRightInd w:val="0"/>
              <w:rPr>
                <w:sz w:val="16"/>
                <w:szCs w:val="16"/>
              </w:rPr>
            </w:pPr>
          </w:p>
        </w:tc>
        <w:tc>
          <w:tcPr>
            <w:tcW w:w="719" w:type="pct"/>
            <w:tcBorders>
              <w:top w:val="nil"/>
              <w:left w:val="nil"/>
              <w:bottom w:val="nil"/>
              <w:right w:val="nil"/>
            </w:tcBorders>
          </w:tcPr>
          <w:p w14:paraId="47B68999" w14:textId="77777777" w:rsidR="0044273A" w:rsidRPr="006C7818" w:rsidRDefault="0044273A" w:rsidP="00B15C6C">
            <w:pPr>
              <w:widowControl w:val="0"/>
              <w:autoSpaceDE w:val="0"/>
              <w:autoSpaceDN w:val="0"/>
              <w:adjustRightInd w:val="0"/>
              <w:rPr>
                <w:sz w:val="16"/>
                <w:szCs w:val="16"/>
              </w:rPr>
            </w:pPr>
          </w:p>
        </w:tc>
        <w:tc>
          <w:tcPr>
            <w:tcW w:w="584" w:type="pct"/>
            <w:tcBorders>
              <w:top w:val="nil"/>
              <w:left w:val="nil"/>
              <w:bottom w:val="nil"/>
              <w:right w:val="nil"/>
            </w:tcBorders>
          </w:tcPr>
          <w:p w14:paraId="40C98B86" w14:textId="77777777" w:rsidR="0044273A" w:rsidRPr="006C7818" w:rsidRDefault="0044273A" w:rsidP="00B15C6C">
            <w:pPr>
              <w:widowControl w:val="0"/>
              <w:autoSpaceDE w:val="0"/>
              <w:autoSpaceDN w:val="0"/>
              <w:adjustRightInd w:val="0"/>
              <w:rPr>
                <w:sz w:val="16"/>
                <w:szCs w:val="16"/>
              </w:rPr>
            </w:pPr>
          </w:p>
        </w:tc>
        <w:tc>
          <w:tcPr>
            <w:tcW w:w="622" w:type="pct"/>
            <w:tcBorders>
              <w:top w:val="nil"/>
              <w:left w:val="nil"/>
              <w:bottom w:val="nil"/>
              <w:right w:val="nil"/>
            </w:tcBorders>
          </w:tcPr>
          <w:p w14:paraId="0EFA5E76" w14:textId="77777777" w:rsidR="0044273A" w:rsidRPr="006C7818" w:rsidRDefault="0044273A" w:rsidP="00B15C6C">
            <w:pPr>
              <w:widowControl w:val="0"/>
              <w:autoSpaceDE w:val="0"/>
              <w:autoSpaceDN w:val="0"/>
              <w:adjustRightInd w:val="0"/>
              <w:rPr>
                <w:sz w:val="16"/>
                <w:szCs w:val="16"/>
              </w:rPr>
            </w:pPr>
          </w:p>
        </w:tc>
        <w:tc>
          <w:tcPr>
            <w:tcW w:w="719" w:type="pct"/>
            <w:tcBorders>
              <w:top w:val="nil"/>
              <w:left w:val="nil"/>
              <w:bottom w:val="nil"/>
              <w:right w:val="nil"/>
            </w:tcBorders>
          </w:tcPr>
          <w:p w14:paraId="360692FC" w14:textId="77777777" w:rsidR="0044273A" w:rsidRPr="006C7818" w:rsidRDefault="0044273A" w:rsidP="00B15C6C">
            <w:pPr>
              <w:widowControl w:val="0"/>
              <w:autoSpaceDE w:val="0"/>
              <w:autoSpaceDN w:val="0"/>
              <w:adjustRightInd w:val="0"/>
              <w:rPr>
                <w:sz w:val="16"/>
                <w:szCs w:val="16"/>
              </w:rPr>
            </w:pPr>
          </w:p>
        </w:tc>
        <w:tc>
          <w:tcPr>
            <w:tcW w:w="584" w:type="pct"/>
            <w:tcBorders>
              <w:top w:val="nil"/>
              <w:left w:val="nil"/>
              <w:bottom w:val="nil"/>
              <w:right w:val="nil"/>
            </w:tcBorders>
          </w:tcPr>
          <w:p w14:paraId="35419747" w14:textId="77777777" w:rsidR="0044273A" w:rsidRPr="006C7818" w:rsidRDefault="0044273A" w:rsidP="00B15C6C">
            <w:pPr>
              <w:widowControl w:val="0"/>
              <w:autoSpaceDE w:val="0"/>
              <w:autoSpaceDN w:val="0"/>
              <w:adjustRightInd w:val="0"/>
              <w:rPr>
                <w:sz w:val="16"/>
                <w:szCs w:val="16"/>
              </w:rPr>
            </w:pPr>
          </w:p>
        </w:tc>
        <w:tc>
          <w:tcPr>
            <w:tcW w:w="584" w:type="pct"/>
            <w:tcBorders>
              <w:top w:val="nil"/>
              <w:left w:val="nil"/>
              <w:bottom w:val="nil"/>
              <w:right w:val="nil"/>
            </w:tcBorders>
          </w:tcPr>
          <w:p w14:paraId="30554E71" w14:textId="77777777" w:rsidR="0044273A" w:rsidRPr="006C7818" w:rsidRDefault="0044273A" w:rsidP="00B15C6C">
            <w:pPr>
              <w:widowControl w:val="0"/>
              <w:autoSpaceDE w:val="0"/>
              <w:autoSpaceDN w:val="0"/>
              <w:adjustRightInd w:val="0"/>
              <w:rPr>
                <w:sz w:val="16"/>
                <w:szCs w:val="16"/>
              </w:rPr>
            </w:pPr>
          </w:p>
        </w:tc>
      </w:tr>
      <w:tr w:rsidR="0044273A" w:rsidRPr="006C7818" w14:paraId="3B8EF299" w14:textId="77777777" w:rsidTr="00B15C6C">
        <w:trPr>
          <w:jc w:val="center"/>
        </w:trPr>
        <w:tc>
          <w:tcPr>
            <w:tcW w:w="1188" w:type="pct"/>
            <w:tcBorders>
              <w:top w:val="nil"/>
              <w:left w:val="nil"/>
              <w:bottom w:val="nil"/>
              <w:right w:val="nil"/>
            </w:tcBorders>
          </w:tcPr>
          <w:p w14:paraId="00BC7CF1" w14:textId="77777777" w:rsidR="0044273A" w:rsidRPr="006C7818" w:rsidRDefault="0044273A" w:rsidP="00B15C6C">
            <w:pPr>
              <w:widowControl w:val="0"/>
              <w:autoSpaceDE w:val="0"/>
              <w:autoSpaceDN w:val="0"/>
              <w:adjustRightInd w:val="0"/>
              <w:rPr>
                <w:sz w:val="16"/>
                <w:szCs w:val="16"/>
              </w:rPr>
            </w:pPr>
            <w:r w:rsidRPr="006C7818">
              <w:rPr>
                <w:b/>
                <w:sz w:val="16"/>
                <w:szCs w:val="16"/>
                <w:lang w:val="en-US"/>
              </w:rPr>
              <w:t>Obs.</w:t>
            </w:r>
          </w:p>
        </w:tc>
        <w:tc>
          <w:tcPr>
            <w:tcW w:w="719" w:type="pct"/>
            <w:tcBorders>
              <w:top w:val="nil"/>
              <w:left w:val="nil"/>
              <w:bottom w:val="nil"/>
              <w:right w:val="nil"/>
            </w:tcBorders>
          </w:tcPr>
          <w:p w14:paraId="5A11EB30" w14:textId="77777777" w:rsidR="0044273A" w:rsidRPr="006C7818" w:rsidRDefault="0044273A" w:rsidP="00B15C6C">
            <w:pPr>
              <w:widowControl w:val="0"/>
              <w:autoSpaceDE w:val="0"/>
              <w:autoSpaceDN w:val="0"/>
              <w:adjustRightInd w:val="0"/>
              <w:rPr>
                <w:sz w:val="16"/>
                <w:szCs w:val="16"/>
              </w:rPr>
            </w:pPr>
            <w:r w:rsidRPr="006C7818">
              <w:rPr>
                <w:sz w:val="16"/>
                <w:szCs w:val="16"/>
              </w:rPr>
              <w:t>11,475</w:t>
            </w:r>
          </w:p>
        </w:tc>
        <w:tc>
          <w:tcPr>
            <w:tcW w:w="584" w:type="pct"/>
            <w:tcBorders>
              <w:top w:val="nil"/>
              <w:left w:val="nil"/>
              <w:bottom w:val="nil"/>
              <w:right w:val="nil"/>
            </w:tcBorders>
          </w:tcPr>
          <w:p w14:paraId="7C786EC5" w14:textId="77777777" w:rsidR="0044273A" w:rsidRPr="006C7818" w:rsidRDefault="0044273A" w:rsidP="00B15C6C">
            <w:pPr>
              <w:widowControl w:val="0"/>
              <w:autoSpaceDE w:val="0"/>
              <w:autoSpaceDN w:val="0"/>
              <w:adjustRightInd w:val="0"/>
              <w:rPr>
                <w:sz w:val="16"/>
                <w:szCs w:val="16"/>
              </w:rPr>
            </w:pPr>
            <w:r w:rsidRPr="006C7818">
              <w:rPr>
                <w:sz w:val="16"/>
                <w:szCs w:val="16"/>
              </w:rPr>
              <w:t>11,396</w:t>
            </w:r>
          </w:p>
        </w:tc>
        <w:tc>
          <w:tcPr>
            <w:tcW w:w="622" w:type="pct"/>
            <w:tcBorders>
              <w:top w:val="nil"/>
              <w:left w:val="nil"/>
              <w:bottom w:val="nil"/>
              <w:right w:val="nil"/>
            </w:tcBorders>
          </w:tcPr>
          <w:p w14:paraId="333E7B2C" w14:textId="77777777" w:rsidR="0044273A" w:rsidRPr="006C7818" w:rsidRDefault="0044273A" w:rsidP="00B15C6C">
            <w:pPr>
              <w:widowControl w:val="0"/>
              <w:autoSpaceDE w:val="0"/>
              <w:autoSpaceDN w:val="0"/>
              <w:adjustRightInd w:val="0"/>
              <w:rPr>
                <w:sz w:val="16"/>
                <w:szCs w:val="16"/>
              </w:rPr>
            </w:pPr>
            <w:r w:rsidRPr="006C7818">
              <w:rPr>
                <w:rFonts w:ascii="Calibri" w:hAnsi="Calibri" w:cs="Calibri"/>
                <w:sz w:val="16"/>
                <w:szCs w:val="16"/>
              </w:rPr>
              <w:t>11,488</w:t>
            </w:r>
          </w:p>
        </w:tc>
        <w:tc>
          <w:tcPr>
            <w:tcW w:w="719" w:type="pct"/>
            <w:tcBorders>
              <w:top w:val="nil"/>
              <w:left w:val="nil"/>
              <w:bottom w:val="nil"/>
              <w:right w:val="nil"/>
            </w:tcBorders>
          </w:tcPr>
          <w:p w14:paraId="7F080758" w14:textId="77777777" w:rsidR="0044273A" w:rsidRPr="006C7818" w:rsidRDefault="0044273A" w:rsidP="00B15C6C">
            <w:pPr>
              <w:widowControl w:val="0"/>
              <w:autoSpaceDE w:val="0"/>
              <w:autoSpaceDN w:val="0"/>
              <w:adjustRightInd w:val="0"/>
              <w:rPr>
                <w:sz w:val="16"/>
                <w:szCs w:val="16"/>
              </w:rPr>
            </w:pPr>
            <w:r w:rsidRPr="006C7818">
              <w:rPr>
                <w:sz w:val="16"/>
                <w:szCs w:val="16"/>
              </w:rPr>
              <w:t>11,475</w:t>
            </w:r>
          </w:p>
        </w:tc>
        <w:tc>
          <w:tcPr>
            <w:tcW w:w="584" w:type="pct"/>
            <w:tcBorders>
              <w:top w:val="nil"/>
              <w:left w:val="nil"/>
              <w:bottom w:val="nil"/>
              <w:right w:val="nil"/>
            </w:tcBorders>
          </w:tcPr>
          <w:p w14:paraId="720EBC4B" w14:textId="77777777" w:rsidR="0044273A" w:rsidRPr="006C7818" w:rsidRDefault="0044273A" w:rsidP="00B15C6C">
            <w:pPr>
              <w:widowControl w:val="0"/>
              <w:autoSpaceDE w:val="0"/>
              <w:autoSpaceDN w:val="0"/>
              <w:adjustRightInd w:val="0"/>
              <w:rPr>
                <w:sz w:val="16"/>
                <w:szCs w:val="16"/>
              </w:rPr>
            </w:pPr>
            <w:r w:rsidRPr="006C7818">
              <w:rPr>
                <w:sz w:val="16"/>
                <w:szCs w:val="16"/>
              </w:rPr>
              <w:t>11,396</w:t>
            </w:r>
          </w:p>
        </w:tc>
        <w:tc>
          <w:tcPr>
            <w:tcW w:w="584" w:type="pct"/>
            <w:tcBorders>
              <w:top w:val="nil"/>
              <w:left w:val="nil"/>
              <w:bottom w:val="nil"/>
              <w:right w:val="nil"/>
            </w:tcBorders>
          </w:tcPr>
          <w:p w14:paraId="3A5A76DE" w14:textId="77777777" w:rsidR="0044273A" w:rsidRPr="006C7818" w:rsidRDefault="0044273A" w:rsidP="00B15C6C">
            <w:pPr>
              <w:widowControl w:val="0"/>
              <w:autoSpaceDE w:val="0"/>
              <w:autoSpaceDN w:val="0"/>
              <w:adjustRightInd w:val="0"/>
              <w:rPr>
                <w:sz w:val="16"/>
                <w:szCs w:val="16"/>
              </w:rPr>
            </w:pPr>
            <w:r w:rsidRPr="006C7818">
              <w:rPr>
                <w:sz w:val="16"/>
                <w:szCs w:val="16"/>
              </w:rPr>
              <w:t>11,488</w:t>
            </w:r>
          </w:p>
        </w:tc>
      </w:tr>
      <w:tr w:rsidR="0044273A" w:rsidRPr="001928CB" w14:paraId="2AFB8C73" w14:textId="77777777" w:rsidTr="00B15C6C">
        <w:tblPrEx>
          <w:tblBorders>
            <w:bottom w:val="single" w:sz="6" w:space="0" w:color="auto"/>
          </w:tblBorders>
        </w:tblPrEx>
        <w:trPr>
          <w:jc w:val="center"/>
        </w:trPr>
        <w:tc>
          <w:tcPr>
            <w:tcW w:w="1188" w:type="pct"/>
            <w:tcBorders>
              <w:top w:val="nil"/>
              <w:left w:val="nil"/>
              <w:bottom w:val="single" w:sz="6" w:space="0" w:color="auto"/>
              <w:right w:val="nil"/>
            </w:tcBorders>
          </w:tcPr>
          <w:p w14:paraId="75FDAA26" w14:textId="77777777" w:rsidR="0044273A" w:rsidRPr="006C7818" w:rsidRDefault="0044273A" w:rsidP="00B15C6C">
            <w:pPr>
              <w:widowControl w:val="0"/>
              <w:autoSpaceDE w:val="0"/>
              <w:autoSpaceDN w:val="0"/>
              <w:adjustRightInd w:val="0"/>
              <w:rPr>
                <w:sz w:val="16"/>
                <w:szCs w:val="16"/>
              </w:rPr>
            </w:pPr>
            <w:r w:rsidRPr="006C7818">
              <w:rPr>
                <w:b/>
                <w:sz w:val="16"/>
                <w:szCs w:val="16"/>
                <w:lang w:val="en-US"/>
              </w:rPr>
              <w:t>Number of households</w:t>
            </w:r>
          </w:p>
        </w:tc>
        <w:tc>
          <w:tcPr>
            <w:tcW w:w="719" w:type="pct"/>
            <w:tcBorders>
              <w:top w:val="nil"/>
              <w:left w:val="nil"/>
              <w:bottom w:val="single" w:sz="6" w:space="0" w:color="auto"/>
              <w:right w:val="nil"/>
            </w:tcBorders>
          </w:tcPr>
          <w:p w14:paraId="1F757A74" w14:textId="77777777" w:rsidR="0044273A" w:rsidRPr="006C7818" w:rsidRDefault="0044273A" w:rsidP="00B15C6C">
            <w:pPr>
              <w:widowControl w:val="0"/>
              <w:autoSpaceDE w:val="0"/>
              <w:autoSpaceDN w:val="0"/>
              <w:adjustRightInd w:val="0"/>
              <w:rPr>
                <w:sz w:val="16"/>
                <w:szCs w:val="16"/>
              </w:rPr>
            </w:pPr>
            <w:r w:rsidRPr="006C7818">
              <w:rPr>
                <w:sz w:val="16"/>
                <w:szCs w:val="16"/>
              </w:rPr>
              <w:t>6,557</w:t>
            </w:r>
          </w:p>
        </w:tc>
        <w:tc>
          <w:tcPr>
            <w:tcW w:w="584" w:type="pct"/>
            <w:tcBorders>
              <w:top w:val="nil"/>
              <w:left w:val="nil"/>
              <w:bottom w:val="single" w:sz="6" w:space="0" w:color="auto"/>
              <w:right w:val="nil"/>
            </w:tcBorders>
          </w:tcPr>
          <w:p w14:paraId="78E77759" w14:textId="77777777" w:rsidR="0044273A" w:rsidRPr="006C7818" w:rsidRDefault="0044273A" w:rsidP="00B15C6C">
            <w:pPr>
              <w:widowControl w:val="0"/>
              <w:autoSpaceDE w:val="0"/>
              <w:autoSpaceDN w:val="0"/>
              <w:adjustRightInd w:val="0"/>
              <w:rPr>
                <w:sz w:val="16"/>
                <w:szCs w:val="16"/>
              </w:rPr>
            </w:pPr>
            <w:r w:rsidRPr="006C7818">
              <w:rPr>
                <w:sz w:val="16"/>
                <w:szCs w:val="16"/>
              </w:rPr>
              <w:t>6,545</w:t>
            </w:r>
          </w:p>
        </w:tc>
        <w:tc>
          <w:tcPr>
            <w:tcW w:w="622" w:type="pct"/>
            <w:tcBorders>
              <w:top w:val="nil"/>
              <w:left w:val="nil"/>
              <w:bottom w:val="single" w:sz="6" w:space="0" w:color="auto"/>
              <w:right w:val="nil"/>
            </w:tcBorders>
          </w:tcPr>
          <w:p w14:paraId="62DA8EE9" w14:textId="77777777" w:rsidR="0044273A" w:rsidRPr="006C7818" w:rsidRDefault="0044273A" w:rsidP="00B15C6C">
            <w:pPr>
              <w:widowControl w:val="0"/>
              <w:autoSpaceDE w:val="0"/>
              <w:autoSpaceDN w:val="0"/>
              <w:adjustRightInd w:val="0"/>
              <w:rPr>
                <w:sz w:val="16"/>
                <w:szCs w:val="16"/>
              </w:rPr>
            </w:pPr>
            <w:r w:rsidRPr="006C7818">
              <w:rPr>
                <w:rFonts w:ascii="Calibri" w:hAnsi="Calibri" w:cs="Calibri"/>
                <w:sz w:val="16"/>
                <w:szCs w:val="16"/>
              </w:rPr>
              <w:t>6,547</w:t>
            </w:r>
          </w:p>
        </w:tc>
        <w:tc>
          <w:tcPr>
            <w:tcW w:w="719" w:type="pct"/>
            <w:tcBorders>
              <w:top w:val="nil"/>
              <w:left w:val="nil"/>
              <w:bottom w:val="single" w:sz="6" w:space="0" w:color="auto"/>
              <w:right w:val="nil"/>
            </w:tcBorders>
          </w:tcPr>
          <w:p w14:paraId="75A96AF7" w14:textId="77777777" w:rsidR="0044273A" w:rsidRPr="006C7818" w:rsidRDefault="0044273A" w:rsidP="00B15C6C">
            <w:pPr>
              <w:widowControl w:val="0"/>
              <w:autoSpaceDE w:val="0"/>
              <w:autoSpaceDN w:val="0"/>
              <w:adjustRightInd w:val="0"/>
              <w:rPr>
                <w:sz w:val="16"/>
                <w:szCs w:val="16"/>
              </w:rPr>
            </w:pPr>
            <w:r w:rsidRPr="006C7818">
              <w:rPr>
                <w:sz w:val="16"/>
                <w:szCs w:val="16"/>
              </w:rPr>
              <w:t>6,557</w:t>
            </w:r>
          </w:p>
        </w:tc>
        <w:tc>
          <w:tcPr>
            <w:tcW w:w="584" w:type="pct"/>
            <w:tcBorders>
              <w:top w:val="nil"/>
              <w:left w:val="nil"/>
              <w:bottom w:val="single" w:sz="6" w:space="0" w:color="auto"/>
              <w:right w:val="nil"/>
            </w:tcBorders>
          </w:tcPr>
          <w:p w14:paraId="7F797C43" w14:textId="77777777" w:rsidR="0044273A" w:rsidRPr="006C7818" w:rsidRDefault="0044273A" w:rsidP="00B15C6C">
            <w:pPr>
              <w:widowControl w:val="0"/>
              <w:autoSpaceDE w:val="0"/>
              <w:autoSpaceDN w:val="0"/>
              <w:adjustRightInd w:val="0"/>
              <w:rPr>
                <w:sz w:val="16"/>
                <w:szCs w:val="16"/>
              </w:rPr>
            </w:pPr>
            <w:r w:rsidRPr="006C7818">
              <w:rPr>
                <w:sz w:val="16"/>
                <w:szCs w:val="16"/>
              </w:rPr>
              <w:t>6,545</w:t>
            </w:r>
          </w:p>
        </w:tc>
        <w:tc>
          <w:tcPr>
            <w:tcW w:w="584" w:type="pct"/>
            <w:tcBorders>
              <w:top w:val="nil"/>
              <w:left w:val="nil"/>
              <w:bottom w:val="single" w:sz="6" w:space="0" w:color="auto"/>
              <w:right w:val="nil"/>
            </w:tcBorders>
          </w:tcPr>
          <w:p w14:paraId="72A12454" w14:textId="77777777" w:rsidR="0044273A" w:rsidRPr="001928CB" w:rsidRDefault="0044273A" w:rsidP="00B15C6C">
            <w:pPr>
              <w:widowControl w:val="0"/>
              <w:autoSpaceDE w:val="0"/>
              <w:autoSpaceDN w:val="0"/>
              <w:adjustRightInd w:val="0"/>
              <w:rPr>
                <w:sz w:val="16"/>
                <w:szCs w:val="16"/>
              </w:rPr>
            </w:pPr>
            <w:r w:rsidRPr="006C7818">
              <w:rPr>
                <w:sz w:val="16"/>
                <w:szCs w:val="16"/>
              </w:rPr>
              <w:t>6,547</w:t>
            </w:r>
          </w:p>
        </w:tc>
      </w:tr>
    </w:tbl>
    <w:p w14:paraId="12194DBD" w14:textId="77777777" w:rsidR="0044273A" w:rsidRDefault="0044273A" w:rsidP="0044273A">
      <w:pPr>
        <w:jc w:val="both"/>
        <w:rPr>
          <w:i/>
          <w:sz w:val="16"/>
          <w:szCs w:val="16"/>
          <w:lang w:val="en-US"/>
        </w:rPr>
      </w:pPr>
    </w:p>
    <w:p w14:paraId="0F47DAD7" w14:textId="4F70F520" w:rsidR="0044273A" w:rsidRPr="004476C3" w:rsidRDefault="0044273A" w:rsidP="0044273A">
      <w:pPr>
        <w:jc w:val="both"/>
        <w:rPr>
          <w:lang w:val="en-US"/>
        </w:rPr>
      </w:pPr>
      <w:r w:rsidRPr="006A0E79">
        <w:rPr>
          <w:i/>
          <w:sz w:val="16"/>
          <w:szCs w:val="16"/>
          <w:lang w:val="en-US"/>
        </w:rPr>
        <w:t>Note:</w:t>
      </w:r>
      <w:r w:rsidR="00AE69B6">
        <w:rPr>
          <w:i/>
          <w:sz w:val="16"/>
          <w:szCs w:val="16"/>
          <w:lang w:val="en-US"/>
        </w:rPr>
        <w:t xml:space="preserve"> </w:t>
      </w:r>
      <w:r w:rsidR="00AE69B6">
        <w:rPr>
          <w:iCs/>
          <w:sz w:val="16"/>
          <w:szCs w:val="16"/>
          <w:lang w:val="en-US"/>
        </w:rPr>
        <w:t>All models are estimated using a fixed-effects estimator</w:t>
      </w:r>
      <w:r w:rsidRPr="006A0E79">
        <w:rPr>
          <w:sz w:val="16"/>
          <w:szCs w:val="16"/>
          <w:lang w:val="en-US"/>
        </w:rPr>
        <w:t>. See Table A</w:t>
      </w:r>
      <w:r>
        <w:rPr>
          <w:sz w:val="16"/>
          <w:szCs w:val="16"/>
          <w:lang w:val="en-US"/>
        </w:rPr>
        <w:t>1</w:t>
      </w:r>
      <w:r w:rsidRPr="006A0E79">
        <w:rPr>
          <w:sz w:val="16"/>
          <w:szCs w:val="16"/>
          <w:lang w:val="en-US"/>
        </w:rPr>
        <w:t xml:space="preserve"> for definitions of all variables. The dependent variable</w:t>
      </w:r>
      <w:r>
        <w:rPr>
          <w:sz w:val="16"/>
          <w:szCs w:val="16"/>
          <w:lang w:val="en-US"/>
        </w:rPr>
        <w:t>s</w:t>
      </w:r>
      <w:r w:rsidRPr="006A0E79">
        <w:rPr>
          <w:sz w:val="16"/>
          <w:szCs w:val="16"/>
          <w:lang w:val="en-US"/>
        </w:rPr>
        <w:t xml:space="preserve"> in columns 1-3 </w:t>
      </w:r>
      <w:r>
        <w:rPr>
          <w:sz w:val="16"/>
          <w:szCs w:val="16"/>
          <w:lang w:val="en-US"/>
        </w:rPr>
        <w:t>are</w:t>
      </w:r>
      <w:r w:rsidRPr="006A0E79">
        <w:rPr>
          <w:sz w:val="16"/>
          <w:szCs w:val="16"/>
          <w:lang w:val="en-US"/>
        </w:rPr>
        <w:t xml:space="preserve"> the logarithm</w:t>
      </w:r>
      <w:r>
        <w:rPr>
          <w:sz w:val="16"/>
          <w:szCs w:val="16"/>
          <w:lang w:val="en-US"/>
        </w:rPr>
        <w:t>s</w:t>
      </w:r>
      <w:r w:rsidRPr="006A0E79">
        <w:rPr>
          <w:sz w:val="16"/>
          <w:szCs w:val="16"/>
          <w:lang w:val="en-US"/>
        </w:rPr>
        <w:t xml:space="preserve"> of non-durable</w:t>
      </w:r>
      <w:r>
        <w:rPr>
          <w:sz w:val="16"/>
          <w:szCs w:val="16"/>
          <w:lang w:val="en-US"/>
        </w:rPr>
        <w:t xml:space="preserve">, medical, and other </w:t>
      </w:r>
      <w:r w:rsidRPr="006A0E79">
        <w:rPr>
          <w:sz w:val="16"/>
          <w:szCs w:val="16"/>
          <w:lang w:val="en-US"/>
        </w:rPr>
        <w:t>consumption</w:t>
      </w:r>
      <w:r>
        <w:rPr>
          <w:sz w:val="16"/>
          <w:szCs w:val="16"/>
          <w:lang w:val="en-US"/>
        </w:rPr>
        <w:t>, respectively</w:t>
      </w:r>
      <w:r w:rsidRPr="006A0E79">
        <w:rPr>
          <w:sz w:val="16"/>
          <w:szCs w:val="16"/>
          <w:lang w:val="en-US"/>
        </w:rPr>
        <w:t>. The dependent variable</w:t>
      </w:r>
      <w:r>
        <w:rPr>
          <w:sz w:val="16"/>
          <w:szCs w:val="16"/>
          <w:lang w:val="en-US"/>
        </w:rPr>
        <w:t>s</w:t>
      </w:r>
      <w:r w:rsidRPr="006A0E79">
        <w:rPr>
          <w:sz w:val="16"/>
          <w:szCs w:val="16"/>
          <w:lang w:val="en-US"/>
        </w:rPr>
        <w:t xml:space="preserve"> in columns </w:t>
      </w:r>
      <w:r>
        <w:rPr>
          <w:sz w:val="16"/>
          <w:szCs w:val="16"/>
          <w:lang w:val="en-US"/>
        </w:rPr>
        <w:t>4-6</w:t>
      </w:r>
      <w:r w:rsidRPr="006A0E79">
        <w:rPr>
          <w:sz w:val="16"/>
          <w:szCs w:val="16"/>
          <w:lang w:val="en-US"/>
        </w:rPr>
        <w:t xml:space="preserve"> </w:t>
      </w:r>
      <w:r>
        <w:rPr>
          <w:sz w:val="16"/>
          <w:szCs w:val="16"/>
          <w:lang w:val="en-US"/>
        </w:rPr>
        <w:t>are</w:t>
      </w:r>
      <w:r w:rsidRPr="006A0E79">
        <w:rPr>
          <w:sz w:val="16"/>
          <w:szCs w:val="16"/>
          <w:lang w:val="en-US"/>
        </w:rPr>
        <w:t xml:space="preserve"> the logarithm</w:t>
      </w:r>
      <w:r>
        <w:rPr>
          <w:sz w:val="16"/>
          <w:szCs w:val="16"/>
          <w:lang w:val="en-US"/>
        </w:rPr>
        <w:t>s</w:t>
      </w:r>
      <w:r w:rsidRPr="006A0E79">
        <w:rPr>
          <w:sz w:val="16"/>
          <w:szCs w:val="16"/>
          <w:lang w:val="en-US"/>
        </w:rPr>
        <w:t xml:space="preserve"> of </w:t>
      </w:r>
      <w:r>
        <w:rPr>
          <w:sz w:val="16"/>
          <w:szCs w:val="16"/>
          <w:lang w:val="en-US"/>
        </w:rPr>
        <w:t xml:space="preserve">adult-equivalent non-durable, medical, and other </w:t>
      </w:r>
      <w:r w:rsidRPr="006A0E79">
        <w:rPr>
          <w:sz w:val="16"/>
          <w:szCs w:val="16"/>
          <w:lang w:val="en-US"/>
        </w:rPr>
        <w:t xml:space="preserve">consumption, </w:t>
      </w:r>
      <w:r>
        <w:rPr>
          <w:sz w:val="16"/>
          <w:szCs w:val="16"/>
          <w:lang w:val="en-US"/>
        </w:rPr>
        <w:t xml:space="preserve">respectively, </w:t>
      </w:r>
      <w:r w:rsidRPr="006A0E79">
        <w:rPr>
          <w:sz w:val="16"/>
          <w:szCs w:val="16"/>
          <w:lang w:val="en-US"/>
        </w:rPr>
        <w:t xml:space="preserve">which </w:t>
      </w:r>
      <w:r w:rsidR="0014754F">
        <w:rPr>
          <w:sz w:val="16"/>
          <w:szCs w:val="16"/>
          <w:lang w:val="en-US"/>
        </w:rPr>
        <w:t>are</w:t>
      </w:r>
      <w:r w:rsidRPr="006A0E79">
        <w:rPr>
          <w:sz w:val="16"/>
          <w:szCs w:val="16"/>
          <w:lang w:val="en-US"/>
        </w:rPr>
        <w:t xml:space="preserve"> calculated by dividing consumption by the equivalence scale (</w:t>
      </w:r>
      <w:r w:rsidRPr="006A0E79">
        <w:rPr>
          <w:i/>
          <w:sz w:val="16"/>
          <w:szCs w:val="16"/>
          <w:lang w:val="en-US"/>
        </w:rPr>
        <w:t>n</w:t>
      </w:r>
      <w:r w:rsidRPr="006A0E79">
        <w:rPr>
          <w:i/>
          <w:sz w:val="16"/>
          <w:szCs w:val="16"/>
          <w:vertAlign w:val="superscript"/>
          <w:lang w:val="en-US"/>
        </w:rPr>
        <w:t>0.8</w:t>
      </w:r>
      <w:r w:rsidRPr="006A0E79">
        <w:rPr>
          <w:sz w:val="16"/>
          <w:szCs w:val="16"/>
          <w:lang w:val="en-US"/>
        </w:rPr>
        <w:t xml:space="preserve">).  </w:t>
      </w:r>
      <w:r>
        <w:rPr>
          <w:sz w:val="16"/>
          <w:szCs w:val="16"/>
          <w:lang w:val="en-US"/>
        </w:rPr>
        <w:t>Y</w:t>
      </w:r>
      <w:r w:rsidRPr="006A0E79">
        <w:rPr>
          <w:sz w:val="16"/>
          <w:szCs w:val="16"/>
          <w:lang w:val="en-US"/>
        </w:rPr>
        <w:t>ear dumm</w:t>
      </w:r>
      <w:r>
        <w:rPr>
          <w:sz w:val="16"/>
          <w:szCs w:val="16"/>
          <w:lang w:val="en-US"/>
        </w:rPr>
        <w:t>ies</w:t>
      </w:r>
      <w:r w:rsidRPr="006A0E79">
        <w:rPr>
          <w:sz w:val="16"/>
          <w:szCs w:val="16"/>
          <w:lang w:val="en-US"/>
        </w:rPr>
        <w:t xml:space="preserve"> and the interactions between provincial and year dummies are included in all models, but their estimates are not reported for brevity. Robust standard errors are in parentheses. ***, ** and * indicate significance at the 1%, 5% and 10% levels, respectively.</w:t>
      </w:r>
    </w:p>
    <w:p w14:paraId="0363F7E6" w14:textId="77777777" w:rsidR="0044273A" w:rsidRDefault="0044273A" w:rsidP="004476C3">
      <w:pPr>
        <w:jc w:val="both"/>
        <w:rPr>
          <w:sz w:val="16"/>
          <w:szCs w:val="16"/>
          <w:lang w:val="en-US"/>
        </w:rPr>
      </w:pPr>
    </w:p>
    <w:p w14:paraId="7DE3DA85" w14:textId="77777777" w:rsidR="004476C3" w:rsidRDefault="004476C3" w:rsidP="004476C3">
      <w:pPr>
        <w:rPr>
          <w:rFonts w:ascii="Calibri" w:hAnsi="Calibri" w:cs="Calibri"/>
          <w:b/>
          <w:sz w:val="22"/>
          <w:szCs w:val="22"/>
          <w:lang w:val="en-US"/>
        </w:rPr>
      </w:pPr>
    </w:p>
    <w:sectPr w:rsidR="004476C3" w:rsidSect="00A41E5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5BDDA" w14:textId="77777777" w:rsidR="00A41E55" w:rsidRDefault="00A41E55" w:rsidP="00B41534">
      <w:r>
        <w:separator/>
      </w:r>
    </w:p>
  </w:endnote>
  <w:endnote w:type="continuationSeparator" w:id="0">
    <w:p w14:paraId="40D0C938" w14:textId="77777777" w:rsidR="00A41E55" w:rsidRDefault="00A41E55" w:rsidP="00B41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2DEEF" w14:textId="77777777" w:rsidR="00A41E55" w:rsidRDefault="00A41E55" w:rsidP="00B41534">
      <w:r>
        <w:separator/>
      </w:r>
    </w:p>
  </w:footnote>
  <w:footnote w:type="continuationSeparator" w:id="0">
    <w:p w14:paraId="7A717356" w14:textId="77777777" w:rsidR="00A41E55" w:rsidRDefault="00A41E55" w:rsidP="00B41534">
      <w:r>
        <w:continuationSeparator/>
      </w:r>
    </w:p>
  </w:footnote>
  <w:footnote w:id="1">
    <w:p w14:paraId="7C052C4F" w14:textId="6E87EFA9" w:rsidR="00B41534" w:rsidRPr="00434C9D" w:rsidRDefault="00B41534" w:rsidP="00B41534">
      <w:pPr>
        <w:pStyle w:val="FootnoteText"/>
        <w:jc w:val="both"/>
        <w:rPr>
          <w:sz w:val="18"/>
          <w:szCs w:val="18"/>
          <w:lang w:val="en-US"/>
        </w:rPr>
      </w:pPr>
      <w:r w:rsidRPr="00434C9D">
        <w:rPr>
          <w:rStyle w:val="FootnoteReference"/>
          <w:sz w:val="18"/>
          <w:szCs w:val="18"/>
          <w:lang w:val="en-US"/>
        </w:rPr>
        <w:footnoteRef/>
      </w:r>
      <w:r w:rsidRPr="00434C9D">
        <w:rPr>
          <w:sz w:val="18"/>
          <w:szCs w:val="18"/>
          <w:lang w:val="en-US"/>
        </w:rPr>
        <w:t xml:space="preserve"> The elements in each category are described in Table </w:t>
      </w:r>
      <w:r w:rsidR="006B10C5">
        <w:rPr>
          <w:sz w:val="18"/>
          <w:szCs w:val="18"/>
          <w:lang w:val="en-US"/>
        </w:rPr>
        <w:t>2 in the paper</w:t>
      </w:r>
      <w:r w:rsidRPr="00434C9D">
        <w:rPr>
          <w:sz w:val="18"/>
          <w:szCs w:val="18"/>
          <w:lang w:val="en-US"/>
        </w:rPr>
        <w:t>. It is also noteworthy that all consumption categories are reported at the household level.</w:t>
      </w:r>
    </w:p>
  </w:footnote>
  <w:footnote w:id="2">
    <w:p w14:paraId="5F192EA6" w14:textId="00D391CB" w:rsidR="00D917F6" w:rsidRDefault="00D917F6" w:rsidP="00D917F6">
      <w:pPr>
        <w:pStyle w:val="FootnoteText"/>
        <w:jc w:val="both"/>
      </w:pPr>
      <w:r>
        <w:rPr>
          <w:rStyle w:val="FootnoteReference"/>
        </w:rPr>
        <w:footnoteRef/>
      </w:r>
      <w:r>
        <w:t xml:space="preserve"> The remaining respondents are either illiterate or have started primary school without completing it.</w:t>
      </w:r>
    </w:p>
  </w:footnote>
  <w:footnote w:id="3">
    <w:p w14:paraId="1C04121F" w14:textId="3C712E6B" w:rsidR="00FD4E06" w:rsidRDefault="00FD4E06" w:rsidP="00FD4E06">
      <w:pPr>
        <w:pStyle w:val="FootnoteText"/>
        <w:jc w:val="both"/>
      </w:pPr>
      <w:r>
        <w:rPr>
          <w:rStyle w:val="FootnoteReference"/>
        </w:rPr>
        <w:footnoteRef/>
      </w:r>
      <w:r>
        <w:t xml:space="preserve"> </w:t>
      </w:r>
      <w:r w:rsidRPr="00197243">
        <w:t xml:space="preserve">Our </w:t>
      </w:r>
      <w:r>
        <w:t xml:space="preserve">sample contains </w:t>
      </w:r>
      <w:r w:rsidRPr="00197243">
        <w:t xml:space="preserve">households </w:t>
      </w:r>
      <w:r w:rsidR="006B10C5">
        <w:t>who</w:t>
      </w:r>
      <w:r w:rsidRPr="00197243">
        <w:t xml:space="preserve"> participated in both </w:t>
      </w:r>
      <w:r>
        <w:t xml:space="preserve">the 2011 and the 2013 </w:t>
      </w:r>
      <w:r w:rsidRPr="00197243">
        <w:t>waves</w:t>
      </w:r>
      <w:r>
        <w:t xml:space="preserve"> of the CHARLS</w:t>
      </w:r>
      <w:r w:rsidRPr="00197243">
        <w:t xml:space="preserve">. Yet, missing values in some variables used in our analysis resulted in an unbalanced sample, encompassing 11,640 observations for 6,584 households </w:t>
      </w:r>
      <w:r w:rsidR="00524C0D">
        <w:t>(</w:t>
      </w:r>
      <w:r w:rsidRPr="00197243">
        <w:t>for</w:t>
      </w:r>
      <w:r w:rsidR="00524C0D">
        <w:t xml:space="preserve"> the specifications relating to</w:t>
      </w:r>
      <w:r w:rsidRPr="00197243">
        <w:t xml:space="preserve"> total consumption</w:t>
      </w:r>
      <w:r w:rsidR="00524C0D">
        <w:t>).</w:t>
      </w:r>
      <w:r w:rsidRPr="00197243">
        <w:t xml:space="preserve">  </w:t>
      </w:r>
    </w:p>
    <w:p w14:paraId="02B0B80A" w14:textId="6337F59E" w:rsidR="00FD4E06" w:rsidRDefault="00FD4E0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136473"/>
      <w:docPartObj>
        <w:docPartGallery w:val="Page Numbers (Top of Page)"/>
        <w:docPartUnique/>
      </w:docPartObj>
    </w:sdtPr>
    <w:sdtEndPr>
      <w:rPr>
        <w:noProof/>
      </w:rPr>
    </w:sdtEndPr>
    <w:sdtContent>
      <w:p w14:paraId="5EE77228" w14:textId="77777777" w:rsidR="00B41534" w:rsidRDefault="00B41534">
        <w:pPr>
          <w:pStyle w:val="Header"/>
          <w:jc w:val="center"/>
        </w:pPr>
        <w:r>
          <w:fldChar w:fldCharType="begin"/>
        </w:r>
        <w:r>
          <w:instrText xml:space="preserve"> PAGE   \* MERGEFORMAT </w:instrText>
        </w:r>
        <w:r>
          <w:fldChar w:fldCharType="separate"/>
        </w:r>
        <w:r>
          <w:rPr>
            <w:noProof/>
          </w:rPr>
          <w:t>21</w:t>
        </w:r>
        <w:r>
          <w:rPr>
            <w:noProof/>
          </w:rPr>
          <w:fldChar w:fldCharType="end"/>
        </w:r>
      </w:p>
    </w:sdtContent>
  </w:sdt>
  <w:p w14:paraId="70135746" w14:textId="77777777" w:rsidR="00B41534" w:rsidRDefault="00B415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942497"/>
      <w:docPartObj>
        <w:docPartGallery w:val="Page Numbers (Top of Page)"/>
        <w:docPartUnique/>
      </w:docPartObj>
    </w:sdtPr>
    <w:sdtEndPr>
      <w:rPr>
        <w:noProof/>
      </w:rPr>
    </w:sdtEndPr>
    <w:sdtContent>
      <w:p w14:paraId="1B923409" w14:textId="77777777" w:rsidR="00044236" w:rsidRDefault="00AA2FE4">
        <w:pPr>
          <w:pStyle w:val="Header"/>
          <w:jc w:val="center"/>
        </w:pPr>
        <w:r>
          <w:fldChar w:fldCharType="begin"/>
        </w:r>
        <w:r>
          <w:instrText xml:space="preserve"> PAGE   \* MERGEFORMAT </w:instrText>
        </w:r>
        <w:r>
          <w:fldChar w:fldCharType="separate"/>
        </w:r>
        <w:r>
          <w:rPr>
            <w:noProof/>
          </w:rPr>
          <w:t>21</w:t>
        </w:r>
        <w:r>
          <w:rPr>
            <w:noProof/>
          </w:rPr>
          <w:fldChar w:fldCharType="end"/>
        </w:r>
      </w:p>
    </w:sdtContent>
  </w:sdt>
  <w:p w14:paraId="52E307E6" w14:textId="77777777" w:rsidR="00044236" w:rsidRDefault="000442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879FA"/>
    <w:multiLevelType w:val="multilevel"/>
    <w:tmpl w:val="D6505264"/>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90788559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0MzU3NTU1NDAztjRS0lEKTi0uzszPAykwNqsFAJ8cX9stAAAA"/>
  </w:docVars>
  <w:rsids>
    <w:rsidRoot w:val="00B41534"/>
    <w:rsid w:val="00002C52"/>
    <w:rsid w:val="00022FF6"/>
    <w:rsid w:val="0002787C"/>
    <w:rsid w:val="00032D40"/>
    <w:rsid w:val="00044236"/>
    <w:rsid w:val="00052911"/>
    <w:rsid w:val="00061107"/>
    <w:rsid w:val="00063E94"/>
    <w:rsid w:val="000846D1"/>
    <w:rsid w:val="00092A2B"/>
    <w:rsid w:val="000A6D63"/>
    <w:rsid w:val="000B041D"/>
    <w:rsid w:val="000B6BE0"/>
    <w:rsid w:val="000C3B12"/>
    <w:rsid w:val="000C6EB8"/>
    <w:rsid w:val="00102EBC"/>
    <w:rsid w:val="00137821"/>
    <w:rsid w:val="0014754F"/>
    <w:rsid w:val="00166CDE"/>
    <w:rsid w:val="001744CC"/>
    <w:rsid w:val="001769E6"/>
    <w:rsid w:val="00192940"/>
    <w:rsid w:val="001A44FF"/>
    <w:rsid w:val="001A50C6"/>
    <w:rsid w:val="001C483F"/>
    <w:rsid w:val="0020007F"/>
    <w:rsid w:val="002051D7"/>
    <w:rsid w:val="00283446"/>
    <w:rsid w:val="00285EC6"/>
    <w:rsid w:val="002959CC"/>
    <w:rsid w:val="002A3E79"/>
    <w:rsid w:val="002E6777"/>
    <w:rsid w:val="002F4617"/>
    <w:rsid w:val="003153CF"/>
    <w:rsid w:val="00334C56"/>
    <w:rsid w:val="00381706"/>
    <w:rsid w:val="0038264B"/>
    <w:rsid w:val="003A6A41"/>
    <w:rsid w:val="003C1205"/>
    <w:rsid w:val="003D1EC4"/>
    <w:rsid w:val="003F4BF3"/>
    <w:rsid w:val="00415576"/>
    <w:rsid w:val="00416A11"/>
    <w:rsid w:val="0044273A"/>
    <w:rsid w:val="00443569"/>
    <w:rsid w:val="004476C3"/>
    <w:rsid w:val="00451C71"/>
    <w:rsid w:val="00465815"/>
    <w:rsid w:val="004B7B9C"/>
    <w:rsid w:val="004E13D4"/>
    <w:rsid w:val="004F2908"/>
    <w:rsid w:val="00516FE3"/>
    <w:rsid w:val="00524C0D"/>
    <w:rsid w:val="00540188"/>
    <w:rsid w:val="005629BC"/>
    <w:rsid w:val="005668C8"/>
    <w:rsid w:val="00584897"/>
    <w:rsid w:val="005B08DD"/>
    <w:rsid w:val="005B16FE"/>
    <w:rsid w:val="005F0798"/>
    <w:rsid w:val="005F2248"/>
    <w:rsid w:val="005F4A85"/>
    <w:rsid w:val="006139E6"/>
    <w:rsid w:val="0062025A"/>
    <w:rsid w:val="00622CB5"/>
    <w:rsid w:val="00641E91"/>
    <w:rsid w:val="006753F1"/>
    <w:rsid w:val="00677E7F"/>
    <w:rsid w:val="006832DE"/>
    <w:rsid w:val="00697B90"/>
    <w:rsid w:val="006B10C5"/>
    <w:rsid w:val="006B7630"/>
    <w:rsid w:val="006C7818"/>
    <w:rsid w:val="006C7EA5"/>
    <w:rsid w:val="006F1529"/>
    <w:rsid w:val="00707C41"/>
    <w:rsid w:val="00717C49"/>
    <w:rsid w:val="007230AA"/>
    <w:rsid w:val="007405CD"/>
    <w:rsid w:val="007606D0"/>
    <w:rsid w:val="007721E5"/>
    <w:rsid w:val="00775599"/>
    <w:rsid w:val="00785F10"/>
    <w:rsid w:val="0078703E"/>
    <w:rsid w:val="007A2E80"/>
    <w:rsid w:val="007A628B"/>
    <w:rsid w:val="007C6565"/>
    <w:rsid w:val="007C76AA"/>
    <w:rsid w:val="007D3C06"/>
    <w:rsid w:val="007E11E9"/>
    <w:rsid w:val="007F2480"/>
    <w:rsid w:val="00800001"/>
    <w:rsid w:val="008429B5"/>
    <w:rsid w:val="008461FB"/>
    <w:rsid w:val="008B1FBB"/>
    <w:rsid w:val="008E06AA"/>
    <w:rsid w:val="008E6884"/>
    <w:rsid w:val="008E76F5"/>
    <w:rsid w:val="008F471D"/>
    <w:rsid w:val="008F4FDC"/>
    <w:rsid w:val="009235CB"/>
    <w:rsid w:val="00923873"/>
    <w:rsid w:val="00924F02"/>
    <w:rsid w:val="009334B0"/>
    <w:rsid w:val="009470EA"/>
    <w:rsid w:val="009612D5"/>
    <w:rsid w:val="00961434"/>
    <w:rsid w:val="00967E8D"/>
    <w:rsid w:val="009812E9"/>
    <w:rsid w:val="00990FC9"/>
    <w:rsid w:val="00991F66"/>
    <w:rsid w:val="009966B2"/>
    <w:rsid w:val="009C7B49"/>
    <w:rsid w:val="009E3358"/>
    <w:rsid w:val="009E599F"/>
    <w:rsid w:val="009F2272"/>
    <w:rsid w:val="00A172C2"/>
    <w:rsid w:val="00A31907"/>
    <w:rsid w:val="00A33F89"/>
    <w:rsid w:val="00A41E55"/>
    <w:rsid w:val="00A70A5C"/>
    <w:rsid w:val="00A83524"/>
    <w:rsid w:val="00A85D54"/>
    <w:rsid w:val="00AA2FE4"/>
    <w:rsid w:val="00AC28FD"/>
    <w:rsid w:val="00AD5618"/>
    <w:rsid w:val="00AE69B6"/>
    <w:rsid w:val="00AF3AD1"/>
    <w:rsid w:val="00B41534"/>
    <w:rsid w:val="00B82E4E"/>
    <w:rsid w:val="00B94014"/>
    <w:rsid w:val="00BB566C"/>
    <w:rsid w:val="00BE5C38"/>
    <w:rsid w:val="00BE7FF9"/>
    <w:rsid w:val="00BF75A9"/>
    <w:rsid w:val="00C21098"/>
    <w:rsid w:val="00C52686"/>
    <w:rsid w:val="00C61618"/>
    <w:rsid w:val="00CC7DB3"/>
    <w:rsid w:val="00CD57EE"/>
    <w:rsid w:val="00CE2A44"/>
    <w:rsid w:val="00CE7B11"/>
    <w:rsid w:val="00D01FAD"/>
    <w:rsid w:val="00D31244"/>
    <w:rsid w:val="00D31DD6"/>
    <w:rsid w:val="00D43680"/>
    <w:rsid w:val="00D47701"/>
    <w:rsid w:val="00D66E87"/>
    <w:rsid w:val="00D722CE"/>
    <w:rsid w:val="00D82B37"/>
    <w:rsid w:val="00D917F6"/>
    <w:rsid w:val="00DB4BBE"/>
    <w:rsid w:val="00DD297B"/>
    <w:rsid w:val="00DD4614"/>
    <w:rsid w:val="00DD72F9"/>
    <w:rsid w:val="00DE390B"/>
    <w:rsid w:val="00E0461C"/>
    <w:rsid w:val="00E16C0E"/>
    <w:rsid w:val="00E17F44"/>
    <w:rsid w:val="00E5069C"/>
    <w:rsid w:val="00E56400"/>
    <w:rsid w:val="00E77E0B"/>
    <w:rsid w:val="00E900B6"/>
    <w:rsid w:val="00E93886"/>
    <w:rsid w:val="00E95B58"/>
    <w:rsid w:val="00EA2184"/>
    <w:rsid w:val="00F126D6"/>
    <w:rsid w:val="00F17012"/>
    <w:rsid w:val="00F37376"/>
    <w:rsid w:val="00F47C90"/>
    <w:rsid w:val="00F713FD"/>
    <w:rsid w:val="00F967F4"/>
    <w:rsid w:val="00FA793D"/>
    <w:rsid w:val="00FB6503"/>
    <w:rsid w:val="00FC05BF"/>
    <w:rsid w:val="00FC3B0E"/>
    <w:rsid w:val="00FD4E06"/>
    <w:rsid w:val="00FD5970"/>
    <w:rsid w:val="00FF02C4"/>
    <w:rsid w:val="00FF1B36"/>
    <w:rsid w:val="00FF482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58C18"/>
  <w15:chartTrackingRefBased/>
  <w15:docId w15:val="{87EFD4A5-297F-44F3-9ED9-D917DC98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534"/>
    <w:pPr>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uiPriority w:val="9"/>
    <w:qFormat/>
    <w:rsid w:val="00B41534"/>
    <w:pPr>
      <w:keepNext/>
      <w:keepLines/>
      <w:numPr>
        <w:numId w:val="1"/>
      </w:numPr>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41534"/>
    <w:pPr>
      <w:keepNext/>
      <w:keepLines/>
      <w:spacing w:before="40" w:line="480" w:lineRule="auto"/>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B41534"/>
    <w:pPr>
      <w:keepNext/>
      <w:keepLines/>
      <w:spacing w:line="480" w:lineRule="auto"/>
      <w:outlineLvl w:val="2"/>
    </w:pPr>
    <w:rPr>
      <w:rFonts w:eastAsiaTheme="majorEastAsia" w:cstheme="majorBidi"/>
      <w:b/>
      <w:color w:val="000000" w:themeColor="text1"/>
    </w:rPr>
  </w:style>
  <w:style w:type="paragraph" w:styleId="Heading4">
    <w:name w:val="heading 4"/>
    <w:basedOn w:val="Normal"/>
    <w:next w:val="Normal"/>
    <w:link w:val="Heading4Char"/>
    <w:uiPriority w:val="9"/>
    <w:unhideWhenUsed/>
    <w:qFormat/>
    <w:rsid w:val="00B41534"/>
    <w:pPr>
      <w:keepNext/>
      <w:keepLines/>
      <w:spacing w:before="40" w:line="480" w:lineRule="auto"/>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B41534"/>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41534"/>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41534"/>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4153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4153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534"/>
    <w:rPr>
      <w:rFonts w:ascii="Times New Roman" w:eastAsiaTheme="majorEastAsia" w:hAnsi="Times New Roman" w:cstheme="majorBidi"/>
      <w:b/>
      <w:sz w:val="32"/>
      <w:szCs w:val="32"/>
      <w:lang w:eastAsia="zh-CN"/>
    </w:rPr>
  </w:style>
  <w:style w:type="character" w:customStyle="1" w:styleId="Heading2Char">
    <w:name w:val="Heading 2 Char"/>
    <w:basedOn w:val="DefaultParagraphFont"/>
    <w:link w:val="Heading2"/>
    <w:uiPriority w:val="9"/>
    <w:rsid w:val="00B41534"/>
    <w:rPr>
      <w:rFonts w:ascii="Times New Roman" w:eastAsiaTheme="majorEastAsia" w:hAnsi="Times New Roman" w:cstheme="majorBidi"/>
      <w:b/>
      <w:color w:val="000000" w:themeColor="text1"/>
      <w:sz w:val="24"/>
      <w:szCs w:val="26"/>
      <w:lang w:eastAsia="zh-CN"/>
    </w:rPr>
  </w:style>
  <w:style w:type="character" w:customStyle="1" w:styleId="Heading3Char">
    <w:name w:val="Heading 3 Char"/>
    <w:basedOn w:val="DefaultParagraphFont"/>
    <w:link w:val="Heading3"/>
    <w:uiPriority w:val="9"/>
    <w:rsid w:val="00B41534"/>
    <w:rPr>
      <w:rFonts w:ascii="Times New Roman" w:eastAsiaTheme="majorEastAsia" w:hAnsi="Times New Roman" w:cstheme="majorBidi"/>
      <w:b/>
      <w:color w:val="000000" w:themeColor="text1"/>
      <w:sz w:val="24"/>
      <w:szCs w:val="24"/>
      <w:lang w:eastAsia="zh-CN"/>
    </w:rPr>
  </w:style>
  <w:style w:type="character" w:customStyle="1" w:styleId="Heading4Char">
    <w:name w:val="Heading 4 Char"/>
    <w:basedOn w:val="DefaultParagraphFont"/>
    <w:link w:val="Heading4"/>
    <w:uiPriority w:val="9"/>
    <w:rsid w:val="00B41534"/>
    <w:rPr>
      <w:rFonts w:ascii="Times New Roman" w:eastAsiaTheme="majorEastAsia" w:hAnsi="Times New Roman" w:cstheme="majorBidi"/>
      <w:i/>
      <w:iCs/>
      <w:color w:val="000000" w:themeColor="text1"/>
      <w:sz w:val="24"/>
      <w:szCs w:val="24"/>
      <w:lang w:eastAsia="zh-CN"/>
    </w:rPr>
  </w:style>
  <w:style w:type="character" w:customStyle="1" w:styleId="Heading5Char">
    <w:name w:val="Heading 5 Char"/>
    <w:basedOn w:val="DefaultParagraphFont"/>
    <w:link w:val="Heading5"/>
    <w:uiPriority w:val="9"/>
    <w:rsid w:val="00B41534"/>
    <w:rPr>
      <w:rFonts w:asciiTheme="majorHAnsi" w:eastAsiaTheme="majorEastAsia" w:hAnsiTheme="majorHAnsi" w:cstheme="majorBidi"/>
      <w:color w:val="2F5496" w:themeColor="accent1" w:themeShade="BF"/>
      <w:sz w:val="24"/>
      <w:szCs w:val="24"/>
      <w:lang w:eastAsia="zh-CN"/>
    </w:rPr>
  </w:style>
  <w:style w:type="character" w:customStyle="1" w:styleId="Heading6Char">
    <w:name w:val="Heading 6 Char"/>
    <w:basedOn w:val="DefaultParagraphFont"/>
    <w:link w:val="Heading6"/>
    <w:uiPriority w:val="9"/>
    <w:semiHidden/>
    <w:rsid w:val="00B41534"/>
    <w:rPr>
      <w:rFonts w:asciiTheme="majorHAnsi" w:eastAsiaTheme="majorEastAsia" w:hAnsiTheme="majorHAnsi" w:cstheme="majorBidi"/>
      <w:color w:val="1F3763" w:themeColor="accent1" w:themeShade="7F"/>
      <w:sz w:val="24"/>
      <w:szCs w:val="24"/>
      <w:lang w:eastAsia="zh-CN"/>
    </w:rPr>
  </w:style>
  <w:style w:type="character" w:customStyle="1" w:styleId="Heading7Char">
    <w:name w:val="Heading 7 Char"/>
    <w:basedOn w:val="DefaultParagraphFont"/>
    <w:link w:val="Heading7"/>
    <w:uiPriority w:val="9"/>
    <w:semiHidden/>
    <w:rsid w:val="00B41534"/>
    <w:rPr>
      <w:rFonts w:asciiTheme="majorHAnsi" w:eastAsiaTheme="majorEastAsia" w:hAnsiTheme="majorHAnsi" w:cstheme="majorBidi"/>
      <w:i/>
      <w:iCs/>
      <w:color w:val="1F3763" w:themeColor="accent1" w:themeShade="7F"/>
      <w:sz w:val="24"/>
      <w:szCs w:val="24"/>
      <w:lang w:eastAsia="zh-CN"/>
    </w:rPr>
  </w:style>
  <w:style w:type="character" w:customStyle="1" w:styleId="Heading8Char">
    <w:name w:val="Heading 8 Char"/>
    <w:basedOn w:val="DefaultParagraphFont"/>
    <w:link w:val="Heading8"/>
    <w:uiPriority w:val="9"/>
    <w:semiHidden/>
    <w:rsid w:val="00B41534"/>
    <w:rPr>
      <w:rFonts w:asciiTheme="majorHAnsi" w:eastAsiaTheme="majorEastAsia" w:hAnsiTheme="majorHAnsi" w:cstheme="majorBidi"/>
      <w:color w:val="272727" w:themeColor="text1" w:themeTint="D8"/>
      <w:sz w:val="21"/>
      <w:szCs w:val="21"/>
      <w:lang w:eastAsia="zh-CN"/>
    </w:rPr>
  </w:style>
  <w:style w:type="character" w:customStyle="1" w:styleId="Heading9Char">
    <w:name w:val="Heading 9 Char"/>
    <w:basedOn w:val="DefaultParagraphFont"/>
    <w:link w:val="Heading9"/>
    <w:uiPriority w:val="9"/>
    <w:semiHidden/>
    <w:rsid w:val="00B41534"/>
    <w:rPr>
      <w:rFonts w:asciiTheme="majorHAnsi" w:eastAsiaTheme="majorEastAsia" w:hAnsiTheme="majorHAnsi" w:cstheme="majorBidi"/>
      <w:i/>
      <w:iCs/>
      <w:color w:val="272727" w:themeColor="text1" w:themeTint="D8"/>
      <w:sz w:val="21"/>
      <w:szCs w:val="21"/>
      <w:lang w:eastAsia="zh-CN"/>
    </w:rPr>
  </w:style>
  <w:style w:type="paragraph" w:styleId="Header">
    <w:name w:val="header"/>
    <w:basedOn w:val="Normal"/>
    <w:link w:val="HeaderChar"/>
    <w:uiPriority w:val="99"/>
    <w:unhideWhenUsed/>
    <w:rsid w:val="00B41534"/>
    <w:pPr>
      <w:tabs>
        <w:tab w:val="center" w:pos="4153"/>
        <w:tab w:val="right" w:pos="8306"/>
      </w:tabs>
    </w:pPr>
  </w:style>
  <w:style w:type="character" w:customStyle="1" w:styleId="HeaderChar">
    <w:name w:val="Header Char"/>
    <w:basedOn w:val="DefaultParagraphFont"/>
    <w:link w:val="Header"/>
    <w:uiPriority w:val="99"/>
    <w:rsid w:val="00B41534"/>
    <w:rPr>
      <w:rFonts w:ascii="Times New Roman" w:eastAsia="Times New Roman" w:hAnsi="Times New Roman" w:cs="Times New Roman"/>
      <w:sz w:val="24"/>
      <w:szCs w:val="24"/>
      <w:lang w:eastAsia="zh-CN"/>
    </w:rPr>
  </w:style>
  <w:style w:type="paragraph" w:styleId="Footer">
    <w:name w:val="footer"/>
    <w:basedOn w:val="Normal"/>
    <w:link w:val="FooterChar"/>
    <w:uiPriority w:val="99"/>
    <w:unhideWhenUsed/>
    <w:rsid w:val="00B41534"/>
    <w:pPr>
      <w:tabs>
        <w:tab w:val="center" w:pos="4153"/>
        <w:tab w:val="right" w:pos="8306"/>
      </w:tabs>
    </w:pPr>
  </w:style>
  <w:style w:type="character" w:customStyle="1" w:styleId="FooterChar">
    <w:name w:val="Footer Char"/>
    <w:basedOn w:val="DefaultParagraphFont"/>
    <w:link w:val="Footer"/>
    <w:uiPriority w:val="99"/>
    <w:rsid w:val="00B41534"/>
    <w:rPr>
      <w:rFonts w:ascii="Times New Roman" w:eastAsia="Times New Roman" w:hAnsi="Times New Roman" w:cs="Times New Roman"/>
      <w:sz w:val="24"/>
      <w:szCs w:val="24"/>
      <w:lang w:eastAsia="zh-CN"/>
    </w:rPr>
  </w:style>
  <w:style w:type="paragraph" w:styleId="FootnoteText">
    <w:name w:val="footnote text"/>
    <w:basedOn w:val="Normal"/>
    <w:link w:val="FootnoteTextChar"/>
    <w:uiPriority w:val="99"/>
    <w:unhideWhenUsed/>
    <w:rsid w:val="00B41534"/>
    <w:rPr>
      <w:sz w:val="20"/>
      <w:szCs w:val="20"/>
    </w:rPr>
  </w:style>
  <w:style w:type="character" w:customStyle="1" w:styleId="FootnoteTextChar">
    <w:name w:val="Footnote Text Char"/>
    <w:basedOn w:val="DefaultParagraphFont"/>
    <w:link w:val="FootnoteText"/>
    <w:uiPriority w:val="99"/>
    <w:rsid w:val="00B41534"/>
    <w:rPr>
      <w:rFonts w:ascii="Times New Roman" w:eastAsia="Times New Roman" w:hAnsi="Times New Roman" w:cs="Times New Roman"/>
      <w:sz w:val="20"/>
      <w:szCs w:val="20"/>
      <w:lang w:eastAsia="zh-CN"/>
    </w:rPr>
  </w:style>
  <w:style w:type="character" w:styleId="FootnoteReference">
    <w:name w:val="footnote reference"/>
    <w:basedOn w:val="DefaultParagraphFont"/>
    <w:uiPriority w:val="99"/>
    <w:semiHidden/>
    <w:unhideWhenUsed/>
    <w:rsid w:val="00B41534"/>
    <w:rPr>
      <w:vertAlign w:val="superscript"/>
    </w:rPr>
  </w:style>
  <w:style w:type="paragraph" w:customStyle="1" w:styleId="EndNoteBibliographyTitle">
    <w:name w:val="EndNote Bibliography Title"/>
    <w:basedOn w:val="Normal"/>
    <w:link w:val="EndNoteBibliographyTitle0"/>
    <w:rsid w:val="00B41534"/>
    <w:pPr>
      <w:jc w:val="center"/>
    </w:pPr>
    <w:rPr>
      <w:rFonts w:ascii="Calibri" w:eastAsiaTheme="minorEastAsia" w:hAnsi="Calibri" w:cs="Calibri"/>
      <w:noProof/>
      <w:sz w:val="22"/>
      <w:szCs w:val="22"/>
    </w:rPr>
  </w:style>
  <w:style w:type="character" w:customStyle="1" w:styleId="EndNoteBibliographyTitle0">
    <w:name w:val="EndNote Bibliography Title 字符"/>
    <w:basedOn w:val="DefaultParagraphFont"/>
    <w:link w:val="EndNoteBibliographyTitle"/>
    <w:rsid w:val="00B41534"/>
    <w:rPr>
      <w:rFonts w:ascii="Calibri" w:eastAsiaTheme="minorEastAsia" w:hAnsi="Calibri" w:cs="Calibri"/>
      <w:noProof/>
      <w:lang w:eastAsia="zh-CN"/>
    </w:rPr>
  </w:style>
  <w:style w:type="paragraph" w:customStyle="1" w:styleId="EndNoteBibliography">
    <w:name w:val="EndNote Bibliography"/>
    <w:basedOn w:val="Normal"/>
    <w:link w:val="EndNoteBibliography0"/>
    <w:rsid w:val="00B41534"/>
    <w:pPr>
      <w:spacing w:after="200"/>
    </w:pPr>
    <w:rPr>
      <w:rFonts w:ascii="Calibri" w:eastAsiaTheme="minorEastAsia" w:hAnsi="Calibri" w:cs="Calibri"/>
      <w:noProof/>
      <w:sz w:val="22"/>
      <w:szCs w:val="22"/>
    </w:rPr>
  </w:style>
  <w:style w:type="character" w:customStyle="1" w:styleId="EndNoteBibliography0">
    <w:name w:val="EndNote Bibliography 字符"/>
    <w:basedOn w:val="DefaultParagraphFont"/>
    <w:link w:val="EndNoteBibliography"/>
    <w:rsid w:val="00B41534"/>
    <w:rPr>
      <w:rFonts w:ascii="Calibri" w:eastAsiaTheme="minorEastAsia" w:hAnsi="Calibri" w:cs="Calibri"/>
      <w:noProof/>
      <w:lang w:eastAsia="zh-CN"/>
    </w:rPr>
  </w:style>
  <w:style w:type="paragraph" w:styleId="BalloonText">
    <w:name w:val="Balloon Text"/>
    <w:basedOn w:val="Normal"/>
    <w:link w:val="BalloonTextChar"/>
    <w:uiPriority w:val="99"/>
    <w:semiHidden/>
    <w:unhideWhenUsed/>
    <w:rsid w:val="00B41534"/>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B41534"/>
    <w:rPr>
      <w:rFonts w:ascii="Microsoft YaHei UI" w:eastAsia="Microsoft YaHei UI" w:hAnsi="Times New Roman" w:cs="Times New Roman"/>
      <w:sz w:val="18"/>
      <w:szCs w:val="18"/>
      <w:lang w:eastAsia="zh-CN"/>
    </w:rPr>
  </w:style>
  <w:style w:type="character" w:customStyle="1" w:styleId="selectable">
    <w:name w:val="selectable"/>
    <w:basedOn w:val="DefaultParagraphFont"/>
    <w:rsid w:val="00B41534"/>
  </w:style>
  <w:style w:type="character" w:styleId="Hyperlink">
    <w:name w:val="Hyperlink"/>
    <w:basedOn w:val="DefaultParagraphFont"/>
    <w:uiPriority w:val="99"/>
    <w:unhideWhenUsed/>
    <w:rsid w:val="00B41534"/>
    <w:rPr>
      <w:color w:val="0563C1" w:themeColor="hyperlink"/>
      <w:u w:val="single"/>
    </w:rPr>
  </w:style>
  <w:style w:type="character" w:customStyle="1" w:styleId="UnresolvedMention1">
    <w:name w:val="Unresolved Mention1"/>
    <w:basedOn w:val="DefaultParagraphFont"/>
    <w:uiPriority w:val="99"/>
    <w:semiHidden/>
    <w:unhideWhenUsed/>
    <w:rsid w:val="00B41534"/>
    <w:rPr>
      <w:color w:val="808080"/>
      <w:shd w:val="clear" w:color="auto" w:fill="E6E6E6"/>
    </w:rPr>
  </w:style>
  <w:style w:type="character" w:styleId="CommentReference">
    <w:name w:val="annotation reference"/>
    <w:basedOn w:val="DefaultParagraphFont"/>
    <w:uiPriority w:val="99"/>
    <w:semiHidden/>
    <w:unhideWhenUsed/>
    <w:rsid w:val="00B41534"/>
    <w:rPr>
      <w:sz w:val="16"/>
      <w:szCs w:val="16"/>
    </w:rPr>
  </w:style>
  <w:style w:type="character" w:customStyle="1" w:styleId="CommentTextChar">
    <w:name w:val="Comment Text Char"/>
    <w:basedOn w:val="DefaultParagraphFont"/>
    <w:link w:val="CommentText"/>
    <w:uiPriority w:val="99"/>
    <w:rsid w:val="00B41534"/>
    <w:rPr>
      <w:rFonts w:ascii="Times New Roman" w:eastAsiaTheme="minorEastAsia" w:hAnsi="Times New Roman"/>
      <w:sz w:val="20"/>
      <w:szCs w:val="20"/>
      <w:lang w:eastAsia="zh-CN"/>
    </w:rPr>
  </w:style>
  <w:style w:type="paragraph" w:styleId="CommentText">
    <w:name w:val="annotation text"/>
    <w:basedOn w:val="Normal"/>
    <w:link w:val="CommentTextChar"/>
    <w:uiPriority w:val="99"/>
    <w:unhideWhenUsed/>
    <w:rsid w:val="00B41534"/>
    <w:rPr>
      <w:rFonts w:eastAsiaTheme="minorEastAsia" w:cstheme="minorBidi"/>
      <w:sz w:val="20"/>
      <w:szCs w:val="20"/>
    </w:rPr>
  </w:style>
  <w:style w:type="character" w:customStyle="1" w:styleId="CommentTextChar1">
    <w:name w:val="Comment Text Char1"/>
    <w:basedOn w:val="DefaultParagraphFont"/>
    <w:uiPriority w:val="99"/>
    <w:semiHidden/>
    <w:rsid w:val="00B41534"/>
    <w:rPr>
      <w:rFonts w:ascii="Times New Roman" w:eastAsia="Times New Roman" w:hAnsi="Times New Roman" w:cs="Times New Roman"/>
      <w:sz w:val="20"/>
      <w:szCs w:val="20"/>
      <w:lang w:eastAsia="zh-CN"/>
    </w:rPr>
  </w:style>
  <w:style w:type="paragraph" w:styleId="ListParagraph">
    <w:name w:val="List Paragraph"/>
    <w:basedOn w:val="Normal"/>
    <w:link w:val="ListParagraphChar"/>
    <w:uiPriority w:val="34"/>
    <w:qFormat/>
    <w:rsid w:val="00B41534"/>
    <w:pPr>
      <w:ind w:left="720"/>
      <w:contextualSpacing/>
    </w:pPr>
  </w:style>
  <w:style w:type="table" w:customStyle="1" w:styleId="PlainTable11">
    <w:name w:val="Plain Table 11"/>
    <w:basedOn w:val="TableNormal"/>
    <w:uiPriority w:val="41"/>
    <w:rsid w:val="00B41534"/>
    <w:pPr>
      <w:spacing w:after="0" w:line="240" w:lineRule="auto"/>
    </w:pPr>
    <w:rPr>
      <w:rFonts w:eastAsiaTheme="minorEastAsia"/>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B41534"/>
    <w:pPr>
      <w:spacing w:after="0" w:line="240" w:lineRule="auto"/>
    </w:pPr>
    <w:rPr>
      <w:rFonts w:eastAsiaTheme="minorEastAsia"/>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SubjectChar">
    <w:name w:val="Comment Subject Char"/>
    <w:basedOn w:val="CommentTextChar"/>
    <w:link w:val="CommentSubject"/>
    <w:uiPriority w:val="99"/>
    <w:semiHidden/>
    <w:rsid w:val="00B41534"/>
    <w:rPr>
      <w:rFonts w:ascii="Times New Roman" w:eastAsiaTheme="minorEastAsia" w:hAnsi="Times New Roman"/>
      <w:b/>
      <w:bCs/>
      <w:sz w:val="20"/>
      <w:szCs w:val="20"/>
      <w:lang w:eastAsia="zh-CN"/>
    </w:rPr>
  </w:style>
  <w:style w:type="paragraph" w:styleId="CommentSubject">
    <w:name w:val="annotation subject"/>
    <w:basedOn w:val="CommentText"/>
    <w:next w:val="CommentText"/>
    <w:link w:val="CommentSubjectChar"/>
    <w:uiPriority w:val="99"/>
    <w:semiHidden/>
    <w:unhideWhenUsed/>
    <w:rsid w:val="00B41534"/>
    <w:rPr>
      <w:b/>
      <w:bCs/>
    </w:rPr>
  </w:style>
  <w:style w:type="character" w:customStyle="1" w:styleId="CommentSubjectChar1">
    <w:name w:val="Comment Subject Char1"/>
    <w:basedOn w:val="CommentTextChar1"/>
    <w:uiPriority w:val="99"/>
    <w:semiHidden/>
    <w:rsid w:val="00B41534"/>
    <w:rPr>
      <w:rFonts w:ascii="Times New Roman" w:eastAsia="Times New Roman" w:hAnsi="Times New Roman" w:cs="Times New Roman"/>
      <w:b/>
      <w:bCs/>
      <w:sz w:val="20"/>
      <w:szCs w:val="20"/>
      <w:lang w:eastAsia="zh-CN"/>
    </w:rPr>
  </w:style>
  <w:style w:type="paragraph" w:styleId="EndnoteText">
    <w:name w:val="endnote text"/>
    <w:basedOn w:val="Normal"/>
    <w:link w:val="EndnoteTextChar"/>
    <w:uiPriority w:val="99"/>
    <w:unhideWhenUsed/>
    <w:rsid w:val="00B41534"/>
    <w:rPr>
      <w:sz w:val="20"/>
      <w:szCs w:val="20"/>
    </w:rPr>
  </w:style>
  <w:style w:type="character" w:customStyle="1" w:styleId="EndnoteTextChar">
    <w:name w:val="Endnote Text Char"/>
    <w:basedOn w:val="DefaultParagraphFont"/>
    <w:link w:val="EndnoteText"/>
    <w:uiPriority w:val="99"/>
    <w:rsid w:val="00B41534"/>
    <w:rPr>
      <w:rFonts w:ascii="Times New Roman" w:eastAsia="Times New Roman" w:hAnsi="Times New Roman" w:cs="Times New Roman"/>
      <w:sz w:val="20"/>
      <w:szCs w:val="20"/>
      <w:lang w:eastAsia="zh-CN"/>
    </w:rPr>
  </w:style>
  <w:style w:type="character" w:customStyle="1" w:styleId="5yl5">
    <w:name w:val="_5yl5"/>
    <w:basedOn w:val="DefaultParagraphFont"/>
    <w:rsid w:val="00B41534"/>
  </w:style>
  <w:style w:type="paragraph" w:styleId="NoSpacing">
    <w:name w:val="No Spacing"/>
    <w:next w:val="Normal"/>
    <w:link w:val="NoSpacingChar"/>
    <w:uiPriority w:val="1"/>
    <w:qFormat/>
    <w:rsid w:val="00B41534"/>
    <w:pPr>
      <w:spacing w:after="0" w:line="240" w:lineRule="auto"/>
    </w:pPr>
    <w:rPr>
      <w:rFonts w:eastAsiaTheme="minorEastAsia"/>
      <w:lang w:eastAsia="zh-CN"/>
    </w:rPr>
  </w:style>
  <w:style w:type="character" w:customStyle="1" w:styleId="NoSpacingChar">
    <w:name w:val="No Spacing Char"/>
    <w:basedOn w:val="DefaultParagraphFont"/>
    <w:link w:val="NoSpacing"/>
    <w:uiPriority w:val="1"/>
    <w:rsid w:val="00B41534"/>
    <w:rPr>
      <w:rFonts w:eastAsiaTheme="minorEastAsia"/>
      <w:lang w:eastAsia="zh-CN"/>
    </w:rPr>
  </w:style>
  <w:style w:type="character" w:customStyle="1" w:styleId="font281">
    <w:name w:val="font281"/>
    <w:basedOn w:val="DefaultParagraphFont"/>
    <w:rsid w:val="00B41534"/>
    <w:rPr>
      <w:rFonts w:ascii="SimSun" w:eastAsia="SimSun" w:hAnsi="SimSun" w:hint="eastAsia"/>
      <w:b/>
      <w:bCs/>
      <w:i w:val="0"/>
      <w:iCs w:val="0"/>
      <w:strike w:val="0"/>
      <w:dstrike w:val="0"/>
      <w:color w:val="000000"/>
      <w:sz w:val="16"/>
      <w:szCs w:val="16"/>
      <w:u w:val="none"/>
      <w:effect w:val="none"/>
    </w:rPr>
  </w:style>
  <w:style w:type="character" w:customStyle="1" w:styleId="font301">
    <w:name w:val="font301"/>
    <w:basedOn w:val="DefaultParagraphFont"/>
    <w:rsid w:val="00B41534"/>
    <w:rPr>
      <w:rFonts w:ascii="SimSun" w:eastAsia="SimSun" w:hAnsi="SimSun" w:hint="eastAsia"/>
      <w:b w:val="0"/>
      <w:bCs w:val="0"/>
      <w:i w:val="0"/>
      <w:iCs w:val="0"/>
      <w:strike w:val="0"/>
      <w:dstrike w:val="0"/>
      <w:color w:val="000000"/>
      <w:sz w:val="14"/>
      <w:szCs w:val="14"/>
      <w:u w:val="none"/>
      <w:effect w:val="none"/>
    </w:rPr>
  </w:style>
  <w:style w:type="character" w:customStyle="1" w:styleId="font251">
    <w:name w:val="font251"/>
    <w:basedOn w:val="DefaultParagraphFont"/>
    <w:rsid w:val="00B41534"/>
    <w:rPr>
      <w:rFonts w:ascii="Calibri" w:hAnsi="Calibri" w:cs="Calibri" w:hint="default"/>
      <w:b w:val="0"/>
      <w:bCs w:val="0"/>
      <w:i w:val="0"/>
      <w:iCs w:val="0"/>
      <w:strike w:val="0"/>
      <w:dstrike w:val="0"/>
      <w:color w:val="000000"/>
      <w:sz w:val="14"/>
      <w:szCs w:val="14"/>
      <w:u w:val="none"/>
      <w:effect w:val="none"/>
    </w:rPr>
  </w:style>
  <w:style w:type="character" w:customStyle="1" w:styleId="font431">
    <w:name w:val="font431"/>
    <w:basedOn w:val="DefaultParagraphFont"/>
    <w:rsid w:val="00B41534"/>
    <w:rPr>
      <w:rFonts w:ascii="SimSun" w:eastAsia="SimSun" w:hAnsi="SimSun" w:hint="eastAsia"/>
      <w:b w:val="0"/>
      <w:bCs w:val="0"/>
      <w:i w:val="0"/>
      <w:iCs w:val="0"/>
      <w:strike w:val="0"/>
      <w:dstrike w:val="0"/>
      <w:color w:val="000000"/>
      <w:sz w:val="18"/>
      <w:szCs w:val="18"/>
      <w:u w:val="none"/>
      <w:effect w:val="none"/>
    </w:rPr>
  </w:style>
  <w:style w:type="character" w:customStyle="1" w:styleId="font411">
    <w:name w:val="font411"/>
    <w:basedOn w:val="DefaultParagraphFont"/>
    <w:rsid w:val="00B41534"/>
    <w:rPr>
      <w:rFonts w:ascii="Calibri" w:hAnsi="Calibri" w:cs="Calibri" w:hint="default"/>
      <w:b w:val="0"/>
      <w:bCs w:val="0"/>
      <w:i w:val="0"/>
      <w:iCs w:val="0"/>
      <w:strike w:val="0"/>
      <w:dstrike w:val="0"/>
      <w:color w:val="000000"/>
      <w:sz w:val="18"/>
      <w:szCs w:val="18"/>
      <w:u w:val="none"/>
      <w:effect w:val="none"/>
    </w:rPr>
  </w:style>
  <w:style w:type="paragraph" w:styleId="TOCHeading">
    <w:name w:val="TOC Heading"/>
    <w:basedOn w:val="Heading1"/>
    <w:next w:val="Normal"/>
    <w:uiPriority w:val="39"/>
    <w:unhideWhenUsed/>
    <w:qFormat/>
    <w:rsid w:val="00B41534"/>
    <w:pPr>
      <w:spacing w:line="259" w:lineRule="auto"/>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B41534"/>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B41534"/>
    <w:pPr>
      <w:ind w:left="240"/>
    </w:pPr>
    <w:rPr>
      <w:rFonts w:asciiTheme="minorHAnsi" w:hAnsiTheme="minorHAnsi"/>
      <w:smallCaps/>
      <w:sz w:val="20"/>
      <w:szCs w:val="20"/>
    </w:rPr>
  </w:style>
  <w:style w:type="paragraph" w:styleId="TOC3">
    <w:name w:val="toc 3"/>
    <w:basedOn w:val="Normal"/>
    <w:next w:val="Normal"/>
    <w:autoRedefine/>
    <w:uiPriority w:val="39"/>
    <w:unhideWhenUsed/>
    <w:rsid w:val="00B41534"/>
    <w:pPr>
      <w:ind w:left="480"/>
    </w:pPr>
    <w:rPr>
      <w:rFonts w:asciiTheme="minorHAnsi" w:hAnsiTheme="minorHAnsi"/>
      <w:i/>
      <w:iCs/>
      <w:sz w:val="20"/>
      <w:szCs w:val="20"/>
    </w:rPr>
  </w:style>
  <w:style w:type="paragraph" w:styleId="TOC4">
    <w:name w:val="toc 4"/>
    <w:basedOn w:val="Normal"/>
    <w:next w:val="Normal"/>
    <w:autoRedefine/>
    <w:uiPriority w:val="39"/>
    <w:unhideWhenUsed/>
    <w:rsid w:val="00B41534"/>
    <w:pPr>
      <w:ind w:left="720"/>
    </w:pPr>
    <w:rPr>
      <w:rFonts w:asciiTheme="minorHAnsi" w:hAnsiTheme="minorHAnsi"/>
      <w:sz w:val="18"/>
      <w:szCs w:val="18"/>
    </w:rPr>
  </w:style>
  <w:style w:type="paragraph" w:styleId="TOC5">
    <w:name w:val="toc 5"/>
    <w:basedOn w:val="Normal"/>
    <w:next w:val="Normal"/>
    <w:autoRedefine/>
    <w:uiPriority w:val="39"/>
    <w:unhideWhenUsed/>
    <w:rsid w:val="00B41534"/>
    <w:pPr>
      <w:ind w:left="960"/>
    </w:pPr>
    <w:rPr>
      <w:rFonts w:asciiTheme="minorHAnsi" w:hAnsiTheme="minorHAnsi"/>
      <w:sz w:val="18"/>
      <w:szCs w:val="18"/>
    </w:rPr>
  </w:style>
  <w:style w:type="paragraph" w:styleId="TOC6">
    <w:name w:val="toc 6"/>
    <w:basedOn w:val="Normal"/>
    <w:next w:val="Normal"/>
    <w:autoRedefine/>
    <w:uiPriority w:val="39"/>
    <w:unhideWhenUsed/>
    <w:rsid w:val="00B41534"/>
    <w:pPr>
      <w:ind w:left="1200"/>
    </w:pPr>
    <w:rPr>
      <w:rFonts w:asciiTheme="minorHAnsi" w:hAnsiTheme="minorHAnsi"/>
      <w:sz w:val="18"/>
      <w:szCs w:val="18"/>
    </w:rPr>
  </w:style>
  <w:style w:type="paragraph" w:styleId="TOC7">
    <w:name w:val="toc 7"/>
    <w:basedOn w:val="Normal"/>
    <w:next w:val="Normal"/>
    <w:autoRedefine/>
    <w:uiPriority w:val="39"/>
    <w:unhideWhenUsed/>
    <w:rsid w:val="00B41534"/>
    <w:pPr>
      <w:ind w:left="1440"/>
    </w:pPr>
    <w:rPr>
      <w:rFonts w:asciiTheme="minorHAnsi" w:hAnsiTheme="minorHAnsi"/>
      <w:sz w:val="18"/>
      <w:szCs w:val="18"/>
    </w:rPr>
  </w:style>
  <w:style w:type="paragraph" w:styleId="TOC8">
    <w:name w:val="toc 8"/>
    <w:basedOn w:val="Normal"/>
    <w:next w:val="Normal"/>
    <w:autoRedefine/>
    <w:uiPriority w:val="39"/>
    <w:unhideWhenUsed/>
    <w:rsid w:val="00B41534"/>
    <w:pPr>
      <w:ind w:left="1680"/>
    </w:pPr>
    <w:rPr>
      <w:rFonts w:asciiTheme="minorHAnsi" w:hAnsiTheme="minorHAnsi"/>
      <w:sz w:val="18"/>
      <w:szCs w:val="18"/>
    </w:rPr>
  </w:style>
  <w:style w:type="paragraph" w:styleId="TOC9">
    <w:name w:val="toc 9"/>
    <w:basedOn w:val="Normal"/>
    <w:next w:val="Normal"/>
    <w:autoRedefine/>
    <w:uiPriority w:val="39"/>
    <w:unhideWhenUsed/>
    <w:rsid w:val="00B41534"/>
    <w:pPr>
      <w:ind w:left="1920"/>
    </w:pPr>
    <w:rPr>
      <w:rFonts w:asciiTheme="minorHAnsi" w:hAnsiTheme="minorHAnsi"/>
      <w:sz w:val="18"/>
      <w:szCs w:val="18"/>
    </w:rPr>
  </w:style>
  <w:style w:type="paragraph" w:styleId="TableofFigures">
    <w:name w:val="table of figures"/>
    <w:basedOn w:val="Normal"/>
    <w:next w:val="Normal"/>
    <w:uiPriority w:val="99"/>
    <w:unhideWhenUsed/>
    <w:rsid w:val="00B41534"/>
    <w:pPr>
      <w:ind w:left="480" w:hanging="480"/>
    </w:pPr>
    <w:rPr>
      <w:rFonts w:asciiTheme="minorHAnsi" w:hAnsiTheme="minorHAnsi" w:cstheme="minorHAnsi"/>
      <w:smallCaps/>
      <w:sz w:val="20"/>
      <w:szCs w:val="20"/>
    </w:rPr>
  </w:style>
  <w:style w:type="paragraph" w:styleId="Caption">
    <w:name w:val="caption"/>
    <w:basedOn w:val="Normal"/>
    <w:next w:val="Normal"/>
    <w:uiPriority w:val="35"/>
    <w:unhideWhenUsed/>
    <w:qFormat/>
    <w:rsid w:val="00B41534"/>
    <w:pPr>
      <w:jc w:val="center"/>
    </w:pPr>
    <w:rPr>
      <w:b/>
      <w:iCs/>
      <w:color w:val="000000" w:themeColor="text1"/>
      <w:szCs w:val="18"/>
    </w:rPr>
  </w:style>
  <w:style w:type="paragraph" w:styleId="Revision">
    <w:name w:val="Revision"/>
    <w:hidden/>
    <w:uiPriority w:val="99"/>
    <w:semiHidden/>
    <w:rsid w:val="00B41534"/>
    <w:pPr>
      <w:spacing w:after="0" w:line="240" w:lineRule="auto"/>
    </w:pPr>
    <w:rPr>
      <w:rFonts w:ascii="Times New Roman" w:eastAsiaTheme="minorEastAsia" w:hAnsi="Times New Roman"/>
      <w:sz w:val="24"/>
      <w:lang w:eastAsia="zh-CN"/>
    </w:rPr>
  </w:style>
  <w:style w:type="paragraph" w:styleId="NormalWeb">
    <w:name w:val="Normal (Web)"/>
    <w:basedOn w:val="Normal"/>
    <w:uiPriority w:val="99"/>
    <w:unhideWhenUsed/>
    <w:rsid w:val="00B41534"/>
    <w:pPr>
      <w:spacing w:before="100" w:beforeAutospacing="1" w:after="100" w:afterAutospacing="1"/>
    </w:pPr>
  </w:style>
  <w:style w:type="character" w:customStyle="1" w:styleId="apple-converted-space">
    <w:name w:val="apple-converted-space"/>
    <w:basedOn w:val="DefaultParagraphFont"/>
    <w:rsid w:val="00B41534"/>
  </w:style>
  <w:style w:type="character" w:customStyle="1" w:styleId="nlmyear">
    <w:name w:val="nlm_year"/>
    <w:basedOn w:val="DefaultParagraphFont"/>
    <w:rsid w:val="00B41534"/>
  </w:style>
  <w:style w:type="character" w:customStyle="1" w:styleId="nlmarticle-title">
    <w:name w:val="nlm_article-title"/>
    <w:basedOn w:val="DefaultParagraphFont"/>
    <w:rsid w:val="00B41534"/>
  </w:style>
  <w:style w:type="character" w:customStyle="1" w:styleId="nlmfpage">
    <w:name w:val="nlm_fpage"/>
    <w:basedOn w:val="DefaultParagraphFont"/>
    <w:rsid w:val="00B41534"/>
  </w:style>
  <w:style w:type="character" w:customStyle="1" w:styleId="nlmlpage">
    <w:name w:val="nlm_lpage"/>
    <w:basedOn w:val="DefaultParagraphFont"/>
    <w:rsid w:val="00B41534"/>
  </w:style>
  <w:style w:type="character" w:styleId="Emphasis">
    <w:name w:val="Emphasis"/>
    <w:basedOn w:val="DefaultParagraphFont"/>
    <w:uiPriority w:val="20"/>
    <w:qFormat/>
    <w:rsid w:val="00B41534"/>
    <w:rPr>
      <w:i/>
      <w:iCs/>
    </w:rPr>
  </w:style>
  <w:style w:type="character" w:styleId="Strong">
    <w:name w:val="Strong"/>
    <w:basedOn w:val="DefaultParagraphFont"/>
    <w:uiPriority w:val="22"/>
    <w:qFormat/>
    <w:rsid w:val="00B41534"/>
    <w:rPr>
      <w:b/>
      <w:bCs/>
    </w:rPr>
  </w:style>
  <w:style w:type="character" w:styleId="PageNumber">
    <w:name w:val="page number"/>
    <w:basedOn w:val="DefaultParagraphFont"/>
    <w:uiPriority w:val="99"/>
    <w:semiHidden/>
    <w:unhideWhenUsed/>
    <w:rsid w:val="00B41534"/>
  </w:style>
  <w:style w:type="character" w:styleId="PlaceholderText">
    <w:name w:val="Placeholder Text"/>
    <w:basedOn w:val="DefaultParagraphFont"/>
    <w:uiPriority w:val="99"/>
    <w:semiHidden/>
    <w:rsid w:val="00B41534"/>
    <w:rPr>
      <w:color w:val="808080"/>
    </w:rPr>
  </w:style>
  <w:style w:type="character" w:styleId="EndnoteReference">
    <w:name w:val="endnote reference"/>
    <w:basedOn w:val="DefaultParagraphFont"/>
    <w:uiPriority w:val="99"/>
    <w:semiHidden/>
    <w:unhideWhenUsed/>
    <w:rsid w:val="00B41534"/>
    <w:rPr>
      <w:vertAlign w:val="superscript"/>
    </w:rPr>
  </w:style>
  <w:style w:type="character" w:customStyle="1" w:styleId="title-text">
    <w:name w:val="title-text"/>
    <w:basedOn w:val="DefaultParagraphFont"/>
    <w:rsid w:val="00B41534"/>
  </w:style>
  <w:style w:type="character" w:styleId="UnresolvedMention">
    <w:name w:val="Unresolved Mention"/>
    <w:basedOn w:val="DefaultParagraphFont"/>
    <w:uiPriority w:val="99"/>
    <w:semiHidden/>
    <w:unhideWhenUsed/>
    <w:rsid w:val="00B41534"/>
    <w:rPr>
      <w:color w:val="605E5C"/>
      <w:shd w:val="clear" w:color="auto" w:fill="E1DFDD"/>
    </w:rPr>
  </w:style>
  <w:style w:type="character" w:customStyle="1" w:styleId="year">
    <w:name w:val="year"/>
    <w:basedOn w:val="DefaultParagraphFont"/>
    <w:rsid w:val="00B41534"/>
  </w:style>
  <w:style w:type="character" w:customStyle="1" w:styleId="Title1">
    <w:name w:val="Title1"/>
    <w:basedOn w:val="DefaultParagraphFont"/>
    <w:rsid w:val="00B41534"/>
  </w:style>
  <w:style w:type="character" w:customStyle="1" w:styleId="journal">
    <w:name w:val="journal"/>
    <w:basedOn w:val="DefaultParagraphFont"/>
    <w:rsid w:val="00B41534"/>
  </w:style>
  <w:style w:type="character" w:customStyle="1" w:styleId="vol">
    <w:name w:val="vol"/>
    <w:basedOn w:val="DefaultParagraphFont"/>
    <w:rsid w:val="00B41534"/>
  </w:style>
  <w:style w:type="character" w:customStyle="1" w:styleId="pages">
    <w:name w:val="pages"/>
    <w:basedOn w:val="DefaultParagraphFont"/>
    <w:rsid w:val="00B41534"/>
  </w:style>
  <w:style w:type="character" w:customStyle="1" w:styleId="a">
    <w:name w:val="_"/>
    <w:basedOn w:val="DefaultParagraphFont"/>
    <w:rsid w:val="00B41534"/>
  </w:style>
  <w:style w:type="character" w:customStyle="1" w:styleId="highwire-citation-author">
    <w:name w:val="highwire-citation-author"/>
    <w:basedOn w:val="DefaultParagraphFont"/>
    <w:rsid w:val="00B41534"/>
  </w:style>
  <w:style w:type="character" w:customStyle="1" w:styleId="authors">
    <w:name w:val="authors"/>
    <w:basedOn w:val="DefaultParagraphFont"/>
    <w:rsid w:val="00B41534"/>
  </w:style>
  <w:style w:type="character" w:customStyle="1" w:styleId="Date1">
    <w:name w:val="Date1"/>
    <w:basedOn w:val="DefaultParagraphFont"/>
    <w:rsid w:val="00B41534"/>
  </w:style>
  <w:style w:type="character" w:customStyle="1" w:styleId="arttitle">
    <w:name w:val="art_title"/>
    <w:basedOn w:val="DefaultParagraphFont"/>
    <w:rsid w:val="00B41534"/>
  </w:style>
  <w:style w:type="character" w:customStyle="1" w:styleId="serialtitle">
    <w:name w:val="serial_title"/>
    <w:basedOn w:val="DefaultParagraphFont"/>
    <w:rsid w:val="00B41534"/>
  </w:style>
  <w:style w:type="character" w:customStyle="1" w:styleId="volumeissue">
    <w:name w:val="volume_issue"/>
    <w:basedOn w:val="DefaultParagraphFont"/>
    <w:rsid w:val="00B41534"/>
  </w:style>
  <w:style w:type="character" w:customStyle="1" w:styleId="pagerange">
    <w:name w:val="page_range"/>
    <w:basedOn w:val="DefaultParagraphFont"/>
    <w:rsid w:val="00B41534"/>
  </w:style>
  <w:style w:type="character" w:customStyle="1" w:styleId="doilink">
    <w:name w:val="doi_link"/>
    <w:basedOn w:val="DefaultParagraphFont"/>
    <w:rsid w:val="00B41534"/>
  </w:style>
  <w:style w:type="character" w:styleId="FollowedHyperlink">
    <w:name w:val="FollowedHyperlink"/>
    <w:basedOn w:val="DefaultParagraphFont"/>
    <w:uiPriority w:val="99"/>
    <w:semiHidden/>
    <w:unhideWhenUsed/>
    <w:rsid w:val="00B41534"/>
    <w:rPr>
      <w:color w:val="954F72" w:themeColor="followedHyperlink"/>
      <w:u w:val="single"/>
    </w:rPr>
  </w:style>
  <w:style w:type="character" w:customStyle="1" w:styleId="nlmstring-name">
    <w:name w:val="nlm_string-name"/>
    <w:basedOn w:val="DefaultParagraphFont"/>
    <w:rsid w:val="00B41534"/>
  </w:style>
  <w:style w:type="character" w:customStyle="1" w:styleId="journalname">
    <w:name w:val="journalname"/>
    <w:basedOn w:val="DefaultParagraphFont"/>
    <w:rsid w:val="00B41534"/>
  </w:style>
  <w:style w:type="character" w:customStyle="1" w:styleId="volume">
    <w:name w:val="volume"/>
    <w:basedOn w:val="DefaultParagraphFont"/>
    <w:rsid w:val="00B41534"/>
  </w:style>
  <w:style w:type="character" w:customStyle="1" w:styleId="issue">
    <w:name w:val="issue"/>
    <w:basedOn w:val="DefaultParagraphFont"/>
    <w:rsid w:val="00B41534"/>
  </w:style>
  <w:style w:type="character" w:customStyle="1" w:styleId="page">
    <w:name w:val="page"/>
    <w:basedOn w:val="DefaultParagraphFont"/>
    <w:rsid w:val="00B41534"/>
  </w:style>
  <w:style w:type="character" w:customStyle="1" w:styleId="EndNoteBibliographyChar">
    <w:name w:val="EndNote Bibliography Char"/>
    <w:basedOn w:val="DefaultParagraphFont"/>
    <w:rsid w:val="00B41534"/>
    <w:rPr>
      <w:rFonts w:ascii="Calibri" w:hAnsi="Calibri" w:cs="Calibri"/>
      <w:noProof/>
      <w:sz w:val="20"/>
    </w:rPr>
  </w:style>
  <w:style w:type="paragraph" w:customStyle="1" w:styleId="Normal0">
    <w:name w:val="Normal0"/>
    <w:qFormat/>
    <w:rsid w:val="00B41534"/>
    <w:pPr>
      <w:spacing w:after="0" w:line="276" w:lineRule="auto"/>
    </w:pPr>
    <w:rPr>
      <w:rFonts w:ascii="Arial" w:eastAsia="Arial" w:hAnsi="Arial" w:cs="Arial"/>
      <w:color w:val="000000"/>
      <w:lang w:val="en-US" w:eastAsia="it-IT"/>
    </w:rPr>
  </w:style>
  <w:style w:type="paragraph" w:customStyle="1" w:styleId="xmsonormal">
    <w:name w:val="x_msonormal"/>
    <w:basedOn w:val="Normal"/>
    <w:rsid w:val="00415576"/>
    <w:rPr>
      <w:rFonts w:ascii="Calibri" w:eastAsiaTheme="minorHAnsi" w:hAnsi="Calibri" w:cs="Calibri"/>
      <w:sz w:val="22"/>
      <w:szCs w:val="22"/>
      <w:lang w:eastAsia="en-GB"/>
    </w:rPr>
  </w:style>
  <w:style w:type="character" w:customStyle="1" w:styleId="page-headercitation-item-label">
    <w:name w:val="page-header__citation-item-label"/>
    <w:basedOn w:val="DefaultParagraphFont"/>
    <w:rsid w:val="00415576"/>
  </w:style>
  <w:style w:type="character" w:customStyle="1" w:styleId="ListParagraphChar">
    <w:name w:val="List Paragraph Char"/>
    <w:basedOn w:val="DefaultParagraphFont"/>
    <w:link w:val="ListParagraph"/>
    <w:uiPriority w:val="34"/>
    <w:rsid w:val="00FC3B0E"/>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44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an.zhang@ageing.ox.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guariglia@bham.ac.uk" TargetMode="External"/><Relationship Id="rId4" Type="http://schemas.openxmlformats.org/officeDocument/2006/relationships/settings" Target="settings.xml"/><Relationship Id="rId9" Type="http://schemas.openxmlformats.org/officeDocument/2006/relationships/hyperlink" Target="https://orcid.org/0000-0003-3836-423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F69C3-C792-43F8-9587-79CFAE853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14</Pages>
  <Words>4565</Words>
  <Characters>26022</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Guariglia (Economics)</dc:creator>
  <cp:keywords/>
  <dc:description/>
  <cp:lastModifiedBy>Alessandra Guariglia (Economics)</cp:lastModifiedBy>
  <cp:revision>42</cp:revision>
  <dcterms:created xsi:type="dcterms:W3CDTF">2023-07-12T09:47:00Z</dcterms:created>
  <dcterms:modified xsi:type="dcterms:W3CDTF">2024-04-09T09:26:00Z</dcterms:modified>
</cp:coreProperties>
</file>