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744A6" w14:textId="77777777" w:rsidR="0010143C" w:rsidRDefault="0010143C" w:rsidP="0010143C">
      <w:pPr>
        <w:rPr>
          <w:rFonts w:ascii="Calibri" w:hAnsi="Calibri" w:cs="Calibri"/>
        </w:rPr>
      </w:pPr>
      <w:r>
        <w:rPr>
          <w:rFonts w:ascii="Calibri" w:hAnsi="Calibri" w:cs="Calibri"/>
        </w:rPr>
        <w:t>Appendix A – Amendments to PROSPERO protocol</w:t>
      </w:r>
    </w:p>
    <w:p w14:paraId="5AB144C8" w14:textId="77777777" w:rsidR="0010143C" w:rsidRDefault="0010143C" w:rsidP="0010143C">
      <w:pPr>
        <w:rPr>
          <w:rFonts w:ascii="Calibri" w:hAnsi="Calibri" w:cs="Calibri"/>
        </w:rPr>
      </w:pPr>
    </w:p>
    <w:p w14:paraId="5DA89A80" w14:textId="77777777" w:rsidR="0010143C" w:rsidRDefault="0010143C" w:rsidP="0010143C">
      <w:pPr>
        <w:rPr>
          <w:rFonts w:ascii="Calibri" w:hAnsi="Calibri" w:cs="Calibri"/>
        </w:rPr>
      </w:pPr>
      <w:r>
        <w:rPr>
          <w:rFonts w:ascii="Calibri" w:hAnsi="Calibri" w:cs="Calibri"/>
        </w:rPr>
        <w:t xml:space="preserve">Protocol Registration Number: </w:t>
      </w:r>
      <w:r>
        <w:rPr>
          <w:rFonts w:ascii="Arial" w:hAnsi="Arial" w:cs="Arial"/>
          <w:color w:val="222222"/>
          <w:shd w:val="clear" w:color="auto" w:fill="FFFFFF"/>
        </w:rPr>
        <w:t>CRD42021237510</w:t>
      </w:r>
      <w:r>
        <w:rPr>
          <w:rFonts w:ascii="Calibri" w:hAnsi="Calibri" w:cs="Calibri"/>
        </w:rPr>
        <w:t xml:space="preserve"> </w:t>
      </w:r>
    </w:p>
    <w:p w14:paraId="283C0548" w14:textId="77777777" w:rsidR="0010143C" w:rsidRDefault="0010143C" w:rsidP="0010143C">
      <w:pPr>
        <w:rPr>
          <w:rFonts w:ascii="Calibri" w:hAnsi="Calibri" w:cs="Calibri"/>
        </w:rPr>
      </w:pPr>
      <w:r>
        <w:rPr>
          <w:rFonts w:ascii="Calibri" w:hAnsi="Calibri" w:cs="Calibri"/>
        </w:rPr>
        <w:t xml:space="preserve">Amended areas are in </w:t>
      </w:r>
      <w:r w:rsidRPr="003B0AC7">
        <w:rPr>
          <w:rFonts w:ascii="Calibri" w:hAnsi="Calibri" w:cs="Calibri"/>
          <w:b/>
        </w:rPr>
        <w:t>bold</w:t>
      </w:r>
    </w:p>
    <w:tbl>
      <w:tblPr>
        <w:tblStyle w:val="TableGrid"/>
        <w:tblW w:w="0" w:type="auto"/>
        <w:tblLook w:val="04A0" w:firstRow="1" w:lastRow="0" w:firstColumn="1" w:lastColumn="0" w:noHBand="0" w:noVBand="1"/>
      </w:tblPr>
      <w:tblGrid>
        <w:gridCol w:w="3004"/>
        <w:gridCol w:w="3006"/>
        <w:gridCol w:w="3006"/>
      </w:tblGrid>
      <w:tr w:rsidR="0010143C" w14:paraId="011F849A" w14:textId="77777777" w:rsidTr="00456F86">
        <w:tc>
          <w:tcPr>
            <w:tcW w:w="3004" w:type="dxa"/>
          </w:tcPr>
          <w:p w14:paraId="21A35A66" w14:textId="77777777" w:rsidR="0010143C" w:rsidRDefault="0010143C" w:rsidP="00456F86">
            <w:pPr>
              <w:rPr>
                <w:rFonts w:ascii="Calibri" w:hAnsi="Calibri" w:cs="Calibri"/>
              </w:rPr>
            </w:pPr>
            <w:r>
              <w:rPr>
                <w:rFonts w:ascii="Calibri" w:hAnsi="Calibri" w:cs="Calibri"/>
              </w:rPr>
              <w:t>Item</w:t>
            </w:r>
          </w:p>
        </w:tc>
        <w:tc>
          <w:tcPr>
            <w:tcW w:w="3006" w:type="dxa"/>
          </w:tcPr>
          <w:p w14:paraId="12CFBA39" w14:textId="77777777" w:rsidR="0010143C" w:rsidRDefault="0010143C" w:rsidP="00456F86">
            <w:pPr>
              <w:rPr>
                <w:rFonts w:ascii="Calibri" w:hAnsi="Calibri" w:cs="Calibri"/>
              </w:rPr>
            </w:pPr>
            <w:r>
              <w:rPr>
                <w:rFonts w:ascii="Calibri" w:hAnsi="Calibri" w:cs="Calibri"/>
              </w:rPr>
              <w:t>Registered version</w:t>
            </w:r>
          </w:p>
        </w:tc>
        <w:tc>
          <w:tcPr>
            <w:tcW w:w="3006" w:type="dxa"/>
          </w:tcPr>
          <w:p w14:paraId="4627D4E7" w14:textId="77777777" w:rsidR="0010143C" w:rsidRDefault="0010143C" w:rsidP="00456F86">
            <w:pPr>
              <w:rPr>
                <w:rFonts w:ascii="Calibri" w:hAnsi="Calibri" w:cs="Calibri"/>
              </w:rPr>
            </w:pPr>
            <w:r>
              <w:rPr>
                <w:rFonts w:ascii="Calibri" w:hAnsi="Calibri" w:cs="Calibri"/>
              </w:rPr>
              <w:t>Updated version</w:t>
            </w:r>
          </w:p>
        </w:tc>
      </w:tr>
      <w:tr w:rsidR="0010143C" w14:paraId="4EEFE7BC" w14:textId="77777777" w:rsidTr="00456F86">
        <w:tc>
          <w:tcPr>
            <w:tcW w:w="3004" w:type="dxa"/>
          </w:tcPr>
          <w:p w14:paraId="312EC3E4" w14:textId="77777777" w:rsidR="0010143C" w:rsidRPr="00321DAA" w:rsidRDefault="0010143C" w:rsidP="00456F86">
            <w:pPr>
              <w:rPr>
                <w:rFonts w:ascii="Calibri" w:hAnsi="Calibri" w:cs="Calibri"/>
              </w:rPr>
            </w:pPr>
            <w:r w:rsidRPr="00321DAA">
              <w:rPr>
                <w:rFonts w:ascii="Calibri" w:hAnsi="Calibri" w:cs="Calibri"/>
              </w:rPr>
              <w:t xml:space="preserve">Title </w:t>
            </w:r>
          </w:p>
        </w:tc>
        <w:tc>
          <w:tcPr>
            <w:tcW w:w="3006" w:type="dxa"/>
          </w:tcPr>
          <w:p w14:paraId="6A1DC14B" w14:textId="77777777" w:rsidR="0010143C" w:rsidRDefault="0010143C" w:rsidP="00456F86">
            <w:pPr>
              <w:rPr>
                <w:rFonts w:ascii="Calibri" w:hAnsi="Calibri" w:cs="Calibri"/>
              </w:rPr>
            </w:pPr>
            <w:r w:rsidRPr="00321DAA">
              <w:rPr>
                <w:rFonts w:ascii="Calibri" w:hAnsi="Calibri" w:cs="Calibri"/>
              </w:rPr>
              <w:t>Factors determining change in pathways between childhood adversity and adult social, occupational and mental health outcomes: a systematic review and meta-analysis</w:t>
            </w:r>
          </w:p>
        </w:tc>
        <w:tc>
          <w:tcPr>
            <w:tcW w:w="3006" w:type="dxa"/>
          </w:tcPr>
          <w:p w14:paraId="128D39D2" w14:textId="77777777" w:rsidR="0010143C" w:rsidRPr="004F4A12" w:rsidRDefault="0010143C" w:rsidP="00456F86">
            <w:pPr>
              <w:rPr>
                <w:rFonts w:ascii="Calibri" w:hAnsi="Calibri" w:cs="Calibri"/>
                <w:b/>
                <w:highlight w:val="yellow"/>
              </w:rPr>
            </w:pPr>
            <w:r>
              <w:rPr>
                <w:rFonts w:ascii="Calibri" w:hAnsi="Calibri" w:cs="Calibri"/>
                <w:b/>
              </w:rPr>
              <w:t>Protective factors following</w:t>
            </w:r>
            <w:r w:rsidRPr="004F4A12">
              <w:rPr>
                <w:rFonts w:ascii="Calibri" w:hAnsi="Calibri" w:cs="Calibri"/>
                <w:b/>
              </w:rPr>
              <w:t xml:space="preserve"> cumulative childhood adversity</w:t>
            </w:r>
            <w:r w:rsidRPr="00F9380D">
              <w:rPr>
                <w:rFonts w:ascii="Calibri" w:hAnsi="Calibri" w:cs="Calibri"/>
              </w:rPr>
              <w:t>: A systematic review</w:t>
            </w:r>
          </w:p>
        </w:tc>
      </w:tr>
      <w:tr w:rsidR="0010143C" w14:paraId="62865383" w14:textId="77777777" w:rsidTr="00456F86">
        <w:tc>
          <w:tcPr>
            <w:tcW w:w="3004" w:type="dxa"/>
          </w:tcPr>
          <w:p w14:paraId="6499E4D9" w14:textId="77777777" w:rsidR="0010143C" w:rsidRDefault="0010143C" w:rsidP="00456F86">
            <w:pPr>
              <w:rPr>
                <w:rFonts w:ascii="Calibri" w:hAnsi="Calibri" w:cs="Calibri"/>
              </w:rPr>
            </w:pPr>
            <w:r>
              <w:rPr>
                <w:rFonts w:ascii="Calibri" w:hAnsi="Calibri" w:cs="Calibri"/>
              </w:rPr>
              <w:t>Review question</w:t>
            </w:r>
          </w:p>
        </w:tc>
        <w:tc>
          <w:tcPr>
            <w:tcW w:w="3006" w:type="dxa"/>
          </w:tcPr>
          <w:p w14:paraId="7EED3298" w14:textId="77777777" w:rsidR="0010143C" w:rsidRPr="00AD2BA4" w:rsidRDefault="0010143C" w:rsidP="00456F86">
            <w:pPr>
              <w:ind w:right="34"/>
            </w:pPr>
            <w:r w:rsidRPr="00AD2BA4">
              <w:t>What social, psychological and environmental factors are responsible for positive change in the relationship between cumulative childhood adversity and social, occupational and mental health functioning in adulthood?</w:t>
            </w:r>
          </w:p>
          <w:p w14:paraId="6CBAE248" w14:textId="77777777" w:rsidR="0010143C" w:rsidRDefault="0010143C" w:rsidP="00456F86">
            <w:pPr>
              <w:rPr>
                <w:rFonts w:ascii="Calibri" w:hAnsi="Calibri" w:cs="Calibri"/>
              </w:rPr>
            </w:pPr>
          </w:p>
        </w:tc>
        <w:tc>
          <w:tcPr>
            <w:tcW w:w="3006" w:type="dxa"/>
          </w:tcPr>
          <w:p w14:paraId="5887E81B" w14:textId="77777777" w:rsidR="0010143C" w:rsidRPr="00AD2BA4" w:rsidRDefault="0010143C" w:rsidP="00456F86">
            <w:pPr>
              <w:ind w:right="34"/>
            </w:pPr>
            <w:r w:rsidRPr="00AD2BA4">
              <w:t>What social, psychological and environmental factors are responsible for positive change in the relationship between cumulative childhood adversity and social, occupational and mental health</w:t>
            </w:r>
            <w:r>
              <w:t xml:space="preserve"> </w:t>
            </w:r>
            <w:r w:rsidRPr="003B0AC7">
              <w:rPr>
                <w:b/>
              </w:rPr>
              <w:t>and wellbeing</w:t>
            </w:r>
            <w:r w:rsidRPr="00AD2BA4">
              <w:t xml:space="preserve"> functioning in adulthood?</w:t>
            </w:r>
          </w:p>
          <w:p w14:paraId="70E028B3" w14:textId="77777777" w:rsidR="0010143C" w:rsidRDefault="0010143C" w:rsidP="00456F86">
            <w:pPr>
              <w:rPr>
                <w:rFonts w:ascii="Calibri" w:hAnsi="Calibri" w:cs="Calibri"/>
              </w:rPr>
            </w:pPr>
          </w:p>
        </w:tc>
      </w:tr>
      <w:tr w:rsidR="0010143C" w14:paraId="00E2DFDD" w14:textId="77777777" w:rsidTr="00456F86">
        <w:tc>
          <w:tcPr>
            <w:tcW w:w="3004" w:type="dxa"/>
          </w:tcPr>
          <w:p w14:paraId="563EA56D" w14:textId="77777777" w:rsidR="0010143C" w:rsidRDefault="0010143C" w:rsidP="00456F86">
            <w:pPr>
              <w:rPr>
                <w:rFonts w:ascii="Calibri" w:hAnsi="Calibri" w:cs="Calibri"/>
              </w:rPr>
            </w:pPr>
            <w:r>
              <w:rPr>
                <w:rFonts w:ascii="Calibri" w:hAnsi="Calibri" w:cs="Calibri"/>
              </w:rPr>
              <w:t>Condition or domain being studied</w:t>
            </w:r>
          </w:p>
        </w:tc>
        <w:tc>
          <w:tcPr>
            <w:tcW w:w="3006" w:type="dxa"/>
          </w:tcPr>
          <w:p w14:paraId="3C5D2276" w14:textId="77777777" w:rsidR="0010143C" w:rsidRPr="00C53061" w:rsidRDefault="0010143C" w:rsidP="00456F86">
            <w:pPr>
              <w:ind w:right="34"/>
            </w:pPr>
            <w:r>
              <w:t>The social, occupational and mental health outcomes of cumulative childhood adversity</w:t>
            </w:r>
          </w:p>
        </w:tc>
        <w:tc>
          <w:tcPr>
            <w:tcW w:w="3006" w:type="dxa"/>
          </w:tcPr>
          <w:p w14:paraId="5BFFD6DE" w14:textId="77777777" w:rsidR="0010143C" w:rsidRPr="00C53061" w:rsidRDefault="0010143C" w:rsidP="00456F86">
            <w:pPr>
              <w:ind w:right="34"/>
            </w:pPr>
            <w:r>
              <w:t xml:space="preserve">The social, occupational and mental health </w:t>
            </w:r>
            <w:r w:rsidRPr="003B0AC7">
              <w:rPr>
                <w:b/>
              </w:rPr>
              <w:t>and wellbeing</w:t>
            </w:r>
            <w:r>
              <w:t xml:space="preserve"> outcomes of cumulative childhood adversity</w:t>
            </w:r>
          </w:p>
        </w:tc>
      </w:tr>
      <w:tr w:rsidR="0010143C" w14:paraId="662BD5C3" w14:textId="77777777" w:rsidTr="00456F86">
        <w:tc>
          <w:tcPr>
            <w:tcW w:w="3004" w:type="dxa"/>
          </w:tcPr>
          <w:p w14:paraId="1AB2D344" w14:textId="77777777" w:rsidR="0010143C" w:rsidRDefault="0010143C" w:rsidP="00456F86">
            <w:pPr>
              <w:rPr>
                <w:rFonts w:ascii="Calibri" w:hAnsi="Calibri" w:cs="Calibri"/>
              </w:rPr>
            </w:pPr>
            <w:r>
              <w:rPr>
                <w:rFonts w:ascii="Calibri" w:hAnsi="Calibri" w:cs="Calibri"/>
              </w:rPr>
              <w:t>Participants/population</w:t>
            </w:r>
          </w:p>
        </w:tc>
        <w:tc>
          <w:tcPr>
            <w:tcW w:w="3006" w:type="dxa"/>
          </w:tcPr>
          <w:p w14:paraId="595F9119" w14:textId="77777777" w:rsidR="0010143C" w:rsidRPr="0097110A" w:rsidRDefault="0010143C" w:rsidP="00456F86">
            <w:pPr>
              <w:ind w:right="34"/>
            </w:pPr>
            <w:r w:rsidRPr="0097110A">
              <w:t xml:space="preserve">Inclusion: </w:t>
            </w:r>
            <w:r>
              <w:t>Human participants asked about childhood adversity occurring before they were 10 years of age,</w:t>
            </w:r>
            <w:r w:rsidRPr="0097110A">
              <w:t xml:space="preserve"> assessed using a validated measure of cumulative childhood adversity.</w:t>
            </w:r>
          </w:p>
          <w:p w14:paraId="424E56AB" w14:textId="77777777" w:rsidR="0010143C" w:rsidRDefault="0010143C" w:rsidP="00456F86">
            <w:pPr>
              <w:ind w:right="34"/>
            </w:pPr>
            <w:r w:rsidRPr="0097110A">
              <w:t xml:space="preserve">Exclusion: </w:t>
            </w:r>
            <w:r>
              <w:t>Animal population; p</w:t>
            </w:r>
            <w:r w:rsidRPr="0097110A">
              <w:t xml:space="preserve">articipants asked about childhood adversity occurring after age </w:t>
            </w:r>
            <w:r>
              <w:t>10;</w:t>
            </w:r>
            <w:r w:rsidRPr="0097110A">
              <w:t xml:space="preserve"> assessed using either a measure of a singular childhood adversity or a non-validated measure</w:t>
            </w:r>
            <w:r>
              <w:t xml:space="preserve">. </w:t>
            </w:r>
          </w:p>
          <w:p w14:paraId="525FB38A" w14:textId="77777777" w:rsidR="0010143C" w:rsidRDefault="0010143C" w:rsidP="00456F86">
            <w:pPr>
              <w:ind w:right="34"/>
            </w:pPr>
          </w:p>
        </w:tc>
        <w:tc>
          <w:tcPr>
            <w:tcW w:w="3006" w:type="dxa"/>
          </w:tcPr>
          <w:p w14:paraId="3C7791AB" w14:textId="77777777" w:rsidR="0010143C" w:rsidRPr="0097110A" w:rsidRDefault="0010143C" w:rsidP="00456F86">
            <w:pPr>
              <w:ind w:right="34"/>
            </w:pPr>
            <w:r w:rsidRPr="0097110A">
              <w:t xml:space="preserve">Inclusion: </w:t>
            </w:r>
            <w:r>
              <w:t xml:space="preserve">Human participants asked about </w:t>
            </w:r>
            <w:r w:rsidRPr="003B0AC7">
              <w:rPr>
                <w:b/>
              </w:rPr>
              <w:t xml:space="preserve">cumulative </w:t>
            </w:r>
            <w:r>
              <w:t>childhood adversity occurring before they were 10 years of age,</w:t>
            </w:r>
            <w:r w:rsidRPr="0097110A">
              <w:t xml:space="preserve"> assessed using a validated measure of cumulative childhood adversity.</w:t>
            </w:r>
          </w:p>
          <w:p w14:paraId="521C3379" w14:textId="77777777" w:rsidR="0010143C" w:rsidRDefault="0010143C" w:rsidP="00456F86">
            <w:pPr>
              <w:ind w:right="34"/>
            </w:pPr>
            <w:r w:rsidRPr="0097110A">
              <w:t xml:space="preserve">Exclusion: </w:t>
            </w:r>
            <w:r>
              <w:t>Animal population; p</w:t>
            </w:r>
            <w:r w:rsidRPr="0097110A">
              <w:t xml:space="preserve">articipants asked about childhood adversity occurring </w:t>
            </w:r>
            <w:r w:rsidRPr="003B0AC7">
              <w:rPr>
                <w:b/>
              </w:rPr>
              <w:t>only</w:t>
            </w:r>
            <w:r>
              <w:t xml:space="preserve"> </w:t>
            </w:r>
            <w:r w:rsidRPr="0097110A">
              <w:t xml:space="preserve">after age </w:t>
            </w:r>
            <w:r>
              <w:t>10;</w:t>
            </w:r>
            <w:r w:rsidRPr="0097110A">
              <w:t xml:space="preserve"> assessed using either a measure of a singular childhood adversity or </w:t>
            </w:r>
            <w:r w:rsidRPr="003B0AC7">
              <w:rPr>
                <w:b/>
              </w:rPr>
              <w:t>a measure that is deemed by researchers to be not valid.</w:t>
            </w:r>
          </w:p>
          <w:p w14:paraId="1EEF8772" w14:textId="77777777" w:rsidR="0010143C" w:rsidRDefault="0010143C" w:rsidP="00456F86">
            <w:pPr>
              <w:ind w:right="34"/>
            </w:pPr>
          </w:p>
        </w:tc>
      </w:tr>
      <w:tr w:rsidR="0010143C" w14:paraId="1E7F17BF" w14:textId="77777777" w:rsidTr="00456F86">
        <w:tc>
          <w:tcPr>
            <w:tcW w:w="3004" w:type="dxa"/>
          </w:tcPr>
          <w:p w14:paraId="3AB48044" w14:textId="77777777" w:rsidR="0010143C" w:rsidRDefault="0010143C" w:rsidP="00456F86">
            <w:pPr>
              <w:rPr>
                <w:rFonts w:ascii="Calibri" w:hAnsi="Calibri" w:cs="Calibri"/>
              </w:rPr>
            </w:pPr>
            <w:r>
              <w:rPr>
                <w:rFonts w:ascii="Calibri" w:hAnsi="Calibri" w:cs="Calibri"/>
              </w:rPr>
              <w:t>Intervention(s), exposure(s)</w:t>
            </w:r>
          </w:p>
        </w:tc>
        <w:tc>
          <w:tcPr>
            <w:tcW w:w="3006" w:type="dxa"/>
          </w:tcPr>
          <w:p w14:paraId="39A99628" w14:textId="77777777" w:rsidR="0010143C" w:rsidRPr="00D01CB0" w:rsidRDefault="0010143C" w:rsidP="00456F86">
            <w:pPr>
              <w:ind w:right="34"/>
            </w:pPr>
            <w:r w:rsidRPr="00D01CB0">
              <w:t xml:space="preserve">The exposure of interest is an intervening factor (such as a mediator or moderator) that is social, environmental, or psychological. This factor must have conferred statistically significant change on the </w:t>
            </w:r>
            <w:r>
              <w:lastRenderedPageBreak/>
              <w:t>pathway from childhood adversity</w:t>
            </w:r>
            <w:r w:rsidRPr="00D01CB0">
              <w:t xml:space="preserve"> towards a more favourable adult outcome. In other words, factors could have a negative relationship with an unfavourable outcome, or a positive relationship with a favourable outcome</w:t>
            </w:r>
            <w:r>
              <w:t xml:space="preserve">. This factor must be a validated measure that is social, psychological or environmental in focus. The exposure must have occurred after the predictor occurred, and before the outcome is measured. </w:t>
            </w:r>
          </w:p>
          <w:p w14:paraId="39F25420" w14:textId="77777777" w:rsidR="0010143C" w:rsidRPr="0097110A" w:rsidRDefault="0010143C" w:rsidP="00456F86">
            <w:pPr>
              <w:ind w:right="34"/>
            </w:pPr>
          </w:p>
        </w:tc>
        <w:tc>
          <w:tcPr>
            <w:tcW w:w="3006" w:type="dxa"/>
          </w:tcPr>
          <w:p w14:paraId="20921011" w14:textId="77777777" w:rsidR="0010143C" w:rsidRPr="0097110A" w:rsidRDefault="0010143C" w:rsidP="00456F86">
            <w:pPr>
              <w:ind w:right="34"/>
            </w:pPr>
            <w:r w:rsidRPr="003B0AC7">
              <w:lastRenderedPageBreak/>
              <w:t xml:space="preserve">The exposure of interest is an intervening factor (such as a mediator or moderator) that is social, environmental, or psychological. This factor must have conferred statistically significant change on the </w:t>
            </w:r>
            <w:r w:rsidRPr="003B0AC7">
              <w:lastRenderedPageBreak/>
              <w:t xml:space="preserve">pathway from </w:t>
            </w:r>
            <w:r w:rsidRPr="003B0AC7">
              <w:rPr>
                <w:b/>
              </w:rPr>
              <w:t>cumulative</w:t>
            </w:r>
            <w:r>
              <w:t xml:space="preserve"> childhood adversity </w:t>
            </w:r>
            <w:r w:rsidRPr="003B0AC7">
              <w:t>towards a more favourable adult outcome. In other words, factors could have a negative relationship with an unfavourable outcome, or a positive relationship with a favourable outcome. This factor must be a validated measure that is social, psychological or environmental in focus. The exposure must have occurred after the predictor occurred, and before the outcome is measured.</w:t>
            </w:r>
          </w:p>
        </w:tc>
      </w:tr>
      <w:tr w:rsidR="0010143C" w14:paraId="619722E3" w14:textId="77777777" w:rsidTr="00456F86">
        <w:tc>
          <w:tcPr>
            <w:tcW w:w="3004" w:type="dxa"/>
          </w:tcPr>
          <w:p w14:paraId="0CBEBD60" w14:textId="77777777" w:rsidR="0010143C" w:rsidRDefault="0010143C" w:rsidP="00456F86">
            <w:pPr>
              <w:rPr>
                <w:rFonts w:ascii="Calibri" w:hAnsi="Calibri" w:cs="Calibri"/>
              </w:rPr>
            </w:pPr>
            <w:r>
              <w:rPr>
                <w:rFonts w:ascii="Calibri" w:hAnsi="Calibri" w:cs="Calibri"/>
              </w:rPr>
              <w:lastRenderedPageBreak/>
              <w:t>Comparator(s)/control</w:t>
            </w:r>
          </w:p>
        </w:tc>
        <w:tc>
          <w:tcPr>
            <w:tcW w:w="3006" w:type="dxa"/>
          </w:tcPr>
          <w:p w14:paraId="0C73CE31" w14:textId="77777777" w:rsidR="0010143C" w:rsidRPr="00D01CB0" w:rsidRDefault="0010143C" w:rsidP="00456F86">
            <w:pPr>
              <w:ind w:right="34"/>
            </w:pPr>
            <w:r w:rsidRPr="003B0AC7">
              <w:t>Included studies will have compared a group that has experienced childhood adversity and who have been exposed to the intervening factor to a group that has experienced childhood adversity but has not been exposed to the intervening factor</w:t>
            </w:r>
          </w:p>
        </w:tc>
        <w:tc>
          <w:tcPr>
            <w:tcW w:w="3006" w:type="dxa"/>
          </w:tcPr>
          <w:p w14:paraId="51B9D7C3" w14:textId="77777777" w:rsidR="0010143C" w:rsidRPr="003B0AC7" w:rsidRDefault="0010143C" w:rsidP="00456F86">
            <w:pPr>
              <w:ind w:right="34"/>
            </w:pPr>
            <w:r w:rsidRPr="003B0AC7">
              <w:t>Included studies will have compared a group that has experienced</w:t>
            </w:r>
            <w:r>
              <w:t xml:space="preserve"> </w:t>
            </w:r>
            <w:r w:rsidRPr="003B0AC7">
              <w:rPr>
                <w:b/>
              </w:rPr>
              <w:t>cumulative</w:t>
            </w:r>
            <w:r w:rsidRPr="003B0AC7">
              <w:t xml:space="preserve"> childhood adversity and who have been exposed to the intervening factor to a group that has experienced </w:t>
            </w:r>
            <w:r w:rsidRPr="003B0AC7">
              <w:rPr>
                <w:b/>
              </w:rPr>
              <w:t>cumulative</w:t>
            </w:r>
            <w:r>
              <w:t xml:space="preserve"> </w:t>
            </w:r>
            <w:r w:rsidRPr="003B0AC7">
              <w:t>childhood adversity but has not been exposed to the intervening factor</w:t>
            </w:r>
          </w:p>
        </w:tc>
      </w:tr>
      <w:tr w:rsidR="0010143C" w14:paraId="426B567D" w14:textId="77777777" w:rsidTr="00456F86">
        <w:tc>
          <w:tcPr>
            <w:tcW w:w="3004" w:type="dxa"/>
          </w:tcPr>
          <w:p w14:paraId="7E225081" w14:textId="77777777" w:rsidR="0010143C" w:rsidRDefault="0010143C" w:rsidP="00456F86">
            <w:pPr>
              <w:rPr>
                <w:rFonts w:ascii="Calibri" w:hAnsi="Calibri" w:cs="Calibri"/>
              </w:rPr>
            </w:pPr>
            <w:r>
              <w:rPr>
                <w:rFonts w:ascii="Calibri" w:hAnsi="Calibri" w:cs="Calibri"/>
              </w:rPr>
              <w:t>Main outcome(s)</w:t>
            </w:r>
          </w:p>
        </w:tc>
        <w:tc>
          <w:tcPr>
            <w:tcW w:w="3006" w:type="dxa"/>
          </w:tcPr>
          <w:p w14:paraId="0577503D" w14:textId="77777777" w:rsidR="0010143C" w:rsidRPr="003B0AC7" w:rsidRDefault="0010143C" w:rsidP="00456F86">
            <w:pPr>
              <w:ind w:right="34"/>
            </w:pPr>
            <w:r w:rsidRPr="003B0AC7">
              <w:t>Validated measure (as described by the study’s authors) related to social or occupational functioning, or mental health measured after age 18.</w:t>
            </w:r>
          </w:p>
        </w:tc>
        <w:tc>
          <w:tcPr>
            <w:tcW w:w="3006" w:type="dxa"/>
          </w:tcPr>
          <w:p w14:paraId="4D4DF2E0" w14:textId="77777777" w:rsidR="0010143C" w:rsidRPr="003B0AC7" w:rsidRDefault="0010143C" w:rsidP="00456F86">
            <w:pPr>
              <w:ind w:right="34"/>
            </w:pPr>
            <w:r w:rsidRPr="0090134A">
              <w:rPr>
                <w:b/>
              </w:rPr>
              <w:t>Valid measure (as deemed by researchers)</w:t>
            </w:r>
            <w:r w:rsidRPr="003B0AC7">
              <w:t xml:space="preserve"> by the study’s authors) related to social or occupational functioning, or mental health </w:t>
            </w:r>
            <w:r w:rsidRPr="0090134A">
              <w:rPr>
                <w:b/>
              </w:rPr>
              <w:t>and wellbeing</w:t>
            </w:r>
            <w:r>
              <w:t xml:space="preserve"> </w:t>
            </w:r>
            <w:r w:rsidRPr="003B0AC7">
              <w:t>measured after age 18.</w:t>
            </w:r>
          </w:p>
        </w:tc>
      </w:tr>
      <w:tr w:rsidR="0010143C" w14:paraId="2ABC0694" w14:textId="77777777" w:rsidTr="00456F86">
        <w:tc>
          <w:tcPr>
            <w:tcW w:w="3004" w:type="dxa"/>
          </w:tcPr>
          <w:p w14:paraId="2AE1CE75" w14:textId="77777777" w:rsidR="0010143C" w:rsidRDefault="0010143C" w:rsidP="00456F86">
            <w:pPr>
              <w:rPr>
                <w:rFonts w:ascii="Calibri" w:hAnsi="Calibri" w:cs="Calibri"/>
              </w:rPr>
            </w:pPr>
            <w:r>
              <w:rPr>
                <w:rFonts w:ascii="Calibri" w:hAnsi="Calibri" w:cs="Calibri"/>
              </w:rPr>
              <w:t>Risk of bias assessment</w:t>
            </w:r>
          </w:p>
        </w:tc>
        <w:tc>
          <w:tcPr>
            <w:tcW w:w="3006" w:type="dxa"/>
          </w:tcPr>
          <w:p w14:paraId="33BA1833" w14:textId="77777777" w:rsidR="0010143C" w:rsidRDefault="0010143C" w:rsidP="00456F86">
            <w:pPr>
              <w:ind w:right="34"/>
            </w:pPr>
            <w:r w:rsidRPr="00C53061">
              <w:t xml:space="preserve">We will use the Risk of Bias in Non-randomised Studies – of Interventions (ROBINS-I) to assess the methodological quality and risk of bias in individual studies. Two reviewers will </w:t>
            </w:r>
            <w:r>
              <w:t xml:space="preserve">independently </w:t>
            </w:r>
            <w:r w:rsidRPr="00C53061">
              <w:t xml:space="preserve">answer the signalling questions for every paper included in the review, and compare answers. </w:t>
            </w:r>
            <w:r>
              <w:t>The quality of the review’s outcome will be measured using the GRADE checklist.</w:t>
            </w:r>
          </w:p>
          <w:p w14:paraId="053F3120" w14:textId="77777777" w:rsidR="0010143C" w:rsidRDefault="0010143C" w:rsidP="00456F86">
            <w:pPr>
              <w:ind w:right="34"/>
            </w:pPr>
            <w:r>
              <w:t xml:space="preserve">Two reviewers will independently apply the checklist criteria, and compare </w:t>
            </w:r>
            <w:r>
              <w:lastRenderedPageBreak/>
              <w:t xml:space="preserve">answers. If there are any discrepancies in reviewers’ decisions for the ROBINS-I or for the GRADE checklist, the reviewers will discuss their decision until an agreement can be made.  </w:t>
            </w:r>
            <w:r w:rsidRPr="00C53061">
              <w:t>If no decision can be agr</w:t>
            </w:r>
            <w:r>
              <w:t>eed upon, a third reviewer</w:t>
            </w:r>
            <w:r w:rsidRPr="00C53061">
              <w:t xml:space="preserve"> will be available for consultation to make the final decision.</w:t>
            </w:r>
            <w:r>
              <w:t xml:space="preserve"> The results of these assessments will be taken into account during the review process.</w:t>
            </w:r>
          </w:p>
          <w:p w14:paraId="644C4EDF" w14:textId="77777777" w:rsidR="0010143C" w:rsidRDefault="0010143C" w:rsidP="00456F86">
            <w:pPr>
              <w:rPr>
                <w:rFonts w:ascii="Calibri" w:hAnsi="Calibri" w:cs="Calibri"/>
              </w:rPr>
            </w:pPr>
          </w:p>
        </w:tc>
        <w:tc>
          <w:tcPr>
            <w:tcW w:w="3006" w:type="dxa"/>
          </w:tcPr>
          <w:p w14:paraId="5E7AAE55" w14:textId="77777777" w:rsidR="0010143C" w:rsidRDefault="0010143C" w:rsidP="00456F86">
            <w:pPr>
              <w:ind w:right="34"/>
            </w:pPr>
            <w:r w:rsidRPr="00C53061">
              <w:lastRenderedPageBreak/>
              <w:t>We will use the</w:t>
            </w:r>
            <w:r>
              <w:t xml:space="preserve"> </w:t>
            </w:r>
            <w:r w:rsidRPr="0090134A">
              <w:rPr>
                <w:b/>
              </w:rPr>
              <w:t>Methodological Standards for Epidemiological Research (MASTER)</w:t>
            </w:r>
            <w:r>
              <w:t xml:space="preserve"> </w:t>
            </w:r>
            <w:r w:rsidRPr="00C53061">
              <w:t xml:space="preserve">to assess the methodological quality and risk of bias in individual studies. Two reviewers will </w:t>
            </w:r>
            <w:r>
              <w:t xml:space="preserve">independently </w:t>
            </w:r>
            <w:r w:rsidRPr="00C53061">
              <w:t xml:space="preserve">answer the signalling questions for every paper included in the review, and compare answers. </w:t>
            </w:r>
            <w:r>
              <w:t>The quality of the review’s outcome will be measured using the GRADE checklist.</w:t>
            </w:r>
          </w:p>
          <w:p w14:paraId="237ECD3F" w14:textId="77777777" w:rsidR="0010143C" w:rsidRDefault="0010143C" w:rsidP="00456F86">
            <w:pPr>
              <w:ind w:right="34"/>
            </w:pPr>
            <w:r>
              <w:t xml:space="preserve">Two reviewers will independently apply the checklist criteria, and compare </w:t>
            </w:r>
            <w:r>
              <w:lastRenderedPageBreak/>
              <w:t xml:space="preserve">answers. If there are any discrepancies in reviewers’ decisions for the </w:t>
            </w:r>
            <w:r w:rsidRPr="0090134A">
              <w:rPr>
                <w:b/>
              </w:rPr>
              <w:t xml:space="preserve">MASTER </w:t>
            </w:r>
            <w:r>
              <w:t xml:space="preserve">or for the GRADE checklist, the reviewers will discuss their decision until an agreement can be made.  </w:t>
            </w:r>
            <w:r w:rsidRPr="00C53061">
              <w:t>If no decision can be agr</w:t>
            </w:r>
            <w:r>
              <w:t>eed upon, a third reviewer</w:t>
            </w:r>
            <w:r w:rsidRPr="00C53061">
              <w:t xml:space="preserve"> will be available for consultation to make the final decision.</w:t>
            </w:r>
            <w:r>
              <w:t xml:space="preserve"> The results of these assessments will be taken into account during the review process.</w:t>
            </w:r>
          </w:p>
          <w:p w14:paraId="52949F9C" w14:textId="77777777" w:rsidR="0010143C" w:rsidRDefault="0010143C" w:rsidP="00456F86">
            <w:pPr>
              <w:rPr>
                <w:rFonts w:ascii="Calibri" w:hAnsi="Calibri" w:cs="Calibri"/>
              </w:rPr>
            </w:pPr>
          </w:p>
        </w:tc>
      </w:tr>
      <w:tr w:rsidR="0010143C" w14:paraId="45F18676" w14:textId="77777777" w:rsidTr="00456F86">
        <w:tc>
          <w:tcPr>
            <w:tcW w:w="3004" w:type="dxa"/>
          </w:tcPr>
          <w:p w14:paraId="0A552C9E" w14:textId="77777777" w:rsidR="0010143C" w:rsidRDefault="0010143C" w:rsidP="00456F86">
            <w:pPr>
              <w:rPr>
                <w:rFonts w:ascii="Calibri" w:hAnsi="Calibri" w:cs="Calibri"/>
              </w:rPr>
            </w:pPr>
            <w:r>
              <w:rPr>
                <w:rFonts w:ascii="Calibri" w:hAnsi="Calibri" w:cs="Calibri"/>
              </w:rPr>
              <w:lastRenderedPageBreak/>
              <w:t>Strategy for data synthesis</w:t>
            </w:r>
          </w:p>
        </w:tc>
        <w:tc>
          <w:tcPr>
            <w:tcW w:w="3006" w:type="dxa"/>
          </w:tcPr>
          <w:p w14:paraId="009D5C81" w14:textId="77777777" w:rsidR="0010143C" w:rsidRPr="0001068A" w:rsidRDefault="0010143C" w:rsidP="00456F86">
            <w:pPr>
              <w:ind w:right="34"/>
            </w:pPr>
            <w:r w:rsidRPr="0001068A">
              <w:t>Separate analyses will be conducted for each domain of mediator as long as each has at least three papers</w:t>
            </w:r>
            <w:r>
              <w:t xml:space="preserve">. </w:t>
            </w:r>
            <w:r w:rsidRPr="0001068A">
              <w:t xml:space="preserve">Odds ratios (ORs) will be calculated for the results of each study, comparing the group who express the study’s target outcome depending on the exposure to the mediator. A pooled odds ratio will then be calculated as well as confidence intervals (CIs) at the 95 percent level to determine the likelihood that the observed effect is the true one. These will be summarised in a forest plot. Heterogeneity will be determined with a </w:t>
            </w:r>
            <w:r w:rsidRPr="0090134A">
              <w:t>χ²</w:t>
            </w:r>
            <w:r w:rsidRPr="0001068A">
              <w:t xml:space="preserve"> test in order to assess the statistical validity of combining the included studies in the analysis.</w:t>
            </w:r>
          </w:p>
          <w:p w14:paraId="2FF26FB2" w14:textId="77777777" w:rsidR="0010143C" w:rsidRDefault="0010143C" w:rsidP="00456F86">
            <w:pPr>
              <w:rPr>
                <w:rFonts w:ascii="Calibri" w:hAnsi="Calibri" w:cs="Calibri"/>
              </w:rPr>
            </w:pPr>
          </w:p>
        </w:tc>
        <w:tc>
          <w:tcPr>
            <w:tcW w:w="3006" w:type="dxa"/>
          </w:tcPr>
          <w:p w14:paraId="02B3C74D" w14:textId="77777777" w:rsidR="0010143C" w:rsidRPr="0090134A" w:rsidRDefault="0010143C" w:rsidP="00456F86">
            <w:pPr>
              <w:rPr>
                <w:rFonts w:ascii="Calibri" w:hAnsi="Calibri" w:cs="Calibri"/>
                <w:b/>
              </w:rPr>
            </w:pPr>
            <w:r w:rsidRPr="0090134A">
              <w:rPr>
                <w:rFonts w:ascii="Calibri" w:hAnsi="Calibri" w:cs="Calibri"/>
                <w:b/>
              </w:rPr>
              <w:t xml:space="preserve">A narrative </w:t>
            </w:r>
            <w:r>
              <w:rPr>
                <w:rFonts w:ascii="Calibri" w:hAnsi="Calibri" w:cs="Calibri"/>
                <w:b/>
              </w:rPr>
              <w:t>qualitative review will be</w:t>
            </w:r>
            <w:r w:rsidRPr="0090134A">
              <w:rPr>
                <w:rFonts w:ascii="Calibri" w:hAnsi="Calibri" w:cs="Calibri"/>
                <w:b/>
              </w:rPr>
              <w:t xml:space="preserve"> conducted separately for each domain of mediator. </w:t>
            </w:r>
          </w:p>
        </w:tc>
      </w:tr>
      <w:tr w:rsidR="0010143C" w14:paraId="4FF275CB" w14:textId="77777777" w:rsidTr="00456F86">
        <w:tc>
          <w:tcPr>
            <w:tcW w:w="3004" w:type="dxa"/>
          </w:tcPr>
          <w:p w14:paraId="5DC048E1" w14:textId="77777777" w:rsidR="0010143C" w:rsidRDefault="0010143C" w:rsidP="00456F86">
            <w:pPr>
              <w:rPr>
                <w:rFonts w:ascii="Calibri" w:hAnsi="Calibri" w:cs="Calibri"/>
              </w:rPr>
            </w:pPr>
            <w:r>
              <w:rPr>
                <w:rFonts w:ascii="Calibri" w:hAnsi="Calibri" w:cs="Calibri"/>
              </w:rPr>
              <w:t>Analysis of subgroups or subsets</w:t>
            </w:r>
          </w:p>
        </w:tc>
        <w:tc>
          <w:tcPr>
            <w:tcW w:w="3006" w:type="dxa"/>
          </w:tcPr>
          <w:p w14:paraId="34B8B708" w14:textId="77777777" w:rsidR="0010143C" w:rsidRDefault="0010143C" w:rsidP="00456F86">
            <w:pPr>
              <w:rPr>
                <w:rFonts w:ascii="Calibri" w:hAnsi="Calibri" w:cs="Calibri"/>
              </w:rPr>
            </w:pPr>
            <w:r w:rsidRPr="0090134A">
              <w:rPr>
                <w:rFonts w:ascii="Calibri" w:hAnsi="Calibri" w:cs="Calibri"/>
              </w:rPr>
              <w:t xml:space="preserve">Data will be synthesised based on four domains of intervening factor. These will be psychological factors, social factors, factors in the school environment and factors in the home environment. Separate analyses will be conducted for each domain. Sensitivity analyses will be performed for each domain. If a domain does not include results from three </w:t>
            </w:r>
            <w:r w:rsidRPr="0090134A">
              <w:rPr>
                <w:rFonts w:ascii="Calibri" w:hAnsi="Calibri" w:cs="Calibri"/>
              </w:rPr>
              <w:lastRenderedPageBreak/>
              <w:t>papers, or if the domains are no longer appropriate given the literature found, the domains will be reassessed. Any change will be declared in the results section of the review.</w:t>
            </w:r>
          </w:p>
        </w:tc>
        <w:tc>
          <w:tcPr>
            <w:tcW w:w="3006" w:type="dxa"/>
          </w:tcPr>
          <w:p w14:paraId="2D5278D6" w14:textId="77777777" w:rsidR="0010143C" w:rsidRDefault="0010143C" w:rsidP="00456F86">
            <w:pPr>
              <w:rPr>
                <w:rFonts w:ascii="Calibri" w:hAnsi="Calibri" w:cs="Calibri"/>
              </w:rPr>
            </w:pPr>
            <w:r>
              <w:rPr>
                <w:rFonts w:ascii="Calibri" w:hAnsi="Calibri" w:cs="Calibri"/>
              </w:rPr>
              <w:lastRenderedPageBreak/>
              <w:t xml:space="preserve">Data will be synthesised based on </w:t>
            </w:r>
            <w:r w:rsidRPr="0090134A">
              <w:rPr>
                <w:rFonts w:ascii="Calibri" w:hAnsi="Calibri" w:cs="Calibri"/>
                <w:b/>
              </w:rPr>
              <w:t xml:space="preserve">domains of mediators, determined by similarity of papers to one another. </w:t>
            </w:r>
          </w:p>
        </w:tc>
      </w:tr>
      <w:tr w:rsidR="0010143C" w14:paraId="69C7E272" w14:textId="77777777" w:rsidTr="00456F86">
        <w:tc>
          <w:tcPr>
            <w:tcW w:w="3004" w:type="dxa"/>
          </w:tcPr>
          <w:p w14:paraId="239DD499" w14:textId="77777777" w:rsidR="0010143C" w:rsidRDefault="0010143C" w:rsidP="00456F86">
            <w:pPr>
              <w:rPr>
                <w:rFonts w:ascii="Calibri" w:hAnsi="Calibri" w:cs="Calibri"/>
              </w:rPr>
            </w:pPr>
            <w:r>
              <w:rPr>
                <w:rFonts w:ascii="Calibri" w:hAnsi="Calibri" w:cs="Calibri"/>
              </w:rPr>
              <w:t>Type and method of review</w:t>
            </w:r>
          </w:p>
        </w:tc>
        <w:tc>
          <w:tcPr>
            <w:tcW w:w="3006" w:type="dxa"/>
          </w:tcPr>
          <w:p w14:paraId="78F1C1FA" w14:textId="77777777" w:rsidR="0010143C" w:rsidRDefault="0010143C" w:rsidP="00456F86">
            <w:pPr>
              <w:rPr>
                <w:rFonts w:ascii="Calibri" w:hAnsi="Calibri" w:cs="Calibri"/>
              </w:rPr>
            </w:pPr>
            <w:r w:rsidRPr="0090134A">
              <w:rPr>
                <w:rFonts w:ascii="Calibri" w:hAnsi="Calibri" w:cs="Calibri"/>
              </w:rPr>
              <w:t>Meta-analysis, Narrative synthesis, Systematic review</w:t>
            </w:r>
          </w:p>
        </w:tc>
        <w:tc>
          <w:tcPr>
            <w:tcW w:w="3006" w:type="dxa"/>
          </w:tcPr>
          <w:p w14:paraId="6DAB9033" w14:textId="77777777" w:rsidR="0010143C" w:rsidRDefault="0010143C" w:rsidP="00456F86">
            <w:pPr>
              <w:rPr>
                <w:rFonts w:ascii="Calibri" w:hAnsi="Calibri" w:cs="Calibri"/>
              </w:rPr>
            </w:pPr>
            <w:r w:rsidRPr="0090134A">
              <w:rPr>
                <w:rFonts w:ascii="Calibri" w:hAnsi="Calibri" w:cs="Calibri"/>
              </w:rPr>
              <w:t>Narrative synthesis, Systematic review</w:t>
            </w:r>
          </w:p>
        </w:tc>
      </w:tr>
    </w:tbl>
    <w:p w14:paraId="34471B3D" w14:textId="77777777" w:rsidR="0010143C" w:rsidRDefault="0010143C" w:rsidP="0010143C">
      <w:pPr>
        <w:rPr>
          <w:rFonts w:ascii="Calibri" w:hAnsi="Calibri" w:cs="Calibri"/>
        </w:rPr>
      </w:pPr>
    </w:p>
    <w:p w14:paraId="26ECB540" w14:textId="77777777" w:rsidR="0010143C" w:rsidRDefault="0010143C" w:rsidP="0010143C">
      <w:pPr>
        <w:rPr>
          <w:rFonts w:ascii="Calibri" w:hAnsi="Calibri" w:cs="Calibri"/>
        </w:rPr>
      </w:pPr>
    </w:p>
    <w:p w14:paraId="61F213AB" w14:textId="77777777" w:rsidR="0010143C" w:rsidRDefault="0010143C" w:rsidP="0010143C">
      <w:pPr>
        <w:rPr>
          <w:rFonts w:ascii="Calibri" w:hAnsi="Calibri" w:cs="Calibri"/>
        </w:rPr>
      </w:pPr>
    </w:p>
    <w:p w14:paraId="1EE96289" w14:textId="77777777" w:rsidR="0010143C" w:rsidRDefault="0010143C" w:rsidP="0010143C">
      <w:pPr>
        <w:rPr>
          <w:rFonts w:ascii="Calibri" w:hAnsi="Calibri" w:cs="Calibri"/>
        </w:rPr>
      </w:pPr>
      <w:r>
        <w:rPr>
          <w:rFonts w:ascii="Calibri" w:hAnsi="Calibri" w:cs="Calibri"/>
        </w:rPr>
        <w:br w:type="page"/>
      </w:r>
    </w:p>
    <w:p w14:paraId="7A75EC52" w14:textId="77777777" w:rsidR="0010143C" w:rsidRPr="0015643D" w:rsidRDefault="0010143C" w:rsidP="0010143C">
      <w:pPr>
        <w:ind w:left="720" w:hanging="720"/>
        <w:jc w:val="both"/>
        <w:rPr>
          <w:rFonts w:ascii="Calibri" w:hAnsi="Calibri" w:cs="Calibri"/>
        </w:rPr>
      </w:pPr>
      <w:r>
        <w:rPr>
          <w:rFonts w:ascii="Calibri" w:hAnsi="Calibri" w:cs="Calibri"/>
        </w:rPr>
        <w:lastRenderedPageBreak/>
        <w:t>Appendix B</w:t>
      </w:r>
      <w:r w:rsidRPr="0015643D">
        <w:rPr>
          <w:rFonts w:ascii="Calibri" w:hAnsi="Calibri" w:cs="Calibri"/>
        </w:rPr>
        <w:t xml:space="preserve"> – search strategies</w:t>
      </w:r>
    </w:p>
    <w:p w14:paraId="18F7FBBB" w14:textId="77777777" w:rsidR="0010143C" w:rsidRPr="0015643D" w:rsidRDefault="0010143C" w:rsidP="0010143C">
      <w:pPr>
        <w:ind w:left="720" w:hanging="720"/>
        <w:jc w:val="both"/>
        <w:rPr>
          <w:rFonts w:ascii="Calibri" w:hAnsi="Calibri" w:cs="Calibri"/>
        </w:rPr>
      </w:pPr>
    </w:p>
    <w:p w14:paraId="7C80E4CF" w14:textId="77777777" w:rsidR="0010143C" w:rsidRPr="0015643D" w:rsidRDefault="0010143C" w:rsidP="0010143C">
      <w:pPr>
        <w:ind w:left="720" w:hanging="720"/>
        <w:jc w:val="both"/>
        <w:rPr>
          <w:rFonts w:ascii="Calibri" w:hAnsi="Calibri" w:cs="Calibri"/>
        </w:rPr>
      </w:pPr>
      <w:r>
        <w:rPr>
          <w:rFonts w:ascii="Calibri" w:hAnsi="Calibri" w:cs="Calibri"/>
        </w:rPr>
        <w:t xml:space="preserve">Ovid </w:t>
      </w:r>
      <w:r w:rsidRPr="0015643D">
        <w:rPr>
          <w:rFonts w:ascii="Calibri" w:hAnsi="Calibri" w:cs="Calibri"/>
        </w:rPr>
        <w:t>M</w:t>
      </w:r>
      <w:r>
        <w:rPr>
          <w:rFonts w:ascii="Calibri" w:hAnsi="Calibri" w:cs="Calibri"/>
        </w:rPr>
        <w:t>edline</w:t>
      </w:r>
      <w:r w:rsidRPr="0015643D">
        <w:rPr>
          <w:rFonts w:ascii="Calibri" w:hAnsi="Calibri" w:cs="Calibri"/>
        </w:rPr>
        <w:t xml:space="preserve">: </w:t>
      </w:r>
      <w:r>
        <w:rPr>
          <w:rFonts w:ascii="Calibri" w:hAnsi="Calibri" w:cs="Calibri"/>
        </w:rPr>
        <w:t>824</w:t>
      </w:r>
      <w:r w:rsidRPr="0015643D">
        <w:rPr>
          <w:rFonts w:ascii="Calibri" w:hAnsi="Calibri" w:cs="Calibri"/>
        </w:rPr>
        <w:t xml:space="preserve"> results</w:t>
      </w:r>
    </w:p>
    <w:p w14:paraId="77D6DC05" w14:textId="77777777" w:rsidR="0010143C" w:rsidRPr="0015643D" w:rsidRDefault="0010143C" w:rsidP="0010143C">
      <w:pPr>
        <w:ind w:left="709" w:hanging="709"/>
        <w:jc w:val="both"/>
        <w:rPr>
          <w:rFonts w:ascii="Calibri" w:hAnsi="Calibri" w:cs="Calibri"/>
        </w:rPr>
      </w:pPr>
      <w:r w:rsidRPr="0015643D">
        <w:rPr>
          <w:rFonts w:ascii="Calibri" w:hAnsi="Calibri" w:cs="Calibri"/>
        </w:rPr>
        <w:t>((((((child abuse/ OR battered child syndrome/ OR adverse childhood experiences/ OR (child* adj2 (abus* or maltreat* or victim* or advers* or stress* or trauma* or struggl* or violen* or assault* or ((dysfunction* or toxic*) adj2 (famil* or hous* or upbringing or environment*)))).tw,kw,kf.) AND adult*.tw.) OR "adult survivors of child adverse events"/</w:t>
      </w:r>
      <w:r w:rsidRPr="0015643D">
        <w:rPr>
          <w:rFonts w:ascii="Calibri" w:hAnsi="Calibri" w:cs="Calibri"/>
        </w:rPr>
        <w:tab/>
        <w:t>OR "adult survivors of child abuse"/) AND (mechanism* or mediat* or process* or "structural equation model*" or path* or intervening).tw,kw,kf.) AND limit to english language) AND (cohort studies/ or longitudinal studies/ or prospective studies/ or cohort.ti,ab. or longitudinal.ti,ab. or prospective.ti,ab.) OR Epidemiologic Studies/))</w:t>
      </w:r>
      <w:r w:rsidRPr="0015643D">
        <w:rPr>
          <w:rFonts w:ascii="Calibri" w:hAnsi="Calibri" w:cs="Calibri"/>
        </w:rPr>
        <w:tab/>
      </w:r>
    </w:p>
    <w:p w14:paraId="08C3B1B8" w14:textId="77777777" w:rsidR="0010143C" w:rsidRPr="0015643D" w:rsidRDefault="0010143C" w:rsidP="0010143C">
      <w:pPr>
        <w:jc w:val="both"/>
        <w:rPr>
          <w:rFonts w:ascii="Calibri" w:hAnsi="Calibri" w:cs="Calibri"/>
        </w:rPr>
      </w:pPr>
      <w:r>
        <w:rPr>
          <w:rFonts w:ascii="Calibri" w:hAnsi="Calibri" w:cs="Calibri"/>
        </w:rPr>
        <w:t>Ovid APA PsycINFO: 865</w:t>
      </w:r>
      <w:r w:rsidRPr="0015643D">
        <w:rPr>
          <w:rFonts w:ascii="Calibri" w:hAnsi="Calibri" w:cs="Calibri"/>
        </w:rPr>
        <w:t xml:space="preserve"> results</w:t>
      </w:r>
    </w:p>
    <w:p w14:paraId="568583BC" w14:textId="77777777" w:rsidR="0010143C" w:rsidRPr="0015643D" w:rsidRDefault="0010143C" w:rsidP="0010143C">
      <w:pPr>
        <w:ind w:left="709" w:hanging="709"/>
        <w:jc w:val="both"/>
        <w:rPr>
          <w:rFonts w:ascii="Calibri" w:hAnsi="Calibri" w:cs="Calibri"/>
        </w:rPr>
      </w:pPr>
      <w:r w:rsidRPr="0015643D">
        <w:rPr>
          <w:rFonts w:ascii="Calibri" w:hAnsi="Calibri" w:cs="Calibri"/>
        </w:rPr>
        <w:t>(((((child abuse/ OR battered child syndrome/ OR Childhood Adversity/ OR (child* adj2 (abus* or maltreat* or victim* or advers* or stress* or trauma* or struggl* or violen* or assault* or ((dysfunction* or toxic*) adj2 (famil* or hous* or upbringing or environment*)))).ti,ab,id.) AND adult*.tw.) AND</w:t>
      </w:r>
      <w:r w:rsidRPr="0015643D">
        <w:rPr>
          <w:rFonts w:ascii="Calibri" w:hAnsi="Calibri" w:cs="Calibri"/>
        </w:rPr>
        <w:tab/>
        <w:t>(mechanism* or mediat* or process* or "structural equation model*" or path* or intervening).ti,ab,id.) AND limit to english language) AND ((cohort* or longitudinal or prospective*).ti,ab,id. or longitudinal study.md. or prospective study.md.) not "Literature Review".md.)</w:t>
      </w:r>
      <w:r w:rsidRPr="0015643D">
        <w:rPr>
          <w:rFonts w:ascii="Calibri" w:hAnsi="Calibri" w:cs="Calibri"/>
        </w:rPr>
        <w:tab/>
      </w:r>
    </w:p>
    <w:p w14:paraId="5B1B9D5C" w14:textId="77777777" w:rsidR="0010143C" w:rsidRPr="0015643D" w:rsidRDefault="0010143C" w:rsidP="0010143C">
      <w:pPr>
        <w:ind w:left="720" w:hanging="720"/>
        <w:jc w:val="both"/>
        <w:rPr>
          <w:rFonts w:ascii="Calibri" w:hAnsi="Calibri" w:cs="Calibri"/>
        </w:rPr>
      </w:pPr>
    </w:p>
    <w:p w14:paraId="4D70B900" w14:textId="77777777" w:rsidR="0010143C" w:rsidRPr="0015643D" w:rsidRDefault="0010143C" w:rsidP="0010143C">
      <w:pPr>
        <w:ind w:left="720" w:hanging="720"/>
        <w:jc w:val="both"/>
        <w:rPr>
          <w:rFonts w:ascii="Calibri" w:hAnsi="Calibri" w:cs="Calibri"/>
        </w:rPr>
      </w:pPr>
      <w:r w:rsidRPr="0015643D">
        <w:rPr>
          <w:rFonts w:ascii="Calibri" w:hAnsi="Calibri" w:cs="Calibri"/>
        </w:rPr>
        <w:t>Scopus: 1,191 results</w:t>
      </w:r>
    </w:p>
    <w:p w14:paraId="78760206" w14:textId="77777777" w:rsidR="0010143C" w:rsidRPr="0015643D" w:rsidRDefault="0010143C" w:rsidP="0010143C">
      <w:pPr>
        <w:ind w:left="720" w:hanging="720"/>
        <w:jc w:val="both"/>
        <w:rPr>
          <w:rFonts w:ascii="Calibri" w:hAnsi="Calibri" w:cs="Calibri"/>
        </w:rPr>
      </w:pPr>
      <w:r w:rsidRPr="0015643D">
        <w:rPr>
          <w:rFonts w:ascii="Calibri" w:hAnsi="Calibri" w:cs="Calibri"/>
        </w:rPr>
        <w:t>( ( ( KEY ( "adult survivor*" ) )  OR  ( ( TITLE-ABS-KEY ( ( child*  W/2  ( abus*  OR  maltreat*  OR  battered  OR  victim*  OR  advers*  OR  stress*  OR  trauma*  OR  struggl*  OR  violen*  OR  assault*  OR  ( ( dysfunction*  OR  toxic* )  W/2  ( famil*  OR  hous*  OR  upbringing  OR  environment* ) ) ) ) ) )  AND  ( ( TITLE ( adult* )  OR  ABS ( adult* ) ) ) ) )  AND  ( TITLE-ABS-KEY ( mechanism*  OR  mediat*  OR  process*  OR  "structural equation model*"  OR  path*  OR  intervening ) ) )  AND  ( ( TITLE-ABS-KEY ( cohort*  OR  longitudinal  OR  prospective ) )  OR  ( KEY ( "epidemiologic* stud*" ) ) )  AND  ( LIMIT-TO ( LANGUAGE ,  "English" ) )</w:t>
      </w:r>
    </w:p>
    <w:p w14:paraId="623895E4" w14:textId="77777777" w:rsidR="0010143C" w:rsidRPr="0015643D" w:rsidRDefault="0010143C" w:rsidP="0010143C">
      <w:pPr>
        <w:ind w:left="720" w:hanging="720"/>
        <w:jc w:val="both"/>
        <w:rPr>
          <w:rFonts w:ascii="Calibri" w:hAnsi="Calibri" w:cs="Calibri"/>
        </w:rPr>
      </w:pPr>
    </w:p>
    <w:p w14:paraId="2FDB3375" w14:textId="77777777" w:rsidR="0010143C" w:rsidRPr="0015643D" w:rsidRDefault="0010143C" w:rsidP="0010143C">
      <w:pPr>
        <w:ind w:left="720" w:hanging="720"/>
        <w:jc w:val="both"/>
        <w:rPr>
          <w:rFonts w:ascii="Calibri" w:hAnsi="Calibri" w:cs="Calibri"/>
        </w:rPr>
      </w:pPr>
      <w:r w:rsidRPr="0015643D">
        <w:rPr>
          <w:rFonts w:ascii="Calibri" w:hAnsi="Calibri" w:cs="Calibri"/>
        </w:rPr>
        <w:t>Web of Science</w:t>
      </w:r>
      <w:r>
        <w:rPr>
          <w:rFonts w:ascii="Calibri" w:hAnsi="Calibri" w:cs="Calibri"/>
        </w:rPr>
        <w:t xml:space="preserve"> Core Collection</w:t>
      </w:r>
      <w:r w:rsidRPr="0015643D">
        <w:rPr>
          <w:rFonts w:ascii="Calibri" w:hAnsi="Calibri" w:cs="Calibri"/>
        </w:rPr>
        <w:t>: 1,124 results with English Language filter applied</w:t>
      </w:r>
    </w:p>
    <w:p w14:paraId="0751CB00" w14:textId="77777777" w:rsidR="0010143C" w:rsidRPr="0015643D" w:rsidRDefault="0010143C" w:rsidP="0010143C">
      <w:pPr>
        <w:ind w:left="720" w:hanging="720"/>
        <w:jc w:val="both"/>
        <w:rPr>
          <w:rFonts w:ascii="Calibri" w:hAnsi="Calibri" w:cs="Calibri"/>
        </w:rPr>
      </w:pPr>
      <w:r w:rsidRPr="0015643D">
        <w:rPr>
          <w:rFonts w:ascii="Calibri" w:hAnsi="Calibri" w:cs="Calibri"/>
        </w:rPr>
        <w:t>((((TS=(child* NEAR/2 ( abus* OR maltreat* OR battered OR victim* OR advers* OR stress* OR trauma* OR struggl* OR violen* OR assault* OR ( ( dysfunction* OR toxic* ) NEAR/2 ( famil* OR hous* OR upbringing OR environment* )))) AND (TS=adult*)) OR (KP="adult survivor*" OR AK="adult survivor*")) AND TS=(mechanism* OR mediat* OR process* OR "structural equation model*" OR path* OR intervening ) ) AND (TS=(cohort* OR longitudinal OR prospective OR "epidemiologic* stud*")))</w:t>
      </w:r>
    </w:p>
    <w:p w14:paraId="67E57B04" w14:textId="77777777" w:rsidR="0010143C" w:rsidRDefault="0010143C" w:rsidP="0010143C">
      <w:pPr>
        <w:rPr>
          <w:rFonts w:ascii="Calibri" w:hAnsi="Calibri" w:cs="Calibri"/>
        </w:rPr>
        <w:sectPr w:rsidR="0010143C" w:rsidSect="00037A2C">
          <w:pgSz w:w="11906" w:h="16838"/>
          <w:pgMar w:top="1440" w:right="1440" w:bottom="1440" w:left="1440" w:header="708" w:footer="708" w:gutter="0"/>
          <w:cols w:space="708"/>
          <w:docGrid w:linePitch="360"/>
        </w:sectPr>
      </w:pPr>
      <w:r w:rsidRPr="0015643D">
        <w:rPr>
          <w:rFonts w:ascii="Calibri" w:hAnsi="Calibri" w:cs="Calibri"/>
        </w:rPr>
        <w:br w:type="page"/>
      </w:r>
    </w:p>
    <w:p w14:paraId="69AD353F" w14:textId="77777777" w:rsidR="0010143C" w:rsidRDefault="0010143C" w:rsidP="0010143C">
      <w:pPr>
        <w:rPr>
          <w:rFonts w:ascii="Calibri" w:hAnsi="Calibri" w:cs="Calibri"/>
        </w:rPr>
      </w:pPr>
      <w:r>
        <w:rPr>
          <w:rFonts w:ascii="Calibri" w:hAnsi="Calibri" w:cs="Calibri"/>
        </w:rPr>
        <w:lastRenderedPageBreak/>
        <w:t xml:space="preserve">Appendix C - MASTER scale and Interpretations </w:t>
      </w:r>
    </w:p>
    <w:p w14:paraId="34E0A833" w14:textId="77777777" w:rsidR="0010143C" w:rsidRDefault="0010143C" w:rsidP="0010143C">
      <w:pPr>
        <w:rPr>
          <w:rFonts w:ascii="Calibri" w:hAnsi="Calibri" w:cs="Calibri"/>
        </w:rPr>
      </w:pPr>
    </w:p>
    <w:tbl>
      <w:tblPr>
        <w:tblStyle w:val="TableGrid"/>
        <w:tblW w:w="0" w:type="auto"/>
        <w:tblLook w:val="04A0" w:firstRow="1" w:lastRow="0" w:firstColumn="1" w:lastColumn="0" w:noHBand="0" w:noVBand="1"/>
      </w:tblPr>
      <w:tblGrid>
        <w:gridCol w:w="6483"/>
        <w:gridCol w:w="6270"/>
        <w:gridCol w:w="1195"/>
      </w:tblGrid>
      <w:tr w:rsidR="0010143C" w14:paraId="3EDDE7C5" w14:textId="77777777" w:rsidTr="00456F86">
        <w:tc>
          <w:tcPr>
            <w:tcW w:w="6483" w:type="dxa"/>
          </w:tcPr>
          <w:p w14:paraId="29A17F1A" w14:textId="77777777" w:rsidR="0010143C" w:rsidRPr="000C3082" w:rsidRDefault="0010143C" w:rsidP="00456F86">
            <w:pPr>
              <w:rPr>
                <w:rFonts w:ascii="Calibri" w:hAnsi="Calibri" w:cs="Calibri"/>
                <w:b/>
              </w:rPr>
            </w:pPr>
            <w:r>
              <w:rPr>
                <w:rFonts w:ascii="Calibri" w:hAnsi="Calibri" w:cs="Calibri"/>
                <w:b/>
              </w:rPr>
              <w:t>Safeguard item</w:t>
            </w:r>
          </w:p>
        </w:tc>
        <w:tc>
          <w:tcPr>
            <w:tcW w:w="6270" w:type="dxa"/>
          </w:tcPr>
          <w:p w14:paraId="3395C25E" w14:textId="77777777" w:rsidR="0010143C" w:rsidRPr="000C3082" w:rsidRDefault="0010143C" w:rsidP="00456F86">
            <w:pPr>
              <w:rPr>
                <w:rFonts w:ascii="Calibri" w:hAnsi="Calibri" w:cs="Calibri"/>
              </w:rPr>
            </w:pPr>
            <w:r>
              <w:rPr>
                <w:rFonts w:ascii="Calibri" w:hAnsi="Calibri" w:cs="Calibri"/>
              </w:rPr>
              <w:t>Interpretation in the current review</w:t>
            </w:r>
          </w:p>
        </w:tc>
        <w:tc>
          <w:tcPr>
            <w:tcW w:w="1195" w:type="dxa"/>
          </w:tcPr>
          <w:p w14:paraId="134E534A" w14:textId="77777777" w:rsidR="0010143C" w:rsidRDefault="0010143C" w:rsidP="00456F86">
            <w:pPr>
              <w:rPr>
                <w:rFonts w:ascii="Calibri" w:hAnsi="Calibri" w:cs="Calibri"/>
              </w:rPr>
            </w:pPr>
            <w:r>
              <w:rPr>
                <w:rFonts w:ascii="Calibri" w:hAnsi="Calibri" w:cs="Calibri"/>
              </w:rPr>
              <w:t>No. papers met /28</w:t>
            </w:r>
          </w:p>
        </w:tc>
      </w:tr>
      <w:tr w:rsidR="0010143C" w14:paraId="68B6AF93" w14:textId="77777777" w:rsidTr="00456F86">
        <w:tc>
          <w:tcPr>
            <w:tcW w:w="6483" w:type="dxa"/>
          </w:tcPr>
          <w:p w14:paraId="621138A5" w14:textId="77777777" w:rsidR="0010143C" w:rsidRPr="000C3082" w:rsidRDefault="0010143C" w:rsidP="00456F86">
            <w:pPr>
              <w:rPr>
                <w:rFonts w:ascii="Calibri" w:hAnsi="Calibri" w:cs="Calibri"/>
                <w:b/>
              </w:rPr>
            </w:pPr>
            <w:r w:rsidRPr="000C3082">
              <w:rPr>
                <w:rFonts w:ascii="Calibri" w:hAnsi="Calibri" w:cs="Calibri"/>
                <w:b/>
              </w:rPr>
              <w:t>Format Recruitment</w:t>
            </w:r>
          </w:p>
        </w:tc>
        <w:tc>
          <w:tcPr>
            <w:tcW w:w="6270" w:type="dxa"/>
          </w:tcPr>
          <w:p w14:paraId="49B7081A" w14:textId="77777777" w:rsidR="0010143C" w:rsidRPr="000C3082" w:rsidRDefault="0010143C" w:rsidP="00456F86">
            <w:pPr>
              <w:rPr>
                <w:rFonts w:ascii="Calibri" w:hAnsi="Calibri" w:cs="Calibri"/>
              </w:rPr>
            </w:pPr>
          </w:p>
        </w:tc>
        <w:tc>
          <w:tcPr>
            <w:tcW w:w="1195" w:type="dxa"/>
          </w:tcPr>
          <w:p w14:paraId="0DBEB872" w14:textId="77777777" w:rsidR="0010143C" w:rsidRPr="000C3082" w:rsidRDefault="0010143C" w:rsidP="00456F86">
            <w:pPr>
              <w:rPr>
                <w:rFonts w:ascii="Calibri" w:hAnsi="Calibri" w:cs="Calibri"/>
              </w:rPr>
            </w:pPr>
          </w:p>
        </w:tc>
      </w:tr>
      <w:tr w:rsidR="0010143C" w14:paraId="4AB91CC9" w14:textId="77777777" w:rsidTr="00456F86">
        <w:tc>
          <w:tcPr>
            <w:tcW w:w="6483" w:type="dxa"/>
          </w:tcPr>
          <w:p w14:paraId="437A8327"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1. Data collected after the start of the study was not used to exclude participants or to select them into the analysis</w:t>
            </w:r>
          </w:p>
          <w:p w14:paraId="4E064675"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applies to all analytic study designs and is considered present if there was no further selection (or exclusions) of participants after the start of the study (as defined by study authors) or if there was evidence that any selection that occurred after the start of the study was unrelated to the intervention and development of the outcome. For example, if BMI was recorded after the start of a study on GDM and women were excluded based on a BMI cut-off this safeguard would be considered absent.</w:t>
            </w:r>
          </w:p>
          <w:p w14:paraId="61C9E7CB" w14:textId="77777777" w:rsidR="0010143C" w:rsidRPr="00400596" w:rsidRDefault="0010143C" w:rsidP="00456F86">
            <w:pPr>
              <w:shd w:val="clear" w:color="auto" w:fill="FFFFFF"/>
              <w:rPr>
                <w:rFonts w:ascii="Arial" w:eastAsia="Times New Roman" w:hAnsi="Arial" w:cs="Arial"/>
                <w:color w:val="222222"/>
                <w:lang w:eastAsia="en-NZ"/>
              </w:rPr>
            </w:pPr>
          </w:p>
        </w:tc>
        <w:tc>
          <w:tcPr>
            <w:tcW w:w="6270" w:type="dxa"/>
          </w:tcPr>
          <w:p w14:paraId="19CE492A" w14:textId="77777777" w:rsidR="0010143C" w:rsidRPr="00400596"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 xml:space="preserve">This safeguard was unmet if there was </w:t>
            </w:r>
            <w:r w:rsidRPr="000C3082">
              <w:rPr>
                <w:rFonts w:ascii="Arial" w:eastAsia="Times New Roman" w:hAnsi="Arial" w:cs="Arial"/>
                <w:color w:val="222222"/>
                <w:lang w:eastAsia="en-NZ"/>
              </w:rPr>
              <w:t xml:space="preserve">unreasonable exclusion/inclusion which </w:t>
            </w:r>
            <w:r>
              <w:rPr>
                <w:rFonts w:ascii="Arial" w:eastAsia="Times New Roman" w:hAnsi="Arial" w:cs="Arial"/>
                <w:color w:val="222222"/>
                <w:lang w:eastAsia="en-NZ"/>
              </w:rPr>
              <w:t>wa</w:t>
            </w:r>
            <w:r w:rsidRPr="000C3082">
              <w:rPr>
                <w:rFonts w:ascii="Arial" w:eastAsia="Times New Roman" w:hAnsi="Arial" w:cs="Arial"/>
                <w:color w:val="222222"/>
                <w:lang w:eastAsia="en-NZ"/>
              </w:rPr>
              <w:t>s</w:t>
            </w:r>
            <w:r>
              <w:rPr>
                <w:rFonts w:ascii="Arial" w:eastAsia="Times New Roman" w:hAnsi="Arial" w:cs="Arial"/>
                <w:color w:val="222222"/>
                <w:lang w:eastAsia="en-NZ"/>
              </w:rPr>
              <w:t xml:space="preserve"> unrelated to the mediator</w:t>
            </w:r>
            <w:r w:rsidRPr="000C3082">
              <w:rPr>
                <w:rFonts w:ascii="Arial" w:eastAsia="Times New Roman" w:hAnsi="Arial" w:cs="Arial"/>
                <w:color w:val="222222"/>
                <w:lang w:eastAsia="en-NZ"/>
              </w:rPr>
              <w:t xml:space="preserve"> or outcome, unless this is part of the research question.</w:t>
            </w:r>
            <w:r>
              <w:rPr>
                <w:rFonts w:ascii="Arial" w:eastAsia="Times New Roman" w:hAnsi="Arial" w:cs="Arial"/>
                <w:color w:val="222222"/>
                <w:lang w:eastAsia="en-NZ"/>
              </w:rPr>
              <w:t xml:space="preserve"> It was also unmet if there was a protocol change or decision part way into the analysis to exclude certain groups.</w:t>
            </w:r>
          </w:p>
        </w:tc>
        <w:tc>
          <w:tcPr>
            <w:tcW w:w="1195" w:type="dxa"/>
          </w:tcPr>
          <w:p w14:paraId="19D991BF"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26</w:t>
            </w:r>
          </w:p>
        </w:tc>
      </w:tr>
      <w:tr w:rsidR="0010143C" w14:paraId="772DA45F" w14:textId="77777777" w:rsidTr="00456F86">
        <w:tc>
          <w:tcPr>
            <w:tcW w:w="6483" w:type="dxa"/>
          </w:tcPr>
          <w:p w14:paraId="3A92210A"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2. Participants in all comparison groups met the same eligibility requirements and were from the same population and timeframe</w:t>
            </w:r>
          </w:p>
          <w:p w14:paraId="130A4431"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participants across all groups were recruited from the same population and within the same timeframe and could meet the same eligibility requirements. If there were contrived comparison groups, this safeguard is absent. Case-control studies with a clear primary or secondary study base from which eligible participants are then recruited are deemed to have met this safeguard. A randomized controlled trial design automatically means this safeguard is present.</w:t>
            </w:r>
          </w:p>
          <w:p w14:paraId="0BE6D130" w14:textId="77777777" w:rsidR="0010143C" w:rsidRPr="000C3082" w:rsidRDefault="0010143C" w:rsidP="00456F86">
            <w:pPr>
              <w:rPr>
                <w:rFonts w:ascii="Calibri" w:hAnsi="Calibri" w:cs="Calibri"/>
              </w:rPr>
            </w:pPr>
          </w:p>
        </w:tc>
        <w:tc>
          <w:tcPr>
            <w:tcW w:w="6270" w:type="dxa"/>
          </w:tcPr>
          <w:p w14:paraId="30F3D98F"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 xml:space="preserve">This safeguard was unmet if </w:t>
            </w:r>
            <w:r w:rsidRPr="000C3082">
              <w:rPr>
                <w:rFonts w:ascii="Arial" w:eastAsia="Times New Roman" w:hAnsi="Arial" w:cs="Arial"/>
                <w:color w:val="222222"/>
                <w:lang w:eastAsia="en-NZ"/>
              </w:rPr>
              <w:t xml:space="preserve">there were different criteria depending on </w:t>
            </w:r>
            <w:r>
              <w:rPr>
                <w:rFonts w:ascii="Arial" w:eastAsia="Times New Roman" w:hAnsi="Arial" w:cs="Arial"/>
                <w:color w:val="222222"/>
                <w:lang w:eastAsia="en-NZ"/>
              </w:rPr>
              <w:t>the level of the mediator</w:t>
            </w:r>
            <w:r w:rsidRPr="000C3082">
              <w:rPr>
                <w:rFonts w:ascii="Arial" w:eastAsia="Times New Roman" w:hAnsi="Arial" w:cs="Arial"/>
                <w:color w:val="222222"/>
                <w:lang w:eastAsia="en-NZ"/>
              </w:rPr>
              <w:t xml:space="preserve">. </w:t>
            </w:r>
          </w:p>
          <w:p w14:paraId="15EE027E"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This safeguard was met for cohort studies with continuous variables as mediators (i.e. without ‘intervention’ groups).</w:t>
            </w:r>
          </w:p>
          <w:p w14:paraId="66E25072" w14:textId="77777777" w:rsidR="0010143C" w:rsidRPr="000C3082" w:rsidRDefault="0010143C" w:rsidP="00456F86">
            <w:pPr>
              <w:shd w:val="clear" w:color="auto" w:fill="FFFFFF"/>
              <w:rPr>
                <w:rFonts w:ascii="Calibri" w:hAnsi="Calibri" w:cs="Calibri"/>
              </w:rPr>
            </w:pPr>
          </w:p>
        </w:tc>
        <w:tc>
          <w:tcPr>
            <w:tcW w:w="1195" w:type="dxa"/>
          </w:tcPr>
          <w:p w14:paraId="133519DB"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28</w:t>
            </w:r>
          </w:p>
        </w:tc>
      </w:tr>
      <w:tr w:rsidR="0010143C" w14:paraId="684DD862" w14:textId="77777777" w:rsidTr="00456F86">
        <w:tc>
          <w:tcPr>
            <w:tcW w:w="6483" w:type="dxa"/>
          </w:tcPr>
          <w:p w14:paraId="2D07CB19"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3. Determination of eligibility and assignment to treatment group/ exposure strategy were synchronized</w:t>
            </w:r>
          </w:p>
          <w:p w14:paraId="1F0737DB"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lastRenderedPageBreak/>
              <w:t>This safeguard is considered present if the start of follow-up coincides with both determination of eligibility criteria and with participant assignment to intervention / exposure and control groups. In addition, this process must have been similar for all participants. This safeguard may be considered absent in observational studies where determination of eligibility can be at the start of follow-up, but the treatment/ exposure could have been assigned a) before or b) after the start of follow-up. An example is a) participants on medication who continue using at the start of follow-up or b) participant not previously using medication that start using some time after the start of follow-up. Two other problems involve moving eligibility before assignment (in example a) or moving eligibility after assignment (in example b). All four problems mean that this safeguard is absent. This safeguard is considered present if the study design is a randomized controlled trial.</w:t>
            </w:r>
          </w:p>
          <w:p w14:paraId="72F681C1" w14:textId="77777777" w:rsidR="0010143C" w:rsidRPr="000C3082" w:rsidRDefault="0010143C" w:rsidP="00456F86">
            <w:pPr>
              <w:rPr>
                <w:rFonts w:ascii="Calibri" w:hAnsi="Calibri" w:cs="Calibri"/>
              </w:rPr>
            </w:pPr>
          </w:p>
        </w:tc>
        <w:tc>
          <w:tcPr>
            <w:tcW w:w="6270" w:type="dxa"/>
          </w:tcPr>
          <w:p w14:paraId="75DCC7F7" w14:textId="77777777" w:rsidR="0010143C" w:rsidRPr="000C3082" w:rsidRDefault="0010143C" w:rsidP="00456F86">
            <w:pPr>
              <w:rPr>
                <w:rFonts w:ascii="Calibri" w:hAnsi="Calibri" w:cs="Calibri"/>
              </w:rPr>
            </w:pPr>
            <w:r>
              <w:rPr>
                <w:rFonts w:ascii="Arial" w:eastAsia="Times New Roman" w:hAnsi="Arial" w:cs="Arial"/>
                <w:color w:val="222222"/>
                <w:lang w:eastAsia="en-NZ"/>
              </w:rPr>
              <w:lastRenderedPageBreak/>
              <w:t>This safeguard was not applicable, and was always unmet.</w:t>
            </w:r>
          </w:p>
        </w:tc>
        <w:tc>
          <w:tcPr>
            <w:tcW w:w="1195" w:type="dxa"/>
          </w:tcPr>
          <w:p w14:paraId="31F03C80"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0</w:t>
            </w:r>
          </w:p>
        </w:tc>
      </w:tr>
      <w:tr w:rsidR="0010143C" w14:paraId="4AEE5548" w14:textId="77777777" w:rsidTr="00456F86">
        <w:tc>
          <w:tcPr>
            <w:tcW w:w="6483" w:type="dxa"/>
          </w:tcPr>
          <w:p w14:paraId="0D73184C"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4. None of the eligibility criteria were common effects of exposure and outcome</w:t>
            </w:r>
          </w:p>
          <w:p w14:paraId="1377D648"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absent if both the exposure and the outcome are a cause of any of the variables considered in the eligibility of participants. For example, if the exposure and outcome can both modulate the eligibility criterion then this should not have been an inclusion or an exclusion variable (such as demographics like education or a medical condition or even a medical status such as hospitalization). A specific example of this may be selecting on case status,</w:t>
            </w:r>
          </w:p>
          <w:p w14:paraId="7764443F" w14:textId="77777777" w:rsidR="0010143C" w:rsidRPr="000C3082" w:rsidRDefault="0010143C" w:rsidP="00456F86">
            <w:pPr>
              <w:rPr>
                <w:rFonts w:ascii="Calibri" w:hAnsi="Calibri" w:cs="Calibri"/>
              </w:rPr>
            </w:pPr>
            <w:r w:rsidRPr="000C3082">
              <w:rPr>
                <w:rFonts w:ascii="Arial" w:eastAsia="Times New Roman" w:hAnsi="Arial" w:cs="Arial"/>
                <w:color w:val="222222"/>
                <w:lang w:eastAsia="en-NZ"/>
              </w:rPr>
              <w:t>such as diabetes, which will induce an association between exposure (family history) and outcome (obesity). Only one of exposure or outcome being a modulator of the criterion means that the safeguard is still present</w:t>
            </w:r>
          </w:p>
        </w:tc>
        <w:tc>
          <w:tcPr>
            <w:tcW w:w="6270" w:type="dxa"/>
          </w:tcPr>
          <w:p w14:paraId="5C9B18A6"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 xml:space="preserve">This </w:t>
            </w:r>
            <w:r>
              <w:rPr>
                <w:rFonts w:ascii="Arial" w:eastAsia="Times New Roman" w:hAnsi="Arial" w:cs="Arial"/>
                <w:color w:val="222222"/>
                <w:lang w:eastAsia="en-NZ"/>
              </w:rPr>
              <w:t>safeguard was met unless</w:t>
            </w:r>
            <w:r w:rsidRPr="000C3082">
              <w:rPr>
                <w:rFonts w:ascii="Arial" w:eastAsia="Times New Roman" w:hAnsi="Arial" w:cs="Arial"/>
                <w:color w:val="222222"/>
                <w:lang w:eastAsia="en-NZ"/>
              </w:rPr>
              <w:t xml:space="preserve"> they excluded based on </w:t>
            </w:r>
            <w:r>
              <w:rPr>
                <w:rFonts w:ascii="Arial" w:eastAsia="Times New Roman" w:hAnsi="Arial" w:cs="Arial"/>
                <w:color w:val="222222"/>
                <w:lang w:eastAsia="en-NZ"/>
              </w:rPr>
              <w:t>a factor</w:t>
            </w:r>
            <w:r w:rsidRPr="000C3082">
              <w:rPr>
                <w:rFonts w:ascii="Arial" w:eastAsia="Times New Roman" w:hAnsi="Arial" w:cs="Arial"/>
                <w:color w:val="222222"/>
                <w:lang w:eastAsia="en-NZ"/>
              </w:rPr>
              <w:t xml:space="preserve"> that is an effect of both the predictor and outcome</w:t>
            </w:r>
            <w:r>
              <w:rPr>
                <w:rFonts w:ascii="Arial" w:eastAsia="Times New Roman" w:hAnsi="Arial" w:cs="Arial"/>
                <w:color w:val="222222"/>
                <w:lang w:eastAsia="en-NZ"/>
              </w:rPr>
              <w:t>.</w:t>
            </w:r>
          </w:p>
          <w:p w14:paraId="450D8A92" w14:textId="77777777" w:rsidR="0010143C" w:rsidRPr="000C3082" w:rsidRDefault="0010143C" w:rsidP="00456F86">
            <w:pPr>
              <w:rPr>
                <w:rFonts w:ascii="Calibri" w:hAnsi="Calibri" w:cs="Calibri"/>
              </w:rPr>
            </w:pPr>
          </w:p>
        </w:tc>
        <w:tc>
          <w:tcPr>
            <w:tcW w:w="1195" w:type="dxa"/>
          </w:tcPr>
          <w:p w14:paraId="3389DCF4"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25</w:t>
            </w:r>
          </w:p>
        </w:tc>
      </w:tr>
      <w:tr w:rsidR="0010143C" w14:paraId="5C86F036" w14:textId="77777777" w:rsidTr="00456F86">
        <w:tc>
          <w:tcPr>
            <w:tcW w:w="6483" w:type="dxa"/>
          </w:tcPr>
          <w:p w14:paraId="344A806D" w14:textId="77777777" w:rsidR="0010143C" w:rsidRPr="000C3082" w:rsidRDefault="0010143C" w:rsidP="00456F86">
            <w:pPr>
              <w:rPr>
                <w:rFonts w:ascii="Calibri" w:hAnsi="Calibri" w:cs="Calibri"/>
              </w:rPr>
            </w:pPr>
            <w:r w:rsidRPr="000C3082">
              <w:rPr>
                <w:rFonts w:ascii="Calibri" w:hAnsi="Calibri" w:cs="Calibri"/>
              </w:rPr>
              <w:t>Equal Retention</w:t>
            </w:r>
          </w:p>
        </w:tc>
        <w:tc>
          <w:tcPr>
            <w:tcW w:w="6270" w:type="dxa"/>
          </w:tcPr>
          <w:p w14:paraId="292DA433" w14:textId="77777777" w:rsidR="0010143C" w:rsidRPr="000C3082" w:rsidRDefault="0010143C" w:rsidP="00456F86">
            <w:pPr>
              <w:rPr>
                <w:rFonts w:ascii="Calibri" w:hAnsi="Calibri" w:cs="Calibri"/>
              </w:rPr>
            </w:pPr>
          </w:p>
        </w:tc>
        <w:tc>
          <w:tcPr>
            <w:tcW w:w="1195" w:type="dxa"/>
          </w:tcPr>
          <w:p w14:paraId="570100C2" w14:textId="77777777" w:rsidR="0010143C" w:rsidRPr="000C3082" w:rsidRDefault="0010143C" w:rsidP="00456F86">
            <w:pPr>
              <w:rPr>
                <w:rFonts w:ascii="Calibri" w:hAnsi="Calibri" w:cs="Calibri"/>
              </w:rPr>
            </w:pPr>
          </w:p>
        </w:tc>
      </w:tr>
      <w:tr w:rsidR="0010143C" w14:paraId="749DAF0D" w14:textId="77777777" w:rsidTr="00456F86">
        <w:tc>
          <w:tcPr>
            <w:tcW w:w="6483" w:type="dxa"/>
          </w:tcPr>
          <w:p w14:paraId="3FBA2A5F" w14:textId="77777777" w:rsidR="0010143C" w:rsidRPr="000C3082" w:rsidRDefault="0010143C" w:rsidP="00456F86">
            <w:pPr>
              <w:shd w:val="clear" w:color="auto" w:fill="FFFFFF"/>
              <w:rPr>
                <w:rFonts w:ascii="Arial" w:eastAsia="Times New Roman" w:hAnsi="Arial" w:cs="Arial"/>
                <w:b/>
                <w:color w:val="222222"/>
                <w:lang w:eastAsia="en-NZ"/>
              </w:rPr>
            </w:pPr>
            <w:r w:rsidRPr="000C3082">
              <w:rPr>
                <w:rFonts w:ascii="Arial" w:eastAsia="Times New Roman" w:hAnsi="Arial" w:cs="Arial"/>
                <w:b/>
                <w:color w:val="222222"/>
                <w:lang w:eastAsia="en-NZ"/>
              </w:rPr>
              <w:t>5. Any attrition (or exclusions after entry) was less than 20% of total participant numbers</w:t>
            </w:r>
          </w:p>
          <w:p w14:paraId="63F867C9"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lastRenderedPageBreak/>
              <w:t>This safeguard is considered present if a study reports loss to follow-up of less than 20% and this is verified through examination of the text, flow-charts, tables and figures. Note that equality of treatment rates is not enough to safeguard against attrition (the attritors might still be selected differently in the two groups), nor differential response rates more likely to cause bias (attrition may still be unrelated to the outcome of interest) and therefore this safeguard refers to total attrition only being less than 20% of total participant numbers.</w:t>
            </w:r>
          </w:p>
          <w:p w14:paraId="4BB26BBA" w14:textId="77777777" w:rsidR="0010143C" w:rsidRPr="000C3082" w:rsidRDefault="0010143C" w:rsidP="00456F86">
            <w:pPr>
              <w:rPr>
                <w:rFonts w:ascii="Calibri" w:hAnsi="Calibri" w:cs="Calibri"/>
              </w:rPr>
            </w:pPr>
          </w:p>
        </w:tc>
        <w:tc>
          <w:tcPr>
            <w:tcW w:w="6270" w:type="dxa"/>
          </w:tcPr>
          <w:p w14:paraId="16DB9304" w14:textId="77777777" w:rsidR="0010143C" w:rsidRPr="000C3082"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lastRenderedPageBreak/>
              <w:t>This safeguard was met if the a</w:t>
            </w:r>
            <w:r w:rsidRPr="000C3082">
              <w:rPr>
                <w:rFonts w:ascii="Arial" w:eastAsia="Times New Roman" w:hAnsi="Arial" w:cs="Arial"/>
                <w:color w:val="222222"/>
                <w:lang w:eastAsia="en-NZ"/>
              </w:rPr>
              <w:t xml:space="preserve">ttritted sample </w:t>
            </w:r>
            <w:r>
              <w:rPr>
                <w:rFonts w:ascii="Arial" w:eastAsia="Times New Roman" w:hAnsi="Arial" w:cs="Arial"/>
                <w:color w:val="222222"/>
                <w:lang w:eastAsia="en-NZ"/>
              </w:rPr>
              <w:t xml:space="preserve">was </w:t>
            </w:r>
            <w:r w:rsidRPr="000C3082">
              <w:rPr>
                <w:rFonts w:ascii="Arial" w:eastAsia="Times New Roman" w:hAnsi="Arial" w:cs="Arial"/>
                <w:color w:val="222222"/>
                <w:lang w:eastAsia="en-NZ"/>
              </w:rPr>
              <w:t xml:space="preserve">less than 20% (i.e. retained sample at least 80%). If </w:t>
            </w:r>
            <w:r>
              <w:rPr>
                <w:rFonts w:ascii="Arial" w:eastAsia="Times New Roman" w:hAnsi="Arial" w:cs="Arial"/>
                <w:color w:val="222222"/>
                <w:lang w:eastAsia="en-NZ"/>
              </w:rPr>
              <w:t xml:space="preserve">the rate of attrition was </w:t>
            </w:r>
            <w:r w:rsidRPr="000C3082">
              <w:rPr>
                <w:rFonts w:ascii="Arial" w:eastAsia="Times New Roman" w:hAnsi="Arial" w:cs="Arial"/>
                <w:color w:val="222222"/>
                <w:lang w:eastAsia="en-NZ"/>
              </w:rPr>
              <w:t xml:space="preserve">not </w:t>
            </w:r>
            <w:r>
              <w:rPr>
                <w:rFonts w:ascii="Arial" w:eastAsia="Times New Roman" w:hAnsi="Arial" w:cs="Arial"/>
                <w:color w:val="222222"/>
                <w:lang w:eastAsia="en-NZ"/>
              </w:rPr>
              <w:t xml:space="preserve">explicitly </w:t>
            </w:r>
            <w:r w:rsidRPr="000C3082">
              <w:rPr>
                <w:rFonts w:ascii="Arial" w:eastAsia="Times New Roman" w:hAnsi="Arial" w:cs="Arial"/>
                <w:color w:val="222222"/>
                <w:lang w:eastAsia="en-NZ"/>
              </w:rPr>
              <w:t xml:space="preserve">stated, </w:t>
            </w:r>
            <w:r>
              <w:rPr>
                <w:rFonts w:ascii="Arial" w:eastAsia="Times New Roman" w:hAnsi="Arial" w:cs="Arial"/>
                <w:color w:val="222222"/>
                <w:lang w:eastAsia="en-NZ"/>
              </w:rPr>
              <w:t>this safeguard was unmet.</w:t>
            </w:r>
          </w:p>
          <w:p w14:paraId="00A3CF22" w14:textId="77777777" w:rsidR="0010143C" w:rsidRPr="000C3082" w:rsidRDefault="0010143C" w:rsidP="00456F86">
            <w:pPr>
              <w:rPr>
                <w:rFonts w:ascii="Calibri" w:hAnsi="Calibri" w:cs="Calibri"/>
              </w:rPr>
            </w:pPr>
          </w:p>
        </w:tc>
        <w:tc>
          <w:tcPr>
            <w:tcW w:w="1195" w:type="dxa"/>
          </w:tcPr>
          <w:p w14:paraId="274DF430"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lastRenderedPageBreak/>
              <w:t>5</w:t>
            </w:r>
          </w:p>
        </w:tc>
      </w:tr>
      <w:tr w:rsidR="0010143C" w14:paraId="0B37869D" w14:textId="77777777" w:rsidTr="00456F86">
        <w:tc>
          <w:tcPr>
            <w:tcW w:w="6483" w:type="dxa"/>
          </w:tcPr>
          <w:p w14:paraId="6051745A"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6. Missing data was less than 20%</w:t>
            </w:r>
          </w:p>
          <w:p w14:paraId="2FE99536"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missing data is less than 20% and this is consistent through evaluation of tables or text. Missing data does not include participants lost to follow-up. Missing data on variables that are not relevant is not</w:t>
            </w:r>
          </w:p>
          <w:p w14:paraId="2F0DFD67"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considered here (e.g., a question about household members that is not answered by participants living alone is not considered relevant).</w:t>
            </w:r>
          </w:p>
          <w:p w14:paraId="46BF2884" w14:textId="77777777" w:rsidR="0010143C" w:rsidRPr="000C3082" w:rsidRDefault="0010143C" w:rsidP="00456F86">
            <w:pPr>
              <w:rPr>
                <w:rFonts w:ascii="Calibri" w:hAnsi="Calibri" w:cs="Calibri"/>
              </w:rPr>
            </w:pPr>
          </w:p>
        </w:tc>
        <w:tc>
          <w:tcPr>
            <w:tcW w:w="6270" w:type="dxa"/>
          </w:tcPr>
          <w:p w14:paraId="2E823076" w14:textId="77777777" w:rsidR="0010143C" w:rsidRPr="000C3082"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This safeguard was met if missing data</w:t>
            </w:r>
            <w:r w:rsidRPr="000C3082">
              <w:rPr>
                <w:rFonts w:ascii="Arial" w:eastAsia="Times New Roman" w:hAnsi="Arial" w:cs="Arial"/>
                <w:color w:val="222222"/>
                <w:lang w:eastAsia="en-NZ"/>
              </w:rPr>
              <w:t xml:space="preserve"> </w:t>
            </w:r>
            <w:r>
              <w:rPr>
                <w:rFonts w:ascii="Arial" w:eastAsia="Times New Roman" w:hAnsi="Arial" w:cs="Arial"/>
                <w:color w:val="222222"/>
                <w:lang w:eastAsia="en-NZ"/>
              </w:rPr>
              <w:t xml:space="preserve">was less than 20%. </w:t>
            </w:r>
            <w:r w:rsidRPr="000C3082">
              <w:rPr>
                <w:rFonts w:ascii="Arial" w:eastAsia="Times New Roman" w:hAnsi="Arial" w:cs="Arial"/>
                <w:color w:val="222222"/>
                <w:lang w:eastAsia="en-NZ"/>
              </w:rPr>
              <w:t xml:space="preserve">If </w:t>
            </w:r>
            <w:r>
              <w:rPr>
                <w:rFonts w:ascii="Arial" w:eastAsia="Times New Roman" w:hAnsi="Arial" w:cs="Arial"/>
                <w:color w:val="222222"/>
                <w:lang w:eastAsia="en-NZ"/>
              </w:rPr>
              <w:t xml:space="preserve">the proportion of missing data was </w:t>
            </w:r>
            <w:r w:rsidRPr="000C3082">
              <w:rPr>
                <w:rFonts w:ascii="Arial" w:eastAsia="Times New Roman" w:hAnsi="Arial" w:cs="Arial"/>
                <w:color w:val="222222"/>
                <w:lang w:eastAsia="en-NZ"/>
              </w:rPr>
              <w:t xml:space="preserve">not </w:t>
            </w:r>
            <w:r>
              <w:rPr>
                <w:rFonts w:ascii="Arial" w:eastAsia="Times New Roman" w:hAnsi="Arial" w:cs="Arial"/>
                <w:color w:val="222222"/>
                <w:lang w:eastAsia="en-NZ"/>
              </w:rPr>
              <w:t xml:space="preserve">explicitly </w:t>
            </w:r>
            <w:r w:rsidRPr="000C3082">
              <w:rPr>
                <w:rFonts w:ascii="Arial" w:eastAsia="Times New Roman" w:hAnsi="Arial" w:cs="Arial"/>
                <w:color w:val="222222"/>
                <w:lang w:eastAsia="en-NZ"/>
              </w:rPr>
              <w:t xml:space="preserve">stated, </w:t>
            </w:r>
            <w:r>
              <w:rPr>
                <w:rFonts w:ascii="Arial" w:eastAsia="Times New Roman" w:hAnsi="Arial" w:cs="Arial"/>
                <w:color w:val="222222"/>
                <w:lang w:eastAsia="en-NZ"/>
              </w:rPr>
              <w:t>this safeguard was unmet.</w:t>
            </w:r>
          </w:p>
          <w:p w14:paraId="5389F6E8" w14:textId="77777777" w:rsidR="0010143C" w:rsidRPr="000C3082" w:rsidRDefault="0010143C" w:rsidP="00456F86">
            <w:pPr>
              <w:rPr>
                <w:rFonts w:ascii="Calibri" w:hAnsi="Calibri" w:cs="Calibri"/>
              </w:rPr>
            </w:pPr>
            <w:r w:rsidRPr="000C3082">
              <w:rPr>
                <w:rFonts w:ascii="Calibri" w:hAnsi="Calibri" w:cs="Calibri"/>
              </w:rPr>
              <w:t xml:space="preserve"> </w:t>
            </w:r>
          </w:p>
        </w:tc>
        <w:tc>
          <w:tcPr>
            <w:tcW w:w="1195" w:type="dxa"/>
          </w:tcPr>
          <w:p w14:paraId="6ED20C87"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8</w:t>
            </w:r>
          </w:p>
        </w:tc>
      </w:tr>
      <w:tr w:rsidR="0010143C" w14:paraId="43469E04" w14:textId="77777777" w:rsidTr="00456F86">
        <w:tc>
          <w:tcPr>
            <w:tcW w:w="6483" w:type="dxa"/>
          </w:tcPr>
          <w:p w14:paraId="6C33FA57"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7. Analysis accounted for missing data</w:t>
            </w:r>
          </w:p>
          <w:p w14:paraId="2117DC7C"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 analysis includes imputation or inverse probability weighting to account for missing data or there was no missing data to require such an analysis. The specific method used must be specified (e.g., sample mean substitution, hot deck imputation, single imputation, or multiple imputation etc.).</w:t>
            </w:r>
          </w:p>
          <w:p w14:paraId="2B7244B5"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59C2AE6A" w14:textId="77777777" w:rsidR="0010143C" w:rsidRPr="000C3082" w:rsidRDefault="0010143C" w:rsidP="00456F86">
            <w:pPr>
              <w:shd w:val="clear" w:color="auto" w:fill="FFFFFF"/>
              <w:rPr>
                <w:rFonts w:ascii="Calibri" w:hAnsi="Calibri" w:cs="Calibri"/>
              </w:rPr>
            </w:pPr>
            <w:r>
              <w:rPr>
                <w:rFonts w:ascii="Arial" w:eastAsia="Times New Roman" w:hAnsi="Arial" w:cs="Arial"/>
                <w:color w:val="222222"/>
                <w:lang w:eastAsia="en-NZ"/>
              </w:rPr>
              <w:t>This safeguard was met if</w:t>
            </w:r>
            <w:r w:rsidRPr="000C3082">
              <w:rPr>
                <w:rFonts w:ascii="Arial" w:eastAsia="Times New Roman" w:hAnsi="Arial" w:cs="Arial"/>
                <w:color w:val="222222"/>
                <w:lang w:eastAsia="en-NZ"/>
              </w:rPr>
              <w:t xml:space="preserve"> they </w:t>
            </w:r>
            <w:r>
              <w:rPr>
                <w:rFonts w:ascii="Arial" w:eastAsia="Times New Roman" w:hAnsi="Arial" w:cs="Arial"/>
                <w:color w:val="222222"/>
                <w:lang w:eastAsia="en-NZ"/>
              </w:rPr>
              <w:t>accounted</w:t>
            </w:r>
            <w:r w:rsidRPr="000C3082">
              <w:rPr>
                <w:rFonts w:ascii="Arial" w:eastAsia="Times New Roman" w:hAnsi="Arial" w:cs="Arial"/>
                <w:color w:val="222222"/>
                <w:lang w:eastAsia="en-NZ"/>
              </w:rPr>
              <w:t xml:space="preserve"> for missing data</w:t>
            </w:r>
            <w:r>
              <w:rPr>
                <w:rFonts w:ascii="Arial" w:eastAsia="Times New Roman" w:hAnsi="Arial" w:cs="Arial"/>
                <w:color w:val="222222"/>
                <w:lang w:eastAsia="en-NZ"/>
              </w:rPr>
              <w:t>. It was also marked as met if</w:t>
            </w:r>
            <w:r w:rsidRPr="000C3082">
              <w:rPr>
                <w:rFonts w:ascii="Arial" w:eastAsia="Times New Roman" w:hAnsi="Arial" w:cs="Arial"/>
                <w:color w:val="222222"/>
                <w:lang w:eastAsia="en-NZ"/>
              </w:rPr>
              <w:t xml:space="preserve"> they test</w:t>
            </w:r>
            <w:r>
              <w:rPr>
                <w:rFonts w:ascii="Arial" w:eastAsia="Times New Roman" w:hAnsi="Arial" w:cs="Arial"/>
                <w:color w:val="222222"/>
                <w:lang w:eastAsia="en-NZ"/>
              </w:rPr>
              <w:t>ed</w:t>
            </w:r>
            <w:r w:rsidRPr="000C3082">
              <w:rPr>
                <w:rFonts w:ascii="Arial" w:eastAsia="Times New Roman" w:hAnsi="Arial" w:cs="Arial"/>
                <w:color w:val="222222"/>
                <w:lang w:eastAsia="en-NZ"/>
              </w:rPr>
              <w:t xml:space="preserve"> and </w:t>
            </w:r>
            <w:r>
              <w:rPr>
                <w:rFonts w:ascii="Arial" w:eastAsia="Times New Roman" w:hAnsi="Arial" w:cs="Arial"/>
                <w:color w:val="222222"/>
                <w:lang w:eastAsia="en-NZ"/>
              </w:rPr>
              <w:t>found no</w:t>
            </w:r>
            <w:r w:rsidRPr="000C3082">
              <w:rPr>
                <w:rFonts w:ascii="Arial" w:eastAsia="Times New Roman" w:hAnsi="Arial" w:cs="Arial"/>
                <w:color w:val="222222"/>
                <w:lang w:eastAsia="en-NZ"/>
              </w:rPr>
              <w:t xml:space="preserve"> differences between the missing sample and the analytic sample </w:t>
            </w:r>
            <w:r>
              <w:rPr>
                <w:rFonts w:ascii="Arial" w:eastAsia="Times New Roman" w:hAnsi="Arial" w:cs="Arial"/>
                <w:color w:val="222222"/>
                <w:lang w:eastAsia="en-NZ"/>
              </w:rPr>
              <w:t>that would impact</w:t>
            </w:r>
            <w:r w:rsidRPr="000C3082">
              <w:rPr>
                <w:rFonts w:ascii="Arial" w:eastAsia="Times New Roman" w:hAnsi="Arial" w:cs="Arial"/>
                <w:color w:val="222222"/>
                <w:lang w:eastAsia="en-NZ"/>
              </w:rPr>
              <w:t xml:space="preserve"> the </w:t>
            </w:r>
            <w:r>
              <w:rPr>
                <w:rFonts w:ascii="Arial" w:eastAsia="Times New Roman" w:hAnsi="Arial" w:cs="Arial"/>
                <w:color w:val="222222"/>
                <w:lang w:eastAsia="en-NZ"/>
              </w:rPr>
              <w:t xml:space="preserve">relationship of interest. </w:t>
            </w:r>
          </w:p>
        </w:tc>
        <w:tc>
          <w:tcPr>
            <w:tcW w:w="1195" w:type="dxa"/>
          </w:tcPr>
          <w:p w14:paraId="1CAA1078"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21</w:t>
            </w:r>
          </w:p>
        </w:tc>
      </w:tr>
      <w:tr w:rsidR="0010143C" w14:paraId="71C810CB" w14:textId="77777777" w:rsidTr="00456F86">
        <w:tc>
          <w:tcPr>
            <w:tcW w:w="6483" w:type="dxa"/>
          </w:tcPr>
          <w:p w14:paraId="0728D1CE"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8. Exposure variations / treatment deviations were less than 20%</w:t>
            </w:r>
          </w:p>
          <w:p w14:paraId="440570DA"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 xml:space="preserve">This applies to exposure or treatment deviations from what was defined in the study. For example, treatment deviations due to non-compliance or change in a patient’s wish to continue the treatment. This safeguard is considered present if the exposure/ treatment variations/ deviations were less than 20%. Nonadherence to treatment is any deviation on the part of the </w:t>
            </w:r>
            <w:r w:rsidRPr="000C3082">
              <w:rPr>
                <w:rFonts w:ascii="Arial" w:eastAsia="Times New Roman" w:hAnsi="Arial" w:cs="Arial"/>
                <w:color w:val="222222"/>
                <w:lang w:eastAsia="en-NZ"/>
              </w:rPr>
              <w:lastRenderedPageBreak/>
              <w:t>patient or treatment provider to the trial treatment protocol, or any treatment change agreed with care providers or investigators but not permitted by the trial protocol. Variations in exposure may be due to variations in the behavior of a participant (e.g., amount of alcohol drunk or extent of smoking) while nonadherence can take the form of not starting a treatment at all, taking treatment at the incorrect time, “drug holidays,” or diminished adherence between clinician appointments. Complete withdrawal from treatment and withdrawal from the study (lost to follow-up) are separate as in the latter, follow-up data is unavailable. This safeguard needs to be mentioned by the authors in terms of what was done to monitor this and what was found. If this has not been mentioned, the safeguard is considered present if the exposure is a permanent attribute (e.g., a genetic marker or sex) or if a treatment cannot be withdrawn or changed (e.g., surgery).</w:t>
            </w:r>
          </w:p>
          <w:p w14:paraId="1FC72AB2"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36BDBDCA" w14:textId="77777777" w:rsidR="0010143C" w:rsidRPr="000C3082" w:rsidRDefault="0010143C" w:rsidP="00456F86">
            <w:pPr>
              <w:rPr>
                <w:rFonts w:ascii="Calibri" w:hAnsi="Calibri" w:cs="Calibri"/>
              </w:rPr>
            </w:pPr>
            <w:r>
              <w:rPr>
                <w:rFonts w:ascii="Arial" w:eastAsia="Times New Roman" w:hAnsi="Arial" w:cs="Arial"/>
                <w:color w:val="222222"/>
                <w:lang w:eastAsia="en-NZ"/>
              </w:rPr>
              <w:lastRenderedPageBreak/>
              <w:t>This safeguard was not applicable, and was always unmet.</w:t>
            </w:r>
          </w:p>
        </w:tc>
        <w:tc>
          <w:tcPr>
            <w:tcW w:w="1195" w:type="dxa"/>
          </w:tcPr>
          <w:p w14:paraId="2826C108"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0</w:t>
            </w:r>
          </w:p>
        </w:tc>
      </w:tr>
      <w:tr w:rsidR="0010143C" w14:paraId="133256E3" w14:textId="77777777" w:rsidTr="00456F86">
        <w:tc>
          <w:tcPr>
            <w:tcW w:w="6483" w:type="dxa"/>
          </w:tcPr>
          <w:p w14:paraId="23392120"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9. Variations in exposure or withdrawals after start of the study were addressed by the analysis</w:t>
            </w:r>
          </w:p>
          <w:p w14:paraId="61B89952"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present if such analyses are included in the study or if this was not required for changes after the start of the study. In randomized experiments, this safeguard is addressed for withdrawals by an instrumental variable analysis, the instrument being the allocation sequence after randomization (intention-to-treat principle) or similar analysis. In observational studies, this safeguard is met if there was any analytic stratification, or adjustment by an indicator variable for the withdrawal. Variations in exposure can be handled by a dose-response analysis.</w:t>
            </w:r>
          </w:p>
          <w:p w14:paraId="01DED0AF"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5BF880A5"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 xml:space="preserve">This safeguard was met if they </w:t>
            </w:r>
            <w:r w:rsidRPr="000C3082">
              <w:rPr>
                <w:rFonts w:ascii="Arial" w:eastAsia="Times New Roman" w:hAnsi="Arial" w:cs="Arial"/>
                <w:color w:val="222222"/>
                <w:lang w:eastAsia="en-NZ"/>
              </w:rPr>
              <w:t>analysed the effects of attrition and loss to follow up</w:t>
            </w:r>
            <w:r>
              <w:rPr>
                <w:rFonts w:ascii="Arial" w:eastAsia="Times New Roman" w:hAnsi="Arial" w:cs="Arial"/>
                <w:color w:val="222222"/>
                <w:lang w:eastAsia="en-NZ"/>
              </w:rPr>
              <w:t>,</w:t>
            </w:r>
            <w:r w:rsidRPr="000C3082">
              <w:rPr>
                <w:rFonts w:ascii="Arial" w:eastAsia="Times New Roman" w:hAnsi="Arial" w:cs="Arial"/>
                <w:color w:val="222222"/>
                <w:lang w:eastAsia="en-NZ"/>
              </w:rPr>
              <w:t xml:space="preserve"> i.e. stratification.</w:t>
            </w:r>
            <w:r>
              <w:rPr>
                <w:rFonts w:ascii="Arial" w:eastAsia="Times New Roman" w:hAnsi="Arial" w:cs="Arial"/>
                <w:color w:val="222222"/>
                <w:lang w:eastAsia="en-NZ"/>
              </w:rPr>
              <w:t xml:space="preserve"> It was also met if</w:t>
            </w:r>
            <w:r w:rsidRPr="000C3082">
              <w:rPr>
                <w:rFonts w:ascii="Arial" w:eastAsia="Times New Roman" w:hAnsi="Arial" w:cs="Arial"/>
                <w:color w:val="222222"/>
                <w:lang w:eastAsia="en-NZ"/>
              </w:rPr>
              <w:t xml:space="preserve"> they test</w:t>
            </w:r>
            <w:r>
              <w:rPr>
                <w:rFonts w:ascii="Arial" w:eastAsia="Times New Roman" w:hAnsi="Arial" w:cs="Arial"/>
                <w:color w:val="222222"/>
                <w:lang w:eastAsia="en-NZ"/>
              </w:rPr>
              <w:t>ed and found no</w:t>
            </w:r>
            <w:r w:rsidRPr="000C3082">
              <w:rPr>
                <w:rFonts w:ascii="Arial" w:eastAsia="Times New Roman" w:hAnsi="Arial" w:cs="Arial"/>
                <w:color w:val="222222"/>
                <w:lang w:eastAsia="en-NZ"/>
              </w:rPr>
              <w:t xml:space="preserve"> differences between the </w:t>
            </w:r>
            <w:r>
              <w:rPr>
                <w:rFonts w:ascii="Arial" w:eastAsia="Times New Roman" w:hAnsi="Arial" w:cs="Arial"/>
                <w:color w:val="222222"/>
                <w:lang w:eastAsia="en-NZ"/>
              </w:rPr>
              <w:t>attritted</w:t>
            </w:r>
            <w:r w:rsidRPr="000C3082">
              <w:rPr>
                <w:rFonts w:ascii="Arial" w:eastAsia="Times New Roman" w:hAnsi="Arial" w:cs="Arial"/>
                <w:color w:val="222222"/>
                <w:lang w:eastAsia="en-NZ"/>
              </w:rPr>
              <w:t xml:space="preserve"> and the analytic sample</w:t>
            </w:r>
            <w:r>
              <w:rPr>
                <w:rFonts w:ascii="Arial" w:eastAsia="Times New Roman" w:hAnsi="Arial" w:cs="Arial"/>
                <w:color w:val="222222"/>
                <w:lang w:eastAsia="en-NZ"/>
              </w:rPr>
              <w:t xml:space="preserve"> that would impact the relationship of interest.</w:t>
            </w:r>
          </w:p>
          <w:p w14:paraId="676C2730" w14:textId="77777777" w:rsidR="0010143C" w:rsidRPr="000C3082" w:rsidRDefault="0010143C" w:rsidP="00456F86">
            <w:pPr>
              <w:shd w:val="clear" w:color="auto" w:fill="FFFFFF"/>
              <w:rPr>
                <w:rFonts w:ascii="Calibri" w:hAnsi="Calibri" w:cs="Calibri"/>
              </w:rPr>
            </w:pPr>
          </w:p>
        </w:tc>
        <w:tc>
          <w:tcPr>
            <w:tcW w:w="1195" w:type="dxa"/>
          </w:tcPr>
          <w:p w14:paraId="3B2846D6"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13</w:t>
            </w:r>
          </w:p>
        </w:tc>
      </w:tr>
      <w:tr w:rsidR="0010143C" w14:paraId="14FC1B10" w14:textId="77777777" w:rsidTr="00456F86">
        <w:tc>
          <w:tcPr>
            <w:tcW w:w="6483" w:type="dxa"/>
          </w:tcPr>
          <w:p w14:paraId="0D3BFF76"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Equal ascertainment</w:t>
            </w:r>
          </w:p>
        </w:tc>
        <w:tc>
          <w:tcPr>
            <w:tcW w:w="6270" w:type="dxa"/>
          </w:tcPr>
          <w:p w14:paraId="51C3FFCC" w14:textId="77777777" w:rsidR="0010143C" w:rsidRPr="000C3082" w:rsidRDefault="0010143C" w:rsidP="00456F86">
            <w:pPr>
              <w:rPr>
                <w:rFonts w:ascii="Calibri" w:hAnsi="Calibri" w:cs="Calibri"/>
              </w:rPr>
            </w:pPr>
          </w:p>
        </w:tc>
        <w:tc>
          <w:tcPr>
            <w:tcW w:w="1195" w:type="dxa"/>
          </w:tcPr>
          <w:p w14:paraId="67391C35" w14:textId="77777777" w:rsidR="0010143C" w:rsidRPr="000C3082" w:rsidRDefault="0010143C" w:rsidP="00456F86">
            <w:pPr>
              <w:rPr>
                <w:rFonts w:ascii="Calibri" w:hAnsi="Calibri" w:cs="Calibri"/>
              </w:rPr>
            </w:pPr>
          </w:p>
        </w:tc>
      </w:tr>
      <w:tr w:rsidR="0010143C" w14:paraId="75401576" w14:textId="77777777" w:rsidTr="00456F86">
        <w:tc>
          <w:tcPr>
            <w:tcW w:w="6483" w:type="dxa"/>
          </w:tcPr>
          <w:p w14:paraId="26A6E751"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10. Procedures for data collection of covariates were reliable and the same for all participants</w:t>
            </w:r>
          </w:p>
          <w:p w14:paraId="6C04D23C"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 xml:space="preserve">This safeguard is considered present if procedures for data collection of variables other than exposure/intervention and </w:t>
            </w:r>
            <w:r w:rsidRPr="000C3082">
              <w:rPr>
                <w:rFonts w:ascii="Arial" w:eastAsia="Times New Roman" w:hAnsi="Arial" w:cs="Arial"/>
                <w:color w:val="222222"/>
                <w:lang w:eastAsia="en-NZ"/>
              </w:rPr>
              <w:lastRenderedPageBreak/>
              <w:t>outcome were reliable and the same for all participants. For example, if some participants were interviewed and others filled in a questionnaire (containing all other variables for the study) this safeguard would be considered absent. This may include variables such as confounding variables and demographic variables, for example. It is okay for different procedures to be used for different variables so long as they were the same for all participants.</w:t>
            </w:r>
          </w:p>
          <w:p w14:paraId="10023066"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3F078269"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lastRenderedPageBreak/>
              <w:t xml:space="preserve">This </w:t>
            </w:r>
            <w:r>
              <w:rPr>
                <w:rFonts w:ascii="Arial" w:eastAsia="Times New Roman" w:hAnsi="Arial" w:cs="Arial"/>
                <w:color w:val="222222"/>
                <w:lang w:eastAsia="en-NZ"/>
              </w:rPr>
              <w:t>safeguard was met if</w:t>
            </w:r>
            <w:r w:rsidRPr="000C3082">
              <w:rPr>
                <w:rFonts w:ascii="Arial" w:eastAsia="Times New Roman" w:hAnsi="Arial" w:cs="Arial"/>
                <w:color w:val="222222"/>
                <w:lang w:eastAsia="en-NZ"/>
              </w:rPr>
              <w:t xml:space="preserve"> they collected the same data for all participants, even if </w:t>
            </w:r>
            <w:r>
              <w:rPr>
                <w:rFonts w:ascii="Arial" w:eastAsia="Times New Roman" w:hAnsi="Arial" w:cs="Arial"/>
                <w:color w:val="222222"/>
                <w:lang w:eastAsia="en-NZ"/>
              </w:rPr>
              <w:t xml:space="preserve">it was gathered </w:t>
            </w:r>
            <w:r w:rsidRPr="000C3082">
              <w:rPr>
                <w:rFonts w:ascii="Arial" w:eastAsia="Times New Roman" w:hAnsi="Arial" w:cs="Arial"/>
                <w:color w:val="222222"/>
                <w:lang w:eastAsia="en-NZ"/>
              </w:rPr>
              <w:t>from multiple sources.</w:t>
            </w:r>
          </w:p>
          <w:p w14:paraId="1E22C951" w14:textId="77777777" w:rsidR="0010143C" w:rsidRPr="000C3082" w:rsidRDefault="0010143C" w:rsidP="00456F86">
            <w:pPr>
              <w:rPr>
                <w:rFonts w:ascii="Calibri" w:hAnsi="Calibri" w:cs="Calibri"/>
              </w:rPr>
            </w:pPr>
          </w:p>
        </w:tc>
        <w:tc>
          <w:tcPr>
            <w:tcW w:w="1195" w:type="dxa"/>
          </w:tcPr>
          <w:p w14:paraId="3791F3BB"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28</w:t>
            </w:r>
          </w:p>
        </w:tc>
      </w:tr>
      <w:tr w:rsidR="0010143C" w14:paraId="225D3C47" w14:textId="77777777" w:rsidTr="00456F86">
        <w:tc>
          <w:tcPr>
            <w:tcW w:w="6483" w:type="dxa"/>
          </w:tcPr>
          <w:p w14:paraId="3684497A"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11. The outcome was objective and/ or reliably measured</w:t>
            </w:r>
          </w:p>
          <w:p w14:paraId="0C039FAC"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 outcome measured was a hard outcome (e.g., death) or was reliably measured (e.g., using a validated tool, test-retest, piloting, validation in a previous study etc.), or clearly not a subjective assessment (e.g. ‘soft’ outcomes such as non-validated patient-reported outcome measures, or use of surrogate or proxy outcome measures, such as records, or a composite outcome measure).</w:t>
            </w:r>
          </w:p>
          <w:p w14:paraId="02112E81"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6831B3FF" w14:textId="77777777" w:rsidR="0010143C" w:rsidRPr="000C3082" w:rsidRDefault="0010143C" w:rsidP="00456F86">
            <w:pPr>
              <w:shd w:val="clear" w:color="auto" w:fill="FFFFFF"/>
              <w:rPr>
                <w:rFonts w:ascii="Calibri" w:hAnsi="Calibri" w:cs="Calibri"/>
              </w:rPr>
            </w:pPr>
            <w:r w:rsidRPr="000C3082">
              <w:rPr>
                <w:rFonts w:ascii="Arial" w:eastAsia="Times New Roman" w:hAnsi="Arial" w:cs="Arial"/>
                <w:color w:val="222222"/>
                <w:lang w:eastAsia="en-NZ"/>
              </w:rPr>
              <w:t xml:space="preserve">This </w:t>
            </w:r>
            <w:r>
              <w:rPr>
                <w:rFonts w:ascii="Arial" w:eastAsia="Times New Roman" w:hAnsi="Arial" w:cs="Arial"/>
                <w:color w:val="222222"/>
                <w:lang w:eastAsia="en-NZ"/>
              </w:rPr>
              <w:t>safeguard was met if the outcome was</w:t>
            </w:r>
            <w:r w:rsidRPr="000C3082">
              <w:rPr>
                <w:rFonts w:ascii="Arial" w:eastAsia="Times New Roman" w:hAnsi="Arial" w:cs="Arial"/>
                <w:color w:val="222222"/>
                <w:lang w:eastAsia="en-NZ"/>
              </w:rPr>
              <w:t xml:space="preserve"> a hard measurement (even of a subjective </w:t>
            </w:r>
            <w:r>
              <w:rPr>
                <w:rFonts w:ascii="Arial" w:eastAsia="Times New Roman" w:hAnsi="Arial" w:cs="Arial"/>
                <w:color w:val="222222"/>
                <w:lang w:eastAsia="en-NZ"/>
              </w:rPr>
              <w:t>construct</w:t>
            </w:r>
            <w:r w:rsidRPr="000C3082">
              <w:rPr>
                <w:rFonts w:ascii="Arial" w:eastAsia="Times New Roman" w:hAnsi="Arial" w:cs="Arial"/>
                <w:color w:val="222222"/>
                <w:lang w:eastAsia="en-NZ"/>
              </w:rPr>
              <w:t>).</w:t>
            </w:r>
            <w:r>
              <w:rPr>
                <w:rFonts w:ascii="Arial" w:eastAsia="Times New Roman" w:hAnsi="Arial" w:cs="Arial"/>
                <w:color w:val="222222"/>
                <w:lang w:eastAsia="en-NZ"/>
              </w:rPr>
              <w:t xml:space="preserve"> This safeguard was also met if</w:t>
            </w:r>
            <w:r w:rsidRPr="000C3082">
              <w:rPr>
                <w:rFonts w:ascii="Arial" w:eastAsia="Times New Roman" w:hAnsi="Arial" w:cs="Arial"/>
                <w:color w:val="222222"/>
                <w:lang w:eastAsia="en-NZ"/>
              </w:rPr>
              <w:t xml:space="preserve"> the measure is </w:t>
            </w:r>
            <w:r>
              <w:rPr>
                <w:rFonts w:ascii="Arial" w:eastAsia="Times New Roman" w:hAnsi="Arial" w:cs="Arial"/>
                <w:color w:val="222222"/>
                <w:lang w:eastAsia="en-NZ"/>
              </w:rPr>
              <w:t xml:space="preserve">both </w:t>
            </w:r>
            <w:r w:rsidRPr="000C3082">
              <w:rPr>
                <w:rFonts w:ascii="Arial" w:eastAsia="Times New Roman" w:hAnsi="Arial" w:cs="Arial"/>
                <w:color w:val="222222"/>
                <w:lang w:eastAsia="en-NZ"/>
              </w:rPr>
              <w:t>reliable and reproducible</w:t>
            </w:r>
            <w:r>
              <w:rPr>
                <w:rFonts w:ascii="Arial" w:eastAsia="Times New Roman" w:hAnsi="Arial" w:cs="Arial"/>
                <w:color w:val="222222"/>
                <w:lang w:eastAsia="en-NZ"/>
              </w:rPr>
              <w:t>.</w:t>
            </w:r>
          </w:p>
        </w:tc>
        <w:tc>
          <w:tcPr>
            <w:tcW w:w="1195" w:type="dxa"/>
          </w:tcPr>
          <w:p w14:paraId="55D33320"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14</w:t>
            </w:r>
          </w:p>
        </w:tc>
      </w:tr>
      <w:tr w:rsidR="0010143C" w14:paraId="0940DA5A" w14:textId="77777777" w:rsidTr="00456F86">
        <w:tc>
          <w:tcPr>
            <w:tcW w:w="6483" w:type="dxa"/>
          </w:tcPr>
          <w:p w14:paraId="6DDE279D"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12. Exposures/ interventions were objectively and/ or reliably measured</w:t>
            </w:r>
          </w:p>
          <w:p w14:paraId="7EA2983C"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both the active and control exposures were objectively defined to be clearly reproducible by researchers. If a tool was used to measure exposure variables, it should be a clearly reproducible tool. For interventions, a clear definition of treatment and control interventions is required so that they are reproducible by readers. Consistency of implementation from subject to subject is not assessed here.</w:t>
            </w:r>
          </w:p>
          <w:p w14:paraId="3EB72CB5"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143AFFC9" w14:textId="77777777" w:rsidR="0010143C" w:rsidRPr="000C3082" w:rsidRDefault="0010143C" w:rsidP="00456F86">
            <w:pPr>
              <w:rPr>
                <w:rFonts w:ascii="Calibri" w:hAnsi="Calibri" w:cs="Calibri"/>
              </w:rPr>
            </w:pPr>
            <w:r w:rsidRPr="000C3082">
              <w:rPr>
                <w:rFonts w:ascii="Arial" w:eastAsia="Times New Roman" w:hAnsi="Arial" w:cs="Arial"/>
                <w:color w:val="222222"/>
                <w:lang w:eastAsia="en-NZ"/>
              </w:rPr>
              <w:t xml:space="preserve">This </w:t>
            </w:r>
            <w:r>
              <w:rPr>
                <w:rFonts w:ascii="Arial" w:eastAsia="Times New Roman" w:hAnsi="Arial" w:cs="Arial"/>
                <w:color w:val="222222"/>
                <w:lang w:eastAsia="en-NZ"/>
              </w:rPr>
              <w:t xml:space="preserve">safeguard was met if both the measure of CA and the measure of the mediator were hard measurements (even of </w:t>
            </w:r>
            <w:r w:rsidRPr="000C3082">
              <w:rPr>
                <w:rFonts w:ascii="Arial" w:eastAsia="Times New Roman" w:hAnsi="Arial" w:cs="Arial"/>
                <w:color w:val="222222"/>
                <w:lang w:eastAsia="en-NZ"/>
              </w:rPr>
              <w:t xml:space="preserve">subjective </w:t>
            </w:r>
            <w:r>
              <w:rPr>
                <w:rFonts w:ascii="Arial" w:eastAsia="Times New Roman" w:hAnsi="Arial" w:cs="Arial"/>
                <w:color w:val="222222"/>
                <w:lang w:eastAsia="en-NZ"/>
              </w:rPr>
              <w:t>constructs</w:t>
            </w:r>
            <w:r w:rsidRPr="000C3082">
              <w:rPr>
                <w:rFonts w:ascii="Arial" w:eastAsia="Times New Roman" w:hAnsi="Arial" w:cs="Arial"/>
                <w:color w:val="222222"/>
                <w:lang w:eastAsia="en-NZ"/>
              </w:rPr>
              <w:t>).</w:t>
            </w:r>
            <w:r>
              <w:rPr>
                <w:rFonts w:ascii="Arial" w:eastAsia="Times New Roman" w:hAnsi="Arial" w:cs="Arial"/>
                <w:color w:val="222222"/>
                <w:lang w:eastAsia="en-NZ"/>
              </w:rPr>
              <w:t xml:space="preserve"> This safeguard was also met if</w:t>
            </w:r>
            <w:r w:rsidRPr="000C3082">
              <w:rPr>
                <w:rFonts w:ascii="Arial" w:eastAsia="Times New Roman" w:hAnsi="Arial" w:cs="Arial"/>
                <w:color w:val="222222"/>
                <w:lang w:eastAsia="en-NZ"/>
              </w:rPr>
              <w:t xml:space="preserve"> the measure</w:t>
            </w:r>
            <w:r>
              <w:rPr>
                <w:rFonts w:ascii="Arial" w:eastAsia="Times New Roman" w:hAnsi="Arial" w:cs="Arial"/>
                <w:color w:val="222222"/>
                <w:lang w:eastAsia="en-NZ"/>
              </w:rPr>
              <w:t>s</w:t>
            </w:r>
            <w:r w:rsidRPr="000C3082">
              <w:rPr>
                <w:rFonts w:ascii="Arial" w:eastAsia="Times New Roman" w:hAnsi="Arial" w:cs="Arial"/>
                <w:color w:val="222222"/>
                <w:lang w:eastAsia="en-NZ"/>
              </w:rPr>
              <w:t xml:space="preserve"> </w:t>
            </w:r>
            <w:r>
              <w:rPr>
                <w:rFonts w:ascii="Arial" w:eastAsia="Times New Roman" w:hAnsi="Arial" w:cs="Arial"/>
                <w:color w:val="222222"/>
                <w:lang w:eastAsia="en-NZ"/>
              </w:rPr>
              <w:t>were</w:t>
            </w:r>
            <w:r w:rsidRPr="000C3082">
              <w:rPr>
                <w:rFonts w:ascii="Arial" w:eastAsia="Times New Roman" w:hAnsi="Arial" w:cs="Arial"/>
                <w:color w:val="222222"/>
                <w:lang w:eastAsia="en-NZ"/>
              </w:rPr>
              <w:t xml:space="preserve"> </w:t>
            </w:r>
            <w:r>
              <w:rPr>
                <w:rFonts w:ascii="Arial" w:eastAsia="Times New Roman" w:hAnsi="Arial" w:cs="Arial"/>
                <w:color w:val="222222"/>
                <w:lang w:eastAsia="en-NZ"/>
              </w:rPr>
              <w:t xml:space="preserve">both </w:t>
            </w:r>
            <w:r w:rsidRPr="000C3082">
              <w:rPr>
                <w:rFonts w:ascii="Arial" w:eastAsia="Times New Roman" w:hAnsi="Arial" w:cs="Arial"/>
                <w:color w:val="222222"/>
                <w:lang w:eastAsia="en-NZ"/>
              </w:rPr>
              <w:t>reliable and reproducible</w:t>
            </w:r>
            <w:r>
              <w:rPr>
                <w:rFonts w:ascii="Arial" w:eastAsia="Times New Roman" w:hAnsi="Arial" w:cs="Arial"/>
                <w:color w:val="222222"/>
                <w:lang w:eastAsia="en-NZ"/>
              </w:rPr>
              <w:t>.</w:t>
            </w:r>
          </w:p>
        </w:tc>
        <w:tc>
          <w:tcPr>
            <w:tcW w:w="1195" w:type="dxa"/>
          </w:tcPr>
          <w:p w14:paraId="3673884E"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17</w:t>
            </w:r>
          </w:p>
        </w:tc>
      </w:tr>
      <w:tr w:rsidR="0010143C" w14:paraId="21898D86" w14:textId="77777777" w:rsidTr="00456F86">
        <w:tc>
          <w:tcPr>
            <w:tcW w:w="6483" w:type="dxa"/>
          </w:tcPr>
          <w:p w14:paraId="18056326"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13. Outcome assessor(s) were blinded</w:t>
            </w:r>
          </w:p>
          <w:p w14:paraId="21B961FA"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 outcome assessor(s) was blind to which participants were in the intervention/exposure group and control/ non-exposed groups or a hard outcome was assessed. The adequacy of blinding should be assessed for the relevant outcome (or exposure in case-</w:t>
            </w:r>
            <w:r w:rsidRPr="000C3082">
              <w:rPr>
                <w:rFonts w:ascii="Arial" w:eastAsia="Times New Roman" w:hAnsi="Arial" w:cs="Arial"/>
                <w:color w:val="222222"/>
                <w:lang w:eastAsia="en-NZ"/>
              </w:rPr>
              <w:lastRenderedPageBreak/>
              <w:t>control and similar studies). Outcome assessors could be participants (e.g., self-reported outcomes), data collectors (e.g., blinded research staff), or technicians. The adequacy of the blinding procedure will depend on the main outcome. For example, for participant-reported outcomes the blinding procedure is adequate for outcome assessors if it is adequate for participants and care-providers, such as being blind to the control treatment’s characteristics, consequences of the treatments, clinical manifestations, and monitoring or is similar in each group and also when there is no contact between participants and assessors.</w:t>
            </w:r>
          </w:p>
          <w:p w14:paraId="5FF07DFF"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281E9919" w14:textId="77777777" w:rsidR="0010143C" w:rsidRPr="000C3082" w:rsidRDefault="0010143C" w:rsidP="00456F86">
            <w:pPr>
              <w:rPr>
                <w:rFonts w:ascii="Calibri" w:hAnsi="Calibri" w:cs="Calibri"/>
              </w:rPr>
            </w:pPr>
            <w:r>
              <w:rPr>
                <w:rFonts w:ascii="Arial" w:eastAsia="Times New Roman" w:hAnsi="Arial" w:cs="Arial"/>
                <w:color w:val="222222"/>
                <w:lang w:eastAsia="en-NZ"/>
              </w:rPr>
              <w:lastRenderedPageBreak/>
              <w:t>This safeguard was not applicable, and was always unmet.</w:t>
            </w:r>
            <w:r w:rsidRPr="000C3082">
              <w:rPr>
                <w:rFonts w:ascii="Calibri" w:hAnsi="Calibri" w:cs="Calibri"/>
              </w:rPr>
              <w:t xml:space="preserve"> </w:t>
            </w:r>
          </w:p>
        </w:tc>
        <w:tc>
          <w:tcPr>
            <w:tcW w:w="1195" w:type="dxa"/>
          </w:tcPr>
          <w:p w14:paraId="38E4186B"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0</w:t>
            </w:r>
          </w:p>
        </w:tc>
      </w:tr>
      <w:tr w:rsidR="0010143C" w14:paraId="0A40E8D7" w14:textId="77777777" w:rsidTr="00456F86">
        <w:tc>
          <w:tcPr>
            <w:tcW w:w="6483" w:type="dxa"/>
          </w:tcPr>
          <w:p w14:paraId="3507208D"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14. Participants were blinded</w:t>
            </w:r>
          </w:p>
          <w:p w14:paraId="6D789703"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 participants were blind to which study group they were in.</w:t>
            </w:r>
          </w:p>
          <w:p w14:paraId="46464D78"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1216C658" w14:textId="77777777" w:rsidR="0010143C" w:rsidRPr="000C3082" w:rsidRDefault="0010143C" w:rsidP="00456F86">
            <w:pPr>
              <w:rPr>
                <w:rFonts w:ascii="Calibri" w:hAnsi="Calibri" w:cs="Calibri"/>
              </w:rPr>
            </w:pPr>
            <w:r>
              <w:rPr>
                <w:rFonts w:ascii="Arial" w:eastAsia="Times New Roman" w:hAnsi="Arial" w:cs="Arial"/>
                <w:color w:val="222222"/>
                <w:lang w:eastAsia="en-NZ"/>
              </w:rPr>
              <w:t>This safeguard was not applicable, and was always unmet.</w:t>
            </w:r>
            <w:r w:rsidRPr="000C3082">
              <w:rPr>
                <w:rFonts w:ascii="Calibri" w:hAnsi="Calibri" w:cs="Calibri"/>
              </w:rPr>
              <w:t xml:space="preserve"> </w:t>
            </w:r>
          </w:p>
        </w:tc>
        <w:tc>
          <w:tcPr>
            <w:tcW w:w="1195" w:type="dxa"/>
          </w:tcPr>
          <w:p w14:paraId="0EC3D7F7"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0</w:t>
            </w:r>
          </w:p>
        </w:tc>
      </w:tr>
      <w:tr w:rsidR="0010143C" w14:paraId="7E429E44" w14:textId="77777777" w:rsidTr="00456F86">
        <w:tc>
          <w:tcPr>
            <w:tcW w:w="6483" w:type="dxa"/>
          </w:tcPr>
          <w:p w14:paraId="773125DE"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15. Caregivers were blinded</w:t>
            </w:r>
          </w:p>
          <w:p w14:paraId="3386A478"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those caring for participants were unaware or kept blind to which study group participants were in. Caregivers are those administering the intervention, such as physicians, nurses, allied health professionals, surgeons, those administering co-interventions and following participants etc. For example, caregivers may be blinded by use of the same equipment in both treatment and control groups or ensuring the control treatment’s characteristics are indistinguishable from the experimental treatment, and the consequences of treatments, and monitoring are similar in each group.</w:t>
            </w:r>
          </w:p>
          <w:p w14:paraId="4F605BF2"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3EB43046" w14:textId="77777777" w:rsidR="0010143C" w:rsidRPr="000C3082" w:rsidRDefault="0010143C" w:rsidP="00456F86">
            <w:pPr>
              <w:rPr>
                <w:rFonts w:ascii="Calibri" w:hAnsi="Calibri" w:cs="Calibri"/>
              </w:rPr>
            </w:pPr>
            <w:r>
              <w:rPr>
                <w:rFonts w:ascii="Arial" w:eastAsia="Times New Roman" w:hAnsi="Arial" w:cs="Arial"/>
                <w:color w:val="222222"/>
                <w:lang w:eastAsia="en-NZ"/>
              </w:rPr>
              <w:t>This safeguard was not applicable, and was always unmet.</w:t>
            </w:r>
          </w:p>
        </w:tc>
        <w:tc>
          <w:tcPr>
            <w:tcW w:w="1195" w:type="dxa"/>
          </w:tcPr>
          <w:p w14:paraId="21ACD3B5"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0</w:t>
            </w:r>
          </w:p>
        </w:tc>
      </w:tr>
      <w:tr w:rsidR="0010143C" w14:paraId="50E8A98A" w14:textId="77777777" w:rsidTr="00456F86">
        <w:tc>
          <w:tcPr>
            <w:tcW w:w="6483" w:type="dxa"/>
          </w:tcPr>
          <w:p w14:paraId="5CBE9CE6"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16. Analyst(s) were blinded</w:t>
            </w:r>
          </w:p>
          <w:p w14:paraId="179609AF"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 person conducting the analyses for the study was unaware or kept blind to which participants were in the intervention/ exposure and control/ nonexposed groups.</w:t>
            </w:r>
          </w:p>
          <w:p w14:paraId="71FE4827"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4322E83E" w14:textId="77777777" w:rsidR="0010143C" w:rsidRPr="000C3082" w:rsidRDefault="0010143C" w:rsidP="00456F86">
            <w:pPr>
              <w:rPr>
                <w:rFonts w:ascii="Calibri" w:hAnsi="Calibri" w:cs="Calibri"/>
              </w:rPr>
            </w:pPr>
            <w:r>
              <w:rPr>
                <w:rFonts w:ascii="Arial" w:eastAsia="Times New Roman" w:hAnsi="Arial" w:cs="Arial"/>
                <w:color w:val="222222"/>
                <w:lang w:eastAsia="en-NZ"/>
              </w:rPr>
              <w:t>This safeguard was not applicable, and was always unmet.</w:t>
            </w:r>
          </w:p>
        </w:tc>
        <w:tc>
          <w:tcPr>
            <w:tcW w:w="1195" w:type="dxa"/>
          </w:tcPr>
          <w:p w14:paraId="2D3477E7"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0</w:t>
            </w:r>
          </w:p>
        </w:tc>
      </w:tr>
      <w:tr w:rsidR="0010143C" w14:paraId="0832D2B3" w14:textId="77777777" w:rsidTr="00456F86">
        <w:tc>
          <w:tcPr>
            <w:tcW w:w="6483" w:type="dxa"/>
          </w:tcPr>
          <w:p w14:paraId="08BCFE0F"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lastRenderedPageBreak/>
              <w:t>Equal implementation</w:t>
            </w:r>
          </w:p>
        </w:tc>
        <w:tc>
          <w:tcPr>
            <w:tcW w:w="6270" w:type="dxa"/>
          </w:tcPr>
          <w:p w14:paraId="556B40A4" w14:textId="77777777" w:rsidR="0010143C" w:rsidRPr="000C3082" w:rsidRDefault="0010143C" w:rsidP="00456F86">
            <w:pPr>
              <w:rPr>
                <w:rFonts w:ascii="Calibri" w:hAnsi="Calibri" w:cs="Calibri"/>
              </w:rPr>
            </w:pPr>
          </w:p>
        </w:tc>
        <w:tc>
          <w:tcPr>
            <w:tcW w:w="1195" w:type="dxa"/>
          </w:tcPr>
          <w:p w14:paraId="0E9BC074" w14:textId="77777777" w:rsidR="0010143C" w:rsidRPr="000C3082" w:rsidRDefault="0010143C" w:rsidP="00456F86">
            <w:pPr>
              <w:rPr>
                <w:rFonts w:ascii="Calibri" w:hAnsi="Calibri" w:cs="Calibri"/>
              </w:rPr>
            </w:pPr>
          </w:p>
        </w:tc>
      </w:tr>
      <w:tr w:rsidR="0010143C" w14:paraId="578D688A" w14:textId="77777777" w:rsidTr="00456F86">
        <w:tc>
          <w:tcPr>
            <w:tcW w:w="6483" w:type="dxa"/>
          </w:tcPr>
          <w:p w14:paraId="20C9C51E"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17. Care was delivered equally to all participants</w:t>
            </w:r>
          </w:p>
          <w:p w14:paraId="779BCA31"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care delivery was implemented in the same setting or by the same staff such that it is unlikely to have been variable in quality and extent across participants. In assessing equal care, caregivers’ experience or skill should be considered as well as the monitoring of participants and other supportive care. This safeguard would fail be implemented and is considered absent in a multicenter trial.</w:t>
            </w:r>
          </w:p>
          <w:p w14:paraId="2EA89FC8"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16067761" w14:textId="77777777" w:rsidR="0010143C" w:rsidRPr="000C3082" w:rsidRDefault="0010143C" w:rsidP="00456F86">
            <w:pPr>
              <w:rPr>
                <w:rFonts w:ascii="Calibri" w:hAnsi="Calibri" w:cs="Calibri"/>
              </w:rPr>
            </w:pPr>
            <w:r>
              <w:rPr>
                <w:rFonts w:ascii="Arial" w:eastAsia="Times New Roman" w:hAnsi="Arial" w:cs="Arial"/>
                <w:color w:val="222222"/>
                <w:lang w:eastAsia="en-NZ"/>
              </w:rPr>
              <w:t>This safeguard was not applicable, and was always unmet.</w:t>
            </w:r>
          </w:p>
        </w:tc>
        <w:tc>
          <w:tcPr>
            <w:tcW w:w="1195" w:type="dxa"/>
          </w:tcPr>
          <w:p w14:paraId="111E6ECD"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0</w:t>
            </w:r>
          </w:p>
        </w:tc>
      </w:tr>
      <w:tr w:rsidR="0010143C" w14:paraId="5BA6A492" w14:textId="77777777" w:rsidTr="00456F86">
        <w:tc>
          <w:tcPr>
            <w:tcW w:w="6483" w:type="dxa"/>
          </w:tcPr>
          <w:p w14:paraId="66F06D91"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18. Cointerventions that could impact the outcome were comparable between groups or avoided</w:t>
            </w:r>
          </w:p>
          <w:p w14:paraId="30A8420C"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Co-interventions are the provision of additional care to either of the comparison groups. All co-interventions that may plausibly impact the outcome should be administered equally in intervention/ exposure and control groups and if so, this safeguard is considered present. This safeguard is also present if there were no co-interventions.</w:t>
            </w:r>
          </w:p>
          <w:p w14:paraId="41FA8F31"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4454138E" w14:textId="77777777" w:rsidR="0010143C" w:rsidRPr="000C3082"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This safeguard was marked as met if the analysis controlled for other interventions that could have impacted the relationship of interest.</w:t>
            </w:r>
          </w:p>
          <w:p w14:paraId="687F16BC" w14:textId="77777777" w:rsidR="0010143C" w:rsidRPr="000C3082" w:rsidRDefault="0010143C" w:rsidP="00456F86">
            <w:pPr>
              <w:rPr>
                <w:rFonts w:ascii="Calibri" w:hAnsi="Calibri" w:cs="Calibri"/>
              </w:rPr>
            </w:pPr>
          </w:p>
        </w:tc>
        <w:tc>
          <w:tcPr>
            <w:tcW w:w="1195" w:type="dxa"/>
          </w:tcPr>
          <w:p w14:paraId="6E981691"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1</w:t>
            </w:r>
          </w:p>
        </w:tc>
      </w:tr>
      <w:tr w:rsidR="0010143C" w14:paraId="1185E641" w14:textId="77777777" w:rsidTr="00456F86">
        <w:tc>
          <w:tcPr>
            <w:tcW w:w="6483" w:type="dxa"/>
          </w:tcPr>
          <w:p w14:paraId="23046476"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19. Control and active interventions/ exposures were sufficiently distinct</w:t>
            </w:r>
          </w:p>
          <w:p w14:paraId="7A8EBA29"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there was no contamination across control and active interventions/ exposures. Contamination occurs when the members of one group in a trial receive the treatment or are exposed to the intervention that is meant solely for the other group thereby minimizing any real difference that exists between the groups.</w:t>
            </w:r>
          </w:p>
          <w:p w14:paraId="5088B90B"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282FC878" w14:textId="77777777" w:rsidR="0010143C" w:rsidRPr="000C3082" w:rsidRDefault="0010143C" w:rsidP="00456F86">
            <w:pPr>
              <w:rPr>
                <w:rFonts w:ascii="Calibri" w:hAnsi="Calibri" w:cs="Calibri"/>
              </w:rPr>
            </w:pPr>
            <w:r>
              <w:rPr>
                <w:rFonts w:ascii="Arial" w:eastAsia="Times New Roman" w:hAnsi="Arial" w:cs="Arial"/>
                <w:color w:val="222222"/>
                <w:lang w:eastAsia="en-NZ"/>
              </w:rPr>
              <w:t>This safeguard was not applicable, and was always unmet.</w:t>
            </w:r>
          </w:p>
        </w:tc>
        <w:tc>
          <w:tcPr>
            <w:tcW w:w="1195" w:type="dxa"/>
          </w:tcPr>
          <w:p w14:paraId="4C2A6588"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0</w:t>
            </w:r>
          </w:p>
        </w:tc>
      </w:tr>
      <w:tr w:rsidR="0010143C" w14:paraId="2C1C1DEA" w14:textId="77777777" w:rsidTr="00456F86">
        <w:tc>
          <w:tcPr>
            <w:tcW w:w="6483" w:type="dxa"/>
          </w:tcPr>
          <w:p w14:paraId="58DF08E7"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20. Exposure/intervention definition was consistently applied to all participants</w:t>
            </w:r>
          </w:p>
          <w:p w14:paraId="7F657615"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 same definition of exposure or intervention was used for all participants and did not change during the timeframe of the study.</w:t>
            </w:r>
          </w:p>
          <w:p w14:paraId="7270009B"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4DD4399C" w14:textId="77777777" w:rsidR="0010143C" w:rsidRPr="000C3082" w:rsidRDefault="0010143C" w:rsidP="00456F86">
            <w:pPr>
              <w:shd w:val="clear" w:color="auto" w:fill="FFFFFF"/>
              <w:rPr>
                <w:rFonts w:ascii="Calibri" w:hAnsi="Calibri" w:cs="Calibri"/>
              </w:rPr>
            </w:pPr>
            <w:r>
              <w:rPr>
                <w:rFonts w:ascii="Arial" w:eastAsia="Times New Roman" w:hAnsi="Arial" w:cs="Arial"/>
                <w:color w:val="222222"/>
                <w:lang w:eastAsia="en-NZ"/>
              </w:rPr>
              <w:t>This safeguard was met if the definition of CA and the mediator were the same for all participants.</w:t>
            </w:r>
            <w:r w:rsidRPr="000C3082">
              <w:rPr>
                <w:rFonts w:ascii="Arial" w:eastAsia="Times New Roman" w:hAnsi="Arial" w:cs="Arial"/>
                <w:color w:val="222222"/>
                <w:lang w:eastAsia="en-NZ"/>
              </w:rPr>
              <w:t xml:space="preserve"> In whole of population studies, this </w:t>
            </w:r>
            <w:r>
              <w:rPr>
                <w:rFonts w:ascii="Arial" w:eastAsia="Times New Roman" w:hAnsi="Arial" w:cs="Arial"/>
                <w:color w:val="222222"/>
                <w:lang w:eastAsia="en-NZ"/>
              </w:rPr>
              <w:t>was always met.</w:t>
            </w:r>
          </w:p>
        </w:tc>
        <w:tc>
          <w:tcPr>
            <w:tcW w:w="1195" w:type="dxa"/>
          </w:tcPr>
          <w:p w14:paraId="61B306E3"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28</w:t>
            </w:r>
          </w:p>
        </w:tc>
      </w:tr>
      <w:tr w:rsidR="0010143C" w14:paraId="08F9E999" w14:textId="77777777" w:rsidTr="00456F86">
        <w:tc>
          <w:tcPr>
            <w:tcW w:w="6483" w:type="dxa"/>
          </w:tcPr>
          <w:p w14:paraId="4DB45F9E"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lastRenderedPageBreak/>
              <w:t>21. Outcome definition was consistently applied to all participants</w:t>
            </w:r>
          </w:p>
          <w:p w14:paraId="1BC5006D"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 outcome definition remained the same for all participants during a study. For example, if during a psychiatry study the diagnostic manual was updated from DSM-IV to DSM-V, although objective,</w:t>
            </w:r>
          </w:p>
          <w:p w14:paraId="6FAE08C5"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would be an inconsistent outcome definition and thus the safeguard would be considered absent.</w:t>
            </w:r>
          </w:p>
          <w:p w14:paraId="02937018"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6D400C60" w14:textId="77777777" w:rsidR="0010143C" w:rsidRPr="000C3082" w:rsidRDefault="0010143C" w:rsidP="00456F86">
            <w:pPr>
              <w:rPr>
                <w:rFonts w:ascii="Calibri" w:hAnsi="Calibri" w:cs="Calibri"/>
              </w:rPr>
            </w:pPr>
            <w:r>
              <w:rPr>
                <w:rFonts w:ascii="Arial" w:eastAsia="Times New Roman" w:hAnsi="Arial" w:cs="Arial"/>
                <w:color w:val="222222"/>
                <w:lang w:eastAsia="en-NZ"/>
              </w:rPr>
              <w:t>This safeguard was met if the definition of the outcome was the same for all participants.</w:t>
            </w:r>
            <w:r w:rsidRPr="000C3082">
              <w:rPr>
                <w:rFonts w:ascii="Arial" w:eastAsia="Times New Roman" w:hAnsi="Arial" w:cs="Arial"/>
                <w:color w:val="222222"/>
                <w:lang w:eastAsia="en-NZ"/>
              </w:rPr>
              <w:t xml:space="preserve"> In whole of population studies, this </w:t>
            </w:r>
            <w:r>
              <w:rPr>
                <w:rFonts w:ascii="Arial" w:eastAsia="Times New Roman" w:hAnsi="Arial" w:cs="Arial"/>
                <w:color w:val="222222"/>
                <w:lang w:eastAsia="en-NZ"/>
              </w:rPr>
              <w:t>was always met.</w:t>
            </w:r>
          </w:p>
        </w:tc>
        <w:tc>
          <w:tcPr>
            <w:tcW w:w="1195" w:type="dxa"/>
          </w:tcPr>
          <w:p w14:paraId="4D27BFE7"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28</w:t>
            </w:r>
          </w:p>
        </w:tc>
      </w:tr>
      <w:tr w:rsidR="0010143C" w14:paraId="38B19377" w14:textId="77777777" w:rsidTr="00456F86">
        <w:tc>
          <w:tcPr>
            <w:tcW w:w="6483" w:type="dxa"/>
          </w:tcPr>
          <w:p w14:paraId="76833C8A"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 xml:space="preserve">22. The time period between exposure and outcome was similar across patients and between groups or the analyses adjusted for different lengths of follow-up of patients </w:t>
            </w:r>
          </w:p>
          <w:p w14:paraId="23B66F8C"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The prospectively defined schedule for follow-up measures of the outcome should be similar between groups to ensure equal implementation. If this has not occurred, the analyses must adjust for different lengths of follow-up of patients (in a dynamic study). This safeguard is considered present if the time period between the exposure and outcome is similar across patients and between groups or the analysis adjusts for different lengths of follow-up of patients (e.g., time-to-event analysis).</w:t>
            </w:r>
          </w:p>
          <w:p w14:paraId="28E2199D"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04FD6804" w14:textId="77777777" w:rsidR="0010143C" w:rsidRPr="000C3082"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 xml:space="preserve">This safeguard was met if </w:t>
            </w:r>
            <w:r w:rsidRPr="000C3082">
              <w:rPr>
                <w:rFonts w:ascii="Arial" w:eastAsia="Times New Roman" w:hAnsi="Arial" w:cs="Arial"/>
                <w:color w:val="222222"/>
                <w:lang w:eastAsia="en-NZ"/>
              </w:rPr>
              <w:t xml:space="preserve">the time </w:t>
            </w:r>
            <w:r>
              <w:rPr>
                <w:rFonts w:ascii="Arial" w:eastAsia="Times New Roman" w:hAnsi="Arial" w:cs="Arial"/>
                <w:color w:val="222222"/>
                <w:lang w:eastAsia="en-NZ"/>
              </w:rPr>
              <w:t xml:space="preserve">passed </w:t>
            </w:r>
            <w:r w:rsidRPr="000C3082">
              <w:rPr>
                <w:rFonts w:ascii="Arial" w:eastAsia="Times New Roman" w:hAnsi="Arial" w:cs="Arial"/>
                <w:color w:val="222222"/>
                <w:lang w:eastAsia="en-NZ"/>
              </w:rPr>
              <w:t xml:space="preserve">between </w:t>
            </w:r>
            <w:r>
              <w:rPr>
                <w:rFonts w:ascii="Arial" w:eastAsia="Times New Roman" w:hAnsi="Arial" w:cs="Arial"/>
                <w:color w:val="222222"/>
                <w:lang w:eastAsia="en-NZ"/>
              </w:rPr>
              <w:t>CA</w:t>
            </w:r>
            <w:r w:rsidRPr="000C3082">
              <w:rPr>
                <w:rFonts w:ascii="Arial" w:eastAsia="Times New Roman" w:hAnsi="Arial" w:cs="Arial"/>
                <w:color w:val="222222"/>
                <w:lang w:eastAsia="en-NZ"/>
              </w:rPr>
              <w:t xml:space="preserve"> and outcome </w:t>
            </w:r>
            <w:r>
              <w:rPr>
                <w:rFonts w:ascii="Arial" w:eastAsia="Times New Roman" w:hAnsi="Arial" w:cs="Arial"/>
                <w:color w:val="222222"/>
                <w:lang w:eastAsia="en-NZ"/>
              </w:rPr>
              <w:t>was</w:t>
            </w:r>
            <w:r w:rsidRPr="000C3082">
              <w:rPr>
                <w:rFonts w:ascii="Arial" w:eastAsia="Times New Roman" w:hAnsi="Arial" w:cs="Arial"/>
                <w:color w:val="222222"/>
                <w:lang w:eastAsia="en-NZ"/>
              </w:rPr>
              <w:t xml:space="preserve"> the same, </w:t>
            </w:r>
            <w:r>
              <w:rPr>
                <w:rFonts w:ascii="Arial" w:eastAsia="Times New Roman" w:hAnsi="Arial" w:cs="Arial"/>
                <w:color w:val="222222"/>
                <w:lang w:eastAsia="en-NZ"/>
              </w:rPr>
              <w:t>and stated explicitly. It was also met</w:t>
            </w:r>
            <w:r w:rsidRPr="000C3082">
              <w:rPr>
                <w:rFonts w:ascii="Arial" w:eastAsia="Times New Roman" w:hAnsi="Arial" w:cs="Arial"/>
                <w:color w:val="222222"/>
                <w:lang w:eastAsia="en-NZ"/>
              </w:rPr>
              <w:t xml:space="preserve"> if they accounted for the differences in time passed</w:t>
            </w:r>
            <w:r>
              <w:rPr>
                <w:rFonts w:ascii="Arial" w:eastAsia="Times New Roman" w:hAnsi="Arial" w:cs="Arial"/>
                <w:color w:val="222222"/>
                <w:lang w:eastAsia="en-NZ"/>
              </w:rPr>
              <w:t>.</w:t>
            </w:r>
          </w:p>
          <w:p w14:paraId="088C1BFA" w14:textId="77777777" w:rsidR="0010143C" w:rsidRPr="000C3082" w:rsidRDefault="0010143C" w:rsidP="00456F86">
            <w:pPr>
              <w:shd w:val="clear" w:color="auto" w:fill="FFFFFF"/>
              <w:rPr>
                <w:rFonts w:ascii="Calibri" w:hAnsi="Calibri" w:cs="Calibri"/>
              </w:rPr>
            </w:pPr>
          </w:p>
        </w:tc>
        <w:tc>
          <w:tcPr>
            <w:tcW w:w="1195" w:type="dxa"/>
          </w:tcPr>
          <w:p w14:paraId="0219F3FB"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1</w:t>
            </w:r>
          </w:p>
        </w:tc>
      </w:tr>
      <w:tr w:rsidR="0010143C" w14:paraId="4A37FE71" w14:textId="77777777" w:rsidTr="00456F86">
        <w:tc>
          <w:tcPr>
            <w:tcW w:w="6483" w:type="dxa"/>
          </w:tcPr>
          <w:p w14:paraId="0F730750"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Equal prognosis</w:t>
            </w:r>
          </w:p>
        </w:tc>
        <w:tc>
          <w:tcPr>
            <w:tcW w:w="6270" w:type="dxa"/>
          </w:tcPr>
          <w:p w14:paraId="4AEC52B1" w14:textId="77777777" w:rsidR="0010143C" w:rsidRPr="000C3082" w:rsidRDefault="0010143C" w:rsidP="00456F86">
            <w:pPr>
              <w:rPr>
                <w:rFonts w:ascii="Calibri" w:hAnsi="Calibri" w:cs="Calibri"/>
              </w:rPr>
            </w:pPr>
          </w:p>
        </w:tc>
        <w:tc>
          <w:tcPr>
            <w:tcW w:w="1195" w:type="dxa"/>
          </w:tcPr>
          <w:p w14:paraId="672D26D7" w14:textId="77777777" w:rsidR="0010143C" w:rsidRPr="000C3082" w:rsidRDefault="0010143C" w:rsidP="00456F86">
            <w:pPr>
              <w:rPr>
                <w:rFonts w:ascii="Calibri" w:hAnsi="Calibri" w:cs="Calibri"/>
              </w:rPr>
            </w:pPr>
          </w:p>
        </w:tc>
      </w:tr>
      <w:tr w:rsidR="0010143C" w14:paraId="1E3A6FA3" w14:textId="77777777" w:rsidTr="00456F86">
        <w:tc>
          <w:tcPr>
            <w:tcW w:w="6483" w:type="dxa"/>
          </w:tcPr>
          <w:p w14:paraId="612903F3"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23. Design and/or analysis strategies were in place that addressed potential confounding</w:t>
            </w:r>
          </w:p>
          <w:p w14:paraId="7D896561"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 xml:space="preserve">This safeguard is considered present if the design accounts for confounding through restriction, matching or stratification on key confounding variables or alternatively randomization specified in the study design. Note, randomization is included here in addition to its own category elsewhere. In observational designs this safeguard is also met if consecutive patients (including interrupted, sequential etc.) were enrolled. Known important confounders can be controlled by statistical adjustment after completion of data collection using specific analytic strategies (e.g., covariate adjustment, propensity score, instrumental variable, etc.). This safeguard is considered present if there </w:t>
            </w:r>
            <w:r w:rsidRPr="000C3082">
              <w:rPr>
                <w:rFonts w:ascii="Arial" w:eastAsia="Times New Roman" w:hAnsi="Arial" w:cs="Arial"/>
                <w:color w:val="222222"/>
                <w:lang w:eastAsia="en-NZ"/>
              </w:rPr>
              <w:lastRenderedPageBreak/>
              <w:t>were analytic strategies in place to avoid confounding by key important variables, or analytic strategies to adjust for confounding were not required. Analytic strategies should also be in place to avoid confounding by indication if this is an observational study or if it is a non-randomized trial (randomized trials are exempt from confounding by indication).</w:t>
            </w:r>
          </w:p>
          <w:p w14:paraId="1B032DDB"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6402E886" w14:textId="77777777" w:rsidR="0010143C" w:rsidRPr="000C3082" w:rsidRDefault="0010143C" w:rsidP="00456F86">
            <w:pPr>
              <w:rPr>
                <w:rFonts w:ascii="Calibri" w:hAnsi="Calibri" w:cs="Calibri"/>
              </w:rPr>
            </w:pPr>
            <w:r>
              <w:rPr>
                <w:rFonts w:ascii="Arial" w:eastAsia="Times New Roman" w:hAnsi="Arial" w:cs="Arial"/>
                <w:color w:val="222222"/>
                <w:lang w:eastAsia="en-NZ"/>
              </w:rPr>
              <w:lastRenderedPageBreak/>
              <w:t>This safeguard was met if they adjusted for confounding using an appropriate method.</w:t>
            </w:r>
          </w:p>
        </w:tc>
        <w:tc>
          <w:tcPr>
            <w:tcW w:w="1195" w:type="dxa"/>
          </w:tcPr>
          <w:p w14:paraId="5E9F3ED6"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24</w:t>
            </w:r>
          </w:p>
        </w:tc>
      </w:tr>
      <w:tr w:rsidR="0010143C" w14:paraId="4F027442" w14:textId="77777777" w:rsidTr="00456F86">
        <w:tc>
          <w:tcPr>
            <w:tcW w:w="6483" w:type="dxa"/>
          </w:tcPr>
          <w:p w14:paraId="42D9762A"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24. Key confounders addressed through design or analysis were not common effects of exposure and outcome</w:t>
            </w:r>
          </w:p>
          <w:p w14:paraId="2B96FAB5"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refers to the method of selection of key confounders and is considered absent if adjustments were made for “collected variables” but there was no justification for their confounder status (e.g. from the literature or through a DAG). To be a confounder, the variable must be a common cause of exposure and outcome and must NOT be a common effect of exposure and outcome</w:t>
            </w:r>
          </w:p>
          <w:p w14:paraId="5A1CB63D"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1A881CC0"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 xml:space="preserve">This safeguard was unmet if they adjusted for confounders that were known to be common effects of both CA and the outcome. </w:t>
            </w:r>
          </w:p>
          <w:p w14:paraId="72C3BC60" w14:textId="77777777" w:rsidR="0010143C" w:rsidRPr="000C3082"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 xml:space="preserve">It was marked as met if all confounders were measured before both CA and the outcome were measured. </w:t>
            </w:r>
          </w:p>
          <w:p w14:paraId="5A1EABC7" w14:textId="77777777" w:rsidR="0010143C" w:rsidRPr="000C3082" w:rsidRDefault="0010143C" w:rsidP="00456F86">
            <w:pPr>
              <w:rPr>
                <w:rFonts w:ascii="Calibri" w:hAnsi="Calibri" w:cs="Calibri"/>
              </w:rPr>
            </w:pPr>
          </w:p>
        </w:tc>
        <w:tc>
          <w:tcPr>
            <w:tcW w:w="1195" w:type="dxa"/>
          </w:tcPr>
          <w:p w14:paraId="65B0E9B3"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22</w:t>
            </w:r>
          </w:p>
        </w:tc>
      </w:tr>
      <w:tr w:rsidR="0010143C" w14:paraId="6421ADA3" w14:textId="77777777" w:rsidTr="00456F86">
        <w:tc>
          <w:tcPr>
            <w:tcW w:w="6483" w:type="dxa"/>
          </w:tcPr>
          <w:p w14:paraId="2C32E7F6"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25. Key baseline characteristics / prognostic indicators for the study were comparable across groups</w:t>
            </w:r>
          </w:p>
          <w:p w14:paraId="37F995FE"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 distribution of relevant baseline characteristics across groups were balanced at the start of the study. The number and type of baseline characteristics are dependent on the research question. Baseline characteristics are found in the table or text.</w:t>
            </w:r>
          </w:p>
          <w:p w14:paraId="7CFC1201"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6D4B9D4E" w14:textId="77777777" w:rsidR="0010143C" w:rsidRPr="000C3082" w:rsidRDefault="0010143C" w:rsidP="00456F86">
            <w:pPr>
              <w:rPr>
                <w:rFonts w:ascii="Calibri" w:hAnsi="Calibri" w:cs="Calibri"/>
              </w:rPr>
            </w:pPr>
            <w:r>
              <w:rPr>
                <w:rFonts w:ascii="Arial" w:eastAsia="Times New Roman" w:hAnsi="Arial" w:cs="Arial"/>
                <w:color w:val="222222"/>
                <w:lang w:eastAsia="en-NZ"/>
              </w:rPr>
              <w:t>This safeguard was not applicable, and was always unmet.</w:t>
            </w:r>
            <w:r w:rsidRPr="000C3082">
              <w:rPr>
                <w:rFonts w:ascii="Calibri" w:hAnsi="Calibri" w:cs="Calibri"/>
              </w:rPr>
              <w:t xml:space="preserve"> </w:t>
            </w:r>
          </w:p>
        </w:tc>
        <w:tc>
          <w:tcPr>
            <w:tcW w:w="1195" w:type="dxa"/>
          </w:tcPr>
          <w:p w14:paraId="08DEBDBD"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0</w:t>
            </w:r>
          </w:p>
        </w:tc>
      </w:tr>
      <w:tr w:rsidR="0010143C" w14:paraId="544ECEC1" w14:textId="77777777" w:rsidTr="00456F86">
        <w:tc>
          <w:tcPr>
            <w:tcW w:w="6483" w:type="dxa"/>
          </w:tcPr>
          <w:p w14:paraId="7B0F25F8"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26. Participants were randomly allocated to groups with an adequate randomization process</w:t>
            </w:r>
          </w:p>
          <w:p w14:paraId="0F30A08B"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only present in randomized experiments and is considered present if the allocation sequence to assign participants to groups was adequately generated to be at random. If participants were their own control, then treatment</w:t>
            </w:r>
          </w:p>
          <w:p w14:paraId="578BBB4D"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order should have been randomized. A random number table or random number generator performed by computer, a coin toss or shuffling cards is acceptable. Methods such as sequence generated by odd or even date of birth or sequence</w:t>
            </w:r>
          </w:p>
          <w:p w14:paraId="269D6BC4"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lastRenderedPageBreak/>
              <w:t>generated by other similar rules do not meet this safeguard definition.</w:t>
            </w:r>
          </w:p>
          <w:p w14:paraId="003BFC2C"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1845DFC8" w14:textId="77777777" w:rsidR="0010143C" w:rsidRPr="000C3082" w:rsidRDefault="0010143C" w:rsidP="00456F86">
            <w:pPr>
              <w:rPr>
                <w:rFonts w:ascii="Calibri" w:hAnsi="Calibri" w:cs="Calibri"/>
              </w:rPr>
            </w:pPr>
            <w:r>
              <w:rPr>
                <w:rFonts w:ascii="Arial" w:eastAsia="Times New Roman" w:hAnsi="Arial" w:cs="Arial"/>
                <w:color w:val="222222"/>
                <w:lang w:eastAsia="en-NZ"/>
              </w:rPr>
              <w:lastRenderedPageBreak/>
              <w:t>This safeguard was not applicable, and was always unmet.</w:t>
            </w:r>
            <w:r w:rsidRPr="000C3082">
              <w:rPr>
                <w:rFonts w:ascii="Calibri" w:hAnsi="Calibri" w:cs="Calibri"/>
              </w:rPr>
              <w:t xml:space="preserve">  </w:t>
            </w:r>
          </w:p>
        </w:tc>
        <w:tc>
          <w:tcPr>
            <w:tcW w:w="1195" w:type="dxa"/>
          </w:tcPr>
          <w:p w14:paraId="4BA6AD2F"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0</w:t>
            </w:r>
          </w:p>
        </w:tc>
      </w:tr>
      <w:tr w:rsidR="0010143C" w14:paraId="684147D0" w14:textId="77777777" w:rsidTr="00456F86">
        <w:tc>
          <w:tcPr>
            <w:tcW w:w="6483" w:type="dxa"/>
          </w:tcPr>
          <w:p w14:paraId="6E5E96A1"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27. Allocation procedure was adequately concealed</w:t>
            </w:r>
          </w:p>
          <w:p w14:paraId="3DC59A7F"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 allocation procedure used to assign participants to intervention/ exposure and control groups prevents participants and investigators foreseeing the treatment assignments. Allocation concealment may be adequate if it was performed by use of centralized randomization, opaque sealed envelopes, numbered or coded devices. If the method is described but inadequate (e.g., use of open allocation schedule, unsealed or non-opaque envelopes, date of birth of participants etc.) then participants and investigators may be able to foresee group assignment and this safeguard is considered absent.</w:t>
            </w:r>
          </w:p>
          <w:p w14:paraId="60C4C54A"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77D188D6" w14:textId="77777777" w:rsidR="0010143C" w:rsidRPr="000C3082" w:rsidRDefault="0010143C" w:rsidP="00456F86">
            <w:pPr>
              <w:rPr>
                <w:rFonts w:ascii="Calibri" w:hAnsi="Calibri" w:cs="Calibri"/>
              </w:rPr>
            </w:pPr>
            <w:r>
              <w:rPr>
                <w:rFonts w:ascii="Arial" w:eastAsia="Times New Roman" w:hAnsi="Arial" w:cs="Arial"/>
                <w:color w:val="222222"/>
                <w:lang w:eastAsia="en-NZ"/>
              </w:rPr>
              <w:t>This safeguard was not applicable, and was always unmet.</w:t>
            </w:r>
          </w:p>
        </w:tc>
        <w:tc>
          <w:tcPr>
            <w:tcW w:w="1195" w:type="dxa"/>
          </w:tcPr>
          <w:p w14:paraId="3C7B7B98"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0</w:t>
            </w:r>
          </w:p>
        </w:tc>
      </w:tr>
      <w:tr w:rsidR="0010143C" w14:paraId="3CC4122C" w14:textId="77777777" w:rsidTr="00456F86">
        <w:tc>
          <w:tcPr>
            <w:tcW w:w="6483" w:type="dxa"/>
          </w:tcPr>
          <w:p w14:paraId="2B6CEF59"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28. Conflict of interests were declared and absent</w:t>
            </w:r>
          </w:p>
          <w:p w14:paraId="0D26FBAF"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Conflict of interests usually represents bias in favor of the intervention (e.g., drug companies running or funding clinicaltrials). This safeguard is considered present if conflict of interests were not deemed to be an important issue. Conflicts of interest exist when professional judgment concerning a primary interest (such as validity of research) may be influenced by a secondary interest (such as financial gain or personal relationships). This can be looked for by assessing relationships between authors and interventions which may be indicated in the beginning or end of the article text (sometimes beneath the references) and also by checking the author names and funding sources or affiliations (e.g., there may be no funding source for the study but the author works for the drug company).</w:t>
            </w:r>
          </w:p>
          <w:p w14:paraId="2B920D97"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1D20295B" w14:textId="77777777" w:rsidR="0010143C" w:rsidRPr="000C3082"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This safeguard was marked as met if</w:t>
            </w:r>
            <w:r w:rsidRPr="000C3082">
              <w:rPr>
                <w:rFonts w:ascii="Arial" w:eastAsia="Times New Roman" w:hAnsi="Arial" w:cs="Arial"/>
                <w:color w:val="222222"/>
                <w:lang w:eastAsia="en-NZ"/>
              </w:rPr>
              <w:t xml:space="preserve"> they explicitly stated that no conflicts of interest are present. </w:t>
            </w:r>
          </w:p>
          <w:p w14:paraId="75DF572E" w14:textId="77777777" w:rsidR="0010143C" w:rsidRPr="000C3082" w:rsidRDefault="0010143C" w:rsidP="00456F86">
            <w:pPr>
              <w:rPr>
                <w:rFonts w:ascii="Calibri" w:hAnsi="Calibri" w:cs="Calibri"/>
              </w:rPr>
            </w:pPr>
          </w:p>
        </w:tc>
        <w:tc>
          <w:tcPr>
            <w:tcW w:w="1195" w:type="dxa"/>
          </w:tcPr>
          <w:p w14:paraId="142078B9"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14</w:t>
            </w:r>
          </w:p>
        </w:tc>
      </w:tr>
      <w:tr w:rsidR="0010143C" w14:paraId="18B5F8FE" w14:textId="77777777" w:rsidTr="00456F86">
        <w:tc>
          <w:tcPr>
            <w:tcW w:w="6483" w:type="dxa"/>
          </w:tcPr>
          <w:p w14:paraId="48F9E7F8"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 xml:space="preserve">Sufficient analysis </w:t>
            </w:r>
          </w:p>
        </w:tc>
        <w:tc>
          <w:tcPr>
            <w:tcW w:w="6270" w:type="dxa"/>
          </w:tcPr>
          <w:p w14:paraId="3644E199" w14:textId="77777777" w:rsidR="0010143C" w:rsidRPr="000C3082" w:rsidRDefault="0010143C" w:rsidP="00456F86">
            <w:pPr>
              <w:rPr>
                <w:rFonts w:ascii="Calibri" w:hAnsi="Calibri" w:cs="Calibri"/>
              </w:rPr>
            </w:pPr>
          </w:p>
        </w:tc>
        <w:tc>
          <w:tcPr>
            <w:tcW w:w="1195" w:type="dxa"/>
          </w:tcPr>
          <w:p w14:paraId="0B8F6F85" w14:textId="77777777" w:rsidR="0010143C" w:rsidRPr="000C3082" w:rsidRDefault="0010143C" w:rsidP="00456F86">
            <w:pPr>
              <w:rPr>
                <w:rFonts w:ascii="Calibri" w:hAnsi="Calibri" w:cs="Calibri"/>
              </w:rPr>
            </w:pPr>
          </w:p>
        </w:tc>
      </w:tr>
      <w:tr w:rsidR="0010143C" w14:paraId="747CFEDC" w14:textId="77777777" w:rsidTr="00456F86">
        <w:tc>
          <w:tcPr>
            <w:tcW w:w="6483" w:type="dxa"/>
          </w:tcPr>
          <w:p w14:paraId="181DDA2E"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29. Analytic method was justified by study design or data requirements</w:t>
            </w:r>
          </w:p>
          <w:p w14:paraId="4C47C923"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lastRenderedPageBreak/>
              <w:t>This safeguard would be absent if, for example, relative risk was used in a case-control design, or cross-over designs or cluster designs were properly handled etc. This safeguard also protects against violated assumptions, multicollinearity,</w:t>
            </w:r>
          </w:p>
          <w:p w14:paraId="78FC26EB"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misspecification errors, unit of analysis errors, poor approaches to sensitivity analysis, and interactions that were not considered. Justification for the choice of model should be given and appropriate if it is not a standard approach for the</w:t>
            </w:r>
          </w:p>
          <w:p w14:paraId="7C6DF217"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study design.</w:t>
            </w:r>
          </w:p>
          <w:p w14:paraId="20ED4BC7"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4A80C8AA" w14:textId="77777777" w:rsidR="0010143C" w:rsidRPr="000C3082" w:rsidRDefault="0010143C" w:rsidP="00456F86">
            <w:pPr>
              <w:rPr>
                <w:rFonts w:ascii="Calibri" w:hAnsi="Calibri" w:cs="Calibri"/>
              </w:rPr>
            </w:pPr>
            <w:r>
              <w:rPr>
                <w:rFonts w:ascii="Arial" w:eastAsia="Times New Roman" w:hAnsi="Arial" w:cs="Arial"/>
                <w:color w:val="222222"/>
                <w:lang w:eastAsia="en-NZ"/>
              </w:rPr>
              <w:lastRenderedPageBreak/>
              <w:t>This safeguard was met if the analytic method was appropriate for the research question.</w:t>
            </w:r>
          </w:p>
        </w:tc>
        <w:tc>
          <w:tcPr>
            <w:tcW w:w="1195" w:type="dxa"/>
          </w:tcPr>
          <w:p w14:paraId="499F0483"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28</w:t>
            </w:r>
          </w:p>
        </w:tc>
      </w:tr>
      <w:tr w:rsidR="0010143C" w14:paraId="3850C0F5" w14:textId="77777777" w:rsidTr="00456F86">
        <w:tc>
          <w:tcPr>
            <w:tcW w:w="6483" w:type="dxa"/>
          </w:tcPr>
          <w:p w14:paraId="7A4A45FD"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30. Computation errors or contradictions were absent</w:t>
            </w:r>
          </w:p>
          <w:p w14:paraId="0E6BF5B9"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 analyses and text or tables were free of any computational errors or contradictions. Computational errors or contradictions can be checked by looking at whether the statistical analysis of numbers was correct (whether the numbers add up), errors that invalidate the results were avoided, and the data analysis was credible for the analysis to be deemed sufficient.</w:t>
            </w:r>
          </w:p>
          <w:p w14:paraId="5EBE6298"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48D93763" w14:textId="77777777" w:rsidR="0010143C" w:rsidRPr="000C3082"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This safeguard was unmet if there were any discrepancies between statistics reported in the body of the paper and in the tables.</w:t>
            </w:r>
          </w:p>
          <w:p w14:paraId="502EA675" w14:textId="77777777" w:rsidR="0010143C" w:rsidRPr="000C3082" w:rsidRDefault="0010143C" w:rsidP="00456F86">
            <w:pPr>
              <w:rPr>
                <w:rFonts w:ascii="Calibri" w:hAnsi="Calibri" w:cs="Calibri"/>
              </w:rPr>
            </w:pPr>
          </w:p>
        </w:tc>
        <w:tc>
          <w:tcPr>
            <w:tcW w:w="1195" w:type="dxa"/>
          </w:tcPr>
          <w:p w14:paraId="28B4BA03"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28</w:t>
            </w:r>
          </w:p>
        </w:tc>
      </w:tr>
      <w:tr w:rsidR="0010143C" w14:paraId="05C140BD" w14:textId="77777777" w:rsidTr="00456F86">
        <w:tc>
          <w:tcPr>
            <w:tcW w:w="6483" w:type="dxa"/>
          </w:tcPr>
          <w:p w14:paraId="0D0755DE"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31. There was no discernible data dredging or selective reporting of the outcomes</w:t>
            </w:r>
          </w:p>
          <w:p w14:paraId="6D75D779"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Data dredging is present when data are analyzed ad hoc in many ways seeking any possible relationships between data. Selective outcome reporting occurs when the primary outcomes of a trial protocol are changed or omitted in the paper.</w:t>
            </w:r>
          </w:p>
          <w:p w14:paraId="5CD83524"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there was no data-dredging or selective reporting of the outcomes. This can be assessed by checking the outcomes were specified a priori and are relevant to the study hypothesis. The analysis must</w:t>
            </w:r>
          </w:p>
          <w:p w14:paraId="6D7B8D67"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 xml:space="preserve">begin with a hypothesis that specifies the outcomes before data are available for analysis (often found in a study protocol) and then follows with an examination of the data. Data dredging or selective reporting of the outcomes may have occurred if the outcome being assessed was likely to have been selected from multiple outcome measurements, relevant outcomes were </w:t>
            </w:r>
            <w:r w:rsidRPr="000C3082">
              <w:rPr>
                <w:rFonts w:ascii="Arial" w:eastAsia="Times New Roman" w:hAnsi="Arial" w:cs="Arial"/>
                <w:color w:val="222222"/>
                <w:lang w:eastAsia="en-NZ"/>
              </w:rPr>
              <w:lastRenderedPageBreak/>
              <w:t>omitted, outcomes were not directly related to the hypothesis, there were multiple analyses of the data, multiple or ad-hoc subgroup analyses, subgroups were defined in unusual ways, analyses were selected from a larger cohort of data, or the decision to validate a study’s result was dependent on the findings of the study.</w:t>
            </w:r>
          </w:p>
          <w:p w14:paraId="37EC94C4"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0A13EFDC"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lastRenderedPageBreak/>
              <w:t>This safeguard was met if they reported results for all analyses they proposed in their methods.</w:t>
            </w:r>
          </w:p>
          <w:p w14:paraId="39E5776E" w14:textId="77777777" w:rsidR="0010143C" w:rsidRPr="000C3082"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This safeguard was unmet if there were</w:t>
            </w:r>
            <w:r w:rsidRPr="000C3082">
              <w:rPr>
                <w:rFonts w:ascii="Arial" w:eastAsia="Times New Roman" w:hAnsi="Arial" w:cs="Arial"/>
                <w:color w:val="222222"/>
                <w:lang w:eastAsia="en-NZ"/>
              </w:rPr>
              <w:t xml:space="preserve"> additional analyses after the main analysis </w:t>
            </w:r>
            <w:r>
              <w:rPr>
                <w:rFonts w:ascii="Arial" w:eastAsia="Times New Roman" w:hAnsi="Arial" w:cs="Arial"/>
                <w:color w:val="222222"/>
                <w:lang w:eastAsia="en-NZ"/>
              </w:rPr>
              <w:t>that influenced</w:t>
            </w:r>
            <w:r w:rsidRPr="000C3082">
              <w:rPr>
                <w:rFonts w:ascii="Arial" w:eastAsia="Times New Roman" w:hAnsi="Arial" w:cs="Arial"/>
                <w:color w:val="222222"/>
                <w:lang w:eastAsia="en-NZ"/>
              </w:rPr>
              <w:t xml:space="preserve"> the result of </w:t>
            </w:r>
            <w:r>
              <w:rPr>
                <w:rFonts w:ascii="Arial" w:eastAsia="Times New Roman" w:hAnsi="Arial" w:cs="Arial"/>
                <w:color w:val="222222"/>
                <w:lang w:eastAsia="en-NZ"/>
              </w:rPr>
              <w:t>the main</w:t>
            </w:r>
            <w:r w:rsidRPr="000C3082">
              <w:rPr>
                <w:rFonts w:ascii="Arial" w:eastAsia="Times New Roman" w:hAnsi="Arial" w:cs="Arial"/>
                <w:color w:val="222222"/>
                <w:lang w:eastAsia="en-NZ"/>
              </w:rPr>
              <w:t xml:space="preserve"> analysis.</w:t>
            </w:r>
            <w:r>
              <w:rPr>
                <w:rFonts w:ascii="Arial" w:eastAsia="Times New Roman" w:hAnsi="Arial" w:cs="Arial"/>
                <w:color w:val="222222"/>
                <w:lang w:eastAsia="en-NZ"/>
              </w:rPr>
              <w:t xml:space="preserve">  </w:t>
            </w:r>
          </w:p>
          <w:p w14:paraId="33238CC1" w14:textId="77777777" w:rsidR="0010143C" w:rsidRPr="000C3082" w:rsidRDefault="0010143C" w:rsidP="00456F86">
            <w:pPr>
              <w:rPr>
                <w:rFonts w:ascii="Calibri" w:hAnsi="Calibri" w:cs="Calibri"/>
              </w:rPr>
            </w:pPr>
          </w:p>
        </w:tc>
        <w:tc>
          <w:tcPr>
            <w:tcW w:w="1195" w:type="dxa"/>
          </w:tcPr>
          <w:p w14:paraId="75DBA120"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28</w:t>
            </w:r>
          </w:p>
        </w:tc>
      </w:tr>
      <w:tr w:rsidR="0010143C" w14:paraId="335F8421" w14:textId="77777777" w:rsidTr="00456F86">
        <w:tc>
          <w:tcPr>
            <w:tcW w:w="6483" w:type="dxa"/>
          </w:tcPr>
          <w:p w14:paraId="61DD4CBA"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Temporal Precedence</w:t>
            </w:r>
          </w:p>
        </w:tc>
        <w:tc>
          <w:tcPr>
            <w:tcW w:w="6270" w:type="dxa"/>
          </w:tcPr>
          <w:p w14:paraId="01D57303" w14:textId="77777777" w:rsidR="0010143C" w:rsidRPr="000C3082" w:rsidRDefault="0010143C" w:rsidP="00456F86">
            <w:pPr>
              <w:shd w:val="clear" w:color="auto" w:fill="FFFFFF"/>
              <w:rPr>
                <w:rFonts w:ascii="Arial" w:eastAsia="Times New Roman" w:hAnsi="Arial" w:cs="Arial"/>
                <w:color w:val="222222"/>
                <w:lang w:eastAsia="en-NZ"/>
              </w:rPr>
            </w:pPr>
          </w:p>
        </w:tc>
        <w:tc>
          <w:tcPr>
            <w:tcW w:w="1195" w:type="dxa"/>
          </w:tcPr>
          <w:p w14:paraId="74A9DBBB" w14:textId="77777777" w:rsidR="0010143C" w:rsidRPr="000C3082" w:rsidRDefault="0010143C" w:rsidP="00456F86">
            <w:pPr>
              <w:shd w:val="clear" w:color="auto" w:fill="FFFFFF"/>
              <w:rPr>
                <w:rFonts w:ascii="Arial" w:eastAsia="Times New Roman" w:hAnsi="Arial" w:cs="Arial"/>
                <w:color w:val="222222"/>
                <w:lang w:eastAsia="en-NZ"/>
              </w:rPr>
            </w:pPr>
          </w:p>
        </w:tc>
      </w:tr>
      <w:tr w:rsidR="0010143C" w14:paraId="52EC0F3F" w14:textId="77777777" w:rsidTr="00456F86">
        <w:tc>
          <w:tcPr>
            <w:tcW w:w="6483" w:type="dxa"/>
          </w:tcPr>
          <w:p w14:paraId="725CC5D2"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32. All subjects were selected prior to intervention/ exposure and evaluated prospectively</w:t>
            </w:r>
          </w:p>
          <w:p w14:paraId="6C1DEF57"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subjects were selected (or not excluded) before the intervention/ exposure began and was evaluated prospectively. This safeguard is applicable to experimental and retrospective/ prospective cohort study designs and nested case-control designs. It captures a prospective sequence of exposure to outcome whereby data from the intervention/ exposed and control/ nonexposed groups are collected and followed concurrently. A prospective sequence may not be applicable for certain designs, such as classic case-control or cross-sectional study designs and hence this safeguard is deemed to be absent by default.</w:t>
            </w:r>
          </w:p>
          <w:p w14:paraId="5373C5BB"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1B756AC8" w14:textId="77777777" w:rsidR="0010143C" w:rsidRPr="000C3082"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 xml:space="preserve">This safeguard was met if data on all variables of interest was collected prospectively. It was unmet if data was collected retrospectively. </w:t>
            </w:r>
          </w:p>
          <w:p w14:paraId="028E37F4" w14:textId="77777777" w:rsidR="0010143C" w:rsidRPr="000C3082" w:rsidRDefault="0010143C" w:rsidP="00456F86">
            <w:pPr>
              <w:rPr>
                <w:rFonts w:ascii="Calibri" w:hAnsi="Calibri" w:cs="Calibri"/>
              </w:rPr>
            </w:pPr>
          </w:p>
        </w:tc>
        <w:tc>
          <w:tcPr>
            <w:tcW w:w="1195" w:type="dxa"/>
          </w:tcPr>
          <w:p w14:paraId="25052F15"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7</w:t>
            </w:r>
          </w:p>
        </w:tc>
      </w:tr>
      <w:tr w:rsidR="0010143C" w14:paraId="618A66BC" w14:textId="77777777" w:rsidTr="00456F86">
        <w:tc>
          <w:tcPr>
            <w:tcW w:w="6483" w:type="dxa"/>
          </w:tcPr>
          <w:p w14:paraId="4511D3D4"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33. Carry-over or refractory effects were avoided or considered in the design of the study or were not relevant</w:t>
            </w:r>
          </w:p>
          <w:p w14:paraId="57F85417"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 xml:space="preserve">This safeguard is considered present if there were no carry over effects from interventions prior to the start of the study (e.g., there was a long enough refractory period to separate the effects of different interventions). Carry-over effects occur in within-subject research designs, such as cross-over trials, and dose-response studies, dose-titration studies, and open-evaluation studies. They may also occur in a randomized trial if the intervention groups were randomized by continuation / discontinuation of previous treatments. Carry-over effects can occur due to fatigue, habituation, sensitization, and adaptation. Methods to overcome carry-over effects that can be looked for </w:t>
            </w:r>
            <w:r w:rsidRPr="000C3082">
              <w:rPr>
                <w:rFonts w:ascii="Arial" w:eastAsia="Times New Roman" w:hAnsi="Arial" w:cs="Arial"/>
                <w:color w:val="222222"/>
                <w:lang w:eastAsia="en-NZ"/>
              </w:rPr>
              <w:lastRenderedPageBreak/>
              <w:t>in the reported article are counterbalancing (interventions are given in different orders for different participants and carry-over effects will cancel each other out) and including treatment order as an independent variable in the analysis to measure the size of the carry-over effect.</w:t>
            </w:r>
          </w:p>
          <w:p w14:paraId="6CBEDBA8"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70FDAC0C"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lastRenderedPageBreak/>
              <w:t xml:space="preserve">This safeguard was met if the mediator and outcome were conceptually distinct. </w:t>
            </w:r>
          </w:p>
          <w:p w14:paraId="4EBE377A" w14:textId="77777777" w:rsidR="0010143C" w:rsidRPr="000C3082" w:rsidRDefault="0010143C" w:rsidP="00456F86">
            <w:pPr>
              <w:shd w:val="clear" w:color="auto" w:fill="FFFFFF"/>
              <w:rPr>
                <w:rFonts w:ascii="Calibri" w:hAnsi="Calibri" w:cs="Calibri"/>
              </w:rPr>
            </w:pPr>
          </w:p>
        </w:tc>
        <w:tc>
          <w:tcPr>
            <w:tcW w:w="1195" w:type="dxa"/>
          </w:tcPr>
          <w:p w14:paraId="72632B8B"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24</w:t>
            </w:r>
          </w:p>
        </w:tc>
      </w:tr>
      <w:tr w:rsidR="0010143C" w14:paraId="585DDCE7" w14:textId="77777777" w:rsidTr="00456F86">
        <w:tc>
          <w:tcPr>
            <w:tcW w:w="6483" w:type="dxa"/>
          </w:tcPr>
          <w:p w14:paraId="1594223A"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34. The intervention/ exposure period was long enough to have influenced the study outcome</w:t>
            </w:r>
          </w:p>
          <w:p w14:paraId="6EF1BC12"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 intervention/ exposure period is temporally sufficient to have affected or influenced the outcome (e.g., smoking for a few weeks is unlikely to influence lung cancer).</w:t>
            </w:r>
          </w:p>
          <w:p w14:paraId="4AC8F6CC"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1AB0DE7B" w14:textId="77777777" w:rsidR="0010143C" w:rsidRPr="000C3082"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This safeguard was met if there was an appropriate time passed between CA and the mediator. This depends on what constructs were measured.</w:t>
            </w:r>
          </w:p>
          <w:p w14:paraId="0E53DD84" w14:textId="77777777" w:rsidR="0010143C" w:rsidRPr="000C3082" w:rsidRDefault="0010143C" w:rsidP="00456F86">
            <w:pPr>
              <w:rPr>
                <w:rFonts w:ascii="Calibri" w:hAnsi="Calibri" w:cs="Calibri"/>
              </w:rPr>
            </w:pPr>
          </w:p>
        </w:tc>
        <w:tc>
          <w:tcPr>
            <w:tcW w:w="1195" w:type="dxa"/>
          </w:tcPr>
          <w:p w14:paraId="4265D9B5"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27</w:t>
            </w:r>
          </w:p>
        </w:tc>
      </w:tr>
      <w:tr w:rsidR="0010143C" w14:paraId="31150C30" w14:textId="77777777" w:rsidTr="00456F86">
        <w:tc>
          <w:tcPr>
            <w:tcW w:w="6483" w:type="dxa"/>
          </w:tcPr>
          <w:p w14:paraId="23F07631"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35. Dose of intervention/ exposure was sufficient to influence the outcome</w:t>
            </w:r>
          </w:p>
          <w:p w14:paraId="5AF2FB55"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This safeguard is considered present if the dose of intervention/ exposure can reasonably be temporally related to an outcome (e.g., NSAID at low dosage and frequency in relation to future kidney injury) or a dose-response relationship</w:t>
            </w:r>
          </w:p>
          <w:p w14:paraId="36A0DB4C"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was documented.</w:t>
            </w:r>
          </w:p>
          <w:p w14:paraId="5409D045"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1787C2DB" w14:textId="77777777" w:rsidR="0010143C" w:rsidRPr="000C3082" w:rsidRDefault="0010143C" w:rsidP="00456F86">
            <w:pPr>
              <w:rPr>
                <w:rFonts w:ascii="Calibri" w:hAnsi="Calibri" w:cs="Calibri"/>
              </w:rPr>
            </w:pPr>
            <w:r>
              <w:rPr>
                <w:rFonts w:ascii="Arial" w:eastAsia="Times New Roman" w:hAnsi="Arial" w:cs="Arial"/>
                <w:color w:val="222222"/>
                <w:lang w:eastAsia="en-NZ"/>
              </w:rPr>
              <w:t>This safeguard was not applicable, and was always unmet.</w:t>
            </w:r>
          </w:p>
        </w:tc>
        <w:tc>
          <w:tcPr>
            <w:tcW w:w="1195" w:type="dxa"/>
          </w:tcPr>
          <w:p w14:paraId="4E4B1297" w14:textId="77777777" w:rsidR="0010143C" w:rsidRDefault="0010143C" w:rsidP="00456F86">
            <w:pPr>
              <w:rPr>
                <w:rFonts w:ascii="Arial" w:eastAsia="Times New Roman" w:hAnsi="Arial" w:cs="Arial"/>
                <w:color w:val="222222"/>
                <w:lang w:eastAsia="en-NZ"/>
              </w:rPr>
            </w:pPr>
            <w:r>
              <w:rPr>
                <w:rFonts w:ascii="Arial" w:eastAsia="Times New Roman" w:hAnsi="Arial" w:cs="Arial"/>
                <w:color w:val="222222"/>
                <w:lang w:eastAsia="en-NZ"/>
              </w:rPr>
              <w:t>0</w:t>
            </w:r>
          </w:p>
        </w:tc>
      </w:tr>
      <w:tr w:rsidR="0010143C" w14:paraId="67462D12" w14:textId="77777777" w:rsidTr="00456F86">
        <w:tc>
          <w:tcPr>
            <w:tcW w:w="6483" w:type="dxa"/>
          </w:tcPr>
          <w:p w14:paraId="0F816568" w14:textId="77777777" w:rsidR="0010143C" w:rsidRPr="000C3082" w:rsidRDefault="0010143C" w:rsidP="00456F86">
            <w:pPr>
              <w:shd w:val="clear" w:color="auto" w:fill="FFFFFF"/>
              <w:rPr>
                <w:rFonts w:ascii="Arial" w:eastAsia="Times New Roman" w:hAnsi="Arial" w:cs="Arial"/>
                <w:b/>
                <w:bCs/>
                <w:color w:val="222222"/>
                <w:lang w:eastAsia="en-NZ"/>
              </w:rPr>
            </w:pPr>
            <w:r w:rsidRPr="000C3082">
              <w:rPr>
                <w:rFonts w:ascii="Arial" w:eastAsia="Times New Roman" w:hAnsi="Arial" w:cs="Arial"/>
                <w:b/>
                <w:bCs/>
                <w:color w:val="222222"/>
                <w:lang w:eastAsia="en-NZ"/>
              </w:rPr>
              <w:t>36. Length of follow-up was not too long or too short in relation to the outcome assessment</w:t>
            </w:r>
          </w:p>
          <w:p w14:paraId="721C03B2" w14:textId="77777777" w:rsidR="0010143C" w:rsidRPr="000C3082" w:rsidRDefault="0010143C" w:rsidP="00456F86">
            <w:pPr>
              <w:shd w:val="clear" w:color="auto" w:fill="FFFFFF"/>
              <w:rPr>
                <w:rFonts w:ascii="Arial" w:eastAsia="Times New Roman" w:hAnsi="Arial" w:cs="Arial"/>
                <w:color w:val="222222"/>
                <w:lang w:eastAsia="en-NZ"/>
              </w:rPr>
            </w:pPr>
            <w:r w:rsidRPr="000C3082">
              <w:rPr>
                <w:rFonts w:ascii="Arial" w:eastAsia="Times New Roman" w:hAnsi="Arial" w:cs="Arial"/>
                <w:color w:val="222222"/>
                <w:lang w:eastAsia="en-NZ"/>
              </w:rPr>
              <w:t>The follow-up period determines the temporal relationship between finishing the intervention and outcome assessment. If, for example, a drug was administered for three months and outcome was assessed after a year but there was no expectation that the effect could temporally be expected to continue post discontinuation of intervention and in this situation the safeguard is considered absent. Conversely, if following an exposure like diabetes onset cancer is looked for after 3 months that is clearly an insufficient duration and the safeguard is considered absent</w:t>
            </w:r>
          </w:p>
          <w:p w14:paraId="37C6B75B" w14:textId="77777777" w:rsidR="0010143C" w:rsidRPr="000C3082" w:rsidRDefault="0010143C" w:rsidP="00456F86">
            <w:pPr>
              <w:shd w:val="clear" w:color="auto" w:fill="FFFFFF"/>
              <w:rPr>
                <w:rFonts w:ascii="Arial" w:eastAsia="Times New Roman" w:hAnsi="Arial" w:cs="Arial"/>
                <w:b/>
                <w:bCs/>
                <w:color w:val="222222"/>
                <w:lang w:eastAsia="en-NZ"/>
              </w:rPr>
            </w:pPr>
          </w:p>
        </w:tc>
        <w:tc>
          <w:tcPr>
            <w:tcW w:w="6270" w:type="dxa"/>
          </w:tcPr>
          <w:p w14:paraId="5D74E2EB" w14:textId="77777777" w:rsidR="0010143C" w:rsidRPr="001C21FD"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This safeguard was met if there was appropriate time passed between CA, the mediator and the outcome. This depends on what constructs were measured.</w:t>
            </w:r>
          </w:p>
        </w:tc>
        <w:tc>
          <w:tcPr>
            <w:tcW w:w="1195" w:type="dxa"/>
          </w:tcPr>
          <w:p w14:paraId="68322870" w14:textId="77777777" w:rsidR="0010143C" w:rsidRDefault="0010143C" w:rsidP="00456F86">
            <w:pPr>
              <w:shd w:val="clear" w:color="auto" w:fill="FFFFFF"/>
              <w:rPr>
                <w:rFonts w:ascii="Arial" w:eastAsia="Times New Roman" w:hAnsi="Arial" w:cs="Arial"/>
                <w:color w:val="222222"/>
                <w:lang w:eastAsia="en-NZ"/>
              </w:rPr>
            </w:pPr>
            <w:r>
              <w:rPr>
                <w:rFonts w:ascii="Arial" w:eastAsia="Times New Roman" w:hAnsi="Arial" w:cs="Arial"/>
                <w:color w:val="222222"/>
                <w:lang w:eastAsia="en-NZ"/>
              </w:rPr>
              <w:t>19</w:t>
            </w:r>
          </w:p>
        </w:tc>
      </w:tr>
    </w:tbl>
    <w:p w14:paraId="0A3C0A52" w14:textId="77777777" w:rsidR="0010143C" w:rsidRDefault="0010143C" w:rsidP="0010143C">
      <w:pPr>
        <w:rPr>
          <w:rFonts w:ascii="Calibri" w:hAnsi="Calibri" w:cs="Calibri"/>
        </w:rPr>
        <w:sectPr w:rsidR="0010143C" w:rsidSect="007F150B">
          <w:pgSz w:w="16838" w:h="11906" w:orient="landscape"/>
          <w:pgMar w:top="1440" w:right="1440" w:bottom="1440" w:left="1440" w:header="708" w:footer="708" w:gutter="0"/>
          <w:cols w:space="708"/>
          <w:docGrid w:linePitch="360"/>
        </w:sectPr>
      </w:pPr>
    </w:p>
    <w:p w14:paraId="3C64AC27" w14:textId="77777777" w:rsidR="0010143C" w:rsidRDefault="0010143C" w:rsidP="0010143C">
      <w:pPr>
        <w:rPr>
          <w:rFonts w:ascii="Calibri" w:hAnsi="Calibri" w:cs="Calibri"/>
        </w:rPr>
      </w:pPr>
      <w:r>
        <w:rPr>
          <w:rFonts w:ascii="Calibri" w:hAnsi="Calibri" w:cs="Calibri"/>
        </w:rPr>
        <w:lastRenderedPageBreak/>
        <w:t>Appendix D – GRADE assessment</w:t>
      </w:r>
    </w:p>
    <w:tbl>
      <w:tblPr>
        <w:tblStyle w:val="TableGrid"/>
        <w:tblW w:w="9351" w:type="dxa"/>
        <w:tblLayout w:type="fixed"/>
        <w:tblLook w:val="04A0" w:firstRow="1" w:lastRow="0" w:firstColumn="1" w:lastColumn="0" w:noHBand="0" w:noVBand="1"/>
      </w:tblPr>
      <w:tblGrid>
        <w:gridCol w:w="4248"/>
        <w:gridCol w:w="511"/>
        <w:gridCol w:w="431"/>
        <w:gridCol w:w="338"/>
        <w:gridCol w:w="517"/>
        <w:gridCol w:w="329"/>
        <w:gridCol w:w="567"/>
        <w:gridCol w:w="567"/>
        <w:gridCol w:w="529"/>
        <w:gridCol w:w="1314"/>
      </w:tblGrid>
      <w:tr w:rsidR="0010143C" w14:paraId="3DB27CD3" w14:textId="77777777" w:rsidTr="00456F86">
        <w:tc>
          <w:tcPr>
            <w:tcW w:w="4248" w:type="dxa"/>
          </w:tcPr>
          <w:p w14:paraId="7D2D2F21" w14:textId="77777777" w:rsidR="0010143C" w:rsidRDefault="0010143C" w:rsidP="00456F86">
            <w:pPr>
              <w:rPr>
                <w:lang w:val="en-AU"/>
              </w:rPr>
            </w:pPr>
            <w:r>
              <w:rPr>
                <w:lang w:val="en-AU"/>
              </w:rPr>
              <w:t>Question</w:t>
            </w:r>
          </w:p>
        </w:tc>
        <w:tc>
          <w:tcPr>
            <w:tcW w:w="511" w:type="dxa"/>
          </w:tcPr>
          <w:p w14:paraId="4975F275" w14:textId="77777777" w:rsidR="0010143C" w:rsidRDefault="0010143C" w:rsidP="00456F86">
            <w:pPr>
              <w:rPr>
                <w:lang w:val="en-AU"/>
              </w:rPr>
            </w:pPr>
            <w:r>
              <w:rPr>
                <w:lang w:val="en-AU"/>
              </w:rPr>
              <w:t>1</w:t>
            </w:r>
          </w:p>
        </w:tc>
        <w:tc>
          <w:tcPr>
            <w:tcW w:w="431" w:type="dxa"/>
          </w:tcPr>
          <w:p w14:paraId="4CE35AE1" w14:textId="77777777" w:rsidR="0010143C" w:rsidRDefault="0010143C" w:rsidP="00456F86">
            <w:pPr>
              <w:rPr>
                <w:lang w:val="en-AU"/>
              </w:rPr>
            </w:pPr>
            <w:r>
              <w:rPr>
                <w:lang w:val="en-AU"/>
              </w:rPr>
              <w:t>2</w:t>
            </w:r>
          </w:p>
        </w:tc>
        <w:tc>
          <w:tcPr>
            <w:tcW w:w="338" w:type="dxa"/>
          </w:tcPr>
          <w:p w14:paraId="4922448D" w14:textId="77777777" w:rsidR="0010143C" w:rsidRDefault="0010143C" w:rsidP="00456F86">
            <w:pPr>
              <w:rPr>
                <w:lang w:val="en-AU"/>
              </w:rPr>
            </w:pPr>
            <w:r>
              <w:rPr>
                <w:lang w:val="en-AU"/>
              </w:rPr>
              <w:t>3</w:t>
            </w:r>
          </w:p>
        </w:tc>
        <w:tc>
          <w:tcPr>
            <w:tcW w:w="517" w:type="dxa"/>
          </w:tcPr>
          <w:p w14:paraId="42ACB4C2" w14:textId="77777777" w:rsidR="0010143C" w:rsidRDefault="0010143C" w:rsidP="00456F86">
            <w:pPr>
              <w:rPr>
                <w:lang w:val="en-AU"/>
              </w:rPr>
            </w:pPr>
            <w:r>
              <w:rPr>
                <w:lang w:val="en-AU"/>
              </w:rPr>
              <w:t>4</w:t>
            </w:r>
          </w:p>
        </w:tc>
        <w:tc>
          <w:tcPr>
            <w:tcW w:w="329" w:type="dxa"/>
          </w:tcPr>
          <w:p w14:paraId="769F40A7" w14:textId="77777777" w:rsidR="0010143C" w:rsidRDefault="0010143C" w:rsidP="00456F86">
            <w:pPr>
              <w:rPr>
                <w:lang w:val="en-AU"/>
              </w:rPr>
            </w:pPr>
            <w:r>
              <w:rPr>
                <w:lang w:val="en-AU"/>
              </w:rPr>
              <w:t>5</w:t>
            </w:r>
          </w:p>
        </w:tc>
        <w:tc>
          <w:tcPr>
            <w:tcW w:w="567" w:type="dxa"/>
          </w:tcPr>
          <w:p w14:paraId="56804020" w14:textId="77777777" w:rsidR="0010143C" w:rsidRDefault="0010143C" w:rsidP="00456F86">
            <w:pPr>
              <w:rPr>
                <w:lang w:val="en-AU"/>
              </w:rPr>
            </w:pPr>
            <w:r>
              <w:rPr>
                <w:lang w:val="en-AU"/>
              </w:rPr>
              <w:t>6</w:t>
            </w:r>
          </w:p>
        </w:tc>
        <w:tc>
          <w:tcPr>
            <w:tcW w:w="567" w:type="dxa"/>
          </w:tcPr>
          <w:p w14:paraId="1128F667" w14:textId="77777777" w:rsidR="0010143C" w:rsidRDefault="0010143C" w:rsidP="00456F86">
            <w:pPr>
              <w:rPr>
                <w:lang w:val="en-AU"/>
              </w:rPr>
            </w:pPr>
            <w:r>
              <w:rPr>
                <w:lang w:val="en-AU"/>
              </w:rPr>
              <w:t>7</w:t>
            </w:r>
          </w:p>
        </w:tc>
        <w:tc>
          <w:tcPr>
            <w:tcW w:w="529" w:type="dxa"/>
          </w:tcPr>
          <w:p w14:paraId="6B817AAC" w14:textId="77777777" w:rsidR="0010143C" w:rsidRDefault="0010143C" w:rsidP="00456F86">
            <w:pPr>
              <w:rPr>
                <w:lang w:val="en-AU"/>
              </w:rPr>
            </w:pPr>
            <w:r>
              <w:rPr>
                <w:lang w:val="en-AU"/>
              </w:rPr>
              <w:t>8</w:t>
            </w:r>
          </w:p>
        </w:tc>
        <w:tc>
          <w:tcPr>
            <w:tcW w:w="1314" w:type="dxa"/>
          </w:tcPr>
          <w:p w14:paraId="614C0D98" w14:textId="77777777" w:rsidR="0010143C" w:rsidRDefault="0010143C" w:rsidP="00456F86">
            <w:pPr>
              <w:rPr>
                <w:lang w:val="en-AU"/>
              </w:rPr>
            </w:pPr>
            <w:r>
              <w:rPr>
                <w:lang w:val="en-AU"/>
              </w:rPr>
              <w:t>Overall</w:t>
            </w:r>
          </w:p>
        </w:tc>
      </w:tr>
      <w:tr w:rsidR="0010143C" w14:paraId="7100F7FD" w14:textId="77777777" w:rsidTr="00456F86">
        <w:tc>
          <w:tcPr>
            <w:tcW w:w="4248" w:type="dxa"/>
          </w:tcPr>
          <w:p w14:paraId="036B871E" w14:textId="77777777" w:rsidR="0010143C" w:rsidRDefault="0010143C" w:rsidP="00456F86">
            <w:pPr>
              <w:rPr>
                <w:lang w:val="en-AU"/>
              </w:rPr>
            </w:pPr>
            <w:r w:rsidRPr="00BA5596">
              <w:t>social support (6 papers)</w:t>
            </w:r>
            <w:r>
              <w:t xml:space="preserve"> mediates the impact of CA</w:t>
            </w:r>
          </w:p>
        </w:tc>
        <w:tc>
          <w:tcPr>
            <w:tcW w:w="511" w:type="dxa"/>
          </w:tcPr>
          <w:p w14:paraId="4F2B42EB" w14:textId="77777777" w:rsidR="0010143C" w:rsidRDefault="0010143C" w:rsidP="00456F86">
            <w:pPr>
              <w:rPr>
                <w:lang w:val="en-AU"/>
              </w:rPr>
            </w:pPr>
            <w:r>
              <w:rPr>
                <w:lang w:val="en-AU"/>
              </w:rPr>
              <w:t>-1</w:t>
            </w:r>
          </w:p>
        </w:tc>
        <w:tc>
          <w:tcPr>
            <w:tcW w:w="431" w:type="dxa"/>
          </w:tcPr>
          <w:p w14:paraId="49B313FA" w14:textId="77777777" w:rsidR="0010143C" w:rsidRDefault="0010143C" w:rsidP="00456F86">
            <w:pPr>
              <w:rPr>
                <w:lang w:val="en-AU"/>
              </w:rPr>
            </w:pPr>
            <w:r>
              <w:rPr>
                <w:lang w:val="en-AU"/>
              </w:rPr>
              <w:t>-2</w:t>
            </w:r>
          </w:p>
        </w:tc>
        <w:tc>
          <w:tcPr>
            <w:tcW w:w="338" w:type="dxa"/>
          </w:tcPr>
          <w:p w14:paraId="76123928" w14:textId="77777777" w:rsidR="0010143C" w:rsidRDefault="0010143C" w:rsidP="00456F86">
            <w:pPr>
              <w:rPr>
                <w:lang w:val="en-AU"/>
              </w:rPr>
            </w:pPr>
            <w:r>
              <w:rPr>
                <w:lang w:val="en-AU"/>
              </w:rPr>
              <w:t>0</w:t>
            </w:r>
          </w:p>
        </w:tc>
        <w:tc>
          <w:tcPr>
            <w:tcW w:w="517" w:type="dxa"/>
          </w:tcPr>
          <w:p w14:paraId="34279D7B" w14:textId="77777777" w:rsidR="0010143C" w:rsidRDefault="0010143C" w:rsidP="00456F86">
            <w:pPr>
              <w:rPr>
                <w:lang w:val="en-AU"/>
              </w:rPr>
            </w:pPr>
            <w:r>
              <w:rPr>
                <w:lang w:val="en-AU"/>
              </w:rPr>
              <w:t>-2</w:t>
            </w:r>
          </w:p>
        </w:tc>
        <w:tc>
          <w:tcPr>
            <w:tcW w:w="329" w:type="dxa"/>
          </w:tcPr>
          <w:p w14:paraId="6ED14B87" w14:textId="77777777" w:rsidR="0010143C" w:rsidRDefault="0010143C" w:rsidP="00456F86">
            <w:pPr>
              <w:rPr>
                <w:lang w:val="en-AU"/>
              </w:rPr>
            </w:pPr>
            <w:r>
              <w:rPr>
                <w:lang w:val="en-AU"/>
              </w:rPr>
              <w:t>0</w:t>
            </w:r>
          </w:p>
        </w:tc>
        <w:tc>
          <w:tcPr>
            <w:tcW w:w="567" w:type="dxa"/>
          </w:tcPr>
          <w:p w14:paraId="6E4B5DB2" w14:textId="77777777" w:rsidR="0010143C" w:rsidRDefault="0010143C" w:rsidP="00456F86">
            <w:pPr>
              <w:rPr>
                <w:lang w:val="en-AU"/>
              </w:rPr>
            </w:pPr>
            <w:r>
              <w:rPr>
                <w:lang w:val="en-AU"/>
              </w:rPr>
              <w:t>+1</w:t>
            </w:r>
          </w:p>
        </w:tc>
        <w:tc>
          <w:tcPr>
            <w:tcW w:w="567" w:type="dxa"/>
          </w:tcPr>
          <w:p w14:paraId="5C5665FB" w14:textId="77777777" w:rsidR="0010143C" w:rsidRDefault="0010143C" w:rsidP="00456F86">
            <w:pPr>
              <w:rPr>
                <w:lang w:val="en-AU"/>
              </w:rPr>
            </w:pPr>
            <w:r>
              <w:rPr>
                <w:lang w:val="en-AU"/>
              </w:rPr>
              <w:t>+1</w:t>
            </w:r>
          </w:p>
        </w:tc>
        <w:tc>
          <w:tcPr>
            <w:tcW w:w="529" w:type="dxa"/>
          </w:tcPr>
          <w:p w14:paraId="799332CF" w14:textId="77777777" w:rsidR="0010143C" w:rsidRDefault="0010143C" w:rsidP="00456F86">
            <w:pPr>
              <w:rPr>
                <w:lang w:val="en-AU"/>
              </w:rPr>
            </w:pPr>
            <w:r>
              <w:rPr>
                <w:lang w:val="en-AU"/>
              </w:rPr>
              <w:t>+1</w:t>
            </w:r>
          </w:p>
        </w:tc>
        <w:tc>
          <w:tcPr>
            <w:tcW w:w="1314" w:type="dxa"/>
          </w:tcPr>
          <w:p w14:paraId="1F112D3B" w14:textId="77777777" w:rsidR="0010143C" w:rsidRDefault="0010143C" w:rsidP="00456F86">
            <w:pPr>
              <w:rPr>
                <w:lang w:val="en-AU"/>
              </w:rPr>
            </w:pPr>
            <w:r>
              <w:rPr>
                <w:lang w:val="en-AU"/>
              </w:rPr>
              <w:t>Very Low</w:t>
            </w:r>
          </w:p>
        </w:tc>
      </w:tr>
      <w:tr w:rsidR="0010143C" w14:paraId="2009F929" w14:textId="77777777" w:rsidTr="00456F86">
        <w:tc>
          <w:tcPr>
            <w:tcW w:w="4248" w:type="dxa"/>
          </w:tcPr>
          <w:p w14:paraId="4D3690A8" w14:textId="77777777" w:rsidR="0010143C" w:rsidRDefault="0010143C" w:rsidP="00456F86">
            <w:pPr>
              <w:rPr>
                <w:lang w:val="en-AU"/>
              </w:rPr>
            </w:pPr>
            <w:r w:rsidRPr="00BA5596">
              <w:t>education</w:t>
            </w:r>
            <w:r>
              <w:t>al</w:t>
            </w:r>
            <w:r w:rsidRPr="00BA5596">
              <w:t xml:space="preserve"> factors (5 papers)</w:t>
            </w:r>
            <w:r>
              <w:t xml:space="preserve"> mediates the impact of CA</w:t>
            </w:r>
          </w:p>
        </w:tc>
        <w:tc>
          <w:tcPr>
            <w:tcW w:w="511" w:type="dxa"/>
          </w:tcPr>
          <w:p w14:paraId="41585EAA" w14:textId="77777777" w:rsidR="0010143C" w:rsidRDefault="0010143C" w:rsidP="00456F86">
            <w:pPr>
              <w:rPr>
                <w:lang w:val="en-AU"/>
              </w:rPr>
            </w:pPr>
            <w:r>
              <w:rPr>
                <w:lang w:val="en-AU"/>
              </w:rPr>
              <w:t>-1</w:t>
            </w:r>
          </w:p>
        </w:tc>
        <w:tc>
          <w:tcPr>
            <w:tcW w:w="431" w:type="dxa"/>
          </w:tcPr>
          <w:p w14:paraId="76346D3B" w14:textId="77777777" w:rsidR="0010143C" w:rsidRDefault="0010143C" w:rsidP="00456F86">
            <w:pPr>
              <w:rPr>
                <w:lang w:val="en-AU"/>
              </w:rPr>
            </w:pPr>
            <w:r>
              <w:rPr>
                <w:lang w:val="en-AU"/>
              </w:rPr>
              <w:t>-2</w:t>
            </w:r>
          </w:p>
        </w:tc>
        <w:tc>
          <w:tcPr>
            <w:tcW w:w="338" w:type="dxa"/>
          </w:tcPr>
          <w:p w14:paraId="544F6997" w14:textId="77777777" w:rsidR="0010143C" w:rsidRDefault="0010143C" w:rsidP="00456F86">
            <w:pPr>
              <w:rPr>
                <w:lang w:val="en-AU"/>
              </w:rPr>
            </w:pPr>
            <w:r>
              <w:rPr>
                <w:lang w:val="en-AU"/>
              </w:rPr>
              <w:t>0</w:t>
            </w:r>
          </w:p>
        </w:tc>
        <w:tc>
          <w:tcPr>
            <w:tcW w:w="517" w:type="dxa"/>
          </w:tcPr>
          <w:p w14:paraId="0592BB1F" w14:textId="77777777" w:rsidR="0010143C" w:rsidRDefault="0010143C" w:rsidP="00456F86">
            <w:pPr>
              <w:rPr>
                <w:lang w:val="en-AU"/>
              </w:rPr>
            </w:pPr>
            <w:r>
              <w:rPr>
                <w:lang w:val="en-AU"/>
              </w:rPr>
              <w:t>-1</w:t>
            </w:r>
          </w:p>
        </w:tc>
        <w:tc>
          <w:tcPr>
            <w:tcW w:w="329" w:type="dxa"/>
          </w:tcPr>
          <w:p w14:paraId="69215200" w14:textId="77777777" w:rsidR="0010143C" w:rsidRDefault="0010143C" w:rsidP="00456F86">
            <w:pPr>
              <w:rPr>
                <w:lang w:val="en-AU"/>
              </w:rPr>
            </w:pPr>
            <w:r>
              <w:rPr>
                <w:lang w:val="en-AU"/>
              </w:rPr>
              <w:t>0</w:t>
            </w:r>
          </w:p>
        </w:tc>
        <w:tc>
          <w:tcPr>
            <w:tcW w:w="567" w:type="dxa"/>
          </w:tcPr>
          <w:p w14:paraId="3E53BD9D" w14:textId="77777777" w:rsidR="0010143C" w:rsidRDefault="0010143C" w:rsidP="00456F86">
            <w:pPr>
              <w:rPr>
                <w:lang w:val="en-AU"/>
              </w:rPr>
            </w:pPr>
            <w:r>
              <w:rPr>
                <w:lang w:val="en-AU"/>
              </w:rPr>
              <w:t>+1</w:t>
            </w:r>
          </w:p>
        </w:tc>
        <w:tc>
          <w:tcPr>
            <w:tcW w:w="567" w:type="dxa"/>
          </w:tcPr>
          <w:p w14:paraId="2D9E144A" w14:textId="77777777" w:rsidR="0010143C" w:rsidRDefault="0010143C" w:rsidP="00456F86">
            <w:pPr>
              <w:rPr>
                <w:lang w:val="en-AU"/>
              </w:rPr>
            </w:pPr>
            <w:r>
              <w:rPr>
                <w:lang w:val="en-AU"/>
              </w:rPr>
              <w:t>+1</w:t>
            </w:r>
          </w:p>
        </w:tc>
        <w:tc>
          <w:tcPr>
            <w:tcW w:w="529" w:type="dxa"/>
          </w:tcPr>
          <w:p w14:paraId="247D3613" w14:textId="77777777" w:rsidR="0010143C" w:rsidRDefault="0010143C" w:rsidP="00456F86">
            <w:pPr>
              <w:rPr>
                <w:lang w:val="en-AU"/>
              </w:rPr>
            </w:pPr>
            <w:r>
              <w:rPr>
                <w:lang w:val="en-AU"/>
              </w:rPr>
              <w:t>+1</w:t>
            </w:r>
          </w:p>
        </w:tc>
        <w:tc>
          <w:tcPr>
            <w:tcW w:w="1314" w:type="dxa"/>
          </w:tcPr>
          <w:p w14:paraId="72902C8C" w14:textId="77777777" w:rsidR="0010143C" w:rsidRDefault="0010143C" w:rsidP="00456F86">
            <w:pPr>
              <w:rPr>
                <w:lang w:val="en-AU"/>
              </w:rPr>
            </w:pPr>
            <w:r>
              <w:rPr>
                <w:lang w:val="en-AU"/>
              </w:rPr>
              <w:t>Very low</w:t>
            </w:r>
          </w:p>
        </w:tc>
      </w:tr>
      <w:tr w:rsidR="0010143C" w14:paraId="7FC63975" w14:textId="77777777" w:rsidTr="00456F86">
        <w:tc>
          <w:tcPr>
            <w:tcW w:w="4248" w:type="dxa"/>
          </w:tcPr>
          <w:p w14:paraId="39A86EF0" w14:textId="77777777" w:rsidR="0010143C" w:rsidRDefault="0010143C" w:rsidP="00456F86">
            <w:pPr>
              <w:rPr>
                <w:lang w:val="en-AU"/>
              </w:rPr>
            </w:pPr>
            <w:r w:rsidRPr="00D27E1F">
              <w:t>personality and dispositional factors (5 papers)</w:t>
            </w:r>
            <w:r>
              <w:t xml:space="preserve"> </w:t>
            </w:r>
            <w:r w:rsidRPr="00D27E1F">
              <w:t>mediates the impact of CA</w:t>
            </w:r>
          </w:p>
        </w:tc>
        <w:tc>
          <w:tcPr>
            <w:tcW w:w="511" w:type="dxa"/>
          </w:tcPr>
          <w:p w14:paraId="0DB4CD40" w14:textId="77777777" w:rsidR="0010143C" w:rsidRDefault="0010143C" w:rsidP="00456F86">
            <w:pPr>
              <w:rPr>
                <w:lang w:val="en-AU"/>
              </w:rPr>
            </w:pPr>
            <w:r>
              <w:rPr>
                <w:lang w:val="en-AU"/>
              </w:rPr>
              <w:t>0</w:t>
            </w:r>
          </w:p>
        </w:tc>
        <w:tc>
          <w:tcPr>
            <w:tcW w:w="431" w:type="dxa"/>
          </w:tcPr>
          <w:p w14:paraId="6C32BE7A" w14:textId="77777777" w:rsidR="0010143C" w:rsidRDefault="0010143C" w:rsidP="00456F86">
            <w:pPr>
              <w:rPr>
                <w:lang w:val="en-AU"/>
              </w:rPr>
            </w:pPr>
            <w:r>
              <w:rPr>
                <w:lang w:val="en-AU"/>
              </w:rPr>
              <w:t>-2</w:t>
            </w:r>
          </w:p>
        </w:tc>
        <w:tc>
          <w:tcPr>
            <w:tcW w:w="338" w:type="dxa"/>
          </w:tcPr>
          <w:p w14:paraId="71C2514B" w14:textId="77777777" w:rsidR="0010143C" w:rsidRDefault="0010143C" w:rsidP="00456F86">
            <w:pPr>
              <w:rPr>
                <w:lang w:val="en-AU"/>
              </w:rPr>
            </w:pPr>
            <w:r>
              <w:rPr>
                <w:lang w:val="en-AU"/>
              </w:rPr>
              <w:t>0</w:t>
            </w:r>
          </w:p>
        </w:tc>
        <w:tc>
          <w:tcPr>
            <w:tcW w:w="517" w:type="dxa"/>
          </w:tcPr>
          <w:p w14:paraId="46B59791" w14:textId="77777777" w:rsidR="0010143C" w:rsidRDefault="0010143C" w:rsidP="00456F86">
            <w:pPr>
              <w:rPr>
                <w:lang w:val="en-AU"/>
              </w:rPr>
            </w:pPr>
            <w:r>
              <w:rPr>
                <w:lang w:val="en-AU"/>
              </w:rPr>
              <w:t>-1</w:t>
            </w:r>
          </w:p>
        </w:tc>
        <w:tc>
          <w:tcPr>
            <w:tcW w:w="329" w:type="dxa"/>
          </w:tcPr>
          <w:p w14:paraId="3F84701D" w14:textId="77777777" w:rsidR="0010143C" w:rsidRDefault="0010143C" w:rsidP="00456F86">
            <w:pPr>
              <w:rPr>
                <w:lang w:val="en-AU"/>
              </w:rPr>
            </w:pPr>
            <w:r>
              <w:rPr>
                <w:lang w:val="en-AU"/>
              </w:rPr>
              <w:t>0</w:t>
            </w:r>
          </w:p>
        </w:tc>
        <w:tc>
          <w:tcPr>
            <w:tcW w:w="567" w:type="dxa"/>
          </w:tcPr>
          <w:p w14:paraId="56CDEB97" w14:textId="77777777" w:rsidR="0010143C" w:rsidRDefault="0010143C" w:rsidP="00456F86">
            <w:pPr>
              <w:rPr>
                <w:lang w:val="en-AU"/>
              </w:rPr>
            </w:pPr>
            <w:r>
              <w:rPr>
                <w:lang w:val="en-AU"/>
              </w:rPr>
              <w:t>0</w:t>
            </w:r>
          </w:p>
        </w:tc>
        <w:tc>
          <w:tcPr>
            <w:tcW w:w="567" w:type="dxa"/>
          </w:tcPr>
          <w:p w14:paraId="34D3DEA4" w14:textId="77777777" w:rsidR="0010143C" w:rsidRDefault="0010143C" w:rsidP="00456F86">
            <w:pPr>
              <w:rPr>
                <w:lang w:val="en-AU"/>
              </w:rPr>
            </w:pPr>
            <w:r>
              <w:rPr>
                <w:lang w:val="en-AU"/>
              </w:rPr>
              <w:t>+1</w:t>
            </w:r>
          </w:p>
        </w:tc>
        <w:tc>
          <w:tcPr>
            <w:tcW w:w="529" w:type="dxa"/>
          </w:tcPr>
          <w:p w14:paraId="3F110ACD" w14:textId="77777777" w:rsidR="0010143C" w:rsidRDefault="0010143C" w:rsidP="00456F86">
            <w:pPr>
              <w:rPr>
                <w:lang w:val="en-AU"/>
              </w:rPr>
            </w:pPr>
            <w:r>
              <w:rPr>
                <w:lang w:val="en-AU"/>
              </w:rPr>
              <w:t>+1</w:t>
            </w:r>
          </w:p>
        </w:tc>
        <w:tc>
          <w:tcPr>
            <w:tcW w:w="1314" w:type="dxa"/>
          </w:tcPr>
          <w:p w14:paraId="0BD8306B" w14:textId="77777777" w:rsidR="0010143C" w:rsidRDefault="0010143C" w:rsidP="00456F86">
            <w:pPr>
              <w:rPr>
                <w:lang w:val="en-AU"/>
              </w:rPr>
            </w:pPr>
            <w:r>
              <w:rPr>
                <w:lang w:val="en-AU"/>
              </w:rPr>
              <w:t>Very low</w:t>
            </w:r>
          </w:p>
        </w:tc>
      </w:tr>
      <w:tr w:rsidR="0010143C" w14:paraId="4D355003" w14:textId="77777777" w:rsidTr="00456F86">
        <w:tc>
          <w:tcPr>
            <w:tcW w:w="4248" w:type="dxa"/>
          </w:tcPr>
          <w:p w14:paraId="72972D5E" w14:textId="77777777" w:rsidR="0010143C" w:rsidRPr="00D27E1F" w:rsidRDefault="0010143C" w:rsidP="00456F86">
            <w:r w:rsidRPr="00D27E1F">
              <w:t xml:space="preserve">factors related to romantic relationship (2 papers) mediates the impact of CA </w:t>
            </w:r>
          </w:p>
        </w:tc>
        <w:tc>
          <w:tcPr>
            <w:tcW w:w="511" w:type="dxa"/>
          </w:tcPr>
          <w:p w14:paraId="2CB476B2" w14:textId="77777777" w:rsidR="0010143C" w:rsidRDefault="0010143C" w:rsidP="00456F86">
            <w:pPr>
              <w:rPr>
                <w:lang w:val="en-AU"/>
              </w:rPr>
            </w:pPr>
            <w:r>
              <w:rPr>
                <w:lang w:val="en-AU"/>
              </w:rPr>
              <w:t>0</w:t>
            </w:r>
          </w:p>
        </w:tc>
        <w:tc>
          <w:tcPr>
            <w:tcW w:w="431" w:type="dxa"/>
          </w:tcPr>
          <w:p w14:paraId="223A54C5" w14:textId="77777777" w:rsidR="0010143C" w:rsidRDefault="0010143C" w:rsidP="00456F86">
            <w:pPr>
              <w:rPr>
                <w:lang w:val="en-AU"/>
              </w:rPr>
            </w:pPr>
            <w:r>
              <w:rPr>
                <w:lang w:val="en-AU"/>
              </w:rPr>
              <w:t>-2</w:t>
            </w:r>
          </w:p>
        </w:tc>
        <w:tc>
          <w:tcPr>
            <w:tcW w:w="338" w:type="dxa"/>
          </w:tcPr>
          <w:p w14:paraId="32D2D5B2" w14:textId="77777777" w:rsidR="0010143C" w:rsidRDefault="0010143C" w:rsidP="00456F86">
            <w:pPr>
              <w:rPr>
                <w:lang w:val="en-AU"/>
              </w:rPr>
            </w:pPr>
            <w:r>
              <w:rPr>
                <w:lang w:val="en-AU"/>
              </w:rPr>
              <w:t>0</w:t>
            </w:r>
          </w:p>
        </w:tc>
        <w:tc>
          <w:tcPr>
            <w:tcW w:w="517" w:type="dxa"/>
          </w:tcPr>
          <w:p w14:paraId="5D5CD61E" w14:textId="77777777" w:rsidR="0010143C" w:rsidRDefault="0010143C" w:rsidP="00456F86">
            <w:pPr>
              <w:rPr>
                <w:lang w:val="en-AU"/>
              </w:rPr>
            </w:pPr>
            <w:r>
              <w:rPr>
                <w:lang w:val="en-AU"/>
              </w:rPr>
              <w:t>-1</w:t>
            </w:r>
          </w:p>
        </w:tc>
        <w:tc>
          <w:tcPr>
            <w:tcW w:w="329" w:type="dxa"/>
          </w:tcPr>
          <w:p w14:paraId="4D8F2F8A" w14:textId="77777777" w:rsidR="0010143C" w:rsidRDefault="0010143C" w:rsidP="00456F86">
            <w:pPr>
              <w:rPr>
                <w:lang w:val="en-AU"/>
              </w:rPr>
            </w:pPr>
            <w:r>
              <w:rPr>
                <w:lang w:val="en-AU"/>
              </w:rPr>
              <w:t>0</w:t>
            </w:r>
          </w:p>
        </w:tc>
        <w:tc>
          <w:tcPr>
            <w:tcW w:w="567" w:type="dxa"/>
          </w:tcPr>
          <w:p w14:paraId="091F9787" w14:textId="77777777" w:rsidR="0010143C" w:rsidRDefault="0010143C" w:rsidP="00456F86">
            <w:pPr>
              <w:rPr>
                <w:lang w:val="en-AU"/>
              </w:rPr>
            </w:pPr>
            <w:r>
              <w:rPr>
                <w:lang w:val="en-AU"/>
              </w:rPr>
              <w:t>0</w:t>
            </w:r>
          </w:p>
        </w:tc>
        <w:tc>
          <w:tcPr>
            <w:tcW w:w="567" w:type="dxa"/>
          </w:tcPr>
          <w:p w14:paraId="1C04DA15" w14:textId="77777777" w:rsidR="0010143C" w:rsidRDefault="0010143C" w:rsidP="00456F86">
            <w:pPr>
              <w:rPr>
                <w:lang w:val="en-AU"/>
              </w:rPr>
            </w:pPr>
            <w:r>
              <w:rPr>
                <w:lang w:val="en-AU"/>
              </w:rPr>
              <w:t>+1</w:t>
            </w:r>
          </w:p>
        </w:tc>
        <w:tc>
          <w:tcPr>
            <w:tcW w:w="529" w:type="dxa"/>
          </w:tcPr>
          <w:p w14:paraId="012F0869" w14:textId="77777777" w:rsidR="0010143C" w:rsidRDefault="0010143C" w:rsidP="00456F86">
            <w:pPr>
              <w:rPr>
                <w:lang w:val="en-AU"/>
              </w:rPr>
            </w:pPr>
            <w:r>
              <w:rPr>
                <w:lang w:val="en-AU"/>
              </w:rPr>
              <w:t>+1</w:t>
            </w:r>
          </w:p>
        </w:tc>
        <w:tc>
          <w:tcPr>
            <w:tcW w:w="1314" w:type="dxa"/>
          </w:tcPr>
          <w:p w14:paraId="04626124" w14:textId="77777777" w:rsidR="0010143C" w:rsidRDefault="0010143C" w:rsidP="00456F86">
            <w:pPr>
              <w:rPr>
                <w:lang w:val="en-AU"/>
              </w:rPr>
            </w:pPr>
            <w:r>
              <w:rPr>
                <w:lang w:val="en-AU"/>
              </w:rPr>
              <w:t>Very low</w:t>
            </w:r>
          </w:p>
        </w:tc>
      </w:tr>
    </w:tbl>
    <w:p w14:paraId="114B4F54" w14:textId="77777777" w:rsidR="0010143C" w:rsidRDefault="0010143C" w:rsidP="0010143C">
      <w:pPr>
        <w:rPr>
          <w:rFonts w:ascii="Calibri" w:hAnsi="Calibri" w:cs="Calibri"/>
        </w:rPr>
      </w:pPr>
      <w:r>
        <w:rPr>
          <w:rFonts w:ascii="Calibri" w:hAnsi="Calibri" w:cs="Calibri"/>
        </w:rPr>
        <w:t xml:space="preserve"> </w:t>
      </w:r>
    </w:p>
    <w:p w14:paraId="27929D92" w14:textId="77777777" w:rsidR="000015B5" w:rsidRDefault="000015B5"/>
    <w:p w14:paraId="11997E79" w14:textId="679F1B66" w:rsidR="000015B5" w:rsidRDefault="000015B5"/>
    <w:p w14:paraId="661689F2" w14:textId="77777777" w:rsidR="000015B5" w:rsidRDefault="000015B5">
      <w:pPr>
        <w:sectPr w:rsidR="000015B5">
          <w:pgSz w:w="11906" w:h="16838"/>
          <w:pgMar w:top="1440" w:right="1440" w:bottom="1440" w:left="1440" w:header="708" w:footer="708" w:gutter="0"/>
          <w:cols w:space="708"/>
          <w:docGrid w:linePitch="360"/>
        </w:sectPr>
      </w:pPr>
    </w:p>
    <w:p w14:paraId="7CDF0274" w14:textId="1C899B46" w:rsidR="00BC1590" w:rsidRDefault="000015B5">
      <w:r>
        <w:lastRenderedPageBreak/>
        <w:t>Appendix E – PRISMA checklist</w:t>
      </w:r>
    </w:p>
    <w:p w14:paraId="0559174D" w14:textId="77777777" w:rsidR="000015B5" w:rsidRDefault="000015B5"/>
    <w:p w14:paraId="56D369B5" w14:textId="7A5409C4" w:rsidR="000015B5" w:rsidRDefault="000015B5"/>
    <w:tbl>
      <w:tblPr>
        <w:tblW w:w="17600" w:type="dxa"/>
        <w:tblBorders>
          <w:top w:val="nil"/>
          <w:left w:val="nil"/>
          <w:bottom w:val="nil"/>
          <w:right w:val="nil"/>
        </w:tblBorders>
        <w:tblLook w:val="0000" w:firstRow="0" w:lastRow="0" w:firstColumn="0" w:lastColumn="0" w:noHBand="0" w:noVBand="0"/>
      </w:tblPr>
      <w:tblGrid>
        <w:gridCol w:w="1668"/>
        <w:gridCol w:w="587"/>
        <w:gridCol w:w="11745"/>
        <w:gridCol w:w="1200"/>
        <w:gridCol w:w="1200"/>
        <w:gridCol w:w="1200"/>
      </w:tblGrid>
      <w:tr w:rsidR="000015B5" w:rsidRPr="004C1685" w14:paraId="28F42870" w14:textId="77777777" w:rsidTr="000015B5">
        <w:trPr>
          <w:gridAfter w:val="2"/>
          <w:wAfter w:w="2400" w:type="dxa"/>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36A8806" w14:textId="77777777" w:rsidR="000015B5" w:rsidRPr="00930A31" w:rsidRDefault="000015B5" w:rsidP="007F113A">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8F120E6" w14:textId="77777777" w:rsidR="000015B5" w:rsidRPr="00930A31" w:rsidRDefault="000015B5" w:rsidP="007F113A">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58805C6" w14:textId="77777777" w:rsidR="000015B5" w:rsidRPr="00930A31" w:rsidRDefault="000015B5" w:rsidP="007F113A">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E525E30" w14:textId="77777777" w:rsidR="000015B5" w:rsidRPr="00930A31" w:rsidRDefault="000015B5" w:rsidP="007F113A">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0015B5" w:rsidRPr="004C1685" w14:paraId="55C9B20F" w14:textId="77777777" w:rsidTr="000015B5">
        <w:trPr>
          <w:gridAfter w:val="2"/>
          <w:wAfter w:w="2400" w:type="dxa"/>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9C011BA" w14:textId="77777777" w:rsidR="000015B5" w:rsidRPr="00930A31" w:rsidRDefault="000015B5" w:rsidP="007F113A">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874D986" w14:textId="77777777" w:rsidR="000015B5" w:rsidRPr="00930A31" w:rsidRDefault="000015B5" w:rsidP="007F113A">
            <w:pPr>
              <w:pStyle w:val="Default"/>
              <w:jc w:val="right"/>
              <w:rPr>
                <w:rFonts w:ascii="Arial" w:hAnsi="Arial" w:cs="Arial"/>
                <w:color w:val="auto"/>
                <w:sz w:val="18"/>
                <w:szCs w:val="18"/>
              </w:rPr>
            </w:pPr>
          </w:p>
        </w:tc>
      </w:tr>
      <w:tr w:rsidR="000015B5" w:rsidRPr="004C1685" w14:paraId="390EBDEF" w14:textId="77777777" w:rsidTr="000015B5">
        <w:trPr>
          <w:gridAfter w:val="2"/>
          <w:wAfter w:w="2400" w:type="dxa"/>
          <w:trHeight w:val="48"/>
        </w:trPr>
        <w:tc>
          <w:tcPr>
            <w:tcW w:w="1668" w:type="dxa"/>
            <w:tcBorders>
              <w:top w:val="single" w:sz="5" w:space="0" w:color="000000"/>
              <w:left w:val="single" w:sz="5" w:space="0" w:color="000000"/>
              <w:bottom w:val="double" w:sz="2" w:space="0" w:color="FFFFCC"/>
              <w:right w:val="single" w:sz="5" w:space="0" w:color="000000"/>
            </w:tcBorders>
          </w:tcPr>
          <w:p w14:paraId="35C0D51F"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1BCE0C6"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0607F5F5"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7A736C4D" w14:textId="4A7652E4"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0015B5" w:rsidRPr="004C1685" w14:paraId="74DD3610" w14:textId="3856C321" w:rsidTr="000015B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5994C53" w14:textId="77777777" w:rsidR="000015B5" w:rsidRPr="00930A31" w:rsidRDefault="000015B5" w:rsidP="000015B5">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511BF1A" w14:textId="77777777" w:rsidR="000015B5" w:rsidRPr="00930A31" w:rsidRDefault="000015B5" w:rsidP="000015B5">
            <w:pPr>
              <w:pStyle w:val="Default"/>
              <w:jc w:val="right"/>
              <w:rPr>
                <w:rFonts w:ascii="Arial" w:hAnsi="Arial" w:cs="Arial"/>
                <w:color w:val="auto"/>
                <w:sz w:val="18"/>
                <w:szCs w:val="18"/>
              </w:rPr>
            </w:pPr>
          </w:p>
        </w:tc>
        <w:tc>
          <w:tcPr>
            <w:tcW w:w="1200" w:type="dxa"/>
          </w:tcPr>
          <w:p w14:paraId="73889BB5" w14:textId="77777777" w:rsidR="000015B5" w:rsidRPr="004C1685" w:rsidRDefault="000015B5" w:rsidP="000015B5"/>
        </w:tc>
        <w:tc>
          <w:tcPr>
            <w:tcW w:w="1200" w:type="dxa"/>
          </w:tcPr>
          <w:p w14:paraId="5ACA5CF9" w14:textId="77777777" w:rsidR="000015B5" w:rsidRPr="004C1685" w:rsidRDefault="000015B5" w:rsidP="000015B5"/>
        </w:tc>
      </w:tr>
      <w:tr w:rsidR="000015B5" w:rsidRPr="004C1685" w14:paraId="79EDEE5D" w14:textId="77777777" w:rsidTr="000015B5">
        <w:trPr>
          <w:gridAfter w:val="2"/>
          <w:wAfter w:w="2400" w:type="dxa"/>
          <w:trHeight w:val="48"/>
        </w:trPr>
        <w:tc>
          <w:tcPr>
            <w:tcW w:w="1668" w:type="dxa"/>
            <w:tcBorders>
              <w:top w:val="single" w:sz="5" w:space="0" w:color="000000"/>
              <w:left w:val="single" w:sz="5" w:space="0" w:color="000000"/>
              <w:bottom w:val="double" w:sz="2" w:space="0" w:color="FFFFCC"/>
              <w:right w:val="single" w:sz="5" w:space="0" w:color="000000"/>
            </w:tcBorders>
          </w:tcPr>
          <w:p w14:paraId="656FFA0C"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13D8907A"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762B644B"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79B3987D" w14:textId="205D9DCB"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0015B5" w:rsidRPr="004C1685" w14:paraId="4BF8013C" w14:textId="427B2659" w:rsidTr="000015B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7DE68D6" w14:textId="77777777" w:rsidR="000015B5" w:rsidRPr="00930A31" w:rsidRDefault="000015B5" w:rsidP="000015B5">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A68A7BE" w14:textId="77777777" w:rsidR="000015B5" w:rsidRPr="00930A31" w:rsidRDefault="000015B5" w:rsidP="000015B5">
            <w:pPr>
              <w:pStyle w:val="Default"/>
              <w:jc w:val="right"/>
              <w:rPr>
                <w:rFonts w:ascii="Arial" w:hAnsi="Arial" w:cs="Arial"/>
                <w:color w:val="auto"/>
                <w:sz w:val="18"/>
                <w:szCs w:val="18"/>
              </w:rPr>
            </w:pPr>
          </w:p>
        </w:tc>
        <w:tc>
          <w:tcPr>
            <w:tcW w:w="1200" w:type="dxa"/>
          </w:tcPr>
          <w:p w14:paraId="097B079E" w14:textId="77777777" w:rsidR="000015B5" w:rsidRPr="004C1685" w:rsidRDefault="000015B5" w:rsidP="000015B5"/>
        </w:tc>
        <w:tc>
          <w:tcPr>
            <w:tcW w:w="1200" w:type="dxa"/>
          </w:tcPr>
          <w:p w14:paraId="4FDFDF5C" w14:textId="77777777" w:rsidR="000015B5" w:rsidRPr="004C1685" w:rsidRDefault="000015B5" w:rsidP="000015B5"/>
        </w:tc>
      </w:tr>
      <w:tr w:rsidR="000015B5" w:rsidRPr="004C1685" w14:paraId="33900965"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04543324"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2D3AA57A"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3DEAF20B"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795456BA" w14:textId="5A88B7A5"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4-5</w:t>
            </w:r>
          </w:p>
        </w:tc>
      </w:tr>
      <w:tr w:rsidR="000015B5" w:rsidRPr="004C1685" w14:paraId="0C32AE21" w14:textId="77777777" w:rsidTr="000015B5">
        <w:trPr>
          <w:gridAfter w:val="2"/>
          <w:wAfter w:w="2400" w:type="dxa"/>
          <w:trHeight w:val="48"/>
        </w:trPr>
        <w:tc>
          <w:tcPr>
            <w:tcW w:w="1668" w:type="dxa"/>
            <w:tcBorders>
              <w:top w:val="single" w:sz="5" w:space="0" w:color="000000"/>
              <w:left w:val="single" w:sz="5" w:space="0" w:color="000000"/>
              <w:bottom w:val="double" w:sz="2" w:space="0" w:color="FFFFCC"/>
              <w:right w:val="single" w:sz="5" w:space="0" w:color="000000"/>
            </w:tcBorders>
          </w:tcPr>
          <w:p w14:paraId="37C529DB"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21E378F2"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2EA3B335"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591EC32E" w14:textId="49FA0C02"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0015B5" w:rsidRPr="004C1685" w14:paraId="30FE11DD" w14:textId="18AB851E" w:rsidTr="000015B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F4EE97B" w14:textId="77777777" w:rsidR="000015B5" w:rsidRPr="00930A31" w:rsidRDefault="000015B5" w:rsidP="000015B5">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15FBDB7" w14:textId="77777777" w:rsidR="000015B5" w:rsidRPr="00930A31" w:rsidRDefault="000015B5" w:rsidP="000015B5">
            <w:pPr>
              <w:pStyle w:val="Default"/>
              <w:jc w:val="right"/>
              <w:rPr>
                <w:rFonts w:ascii="Arial" w:hAnsi="Arial" w:cs="Arial"/>
                <w:color w:val="auto"/>
                <w:sz w:val="18"/>
                <w:szCs w:val="18"/>
              </w:rPr>
            </w:pPr>
          </w:p>
        </w:tc>
        <w:tc>
          <w:tcPr>
            <w:tcW w:w="1200" w:type="dxa"/>
          </w:tcPr>
          <w:p w14:paraId="071E81F4" w14:textId="77777777" w:rsidR="000015B5" w:rsidRPr="004C1685" w:rsidRDefault="000015B5" w:rsidP="000015B5"/>
        </w:tc>
        <w:tc>
          <w:tcPr>
            <w:tcW w:w="1200" w:type="dxa"/>
          </w:tcPr>
          <w:p w14:paraId="386C2E01" w14:textId="77777777" w:rsidR="000015B5" w:rsidRPr="004C1685" w:rsidRDefault="000015B5" w:rsidP="000015B5"/>
        </w:tc>
      </w:tr>
      <w:tr w:rsidR="000015B5" w:rsidRPr="004C1685" w14:paraId="101537CB"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1E0012D8"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03DFADDB"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371D65AE"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7DD283BF" w14:textId="292DB754"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6-7</w:t>
            </w:r>
          </w:p>
        </w:tc>
      </w:tr>
      <w:tr w:rsidR="000015B5" w:rsidRPr="004C1685" w14:paraId="53BD68AB" w14:textId="77777777" w:rsidTr="000015B5">
        <w:trPr>
          <w:gridAfter w:val="2"/>
          <w:wAfter w:w="2400" w:type="dxa"/>
          <w:trHeight w:val="191"/>
        </w:trPr>
        <w:tc>
          <w:tcPr>
            <w:tcW w:w="1668" w:type="dxa"/>
            <w:tcBorders>
              <w:top w:val="single" w:sz="5" w:space="0" w:color="000000"/>
              <w:left w:val="single" w:sz="5" w:space="0" w:color="000000"/>
              <w:bottom w:val="single" w:sz="5" w:space="0" w:color="000000"/>
              <w:right w:val="single" w:sz="5" w:space="0" w:color="000000"/>
            </w:tcBorders>
          </w:tcPr>
          <w:p w14:paraId="190A0E89"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1DC628E"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6EBDB1AF"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7E566714" w14:textId="59DED89F"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0015B5" w:rsidRPr="004C1685" w14:paraId="108237B7"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24655272"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5E18AF96"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7414F4F7"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6306A203" w14:textId="22AD9530"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Appendix B</w:t>
            </w:r>
          </w:p>
        </w:tc>
      </w:tr>
      <w:tr w:rsidR="000015B5" w:rsidRPr="004C1685" w14:paraId="65F5BC46"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6EA02D29"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11F17B41"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78121BBD"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69BF2B87" w14:textId="42E577FA"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6-7</w:t>
            </w:r>
          </w:p>
        </w:tc>
      </w:tr>
      <w:tr w:rsidR="000015B5" w:rsidRPr="004C1685" w14:paraId="0446BAC2" w14:textId="77777777" w:rsidTr="000015B5">
        <w:trPr>
          <w:gridAfter w:val="2"/>
          <w:wAfter w:w="2400" w:type="dxa"/>
          <w:trHeight w:val="152"/>
        </w:trPr>
        <w:tc>
          <w:tcPr>
            <w:tcW w:w="1668" w:type="dxa"/>
            <w:tcBorders>
              <w:top w:val="single" w:sz="5" w:space="0" w:color="000000"/>
              <w:left w:val="single" w:sz="5" w:space="0" w:color="000000"/>
              <w:bottom w:val="single" w:sz="5" w:space="0" w:color="000000"/>
              <w:right w:val="single" w:sz="5" w:space="0" w:color="000000"/>
            </w:tcBorders>
          </w:tcPr>
          <w:p w14:paraId="1F44A84B"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27F8F713"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152B65BA"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3CEA5189" w14:textId="30E58CD5"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9</w:t>
            </w:r>
          </w:p>
        </w:tc>
      </w:tr>
      <w:tr w:rsidR="000015B5" w:rsidRPr="004C1685" w14:paraId="6AD0895E" w14:textId="77777777" w:rsidTr="000015B5">
        <w:trPr>
          <w:gridAfter w:val="2"/>
          <w:wAfter w:w="2400" w:type="dxa"/>
          <w:trHeight w:val="48"/>
        </w:trPr>
        <w:tc>
          <w:tcPr>
            <w:tcW w:w="1668" w:type="dxa"/>
            <w:vMerge w:val="restart"/>
            <w:tcBorders>
              <w:top w:val="single" w:sz="5" w:space="0" w:color="000000"/>
              <w:left w:val="single" w:sz="5" w:space="0" w:color="000000"/>
              <w:right w:val="single" w:sz="5" w:space="0" w:color="000000"/>
            </w:tcBorders>
          </w:tcPr>
          <w:p w14:paraId="28774A9E"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03765456"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D8E1EE9"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0044CF47" w14:textId="41AAD1DF"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0015B5" w:rsidRPr="004C1685" w14:paraId="7A4DB266" w14:textId="77777777" w:rsidTr="000015B5">
        <w:trPr>
          <w:gridAfter w:val="2"/>
          <w:wAfter w:w="2400" w:type="dxa"/>
          <w:trHeight w:val="48"/>
        </w:trPr>
        <w:tc>
          <w:tcPr>
            <w:tcW w:w="1668" w:type="dxa"/>
            <w:vMerge/>
            <w:tcBorders>
              <w:left w:val="single" w:sz="5" w:space="0" w:color="000000"/>
              <w:bottom w:val="single" w:sz="5" w:space="0" w:color="000000"/>
              <w:right w:val="single" w:sz="5" w:space="0" w:color="000000"/>
            </w:tcBorders>
          </w:tcPr>
          <w:p w14:paraId="5D32CC4A"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0D425C1"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65B8FBAF"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049C469D" w14:textId="2835DDAC"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0015B5" w:rsidRPr="004C1685" w14:paraId="465E4A56"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11C1EA32"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57422C72"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20AFF8AB"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9E37723" w14:textId="1F59A7DB"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7-8</w:t>
            </w:r>
          </w:p>
        </w:tc>
      </w:tr>
      <w:tr w:rsidR="000015B5" w:rsidRPr="004C1685" w14:paraId="576D71F9"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2A56B02B"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lastRenderedPageBreak/>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5AB11CD0"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57AB446F"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606D2D3D" w14:textId="631D42AF"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N/A</w:t>
            </w:r>
          </w:p>
        </w:tc>
      </w:tr>
      <w:tr w:rsidR="000015B5" w:rsidRPr="004C1685" w14:paraId="0B479654" w14:textId="77777777" w:rsidTr="000015B5">
        <w:trPr>
          <w:gridAfter w:val="2"/>
          <w:wAfter w:w="2400" w:type="dxa"/>
          <w:trHeight w:val="48"/>
        </w:trPr>
        <w:tc>
          <w:tcPr>
            <w:tcW w:w="1668" w:type="dxa"/>
            <w:vMerge w:val="restart"/>
            <w:tcBorders>
              <w:top w:val="single" w:sz="5" w:space="0" w:color="000000"/>
              <w:left w:val="single" w:sz="5" w:space="0" w:color="000000"/>
              <w:right w:val="single" w:sz="5" w:space="0" w:color="000000"/>
            </w:tcBorders>
          </w:tcPr>
          <w:p w14:paraId="1CBA3E1E"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2FEDC484"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4F98B798"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30C8328A" w14:textId="2827C152"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0015B5" w:rsidRPr="004C1685" w14:paraId="4A46240C" w14:textId="77777777" w:rsidTr="000015B5">
        <w:trPr>
          <w:gridAfter w:val="2"/>
          <w:wAfter w:w="2400" w:type="dxa"/>
          <w:trHeight w:val="48"/>
        </w:trPr>
        <w:tc>
          <w:tcPr>
            <w:tcW w:w="1668" w:type="dxa"/>
            <w:vMerge/>
            <w:tcBorders>
              <w:left w:val="single" w:sz="5" w:space="0" w:color="000000"/>
              <w:right w:val="single" w:sz="5" w:space="0" w:color="000000"/>
            </w:tcBorders>
          </w:tcPr>
          <w:p w14:paraId="545EBED9"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1CC7CB9"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2CD9A2A5"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34415AD3" w14:textId="6FC41C7C"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N/A</w:t>
            </w:r>
          </w:p>
        </w:tc>
      </w:tr>
      <w:tr w:rsidR="000015B5" w:rsidRPr="004C1685" w14:paraId="2315C3BE" w14:textId="77777777" w:rsidTr="000015B5">
        <w:trPr>
          <w:gridAfter w:val="2"/>
          <w:wAfter w:w="2400" w:type="dxa"/>
          <w:trHeight w:val="48"/>
        </w:trPr>
        <w:tc>
          <w:tcPr>
            <w:tcW w:w="1668" w:type="dxa"/>
            <w:vMerge/>
            <w:tcBorders>
              <w:left w:val="single" w:sz="5" w:space="0" w:color="000000"/>
              <w:right w:val="single" w:sz="5" w:space="0" w:color="000000"/>
            </w:tcBorders>
          </w:tcPr>
          <w:p w14:paraId="7FE1C090"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A55D36"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6CF58EB2"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237037B4" w14:textId="41D00321"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0015B5" w:rsidRPr="004C1685" w14:paraId="6B2C9ECC" w14:textId="77777777" w:rsidTr="000015B5">
        <w:trPr>
          <w:gridAfter w:val="2"/>
          <w:wAfter w:w="2400" w:type="dxa"/>
          <w:trHeight w:val="48"/>
        </w:trPr>
        <w:tc>
          <w:tcPr>
            <w:tcW w:w="1668" w:type="dxa"/>
            <w:vMerge/>
            <w:tcBorders>
              <w:left w:val="single" w:sz="5" w:space="0" w:color="000000"/>
              <w:right w:val="single" w:sz="5" w:space="0" w:color="000000"/>
            </w:tcBorders>
          </w:tcPr>
          <w:p w14:paraId="15031137"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1B81F82"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F9D7E5D"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5805A235" w14:textId="3471E75B"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0015B5" w:rsidRPr="004C1685" w14:paraId="7249188F" w14:textId="77777777" w:rsidTr="000015B5">
        <w:trPr>
          <w:gridAfter w:val="2"/>
          <w:wAfter w:w="2400" w:type="dxa"/>
          <w:trHeight w:val="48"/>
        </w:trPr>
        <w:tc>
          <w:tcPr>
            <w:tcW w:w="1668" w:type="dxa"/>
            <w:vMerge/>
            <w:tcBorders>
              <w:left w:val="single" w:sz="5" w:space="0" w:color="000000"/>
              <w:right w:val="single" w:sz="5" w:space="0" w:color="000000"/>
            </w:tcBorders>
          </w:tcPr>
          <w:p w14:paraId="29D4E641"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792260D"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6CCAA3C7"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34F9E814" w14:textId="500DD4A1"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N/A</w:t>
            </w:r>
          </w:p>
        </w:tc>
      </w:tr>
      <w:tr w:rsidR="000015B5" w:rsidRPr="004C1685" w14:paraId="6B760D8E" w14:textId="77777777" w:rsidTr="000015B5">
        <w:trPr>
          <w:gridAfter w:val="2"/>
          <w:wAfter w:w="2400" w:type="dxa"/>
          <w:trHeight w:val="50"/>
        </w:trPr>
        <w:tc>
          <w:tcPr>
            <w:tcW w:w="1668" w:type="dxa"/>
            <w:vMerge/>
            <w:tcBorders>
              <w:left w:val="single" w:sz="5" w:space="0" w:color="000000"/>
              <w:bottom w:val="single" w:sz="5" w:space="0" w:color="000000"/>
              <w:right w:val="single" w:sz="5" w:space="0" w:color="000000"/>
            </w:tcBorders>
          </w:tcPr>
          <w:p w14:paraId="79402938"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D7A528A"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48BD4216"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1F9D2A8C" w14:textId="2E847CA4"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N/A</w:t>
            </w:r>
          </w:p>
        </w:tc>
      </w:tr>
      <w:tr w:rsidR="000015B5" w:rsidRPr="004C1685" w14:paraId="72488A22"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2AF2F27B"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454D0FC2"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38624C5C"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2E1838D2" w14:textId="283D5A81"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7-8</w:t>
            </w:r>
          </w:p>
        </w:tc>
      </w:tr>
      <w:tr w:rsidR="000015B5" w:rsidRPr="004C1685" w14:paraId="4BBA68B5"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63E81CE1"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5AA8DE8B"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B6E6F89"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6B9A9F7" w14:textId="716D6403"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0015B5" w:rsidRPr="004C1685" w14:paraId="19E40FAA" w14:textId="77777777" w:rsidTr="000015B5">
        <w:trPr>
          <w:gridAfter w:val="2"/>
          <w:wAfter w:w="2400" w:type="dxa"/>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4FCAE2" w14:textId="77777777" w:rsidR="000015B5" w:rsidRPr="00930A31" w:rsidRDefault="000015B5" w:rsidP="000015B5">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52725DB" w14:textId="77777777" w:rsidR="000015B5" w:rsidRPr="00930A31" w:rsidRDefault="000015B5" w:rsidP="000015B5">
            <w:pPr>
              <w:pStyle w:val="Default"/>
              <w:jc w:val="center"/>
              <w:rPr>
                <w:rFonts w:ascii="Arial" w:hAnsi="Arial" w:cs="Arial"/>
                <w:color w:val="auto"/>
                <w:sz w:val="18"/>
                <w:szCs w:val="18"/>
              </w:rPr>
            </w:pPr>
          </w:p>
        </w:tc>
      </w:tr>
      <w:tr w:rsidR="000015B5" w:rsidRPr="004C1685" w14:paraId="79D0B956" w14:textId="77777777" w:rsidTr="000015B5">
        <w:trPr>
          <w:gridAfter w:val="2"/>
          <w:wAfter w:w="2400" w:type="dxa"/>
          <w:trHeight w:val="48"/>
        </w:trPr>
        <w:tc>
          <w:tcPr>
            <w:tcW w:w="1668" w:type="dxa"/>
            <w:vMerge w:val="restart"/>
            <w:tcBorders>
              <w:top w:val="single" w:sz="5" w:space="0" w:color="000000"/>
              <w:left w:val="single" w:sz="5" w:space="0" w:color="000000"/>
              <w:right w:val="single" w:sz="5" w:space="0" w:color="000000"/>
            </w:tcBorders>
          </w:tcPr>
          <w:p w14:paraId="5D399CB6"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063DD58D"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0D363720"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73ED833D" w14:textId="1B7FEF65"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0015B5" w:rsidRPr="004C1685" w14:paraId="43EAF7D5" w14:textId="77777777" w:rsidTr="000015B5">
        <w:trPr>
          <w:gridAfter w:val="2"/>
          <w:wAfter w:w="2400" w:type="dxa"/>
          <w:trHeight w:val="48"/>
        </w:trPr>
        <w:tc>
          <w:tcPr>
            <w:tcW w:w="1668" w:type="dxa"/>
            <w:vMerge/>
            <w:tcBorders>
              <w:left w:val="single" w:sz="5" w:space="0" w:color="000000"/>
              <w:bottom w:val="single" w:sz="5" w:space="0" w:color="000000"/>
              <w:right w:val="single" w:sz="5" w:space="0" w:color="000000"/>
            </w:tcBorders>
          </w:tcPr>
          <w:p w14:paraId="576313F3"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0126EC"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3A3EF6D0"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1C8F638E" w14:textId="6899F84F"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N/A</w:t>
            </w:r>
          </w:p>
        </w:tc>
      </w:tr>
      <w:tr w:rsidR="000015B5" w:rsidRPr="004C1685" w14:paraId="2543ED9D" w14:textId="77777777" w:rsidTr="000015B5">
        <w:trPr>
          <w:gridAfter w:val="2"/>
          <w:wAfter w:w="2400" w:type="dxa"/>
          <w:trHeight w:val="103"/>
        </w:trPr>
        <w:tc>
          <w:tcPr>
            <w:tcW w:w="1668" w:type="dxa"/>
            <w:tcBorders>
              <w:top w:val="single" w:sz="5" w:space="0" w:color="000000"/>
              <w:left w:val="single" w:sz="5" w:space="0" w:color="000000"/>
              <w:bottom w:val="single" w:sz="5" w:space="0" w:color="000000"/>
              <w:right w:val="single" w:sz="5" w:space="0" w:color="000000"/>
            </w:tcBorders>
          </w:tcPr>
          <w:p w14:paraId="28327787"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33204505"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78049586"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62E9252C" w14:textId="09220583"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Tables 3-6</w:t>
            </w:r>
          </w:p>
        </w:tc>
      </w:tr>
      <w:tr w:rsidR="000015B5" w:rsidRPr="004C1685" w14:paraId="2FB788E0"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39FF77B4"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189FFBCD"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4C8B9EEB"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235C8719" w14:textId="1612C5CD"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Tables 3-6</w:t>
            </w:r>
          </w:p>
        </w:tc>
      </w:tr>
      <w:tr w:rsidR="000015B5" w:rsidRPr="004C1685" w14:paraId="24F3AD44"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2F0AB518"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48D22AA4"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41BAB603"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32E5622A" w14:textId="0E57848F"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N/A</w:t>
            </w:r>
          </w:p>
        </w:tc>
      </w:tr>
      <w:tr w:rsidR="000015B5" w:rsidRPr="004C1685" w14:paraId="0046076C" w14:textId="77777777" w:rsidTr="000015B5">
        <w:trPr>
          <w:gridAfter w:val="2"/>
          <w:wAfter w:w="2400" w:type="dxa"/>
          <w:trHeight w:val="48"/>
        </w:trPr>
        <w:tc>
          <w:tcPr>
            <w:tcW w:w="1668" w:type="dxa"/>
            <w:vMerge w:val="restart"/>
            <w:tcBorders>
              <w:top w:val="single" w:sz="5" w:space="0" w:color="000000"/>
              <w:left w:val="single" w:sz="5" w:space="0" w:color="000000"/>
              <w:right w:val="single" w:sz="5" w:space="0" w:color="000000"/>
            </w:tcBorders>
          </w:tcPr>
          <w:p w14:paraId="334AD289"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87B9A86"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18E3EED5"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B4E2749" w14:textId="4D9BBEEA"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9-12</w:t>
            </w:r>
          </w:p>
        </w:tc>
      </w:tr>
      <w:tr w:rsidR="000015B5" w:rsidRPr="004C1685" w14:paraId="605B3021" w14:textId="77777777" w:rsidTr="000015B5">
        <w:trPr>
          <w:gridAfter w:val="2"/>
          <w:wAfter w:w="2400" w:type="dxa"/>
          <w:trHeight w:val="203"/>
        </w:trPr>
        <w:tc>
          <w:tcPr>
            <w:tcW w:w="1668" w:type="dxa"/>
            <w:vMerge/>
            <w:tcBorders>
              <w:left w:val="single" w:sz="5" w:space="0" w:color="000000"/>
              <w:right w:val="single" w:sz="5" w:space="0" w:color="000000"/>
            </w:tcBorders>
          </w:tcPr>
          <w:p w14:paraId="19975CEE"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ED4CDC2"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4E675A2"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383B91F5" w14:textId="17110435"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N/A</w:t>
            </w:r>
          </w:p>
        </w:tc>
      </w:tr>
      <w:tr w:rsidR="000015B5" w:rsidRPr="004C1685" w14:paraId="32F50219" w14:textId="77777777" w:rsidTr="000015B5">
        <w:trPr>
          <w:gridAfter w:val="2"/>
          <w:wAfter w:w="2400" w:type="dxa"/>
          <w:trHeight w:val="48"/>
        </w:trPr>
        <w:tc>
          <w:tcPr>
            <w:tcW w:w="1668" w:type="dxa"/>
            <w:vMerge/>
            <w:tcBorders>
              <w:left w:val="single" w:sz="5" w:space="0" w:color="000000"/>
              <w:right w:val="single" w:sz="5" w:space="0" w:color="000000"/>
            </w:tcBorders>
          </w:tcPr>
          <w:p w14:paraId="255250CF"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1F2E179"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3DC0DBB7"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2AB9BF84" w14:textId="1A274483"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N/A</w:t>
            </w:r>
          </w:p>
        </w:tc>
      </w:tr>
      <w:tr w:rsidR="000015B5" w:rsidRPr="004C1685" w14:paraId="06957A33" w14:textId="77777777" w:rsidTr="000015B5">
        <w:trPr>
          <w:gridAfter w:val="2"/>
          <w:wAfter w:w="2400" w:type="dxa"/>
          <w:trHeight w:val="48"/>
        </w:trPr>
        <w:tc>
          <w:tcPr>
            <w:tcW w:w="1668" w:type="dxa"/>
            <w:vMerge/>
            <w:tcBorders>
              <w:left w:val="single" w:sz="5" w:space="0" w:color="000000"/>
              <w:bottom w:val="single" w:sz="5" w:space="0" w:color="000000"/>
              <w:right w:val="single" w:sz="5" w:space="0" w:color="000000"/>
            </w:tcBorders>
          </w:tcPr>
          <w:p w14:paraId="7C5E3612"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54D4B32"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14AA457"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678F7C03" w14:textId="757EB5E3"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N/A</w:t>
            </w:r>
          </w:p>
        </w:tc>
      </w:tr>
      <w:tr w:rsidR="000015B5" w:rsidRPr="004C1685" w14:paraId="140E1BCE"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2F7DBAB7"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0570BD33"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1170247"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7ABF32D5" w14:textId="606313DD"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Tables 3-6</w:t>
            </w:r>
          </w:p>
        </w:tc>
      </w:tr>
      <w:tr w:rsidR="000015B5" w:rsidRPr="004C1685" w14:paraId="297B8FDA"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7C4D5C37"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Certainty of </w:t>
            </w:r>
            <w:r w:rsidRPr="00930A31">
              <w:rPr>
                <w:rFonts w:ascii="Arial" w:hAnsi="Arial" w:cs="Arial"/>
                <w:sz w:val="18"/>
                <w:szCs w:val="18"/>
              </w:rPr>
              <w:lastRenderedPageBreak/>
              <w:t xml:space="preserve">evidence </w:t>
            </w:r>
          </w:p>
        </w:tc>
        <w:tc>
          <w:tcPr>
            <w:tcW w:w="587" w:type="dxa"/>
            <w:tcBorders>
              <w:top w:val="single" w:sz="5" w:space="0" w:color="000000"/>
              <w:left w:val="single" w:sz="5" w:space="0" w:color="000000"/>
              <w:bottom w:val="single" w:sz="5" w:space="0" w:color="000000"/>
              <w:right w:val="single" w:sz="5" w:space="0" w:color="000000"/>
            </w:tcBorders>
          </w:tcPr>
          <w:p w14:paraId="3ED79487"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lastRenderedPageBreak/>
              <w:t>22</w:t>
            </w:r>
          </w:p>
        </w:tc>
        <w:tc>
          <w:tcPr>
            <w:tcW w:w="11745" w:type="dxa"/>
            <w:tcBorders>
              <w:top w:val="single" w:sz="5" w:space="0" w:color="000000"/>
              <w:left w:val="single" w:sz="5" w:space="0" w:color="000000"/>
              <w:bottom w:val="single" w:sz="5" w:space="0" w:color="000000"/>
              <w:right w:val="single" w:sz="5" w:space="0" w:color="000000"/>
            </w:tcBorders>
          </w:tcPr>
          <w:p w14:paraId="6F69E445"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4C67141E" w14:textId="77C0AD17"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Tables 3-6</w:t>
            </w:r>
          </w:p>
        </w:tc>
      </w:tr>
      <w:tr w:rsidR="000015B5" w:rsidRPr="004C1685" w14:paraId="0C8C106B" w14:textId="77777777" w:rsidTr="000015B5">
        <w:trPr>
          <w:gridAfter w:val="2"/>
          <w:wAfter w:w="2400" w:type="dxa"/>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44A6694" w14:textId="77777777" w:rsidR="000015B5" w:rsidRPr="00930A31" w:rsidRDefault="000015B5" w:rsidP="000015B5">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54E0113" w14:textId="77777777" w:rsidR="000015B5" w:rsidRPr="00930A31" w:rsidRDefault="000015B5" w:rsidP="000015B5">
            <w:pPr>
              <w:pStyle w:val="Default"/>
              <w:jc w:val="center"/>
              <w:rPr>
                <w:rFonts w:ascii="Arial" w:hAnsi="Arial" w:cs="Arial"/>
                <w:color w:val="auto"/>
                <w:sz w:val="18"/>
                <w:szCs w:val="18"/>
              </w:rPr>
            </w:pPr>
          </w:p>
        </w:tc>
      </w:tr>
      <w:tr w:rsidR="000015B5" w:rsidRPr="004C1685" w14:paraId="2FE21DB7" w14:textId="77777777" w:rsidTr="000015B5">
        <w:trPr>
          <w:gridAfter w:val="2"/>
          <w:wAfter w:w="2400" w:type="dxa"/>
          <w:trHeight w:val="48"/>
        </w:trPr>
        <w:tc>
          <w:tcPr>
            <w:tcW w:w="1668" w:type="dxa"/>
            <w:vMerge w:val="restart"/>
            <w:tcBorders>
              <w:top w:val="single" w:sz="5" w:space="0" w:color="000000"/>
              <w:left w:val="single" w:sz="5" w:space="0" w:color="000000"/>
              <w:right w:val="single" w:sz="5" w:space="0" w:color="000000"/>
            </w:tcBorders>
          </w:tcPr>
          <w:p w14:paraId="745E9C87"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CA7E811"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007ECC4A"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1B6FECF4" w14:textId="2C2974EA"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13</w:t>
            </w:r>
          </w:p>
        </w:tc>
      </w:tr>
      <w:tr w:rsidR="000015B5" w:rsidRPr="004C1685" w14:paraId="0B4A77F7" w14:textId="77777777" w:rsidTr="000015B5">
        <w:trPr>
          <w:gridAfter w:val="2"/>
          <w:wAfter w:w="2400" w:type="dxa"/>
          <w:trHeight w:val="48"/>
        </w:trPr>
        <w:tc>
          <w:tcPr>
            <w:tcW w:w="1668" w:type="dxa"/>
            <w:vMerge/>
            <w:tcBorders>
              <w:left w:val="single" w:sz="5" w:space="0" w:color="000000"/>
              <w:right w:val="single" w:sz="5" w:space="0" w:color="000000"/>
            </w:tcBorders>
          </w:tcPr>
          <w:p w14:paraId="109AC8FE"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1D6964"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0C60EA80"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7D10DF11" w14:textId="6B81C6A4"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13-14</w:t>
            </w:r>
          </w:p>
        </w:tc>
      </w:tr>
      <w:tr w:rsidR="000015B5" w:rsidRPr="004C1685" w14:paraId="50B8900F" w14:textId="77777777" w:rsidTr="000015B5">
        <w:trPr>
          <w:gridAfter w:val="2"/>
          <w:wAfter w:w="2400" w:type="dxa"/>
          <w:trHeight w:val="48"/>
        </w:trPr>
        <w:tc>
          <w:tcPr>
            <w:tcW w:w="1668" w:type="dxa"/>
            <w:vMerge/>
            <w:tcBorders>
              <w:left w:val="single" w:sz="5" w:space="0" w:color="000000"/>
              <w:right w:val="single" w:sz="5" w:space="0" w:color="000000"/>
            </w:tcBorders>
          </w:tcPr>
          <w:p w14:paraId="42E90670"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0A8CA03"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665A87F7"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3A1EF562" w14:textId="28EB77C6"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14</w:t>
            </w:r>
          </w:p>
        </w:tc>
      </w:tr>
      <w:tr w:rsidR="000015B5" w:rsidRPr="004C1685" w14:paraId="1DA2B5C1" w14:textId="77777777" w:rsidTr="000015B5">
        <w:trPr>
          <w:gridAfter w:val="2"/>
          <w:wAfter w:w="2400" w:type="dxa"/>
          <w:trHeight w:val="48"/>
        </w:trPr>
        <w:tc>
          <w:tcPr>
            <w:tcW w:w="1668" w:type="dxa"/>
            <w:vMerge/>
            <w:tcBorders>
              <w:left w:val="single" w:sz="5" w:space="0" w:color="000000"/>
              <w:bottom w:val="single" w:sz="4" w:space="0" w:color="auto"/>
              <w:right w:val="single" w:sz="5" w:space="0" w:color="000000"/>
            </w:tcBorders>
          </w:tcPr>
          <w:p w14:paraId="537B7906"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42DEB265"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746EB703"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566FE4A0" w14:textId="0988939F"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14</w:t>
            </w:r>
          </w:p>
        </w:tc>
      </w:tr>
      <w:tr w:rsidR="000015B5" w:rsidRPr="004C1685" w14:paraId="610220BB" w14:textId="77777777" w:rsidTr="000015B5">
        <w:trPr>
          <w:gridAfter w:val="2"/>
          <w:wAfter w:w="2400" w:type="dxa"/>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623689C" w14:textId="77777777" w:rsidR="000015B5" w:rsidRPr="00930A31" w:rsidRDefault="000015B5" w:rsidP="000015B5">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770E4B1" w14:textId="77777777" w:rsidR="000015B5" w:rsidRPr="00930A31" w:rsidRDefault="000015B5" w:rsidP="000015B5">
            <w:pPr>
              <w:pStyle w:val="Default"/>
              <w:jc w:val="center"/>
              <w:rPr>
                <w:rFonts w:ascii="Arial" w:hAnsi="Arial" w:cs="Arial"/>
                <w:color w:val="auto"/>
                <w:sz w:val="18"/>
                <w:szCs w:val="18"/>
              </w:rPr>
            </w:pPr>
          </w:p>
        </w:tc>
      </w:tr>
      <w:tr w:rsidR="000015B5" w:rsidRPr="004C1685" w14:paraId="1FB2F991" w14:textId="77777777" w:rsidTr="000015B5">
        <w:trPr>
          <w:gridAfter w:val="2"/>
          <w:wAfter w:w="2400" w:type="dxa"/>
          <w:trHeight w:val="48"/>
        </w:trPr>
        <w:tc>
          <w:tcPr>
            <w:tcW w:w="1668" w:type="dxa"/>
            <w:vMerge w:val="restart"/>
            <w:tcBorders>
              <w:top w:val="single" w:sz="5" w:space="0" w:color="000000"/>
              <w:left w:val="single" w:sz="5" w:space="0" w:color="000000"/>
              <w:right w:val="single" w:sz="5" w:space="0" w:color="000000"/>
            </w:tcBorders>
          </w:tcPr>
          <w:p w14:paraId="29AE9C3F"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2AACEF76"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476B3BC9"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77E17784" w14:textId="06C22B3B"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0015B5" w:rsidRPr="004C1685" w14:paraId="4D16A461" w14:textId="77777777" w:rsidTr="000015B5">
        <w:trPr>
          <w:gridAfter w:val="2"/>
          <w:wAfter w:w="2400" w:type="dxa"/>
          <w:trHeight w:val="57"/>
        </w:trPr>
        <w:tc>
          <w:tcPr>
            <w:tcW w:w="1668" w:type="dxa"/>
            <w:vMerge/>
            <w:tcBorders>
              <w:left w:val="single" w:sz="5" w:space="0" w:color="000000"/>
              <w:right w:val="single" w:sz="5" w:space="0" w:color="000000"/>
            </w:tcBorders>
          </w:tcPr>
          <w:p w14:paraId="301CF7D5"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25C7D25"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1139DB52"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739F9B53" w14:textId="6B633CED"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0015B5" w:rsidRPr="004C1685" w14:paraId="2E2B8515" w14:textId="77777777" w:rsidTr="000015B5">
        <w:trPr>
          <w:gridAfter w:val="2"/>
          <w:wAfter w:w="2400" w:type="dxa"/>
          <w:trHeight w:val="48"/>
        </w:trPr>
        <w:tc>
          <w:tcPr>
            <w:tcW w:w="1668" w:type="dxa"/>
            <w:vMerge/>
            <w:tcBorders>
              <w:left w:val="single" w:sz="5" w:space="0" w:color="000000"/>
              <w:bottom w:val="single" w:sz="5" w:space="0" w:color="000000"/>
              <w:right w:val="single" w:sz="5" w:space="0" w:color="000000"/>
            </w:tcBorders>
          </w:tcPr>
          <w:p w14:paraId="78AD065C" w14:textId="77777777" w:rsidR="000015B5" w:rsidRPr="00930A31" w:rsidRDefault="000015B5" w:rsidP="000015B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0D9F18F"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6414B16C"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8E7581A" w14:textId="5F920F7A"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Appendix A</w:t>
            </w:r>
          </w:p>
        </w:tc>
      </w:tr>
      <w:tr w:rsidR="000015B5" w:rsidRPr="004C1685" w14:paraId="576EE403"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569D53D7"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6CA63772"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FA9F02C"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756FA737" w14:textId="2B1255F2"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0015B5" w:rsidRPr="004C1685" w14:paraId="38EBFFB6" w14:textId="77777777" w:rsidTr="000015B5">
        <w:trPr>
          <w:gridAfter w:val="2"/>
          <w:wAfter w:w="2400" w:type="dxa"/>
          <w:trHeight w:val="48"/>
        </w:trPr>
        <w:tc>
          <w:tcPr>
            <w:tcW w:w="1668" w:type="dxa"/>
            <w:tcBorders>
              <w:top w:val="single" w:sz="5" w:space="0" w:color="000000"/>
              <w:left w:val="single" w:sz="5" w:space="0" w:color="000000"/>
              <w:bottom w:val="single" w:sz="5" w:space="0" w:color="000000"/>
              <w:right w:val="single" w:sz="5" w:space="0" w:color="000000"/>
            </w:tcBorders>
          </w:tcPr>
          <w:p w14:paraId="542E2AD2"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0A2D8B11"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103CB750"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04512B05" w14:textId="54B56DA0"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0015B5" w:rsidRPr="004C1685" w14:paraId="444127A4" w14:textId="77777777" w:rsidTr="000015B5">
        <w:trPr>
          <w:gridAfter w:val="2"/>
          <w:wAfter w:w="2400" w:type="dxa"/>
          <w:trHeight w:val="219"/>
        </w:trPr>
        <w:tc>
          <w:tcPr>
            <w:tcW w:w="1668" w:type="dxa"/>
            <w:tcBorders>
              <w:top w:val="single" w:sz="5" w:space="0" w:color="000000"/>
              <w:left w:val="single" w:sz="5" w:space="0" w:color="000000"/>
              <w:bottom w:val="double" w:sz="5" w:space="0" w:color="000000"/>
              <w:right w:val="single" w:sz="5" w:space="0" w:color="000000"/>
            </w:tcBorders>
          </w:tcPr>
          <w:p w14:paraId="50BDB8FD"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96EB3E1" w14:textId="77777777" w:rsidR="000015B5" w:rsidRPr="00930A31" w:rsidRDefault="000015B5" w:rsidP="000015B5">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46F77CC7" w14:textId="77777777" w:rsidR="000015B5" w:rsidRPr="00930A31" w:rsidRDefault="000015B5" w:rsidP="000015B5">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1F7AC76B" w14:textId="78996B87" w:rsidR="000015B5" w:rsidRPr="00930A31" w:rsidRDefault="000015B5" w:rsidP="000015B5">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05078EAE" w14:textId="5B74C1D0" w:rsidR="003556F0" w:rsidRDefault="003556F0"/>
    <w:p w14:paraId="293C4099" w14:textId="77777777" w:rsidR="003556F0" w:rsidRDefault="003556F0">
      <w:r>
        <w:br w:type="page"/>
      </w:r>
    </w:p>
    <w:p w14:paraId="476DD442" w14:textId="00F81EC0" w:rsidR="000015B5" w:rsidRDefault="003556F0">
      <w:r>
        <w:lastRenderedPageBreak/>
        <w:t>Appendix F – Acyclic graph of protective factors and outcomes</w:t>
      </w:r>
    </w:p>
    <w:p w14:paraId="49C069F1" w14:textId="0D8BA22C" w:rsidR="003556F0" w:rsidRDefault="003556F0">
      <w:r>
        <w:rPr>
          <w:rFonts w:ascii="Calibri" w:hAnsi="Calibri" w:cs="Calibri"/>
          <w:noProof/>
          <w:lang w:eastAsia="en-NZ"/>
        </w:rPr>
        <w:drawing>
          <wp:inline distT="0" distB="0" distL="0" distR="0" wp14:anchorId="5833D87E" wp14:editId="7D9CD4B0">
            <wp:extent cx="8863330" cy="4565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 diagram new.PNG"/>
                    <pic:cNvPicPr/>
                  </pic:nvPicPr>
                  <pic:blipFill>
                    <a:blip r:embed="rId4">
                      <a:extLst>
                        <a:ext uri="{28A0092B-C50C-407E-A947-70E740481C1C}">
                          <a14:useLocalDpi xmlns:a14="http://schemas.microsoft.com/office/drawing/2010/main" val="0"/>
                        </a:ext>
                      </a:extLst>
                    </a:blip>
                    <a:stretch>
                      <a:fillRect/>
                    </a:stretch>
                  </pic:blipFill>
                  <pic:spPr>
                    <a:xfrm>
                      <a:off x="0" y="0"/>
                      <a:ext cx="8863330" cy="4565650"/>
                    </a:xfrm>
                    <a:prstGeom prst="rect">
                      <a:avLst/>
                    </a:prstGeom>
                  </pic:spPr>
                </pic:pic>
              </a:graphicData>
            </a:graphic>
          </wp:inline>
        </w:drawing>
      </w:r>
    </w:p>
    <w:p w14:paraId="157A1705" w14:textId="77777777" w:rsidR="003556F0" w:rsidRDefault="003556F0" w:rsidP="003556F0">
      <w:pPr>
        <w:rPr>
          <w:rFonts w:ascii="Calibri" w:hAnsi="Calibri" w:cs="Calibri"/>
        </w:rPr>
      </w:pPr>
      <w:r>
        <w:rPr>
          <w:rFonts w:ascii="Calibri" w:hAnsi="Calibri" w:cs="Calibri"/>
        </w:rPr>
        <w:t xml:space="preserve">Note: line boldness represents the number of studies observed for each bivariate pathway. </w:t>
      </w:r>
    </w:p>
    <w:p w14:paraId="40D93CEA" w14:textId="77777777" w:rsidR="003556F0" w:rsidRDefault="003556F0">
      <w:bookmarkStart w:id="0" w:name="_GoBack"/>
      <w:bookmarkEnd w:id="0"/>
    </w:p>
    <w:sectPr w:rsidR="003556F0" w:rsidSect="000015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7E"/>
    <w:rsid w:val="000015B5"/>
    <w:rsid w:val="000054B2"/>
    <w:rsid w:val="0010143C"/>
    <w:rsid w:val="003556F0"/>
    <w:rsid w:val="003E0E7E"/>
    <w:rsid w:val="007A7A17"/>
    <w:rsid w:val="00AF7D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D781"/>
  <w15:chartTrackingRefBased/>
  <w15:docId w15:val="{CBDAA63A-FC03-4670-875F-2396E754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5B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6730</Words>
  <Characters>38366</Characters>
  <Application>Microsoft Office Word</Application>
  <DocSecurity>0</DocSecurity>
  <Lines>319</Lines>
  <Paragraphs>90</Paragraphs>
  <ScaleCrop>false</ScaleCrop>
  <Company>University of Otago</Company>
  <LinksUpToDate>false</LinksUpToDate>
  <CharactersWithSpaces>45006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Buchanan</dc:creator>
  <cp:keywords/>
  <dc:description/>
  <cp:lastModifiedBy>Mary Buchanan</cp:lastModifiedBy>
  <cp:revision>4</cp:revision>
  <dcterms:created xsi:type="dcterms:W3CDTF">2023-03-27T21:03:00Z</dcterms:created>
  <dcterms:modified xsi:type="dcterms:W3CDTF">2023-07-16T21:18:00Z</dcterms:modified>
</cp:coreProperties>
</file>