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8C105" w14:textId="1717426F" w:rsidR="00514427" w:rsidRPr="00514427" w:rsidRDefault="00514427" w:rsidP="00514427">
      <w:pPr>
        <w:jc w:val="center"/>
        <w:rPr>
          <w:rFonts w:ascii="Times New Roman" w:hAnsi="Times New Roman" w:cs="Times New Roman"/>
          <w:b/>
          <w:bCs/>
        </w:rPr>
      </w:pPr>
      <w:r w:rsidRPr="00514427">
        <w:rPr>
          <w:rFonts w:ascii="Times New Roman" w:hAnsi="Times New Roman" w:cs="Times New Roman"/>
          <w:b/>
          <w:bCs/>
          <w:sz w:val="22"/>
          <w:szCs w:val="22"/>
        </w:rPr>
        <w:t>Functional Neuroimaging Biomarkers of Anhedonia Response to Escitalopram Plus Adjunct Aripiprazole Treatment for Major Depressive Disorder</w:t>
      </w:r>
    </w:p>
    <w:p w14:paraId="5A063128" w14:textId="5B964FD3" w:rsidR="00514427" w:rsidRDefault="00514427" w:rsidP="00514427">
      <w:pPr>
        <w:jc w:val="center"/>
      </w:pPr>
    </w:p>
    <w:p w14:paraId="308128A5" w14:textId="7AD7EC55" w:rsidR="00514427" w:rsidRDefault="00514427" w:rsidP="00514427">
      <w:pPr>
        <w:jc w:val="center"/>
        <w:rPr>
          <w:rFonts w:ascii="Times New Roman" w:hAnsi="Times New Roman" w:cs="Times New Roman"/>
          <w:b/>
          <w:bCs/>
          <w:sz w:val="28"/>
          <w:szCs w:val="28"/>
        </w:rPr>
      </w:pPr>
      <w:r w:rsidRPr="00514427">
        <w:rPr>
          <w:rFonts w:ascii="Times New Roman" w:hAnsi="Times New Roman" w:cs="Times New Roman"/>
          <w:b/>
          <w:bCs/>
          <w:sz w:val="28"/>
          <w:szCs w:val="28"/>
        </w:rPr>
        <w:t>SUPPLEMENTARY MATERIAL</w:t>
      </w:r>
    </w:p>
    <w:p w14:paraId="48926034" w14:textId="32819750" w:rsidR="00514427" w:rsidRDefault="00514427" w:rsidP="00514427">
      <w:pPr>
        <w:jc w:val="center"/>
        <w:rPr>
          <w:rFonts w:ascii="Times New Roman" w:hAnsi="Times New Roman" w:cs="Times New Roman"/>
          <w:b/>
          <w:bCs/>
          <w:sz w:val="28"/>
          <w:szCs w:val="28"/>
        </w:rPr>
      </w:pPr>
    </w:p>
    <w:p w14:paraId="7865E9C4" w14:textId="33A2F7DA" w:rsidR="00611BBD" w:rsidRPr="00611BBD" w:rsidRDefault="00611BBD" w:rsidP="00611BBD">
      <w:pPr>
        <w:rPr>
          <w:rFonts w:ascii="Times New Roman" w:hAnsi="Times New Roman" w:cs="Times New Roman"/>
          <w:b/>
          <w:bCs/>
          <w:sz w:val="22"/>
          <w:szCs w:val="22"/>
        </w:rPr>
      </w:pPr>
      <w:r w:rsidRPr="00611BBD">
        <w:rPr>
          <w:rFonts w:ascii="Times New Roman" w:hAnsi="Times New Roman" w:cs="Times New Roman"/>
          <w:b/>
          <w:bCs/>
          <w:sz w:val="22"/>
          <w:szCs w:val="22"/>
        </w:rPr>
        <w:t>Resting-state functional MRI Association with Anhedonia Change After Escitalopram Monotherapy</w:t>
      </w:r>
    </w:p>
    <w:p w14:paraId="5A1FAAD2" w14:textId="77777777" w:rsidR="00611BBD" w:rsidRDefault="00611BBD" w:rsidP="00611BBD">
      <w:pPr>
        <w:rPr>
          <w:rFonts w:ascii="Times New Roman" w:hAnsi="Times New Roman" w:cs="Times New Roman"/>
          <w:b/>
          <w:bCs/>
          <w:sz w:val="28"/>
          <w:szCs w:val="28"/>
        </w:rPr>
      </w:pPr>
    </w:p>
    <w:p w14:paraId="0F1E5EB3" w14:textId="77777777" w:rsidR="00F62B8E" w:rsidRPr="00611BBD" w:rsidRDefault="00F62B8E" w:rsidP="00514427">
      <w:pPr>
        <w:autoSpaceDE w:val="0"/>
        <w:autoSpaceDN w:val="0"/>
        <w:adjustRightInd w:val="0"/>
        <w:spacing w:line="480" w:lineRule="auto"/>
        <w:rPr>
          <w:rFonts w:ascii="Times New Roman" w:hAnsi="Times New Roman" w:cs="Times New Roman"/>
          <w:sz w:val="22"/>
          <w:szCs w:val="22"/>
          <w:u w:val="single"/>
          <w:lang w:val="en-US"/>
        </w:rPr>
      </w:pPr>
      <w:r w:rsidRPr="00611BBD">
        <w:rPr>
          <w:rFonts w:ascii="Times New Roman" w:hAnsi="Times New Roman" w:cs="Times New Roman"/>
          <w:sz w:val="22"/>
          <w:szCs w:val="22"/>
          <w:u w:val="single"/>
          <w:lang w:val="en-US"/>
        </w:rPr>
        <w:t>Introduction</w:t>
      </w:r>
    </w:p>
    <w:p w14:paraId="4292230D" w14:textId="77777777" w:rsidR="00F62B8E" w:rsidRDefault="00F62B8E" w:rsidP="00514427">
      <w:pPr>
        <w:autoSpaceDE w:val="0"/>
        <w:autoSpaceDN w:val="0"/>
        <w:adjustRightInd w:val="0"/>
        <w:spacing w:line="480" w:lineRule="auto"/>
        <w:rPr>
          <w:rFonts w:ascii="Times New Roman" w:hAnsi="Times New Roman" w:cs="Times New Roman"/>
          <w:sz w:val="22"/>
          <w:szCs w:val="22"/>
          <w:lang w:val="en-US"/>
        </w:rPr>
      </w:pPr>
      <w:r>
        <w:rPr>
          <w:rFonts w:ascii="Times New Roman" w:hAnsi="Times New Roman" w:cs="Times New Roman"/>
          <w:sz w:val="22"/>
          <w:szCs w:val="22"/>
          <w:lang w:val="en-US"/>
        </w:rPr>
        <w:t>For comparative purposes</w:t>
      </w:r>
      <w:r w:rsidR="00514427">
        <w:rPr>
          <w:rFonts w:ascii="Times New Roman" w:hAnsi="Times New Roman" w:cs="Times New Roman"/>
          <w:sz w:val="22"/>
          <w:szCs w:val="22"/>
          <w:lang w:val="en-US"/>
        </w:rPr>
        <w:t xml:space="preserve">, </w:t>
      </w:r>
      <w:r>
        <w:rPr>
          <w:rFonts w:ascii="Times New Roman" w:hAnsi="Times New Roman" w:cs="Times New Roman"/>
          <w:sz w:val="22"/>
          <w:szCs w:val="22"/>
          <w:lang w:val="en-US"/>
        </w:rPr>
        <w:t>in addition to the main analysis looking at fMRI biomarkers of anhedonia response to adjunct aripiprazole, a secondary analysis was completed to look for fMRI biomarkers of escitalopram monotherapy. R</w:t>
      </w:r>
      <w:r w:rsidR="00514427">
        <w:rPr>
          <w:rFonts w:ascii="Times New Roman" w:hAnsi="Times New Roman" w:cs="Times New Roman"/>
          <w:sz w:val="22"/>
          <w:szCs w:val="22"/>
          <w:lang w:val="en-US"/>
        </w:rPr>
        <w:t xml:space="preserve">esting-state fMRI predictors of DARS change among individuals receiving escitalopram only were analyzed from (1) baseline to week 8 (i.e., the entire study population receiving initial escitalopram monotherapy) and (2) from baseline to week 16 (i.e., escitalopram responders who received escitalopram monotherapy throughout the entirety of the study). </w:t>
      </w:r>
    </w:p>
    <w:p w14:paraId="438D8C9B" w14:textId="77777777" w:rsidR="00B37120" w:rsidRDefault="00B37120" w:rsidP="00514427">
      <w:pPr>
        <w:autoSpaceDE w:val="0"/>
        <w:autoSpaceDN w:val="0"/>
        <w:adjustRightInd w:val="0"/>
        <w:spacing w:line="480" w:lineRule="auto"/>
        <w:rPr>
          <w:rFonts w:ascii="Times New Roman" w:hAnsi="Times New Roman" w:cs="Times New Roman"/>
          <w:b/>
          <w:bCs/>
          <w:sz w:val="22"/>
          <w:szCs w:val="22"/>
          <w:u w:val="single"/>
          <w:lang w:val="en-US"/>
        </w:rPr>
      </w:pPr>
    </w:p>
    <w:p w14:paraId="69C6214E" w14:textId="2C473A1F" w:rsidR="00F62B8E" w:rsidRPr="00611BBD" w:rsidRDefault="00F62B8E" w:rsidP="00514427">
      <w:pPr>
        <w:autoSpaceDE w:val="0"/>
        <w:autoSpaceDN w:val="0"/>
        <w:adjustRightInd w:val="0"/>
        <w:spacing w:line="480" w:lineRule="auto"/>
        <w:rPr>
          <w:rFonts w:ascii="Times New Roman" w:hAnsi="Times New Roman" w:cs="Times New Roman"/>
          <w:sz w:val="22"/>
          <w:szCs w:val="22"/>
          <w:u w:val="single"/>
          <w:lang w:val="en-US"/>
        </w:rPr>
      </w:pPr>
      <w:r w:rsidRPr="00611BBD">
        <w:rPr>
          <w:rFonts w:ascii="Times New Roman" w:hAnsi="Times New Roman" w:cs="Times New Roman"/>
          <w:sz w:val="22"/>
          <w:szCs w:val="22"/>
          <w:u w:val="single"/>
          <w:lang w:val="en-US"/>
        </w:rPr>
        <w:t>Methods</w:t>
      </w:r>
    </w:p>
    <w:p w14:paraId="5A8B3922" w14:textId="7B579398" w:rsidR="00F62B8E" w:rsidRDefault="00F62B8E" w:rsidP="00514427">
      <w:pPr>
        <w:autoSpaceDE w:val="0"/>
        <w:autoSpaceDN w:val="0"/>
        <w:adjustRightInd w:val="0"/>
        <w:spacing w:line="480" w:lineRule="auto"/>
        <w:rPr>
          <w:rFonts w:ascii="Times New Roman" w:hAnsi="Times New Roman" w:cs="Times New Roman"/>
          <w:sz w:val="22"/>
          <w:szCs w:val="22"/>
          <w:lang w:val="en-US"/>
        </w:rPr>
      </w:pPr>
      <w:r>
        <w:rPr>
          <w:rFonts w:ascii="Times New Roman" w:hAnsi="Times New Roman" w:cs="Times New Roman"/>
          <w:sz w:val="22"/>
          <w:szCs w:val="22"/>
          <w:lang w:val="en-US"/>
        </w:rPr>
        <w:t>All methods were the same as used in the main analysis.</w:t>
      </w:r>
    </w:p>
    <w:p w14:paraId="4ED6C0C9" w14:textId="77777777" w:rsidR="00B37120" w:rsidRDefault="00B37120" w:rsidP="00B37120">
      <w:pPr>
        <w:autoSpaceDE w:val="0"/>
        <w:autoSpaceDN w:val="0"/>
        <w:adjustRightInd w:val="0"/>
        <w:spacing w:line="480" w:lineRule="auto"/>
        <w:rPr>
          <w:rFonts w:ascii="Times New Roman" w:hAnsi="Times New Roman" w:cs="Times New Roman"/>
          <w:b/>
          <w:bCs/>
          <w:sz w:val="22"/>
          <w:szCs w:val="22"/>
          <w:lang w:val="en-US"/>
        </w:rPr>
      </w:pPr>
    </w:p>
    <w:p w14:paraId="5E759D89" w14:textId="4BD894F1" w:rsidR="00514427" w:rsidRPr="00611BBD" w:rsidRDefault="00F62B8E" w:rsidP="00B37120">
      <w:pPr>
        <w:autoSpaceDE w:val="0"/>
        <w:autoSpaceDN w:val="0"/>
        <w:adjustRightInd w:val="0"/>
        <w:spacing w:line="480" w:lineRule="auto"/>
        <w:rPr>
          <w:rFonts w:ascii="Times New Roman" w:hAnsi="Times New Roman" w:cs="Times New Roman"/>
          <w:sz w:val="22"/>
          <w:szCs w:val="22"/>
          <w:u w:val="single"/>
          <w:lang w:val="en-US"/>
        </w:rPr>
      </w:pPr>
      <w:r w:rsidRPr="00611BBD">
        <w:rPr>
          <w:rFonts w:ascii="Times New Roman" w:hAnsi="Times New Roman" w:cs="Times New Roman"/>
          <w:sz w:val="22"/>
          <w:szCs w:val="22"/>
          <w:u w:val="single"/>
          <w:lang w:val="en-US"/>
        </w:rPr>
        <w:t>Results</w:t>
      </w:r>
    </w:p>
    <w:p w14:paraId="3B4286FF" w14:textId="064ACE89" w:rsidR="00514427" w:rsidRDefault="00514427" w:rsidP="00514427">
      <w:pPr>
        <w:spacing w:line="480" w:lineRule="auto"/>
        <w:rPr>
          <w:rFonts w:ascii="Times New Roman" w:hAnsi="Times New Roman" w:cs="Times New Roman"/>
          <w:sz w:val="22"/>
          <w:szCs w:val="22"/>
        </w:rPr>
      </w:pPr>
      <w:r>
        <w:rPr>
          <w:rFonts w:ascii="Times New Roman" w:hAnsi="Times New Roman" w:cs="Times New Roman"/>
          <w:sz w:val="22"/>
          <w:szCs w:val="22"/>
        </w:rPr>
        <w:t xml:space="preserve">A total of n = 211 participants were enrolled; n = 134 of had complete clinical and neuroimaging data at baseline and week 8. n = 85 participants were escitalopram responders; n = 57 had complete data for baseline and week 16. </w:t>
      </w:r>
      <w:r w:rsidR="00F62B8E">
        <w:rPr>
          <w:rFonts w:ascii="Times New Roman" w:hAnsi="Times New Roman" w:cs="Times New Roman"/>
          <w:sz w:val="22"/>
          <w:szCs w:val="22"/>
        </w:rPr>
        <w:t xml:space="preserve">Demographics are presented in Supplementary Table 1. </w:t>
      </w:r>
    </w:p>
    <w:p w14:paraId="1C8A51A7" w14:textId="77777777" w:rsidR="00F46C71" w:rsidRDefault="00F46C71" w:rsidP="00514427">
      <w:pPr>
        <w:spacing w:line="480" w:lineRule="auto"/>
        <w:rPr>
          <w:rFonts w:ascii="Times New Roman" w:hAnsi="Times New Roman" w:cs="Times New Roman"/>
          <w:sz w:val="22"/>
          <w:szCs w:val="22"/>
          <w:lang w:val="en-US"/>
        </w:rPr>
      </w:pPr>
    </w:p>
    <w:p w14:paraId="4A08A57A" w14:textId="589D1061" w:rsidR="00514427" w:rsidRPr="00611BBD" w:rsidRDefault="00514427" w:rsidP="00514427">
      <w:pPr>
        <w:spacing w:line="480" w:lineRule="auto"/>
        <w:rPr>
          <w:rFonts w:ascii="Times New Roman" w:hAnsi="Times New Roman" w:cs="Times New Roman"/>
          <w:i/>
          <w:iCs/>
          <w:sz w:val="22"/>
          <w:szCs w:val="22"/>
          <w:lang w:val="en-US"/>
        </w:rPr>
      </w:pPr>
      <w:r w:rsidRPr="00611BBD">
        <w:rPr>
          <w:rFonts w:ascii="Times New Roman" w:hAnsi="Times New Roman" w:cs="Times New Roman"/>
          <w:i/>
          <w:iCs/>
          <w:sz w:val="22"/>
          <w:szCs w:val="22"/>
          <w:lang w:val="en-US"/>
        </w:rPr>
        <w:t xml:space="preserve">I. </w:t>
      </w:r>
      <w:r w:rsidR="00F62B8E" w:rsidRPr="00611BBD">
        <w:rPr>
          <w:rFonts w:ascii="Times New Roman" w:hAnsi="Times New Roman" w:cs="Times New Roman"/>
          <w:i/>
          <w:iCs/>
          <w:sz w:val="22"/>
          <w:szCs w:val="22"/>
          <w:lang w:val="en-US"/>
        </w:rPr>
        <w:t>Week 0-8, Seed-based correlation analysis: rsFC association with anhedonia change</w:t>
      </w:r>
    </w:p>
    <w:p w14:paraId="48C12584" w14:textId="5367D355" w:rsidR="00514427" w:rsidRDefault="00514427" w:rsidP="00514427">
      <w:pPr>
        <w:spacing w:line="480" w:lineRule="auto"/>
        <w:rPr>
          <w:rFonts w:ascii="Times New Roman" w:hAnsi="Times New Roman" w:cs="Times New Roman"/>
          <w:sz w:val="22"/>
          <w:szCs w:val="22"/>
          <w:lang w:val="en-US"/>
        </w:rPr>
      </w:pPr>
      <w:r w:rsidRPr="002E3044">
        <w:rPr>
          <w:rFonts w:ascii="Times New Roman" w:hAnsi="Times New Roman" w:cs="Times New Roman"/>
          <w:sz w:val="22"/>
          <w:szCs w:val="22"/>
          <w:lang w:val="en-US"/>
        </w:rPr>
        <w:t xml:space="preserve">Change in </w:t>
      </w:r>
      <w:r>
        <w:rPr>
          <w:rFonts w:ascii="Times New Roman" w:hAnsi="Times New Roman" w:cs="Times New Roman"/>
          <w:sz w:val="22"/>
          <w:szCs w:val="22"/>
          <w:lang w:val="en-US"/>
        </w:rPr>
        <w:t xml:space="preserve">DARS score among participants with MDD treated with eight weeks of escitalopram was positively correlated with rsFC at baseline between the ACC and the precentral gyrus (p = 0.004) after controlling for age, sex, and MADRS score. However, the region associated with </w:t>
      </w:r>
      <w:r w:rsidRPr="00F46C71">
        <w:rPr>
          <w:rFonts w:ascii="Times New Roman" w:hAnsi="Times New Roman" w:cs="Times New Roman"/>
          <w:sz w:val="22"/>
          <w:szCs w:val="22"/>
          <w:lang w:val="en-US"/>
        </w:rPr>
        <w:t xml:space="preserve">the </w:t>
      </w:r>
      <w:r w:rsidR="00657C88" w:rsidRPr="00F46C71">
        <w:rPr>
          <w:rFonts w:ascii="Times New Roman" w:hAnsi="Times New Roman" w:cs="Times New Roman"/>
          <w:sz w:val="22"/>
          <w:szCs w:val="22"/>
          <w:lang w:val="en-US"/>
        </w:rPr>
        <w:t>precentral gyrus</w:t>
      </w:r>
      <w:r w:rsidRPr="00F46C71">
        <w:rPr>
          <w:rFonts w:ascii="Times New Roman" w:hAnsi="Times New Roman" w:cs="Times New Roman"/>
          <w:sz w:val="22"/>
          <w:szCs w:val="22"/>
          <w:lang w:val="en-US"/>
        </w:rPr>
        <w:t xml:space="preserve"> was</w:t>
      </w:r>
      <w:r>
        <w:rPr>
          <w:rFonts w:ascii="Times New Roman" w:hAnsi="Times New Roman" w:cs="Times New Roman"/>
          <w:sz w:val="22"/>
          <w:szCs w:val="22"/>
          <w:lang w:val="en-US"/>
        </w:rPr>
        <w:t xml:space="preserve"> closely associated with unclassified white matter regions of the brain, only showing activity in a fraction </w:t>
      </w:r>
      <w:r>
        <w:rPr>
          <w:rFonts w:ascii="Times New Roman" w:hAnsi="Times New Roman" w:cs="Times New Roman"/>
          <w:sz w:val="22"/>
          <w:szCs w:val="22"/>
          <w:lang w:val="en-US"/>
        </w:rPr>
        <w:lastRenderedPageBreak/>
        <w:t xml:space="preserve">of the entire grey matter region identified. Further, increase in DARS score was positively associated with rsFC between the NAc and the ACC (p = 0.006), supplementary motor area (p = 0.006), precuneus (p = 0.003), and </w:t>
      </w:r>
      <w:proofErr w:type="spellStart"/>
      <w:r>
        <w:rPr>
          <w:rFonts w:ascii="Times New Roman" w:hAnsi="Times New Roman" w:cs="Times New Roman"/>
          <w:sz w:val="22"/>
          <w:szCs w:val="22"/>
          <w:lang w:val="en-US"/>
        </w:rPr>
        <w:t>intracalcarine</w:t>
      </w:r>
      <w:proofErr w:type="spellEnd"/>
      <w:r>
        <w:rPr>
          <w:rFonts w:ascii="Times New Roman" w:hAnsi="Times New Roman" w:cs="Times New Roman"/>
          <w:sz w:val="22"/>
          <w:szCs w:val="22"/>
          <w:lang w:val="en-US"/>
        </w:rPr>
        <w:t xml:space="preserve"> cortex (p = 0.003) when controlling for age, sex, and MADRS score; specifically, significant associations within the precuneus and </w:t>
      </w:r>
      <w:proofErr w:type="spellStart"/>
      <w:r>
        <w:rPr>
          <w:rFonts w:ascii="Times New Roman" w:hAnsi="Times New Roman" w:cs="Times New Roman"/>
          <w:sz w:val="22"/>
          <w:szCs w:val="22"/>
          <w:lang w:val="en-US"/>
        </w:rPr>
        <w:t>intracalcarine</w:t>
      </w:r>
      <w:proofErr w:type="spellEnd"/>
      <w:r>
        <w:rPr>
          <w:rFonts w:ascii="Times New Roman" w:hAnsi="Times New Roman" w:cs="Times New Roman"/>
          <w:sz w:val="22"/>
          <w:szCs w:val="22"/>
          <w:lang w:val="en-US"/>
        </w:rPr>
        <w:t xml:space="preserve"> cortex were only significant when controlling for age, sex, and MADRS, but not age and sex alone. </w:t>
      </w:r>
      <w:r w:rsidR="00F62B8E">
        <w:rPr>
          <w:rFonts w:ascii="Times New Roman" w:hAnsi="Times New Roman" w:cs="Times New Roman"/>
          <w:sz w:val="22"/>
          <w:szCs w:val="22"/>
          <w:lang w:val="en-US"/>
        </w:rPr>
        <w:t xml:space="preserve">These results are presented in </w:t>
      </w:r>
      <w:r w:rsidR="00FB75B6">
        <w:rPr>
          <w:rFonts w:ascii="Times New Roman" w:hAnsi="Times New Roman" w:cs="Times New Roman"/>
          <w:sz w:val="22"/>
          <w:szCs w:val="22"/>
          <w:lang w:val="en-US"/>
        </w:rPr>
        <w:t xml:space="preserve">Supplementary </w:t>
      </w:r>
      <w:r w:rsidR="00F62B8E">
        <w:rPr>
          <w:rFonts w:ascii="Times New Roman" w:hAnsi="Times New Roman" w:cs="Times New Roman"/>
          <w:sz w:val="22"/>
          <w:szCs w:val="22"/>
          <w:lang w:val="en-US"/>
        </w:rPr>
        <w:t>Table 2.</w:t>
      </w:r>
    </w:p>
    <w:p w14:paraId="34C91DE2" w14:textId="77777777" w:rsidR="00514427" w:rsidRPr="0022527B" w:rsidRDefault="00514427" w:rsidP="00514427">
      <w:pPr>
        <w:rPr>
          <w:lang w:val="en-US"/>
        </w:rPr>
      </w:pPr>
    </w:p>
    <w:p w14:paraId="08A895BA" w14:textId="7FD6A021" w:rsidR="00F62B8E" w:rsidRPr="00611BBD" w:rsidRDefault="00B37120" w:rsidP="00514427">
      <w:pPr>
        <w:spacing w:line="480" w:lineRule="auto"/>
        <w:rPr>
          <w:rFonts w:ascii="Times New Roman" w:hAnsi="Times New Roman" w:cs="Times New Roman"/>
          <w:i/>
          <w:iCs/>
          <w:sz w:val="22"/>
          <w:szCs w:val="22"/>
          <w:lang w:val="en-US"/>
        </w:rPr>
      </w:pPr>
      <w:r w:rsidRPr="00611BBD">
        <w:rPr>
          <w:rFonts w:ascii="Times New Roman" w:hAnsi="Times New Roman" w:cs="Times New Roman"/>
          <w:i/>
          <w:iCs/>
          <w:sz w:val="22"/>
          <w:szCs w:val="22"/>
          <w:lang w:val="en-US"/>
        </w:rPr>
        <w:t xml:space="preserve">II. </w:t>
      </w:r>
      <w:r w:rsidR="00F62B8E" w:rsidRPr="00611BBD">
        <w:rPr>
          <w:rFonts w:ascii="Times New Roman" w:hAnsi="Times New Roman" w:cs="Times New Roman"/>
          <w:i/>
          <w:iCs/>
          <w:sz w:val="22"/>
          <w:szCs w:val="22"/>
          <w:lang w:val="en-US"/>
        </w:rPr>
        <w:t xml:space="preserve">Week 0-16, Seed-based correlation analysis: rsFC association with anhedonia change </w:t>
      </w:r>
    </w:p>
    <w:p w14:paraId="77BE6513" w14:textId="1CE141DE" w:rsidR="00514427" w:rsidRDefault="00514427" w:rsidP="00514427">
      <w:pPr>
        <w:spacing w:line="480" w:lineRule="auto"/>
        <w:rPr>
          <w:rFonts w:ascii="Times New Roman" w:hAnsi="Times New Roman" w:cs="Times New Roman"/>
          <w:sz w:val="22"/>
          <w:szCs w:val="22"/>
          <w:lang w:val="en-US"/>
        </w:rPr>
      </w:pPr>
      <w:r>
        <w:rPr>
          <w:rFonts w:ascii="Times New Roman" w:hAnsi="Times New Roman" w:cs="Times New Roman"/>
          <w:sz w:val="22"/>
          <w:szCs w:val="22"/>
          <w:lang w:val="en-US"/>
        </w:rPr>
        <w:t>There were n</w:t>
      </w:r>
      <w:r w:rsidRPr="0055389B">
        <w:rPr>
          <w:rFonts w:ascii="Times New Roman" w:hAnsi="Times New Roman" w:cs="Times New Roman"/>
          <w:sz w:val="22"/>
          <w:szCs w:val="22"/>
          <w:lang w:val="en-US"/>
        </w:rPr>
        <w:t xml:space="preserve">o significant associations between change in DARS score over 16 weeks and </w:t>
      </w:r>
      <w:r>
        <w:rPr>
          <w:rFonts w:ascii="Times New Roman" w:hAnsi="Times New Roman" w:cs="Times New Roman"/>
          <w:sz w:val="22"/>
          <w:szCs w:val="22"/>
          <w:lang w:val="en-US"/>
        </w:rPr>
        <w:t xml:space="preserve">baseline </w:t>
      </w:r>
      <w:r w:rsidRPr="0055389B">
        <w:rPr>
          <w:rFonts w:ascii="Times New Roman" w:hAnsi="Times New Roman" w:cs="Times New Roman"/>
          <w:sz w:val="22"/>
          <w:szCs w:val="22"/>
          <w:lang w:val="en-US"/>
        </w:rPr>
        <w:t xml:space="preserve">resting-state functional connectivity among individuals treated with 16 weeks of escitalopram only. </w:t>
      </w:r>
    </w:p>
    <w:p w14:paraId="13BB9853" w14:textId="77777777" w:rsidR="00F62B8E" w:rsidRDefault="00F62B8E" w:rsidP="00514427">
      <w:pPr>
        <w:spacing w:line="480" w:lineRule="auto"/>
        <w:rPr>
          <w:rFonts w:ascii="Times New Roman" w:hAnsi="Times New Roman" w:cs="Times New Roman"/>
          <w:sz w:val="22"/>
          <w:szCs w:val="22"/>
          <w:lang w:val="en-US"/>
        </w:rPr>
      </w:pPr>
    </w:p>
    <w:p w14:paraId="6230E4ED" w14:textId="2FB6D2A4" w:rsidR="00514427" w:rsidRPr="00611BBD" w:rsidRDefault="00514427" w:rsidP="00514427">
      <w:pPr>
        <w:spacing w:line="480" w:lineRule="auto"/>
        <w:rPr>
          <w:rFonts w:ascii="Times New Roman" w:hAnsi="Times New Roman" w:cs="Times New Roman"/>
          <w:i/>
          <w:iCs/>
          <w:sz w:val="22"/>
          <w:szCs w:val="22"/>
          <w:lang w:val="en-US"/>
        </w:rPr>
      </w:pPr>
      <w:r w:rsidRPr="00611BBD">
        <w:rPr>
          <w:rFonts w:ascii="Times New Roman" w:hAnsi="Times New Roman" w:cs="Times New Roman"/>
          <w:i/>
          <w:iCs/>
          <w:sz w:val="22"/>
          <w:szCs w:val="22"/>
          <w:lang w:val="en-US"/>
        </w:rPr>
        <w:t xml:space="preserve">Independent Component Analyses </w:t>
      </w:r>
    </w:p>
    <w:p w14:paraId="08CB55AE" w14:textId="77777777" w:rsidR="00514427" w:rsidRDefault="00514427" w:rsidP="00514427">
      <w:pPr>
        <w:spacing w:line="480" w:lineRule="auto"/>
        <w:rPr>
          <w:rFonts w:ascii="Times New Roman" w:hAnsi="Times New Roman" w:cs="Times New Roman"/>
          <w:sz w:val="22"/>
          <w:szCs w:val="22"/>
          <w:lang w:val="en-US"/>
        </w:rPr>
      </w:pPr>
      <w:r>
        <w:rPr>
          <w:rFonts w:ascii="Times New Roman" w:hAnsi="Times New Roman" w:cs="Times New Roman"/>
          <w:sz w:val="22"/>
          <w:szCs w:val="22"/>
          <w:lang w:val="en-US"/>
        </w:rPr>
        <w:t>T</w:t>
      </w:r>
      <w:r w:rsidRPr="003725D8">
        <w:rPr>
          <w:rFonts w:ascii="Times New Roman" w:hAnsi="Times New Roman" w:cs="Times New Roman"/>
          <w:sz w:val="22"/>
          <w:szCs w:val="22"/>
          <w:lang w:val="en-US"/>
        </w:rPr>
        <w:t>he independent component map representing the SN was identified</w:t>
      </w:r>
      <w:r>
        <w:rPr>
          <w:rFonts w:ascii="Times New Roman" w:hAnsi="Times New Roman" w:cs="Times New Roman"/>
          <w:sz w:val="22"/>
          <w:szCs w:val="22"/>
          <w:lang w:val="en-US"/>
        </w:rPr>
        <w:t xml:space="preserve">: the greatest regions of activation were located in </w:t>
      </w:r>
      <w:r w:rsidRPr="003725D8">
        <w:rPr>
          <w:rFonts w:ascii="Times New Roman" w:hAnsi="Times New Roman" w:cs="Times New Roman"/>
          <w:sz w:val="22"/>
          <w:szCs w:val="22"/>
          <w:lang w:val="en-US"/>
        </w:rPr>
        <w:t>the insula</w:t>
      </w:r>
      <w:r>
        <w:rPr>
          <w:rFonts w:ascii="Times New Roman" w:hAnsi="Times New Roman" w:cs="Times New Roman"/>
          <w:sz w:val="22"/>
          <w:szCs w:val="22"/>
          <w:lang w:val="en-US"/>
        </w:rPr>
        <w:t xml:space="preserve">, </w:t>
      </w:r>
      <w:r w:rsidRPr="003725D8">
        <w:rPr>
          <w:rFonts w:ascii="Times New Roman" w:hAnsi="Times New Roman" w:cs="Times New Roman"/>
          <w:sz w:val="22"/>
          <w:szCs w:val="22"/>
          <w:lang w:val="en-US"/>
        </w:rPr>
        <w:t xml:space="preserve">dorsal ACC, amygdala, thalamus, and </w:t>
      </w:r>
      <w:proofErr w:type="spellStart"/>
      <w:r w:rsidRPr="003725D8">
        <w:rPr>
          <w:rFonts w:ascii="Times New Roman" w:hAnsi="Times New Roman" w:cs="Times New Roman"/>
          <w:sz w:val="22"/>
          <w:szCs w:val="22"/>
          <w:lang w:val="en-US"/>
        </w:rPr>
        <w:t>SNc</w:t>
      </w:r>
      <w:proofErr w:type="spellEnd"/>
      <w:r w:rsidRPr="003725D8">
        <w:rPr>
          <w:rFonts w:ascii="Times New Roman" w:hAnsi="Times New Roman" w:cs="Times New Roman"/>
          <w:sz w:val="22"/>
          <w:szCs w:val="22"/>
          <w:lang w:val="en-US"/>
        </w:rPr>
        <w:t>/VTA.</w:t>
      </w:r>
      <w:r>
        <w:rPr>
          <w:rFonts w:ascii="Times New Roman" w:hAnsi="Times New Roman" w:cs="Times New Roman"/>
          <w:sz w:val="22"/>
          <w:szCs w:val="22"/>
          <w:lang w:val="en-US"/>
        </w:rPr>
        <w:t xml:space="preserve"> In all analyses, n</w:t>
      </w:r>
      <w:r w:rsidRPr="003725D8">
        <w:rPr>
          <w:rFonts w:ascii="Times New Roman" w:hAnsi="Times New Roman" w:cs="Times New Roman"/>
          <w:sz w:val="22"/>
          <w:szCs w:val="22"/>
          <w:lang w:val="en-US"/>
        </w:rPr>
        <w:t>o significant associations were found between change in DARS score and rsFC in regions of the SN</w:t>
      </w:r>
      <w:r>
        <w:rPr>
          <w:rFonts w:ascii="Times New Roman" w:hAnsi="Times New Roman" w:cs="Times New Roman"/>
          <w:sz w:val="22"/>
          <w:szCs w:val="22"/>
          <w:lang w:val="en-US"/>
        </w:rPr>
        <w:t>,</w:t>
      </w:r>
      <w:r w:rsidRPr="003725D8">
        <w:rPr>
          <w:rFonts w:ascii="Times New Roman" w:hAnsi="Times New Roman" w:cs="Times New Roman"/>
          <w:sz w:val="22"/>
          <w:szCs w:val="22"/>
          <w:lang w:val="en-US"/>
        </w:rPr>
        <w:t xml:space="preserve"> when controlling for age and sex and after correcting for multiple comparisons.</w:t>
      </w:r>
    </w:p>
    <w:p w14:paraId="61504A3F" w14:textId="77777777" w:rsidR="00611BBD" w:rsidRDefault="00611BBD" w:rsidP="00514427">
      <w:pPr>
        <w:spacing w:line="480" w:lineRule="auto"/>
        <w:rPr>
          <w:rFonts w:ascii="Times New Roman" w:hAnsi="Times New Roman" w:cs="Times New Roman"/>
          <w:sz w:val="22"/>
          <w:szCs w:val="22"/>
          <w:u w:val="single"/>
          <w:lang w:val="en-US"/>
        </w:rPr>
      </w:pPr>
    </w:p>
    <w:p w14:paraId="3090F652" w14:textId="31A9FCB4" w:rsidR="00F62B8E" w:rsidRPr="00611BBD" w:rsidRDefault="00F62B8E" w:rsidP="00514427">
      <w:pPr>
        <w:spacing w:line="480" w:lineRule="auto"/>
        <w:rPr>
          <w:rFonts w:ascii="Times New Roman" w:hAnsi="Times New Roman" w:cs="Times New Roman"/>
          <w:sz w:val="22"/>
          <w:szCs w:val="22"/>
          <w:u w:val="single"/>
          <w:lang w:val="en-US"/>
        </w:rPr>
      </w:pPr>
      <w:r w:rsidRPr="00611BBD">
        <w:rPr>
          <w:rFonts w:ascii="Times New Roman" w:hAnsi="Times New Roman" w:cs="Times New Roman"/>
          <w:sz w:val="22"/>
          <w:szCs w:val="22"/>
          <w:u w:val="single"/>
          <w:lang w:val="en-US"/>
        </w:rPr>
        <w:t>Discussion</w:t>
      </w:r>
    </w:p>
    <w:p w14:paraId="77A2304B" w14:textId="1A760C5C" w:rsidR="00514427" w:rsidRDefault="00514427" w:rsidP="00514427">
      <w:pPr>
        <w:spacing w:line="480" w:lineRule="auto"/>
        <w:rPr>
          <w:rFonts w:ascii="Times New Roman" w:hAnsi="Times New Roman" w:cs="Times New Roman"/>
          <w:sz w:val="22"/>
          <w:szCs w:val="22"/>
          <w:lang w:val="en-US"/>
        </w:rPr>
      </w:pPr>
      <w:r>
        <w:rPr>
          <w:rFonts w:ascii="Times New Roman" w:hAnsi="Times New Roman" w:cs="Times New Roman"/>
          <w:sz w:val="22"/>
          <w:szCs w:val="22"/>
          <w:lang w:val="en-US"/>
        </w:rPr>
        <w:t xml:space="preserve">Among  MDD participants who received treatment with 8 weeks of escitalopram, baseline rsFC between the nucleus accumbens and (1) ACC and (2) precuneus were predictive of improvement in anhedonia symptoms. The functional connection between the NAc and ACC is essential for information regarding overall reward salience and motivation to be accurately integrated into higher-order cognitive processing and cost-benefit analysis </w:t>
      </w:r>
      <w:r>
        <w:rPr>
          <w:rFonts w:ascii="Times New Roman" w:hAnsi="Times New Roman" w:cs="Times New Roman"/>
          <w:sz w:val="22"/>
          <w:szCs w:val="22"/>
          <w:lang w:val="en-US"/>
        </w:rPr>
        <w:fldChar w:fldCharType="begin" w:fldLock="1"/>
      </w:r>
      <w:r w:rsidR="00B37120">
        <w:rPr>
          <w:rFonts w:ascii="Times New Roman" w:hAnsi="Times New Roman" w:cs="Times New Roman"/>
          <w:sz w:val="22"/>
          <w:szCs w:val="22"/>
          <w:lang w:val="en-US"/>
        </w:rPr>
        <w:instrText>ADDIN CSL_CITATION {"citationItems":[{"id":"ITEM-1","itemData":{"DOI":"10.1016/j.bbr.2008.09.038","ISSN":"01664328","author":[{"dropping-particle":"","family":"Smith","given":"Kyle S.","non-dropping-particle":"","parse-names":false,"suffix":""},{"dropping-particle":"","family":"Tindell","given":"Amy J.","non-dropping-particle":"","parse-names":false,"suffix":""},{"dropping-particle":"","family":"Aldridge","given":"J. Wayne","non-dropping-particle":"","parse-names":false,"suffix":""},{"dropping-particle":"","family":"Berridge","given":"Kent C.","non-dropping-particle":"","parse-names":false,"suffix":""}],"container-title":"Behavioural Brain Research","id":"ITEM-1","issue":"2","issued":{"date-parts":[["2009","1"]]},"page":"155-167","title":"Ventral pallidum roles in reward and motivation","type":"article-journal","volume":"196"},"uris":["http://www.mendeley.com/documents/?uuid=de97d94e-a3ec-4050-8f12-a9995497a146"]},{"id":"ITEM-2","itemData":{"DOI":"10.1016/j.pneurobio.2015.03.005","ISSN":"03010082","author":[{"dropping-particle":"","family":"Root","given":"David H.","non-dropping-particle":"","parse-names":false,"suffix":""},{"dropping-particle":"","family":"Melendez","given":"Roberto I.","non-dropping-particle":"","parse-names":false,"suffix":""},{"dropping-particle":"","family":"Zaborszky","given":"Laszlo","non-dropping-particle":"","parse-names":false,"suffix":""},{"dropping-particle":"","family":"Napier","given":"T. Celeste","non-dropping-particle":"","parse-names":false,"suffix":""}],"container-title":"Progress in Neurobiology","id":"ITEM-2","issued":{"date-parts":[["2015","7"]]},"page":"29-70","title":"The ventral pallidum: Subregion-specific functional anatomy and roles in motivated behaviors","type":"article-journal","volume":"130"},"uris":["http://www.mendeley.com/documents/?uuid=0302c738-47f7-406c-b24b-5f82c9d63323"]}],"mendeley":{"formattedCitation":"(1,2)","plainTextFormattedCitation":"(1,2)","previouslyFormattedCitation":"(1,2)"},"properties":{"noteIndex":0},"schema":"https://github.com/citation-style-language/schema/raw/master/csl-citation.json"}</w:instrText>
      </w:r>
      <w:r>
        <w:rPr>
          <w:rFonts w:ascii="Times New Roman" w:hAnsi="Times New Roman" w:cs="Times New Roman"/>
          <w:sz w:val="22"/>
          <w:szCs w:val="22"/>
          <w:lang w:val="en-US"/>
        </w:rPr>
        <w:fldChar w:fldCharType="separate"/>
      </w:r>
      <w:r w:rsidR="00B37120" w:rsidRPr="00B37120">
        <w:rPr>
          <w:rFonts w:ascii="Times New Roman" w:hAnsi="Times New Roman" w:cs="Times New Roman"/>
          <w:noProof/>
          <w:sz w:val="22"/>
          <w:szCs w:val="22"/>
          <w:lang w:val="en-US"/>
        </w:rPr>
        <w:t>(1,2)</w:t>
      </w:r>
      <w:r>
        <w:rPr>
          <w:rFonts w:ascii="Times New Roman" w:hAnsi="Times New Roman" w:cs="Times New Roman"/>
          <w:sz w:val="22"/>
          <w:szCs w:val="22"/>
          <w:lang w:val="en-US"/>
        </w:rPr>
        <w:fldChar w:fldCharType="end"/>
      </w:r>
      <w:r>
        <w:rPr>
          <w:rFonts w:ascii="Times New Roman" w:hAnsi="Times New Roman" w:cs="Times New Roman"/>
          <w:sz w:val="22"/>
          <w:szCs w:val="22"/>
          <w:lang w:val="en-US"/>
        </w:rPr>
        <w:t>. Our findings suggest that individuals with stronger functional connectivity between these key reward regions are more likely to report an improvement in anhedonia during escitalopram treatment. The precuneus is one of the main brain regions implicated in the default mode network (DMN), which is active during periods of internal mental-state processing, such as during self-</w:t>
      </w:r>
      <w:r>
        <w:rPr>
          <w:rFonts w:ascii="Times New Roman" w:hAnsi="Times New Roman" w:cs="Times New Roman"/>
          <w:sz w:val="22"/>
          <w:szCs w:val="22"/>
          <w:lang w:val="en-US"/>
        </w:rPr>
        <w:lastRenderedPageBreak/>
        <w:t xml:space="preserve">directed thought and introspection </w:t>
      </w:r>
      <w:r>
        <w:rPr>
          <w:rFonts w:ascii="Times New Roman" w:hAnsi="Times New Roman" w:cs="Times New Roman"/>
          <w:sz w:val="22"/>
          <w:szCs w:val="22"/>
          <w:lang w:val="en-US"/>
        </w:rPr>
        <w:fldChar w:fldCharType="begin" w:fldLock="1"/>
      </w:r>
      <w:r w:rsidR="00B37120">
        <w:rPr>
          <w:rFonts w:ascii="Times New Roman" w:hAnsi="Times New Roman" w:cs="Times New Roman"/>
          <w:sz w:val="22"/>
          <w:szCs w:val="22"/>
          <w:lang w:val="en-US"/>
        </w:rPr>
        <w:instrText>ADDIN CSL_CITATION {"citationItems":[{"id":"ITEM-1","itemData":{"DOI":"10.1016/bs.pbr.2015.10.002","author":[{"dropping-particle":"","family":"Ekhtiari","given":"Hamed","non-dropping-particle":"","parse-names":false,"suffix":""},{"dropping-particle":"","family":"Nasseri","given":"Padideh","non-dropping-particle":"","parse-names":false,"suffix":""},{"dropping-particle":"","family":"Yavari","given":"Fatemeh","non-dropping-particle":"","parse-names":false,"suffix":""},{"dropping-particle":"","family":"Mokri","given":"Azarkhsh","non-dropping-particle":"","parse-names":false,"suffix":""},{"dropping-particle":"","family":"Monterosso","given":"John","non-dropping-particle":"","parse-names":false,"suffix":""}],"container-title":"Progress in Brain Research","id":"ITEM-1","issued":{"date-parts":[["2016"]]},"page":"115-141","title":"Neuroscience of drug craving for addiction medicine","type":"chapter"},"uris":["http://www.mendeley.com/documents/?uuid=88d7f008-d3b5-423d-ab9a-b59ec2386a4a"]},{"id":"ITEM-2","itemData":{"DOI":"10.1016/B978-0-12-813866-3.00036-9","author":[{"dropping-particle":"","family":"Gillespie","given":"Charles F.","non-dropping-particle":"","parse-names":false,"suffix":""},{"dropping-particle":"","family":"Szabo","given":"Steven T.","non-dropping-particle":"","parse-names":false,"suffix":""},{"dropping-particle":"","family":"Nemeroff","given":"Charles B.","non-dropping-particle":"","parse-names":false,"suffix":""}],"container-title":"Rosenberg's Molecular and Genetic Basis of Neurological and Psychiatric Disease","id":"ITEM-2","issued":{"date-parts":[["2020"]]},"page":"613-631","publisher":"Elsevier","title":"Unipolar depression","type":"chapter"},"uris":["http://www.mendeley.com/documents/?uuid=cf2f8fe3-5cda-4615-94b0-2250eaa2e945"]}],"mendeley":{"formattedCitation":"(3,4)","plainTextFormattedCitation":"(3,4)","previouslyFormattedCitation":"(3,4)"},"properties":{"noteIndex":0},"schema":"https://github.com/citation-style-language/schema/raw/master/csl-citation.json"}</w:instrText>
      </w:r>
      <w:r>
        <w:rPr>
          <w:rFonts w:ascii="Times New Roman" w:hAnsi="Times New Roman" w:cs="Times New Roman"/>
          <w:sz w:val="22"/>
          <w:szCs w:val="22"/>
          <w:lang w:val="en-US"/>
        </w:rPr>
        <w:fldChar w:fldCharType="separate"/>
      </w:r>
      <w:r w:rsidR="00B37120" w:rsidRPr="00B37120">
        <w:rPr>
          <w:rFonts w:ascii="Times New Roman" w:hAnsi="Times New Roman" w:cs="Times New Roman"/>
          <w:noProof/>
          <w:sz w:val="22"/>
          <w:szCs w:val="22"/>
          <w:lang w:val="en-US"/>
        </w:rPr>
        <w:t>(3,4)</w:t>
      </w:r>
      <w:r>
        <w:rPr>
          <w:rFonts w:ascii="Times New Roman" w:hAnsi="Times New Roman" w:cs="Times New Roman"/>
          <w:sz w:val="22"/>
          <w:szCs w:val="22"/>
          <w:lang w:val="en-US"/>
        </w:rPr>
        <w:fldChar w:fldCharType="end"/>
      </w:r>
      <w:r>
        <w:rPr>
          <w:rFonts w:ascii="Times New Roman" w:hAnsi="Times New Roman" w:cs="Times New Roman"/>
          <w:sz w:val="22"/>
          <w:szCs w:val="22"/>
          <w:lang w:val="en-US"/>
        </w:rPr>
        <w:t xml:space="preserve">. Based on our results, functional connectivity between the NAc and precuneus may promote reward responsivity, perhaps by switching cognitive activity away from internal state processing toward reward processing. It has been suggested in previous literature that decreased DMN activity is necessary for reward processing, so that attentional resources may be focused instead on external stimuli, rather than internal state processing </w:t>
      </w:r>
      <w:r>
        <w:rPr>
          <w:rFonts w:ascii="Times New Roman" w:hAnsi="Times New Roman" w:cs="Times New Roman"/>
          <w:sz w:val="22"/>
          <w:szCs w:val="22"/>
          <w:lang w:val="en-US"/>
        </w:rPr>
        <w:fldChar w:fldCharType="begin" w:fldLock="1"/>
      </w:r>
      <w:r w:rsidR="00B37120">
        <w:rPr>
          <w:rFonts w:ascii="Times New Roman" w:hAnsi="Times New Roman" w:cs="Times New Roman"/>
          <w:sz w:val="22"/>
          <w:szCs w:val="22"/>
          <w:lang w:val="en-US"/>
        </w:rPr>
        <w:instrText>ADDIN CSL_CITATION {"citationItems":[{"id":"ITEM-1","itemData":{"DOI":"10.1002/hbm.23522","ISSN":"10659471","author":[{"dropping-particle":"","family":"Rhein","given":"Daniel","non-dropping-particle":"von","parse-names":false,"suffix":""},{"dropping-particle":"","family":"Beckmann","given":"Christian F.","non-dropping-particle":"","parse-names":false,"suffix":""},{"dropping-particle":"","family":"Franke","given":"Barbara","non-dropping-particle":"","parse-names":false,"suffix":""},{"dropping-particle":"","family":"Oosterlaan","given":"Jaap","non-dropping-particle":"","parse-names":false,"suffix":""},{"dropping-particle":"","family":"Heslenfeld","given":"Dirk J.","non-dropping-particle":"","parse-names":false,"suffix":""},{"dropping-particle":"","family":"Hoekstra","given":"Pieter J.","non-dropping-particle":"","parse-names":false,"suffix":""},{"dropping-particle":"","family":"Hartman","given":"Catharina A.","non-dropping-particle":"","parse-names":false,"suffix":""},{"dropping-particle":"","family":"Luman","given":"Marjolein","non-dropping-particle":"","parse-names":false,"suffix":""},{"dropping-particle":"V.","family":"Faraone","given":"Stephen","non-dropping-particle":"","parse-names":false,"suffix":""},{"dropping-particle":"","family":"Cools","given":"Roshan","non-dropping-particle":"","parse-names":false,"suffix":""},{"dropping-particle":"","family":"Buitelaar","given":"Jan K.","non-dropping-particle":"","parse-names":false,"suffix":""},{"dropping-particle":"","family":"Mennes","given":"Maarten","non-dropping-particle":"","parse-names":false,"suffix":""}],"container-title":"Human Brain Mapping","id":"ITEM-1","issue":"5","issued":{"date-parts":[["2017","5"]]},"page":"2359-2369","title":"Network-level assessment of reward-related activation in patients with ADHD and healthy individuals","type":"article-journal","volume":"38"},"uris":["http://www.mendeley.com/documents/?uuid=b2265c0f-7a2d-48eb-bcb0-4703b85a0066"]}],"mendeley":{"formattedCitation":"(5)","plainTextFormattedCitation":"(5)","previouslyFormattedCitation":"(5)"},"properties":{"noteIndex":0},"schema":"https://github.com/citation-style-language/schema/raw/master/csl-citation.json"}</w:instrText>
      </w:r>
      <w:r>
        <w:rPr>
          <w:rFonts w:ascii="Times New Roman" w:hAnsi="Times New Roman" w:cs="Times New Roman"/>
          <w:sz w:val="22"/>
          <w:szCs w:val="22"/>
          <w:lang w:val="en-US"/>
        </w:rPr>
        <w:fldChar w:fldCharType="separate"/>
      </w:r>
      <w:r w:rsidR="00B37120" w:rsidRPr="00B37120">
        <w:rPr>
          <w:rFonts w:ascii="Times New Roman" w:hAnsi="Times New Roman" w:cs="Times New Roman"/>
          <w:noProof/>
          <w:sz w:val="22"/>
          <w:szCs w:val="22"/>
          <w:lang w:val="en-US"/>
        </w:rPr>
        <w:t>(5)</w:t>
      </w:r>
      <w:r>
        <w:rPr>
          <w:rFonts w:ascii="Times New Roman" w:hAnsi="Times New Roman" w:cs="Times New Roman"/>
          <w:sz w:val="22"/>
          <w:szCs w:val="22"/>
          <w:lang w:val="en-US"/>
        </w:rPr>
        <w:fldChar w:fldCharType="end"/>
      </w:r>
      <w:r>
        <w:rPr>
          <w:rFonts w:ascii="Times New Roman" w:hAnsi="Times New Roman" w:cs="Times New Roman"/>
          <w:sz w:val="22"/>
          <w:szCs w:val="22"/>
          <w:lang w:val="en-US"/>
        </w:rPr>
        <w:t xml:space="preserve">. A previous study supports our findings, demonstrating that decreased connectivity between the NAc and DMN was associated with reward deficits among patients with MDD, as well as bipolar disorder, schizophrenia, and psychosis </w:t>
      </w:r>
      <w:r>
        <w:rPr>
          <w:rFonts w:ascii="Times New Roman" w:hAnsi="Times New Roman" w:cs="Times New Roman"/>
          <w:sz w:val="22"/>
          <w:szCs w:val="22"/>
          <w:lang w:val="en-US"/>
        </w:rPr>
        <w:fldChar w:fldCharType="begin" w:fldLock="1"/>
      </w:r>
      <w:r w:rsidR="00B37120">
        <w:rPr>
          <w:rFonts w:ascii="Times New Roman" w:hAnsi="Times New Roman" w:cs="Times New Roman"/>
          <w:sz w:val="22"/>
          <w:szCs w:val="22"/>
          <w:lang w:val="en-US"/>
        </w:rPr>
        <w:instrText>ADDIN CSL_CITATION {"citationItems":[{"id":"ITEM-1","itemData":{"DOI":"10.1176/appi.ajp.2016.16070774","ISSN":"0002-953X","author":[{"dropping-particle":"","family":"Sharma","given":"Anup","non-dropping-particle":"","parse-names":false,"suffix":""},{"dropping-particle":"","family":"Wolf","given":"Daniel H.","non-dropping-particle":"","parse-names":false,"suffix":""},{"dropping-particle":"","family":"Ciric","given":"Rastko","non-dropping-particle":"","parse-names":false,"suffix":""},{"dropping-particle":"","family":"Kable","given":"Joseph W.","non-dropping-particle":"","parse-names":false,"suffix":""},{"dropping-particle":"","family":"Moore","given":"Tyler M.","non-dropping-particle":"","parse-names":false,"suffix":""},{"dropping-particle":"","family":"Vandekar","given":"Simon N.","non-dropping-particle":"","parse-names":false,"suffix":""},{"dropping-particle":"","family":"Katchmar","given":"Natalie","non-dropping-particle":"","parse-names":false,"suffix":""},{"dropping-particle":"","family":"Daldal","given":"Aylin","non-dropping-particle":"","parse-names":false,"suffix":""},{"dropping-particle":"","family":"Ruparel","given":"Kosha","non-dropping-particle":"","parse-names":false,"suffix":""},{"dropping-particle":"","family":"Davatzikos","given":"Christos","non-dropping-particle":"","parse-names":false,"suffix":""},{"dropping-particle":"","family":"Elliott","given":"Mark A.","non-dropping-particle":"","parse-names":false,"suffix":""},{"dropping-particle":"","family":"Calkins","given":"Monica E.","non-dropping-particle":"","parse-names":false,"suffix":""},{"dropping-particle":"","family":"Shinohara","given":"Russell T.","non-dropping-particle":"","parse-names":false,"suffix":""},{"dropping-particle":"","family":"Bassett","given":"Danielle S.","non-dropping-particle":"","parse-names":false,"suffix":""},{"dropping-particle":"","family":"Satterthwaite","given":"Theodore D.","non-dropping-particle":"","parse-names":false,"suffix":""}],"container-title":"American Journal of Psychiatry","id":"ITEM-1","issue":"7","issued":{"date-parts":[["2017","7"]]},"page":"657-666","title":"Common dimensional reward deficits across mood and psychotic disorders: A connectome-wide association study","type":"article-journal","volume":"174"},"uris":["http://www.mendeley.com/documents/?uuid=295faef7-a8d3-4190-9ed8-b18233586784"]}],"mendeley":{"formattedCitation":"(6)","plainTextFormattedCitation":"(6)","previouslyFormattedCitation":"(6)"},"properties":{"noteIndex":0},"schema":"https://github.com/citation-style-language/schema/raw/master/csl-citation.json"}</w:instrText>
      </w:r>
      <w:r>
        <w:rPr>
          <w:rFonts w:ascii="Times New Roman" w:hAnsi="Times New Roman" w:cs="Times New Roman"/>
          <w:sz w:val="22"/>
          <w:szCs w:val="22"/>
          <w:lang w:val="en-US"/>
        </w:rPr>
        <w:fldChar w:fldCharType="separate"/>
      </w:r>
      <w:r w:rsidR="00B37120" w:rsidRPr="00B37120">
        <w:rPr>
          <w:rFonts w:ascii="Times New Roman" w:hAnsi="Times New Roman" w:cs="Times New Roman"/>
          <w:noProof/>
          <w:sz w:val="22"/>
          <w:szCs w:val="22"/>
          <w:lang w:val="en-US"/>
        </w:rPr>
        <w:t>(6)</w:t>
      </w:r>
      <w:r>
        <w:rPr>
          <w:rFonts w:ascii="Times New Roman" w:hAnsi="Times New Roman" w:cs="Times New Roman"/>
          <w:sz w:val="22"/>
          <w:szCs w:val="22"/>
          <w:lang w:val="en-US"/>
        </w:rPr>
        <w:fldChar w:fldCharType="end"/>
      </w:r>
      <w:r>
        <w:rPr>
          <w:rFonts w:ascii="Times New Roman" w:hAnsi="Times New Roman" w:cs="Times New Roman"/>
          <w:sz w:val="22"/>
          <w:szCs w:val="22"/>
          <w:lang w:val="en-US"/>
        </w:rPr>
        <w:t xml:space="preserve">. </w:t>
      </w:r>
    </w:p>
    <w:p w14:paraId="6DFAFC43" w14:textId="77777777" w:rsidR="00657C88" w:rsidRDefault="00657C88" w:rsidP="00F62B8E">
      <w:pPr>
        <w:spacing w:line="480" w:lineRule="auto"/>
        <w:rPr>
          <w:rFonts w:ascii="Times New Roman" w:hAnsi="Times New Roman" w:cs="Times New Roman"/>
          <w:sz w:val="22"/>
          <w:szCs w:val="22"/>
          <w:lang w:val="en-US"/>
        </w:rPr>
      </w:pPr>
    </w:p>
    <w:p w14:paraId="6FC031C7" w14:textId="016B232D" w:rsidR="00514427" w:rsidRPr="009868C0" w:rsidRDefault="00657C88" w:rsidP="00F62B8E">
      <w:pPr>
        <w:spacing w:line="480" w:lineRule="auto"/>
        <w:rPr>
          <w:rFonts w:ascii="Times New Roman" w:hAnsi="Times New Roman" w:cs="Times New Roman"/>
          <w:strike/>
          <w:sz w:val="22"/>
          <w:szCs w:val="22"/>
          <w:lang w:val="en-US"/>
        </w:rPr>
      </w:pPr>
      <w:r w:rsidRPr="00F46C71">
        <w:rPr>
          <w:rFonts w:ascii="Times New Roman" w:hAnsi="Times New Roman" w:cs="Times New Roman"/>
          <w:sz w:val="22"/>
          <w:szCs w:val="22"/>
          <w:lang w:val="en-US"/>
        </w:rPr>
        <w:t>While some associations were found between functional connectivity in reward-related brain regions and anhedonia response, the findings were much less compelling than those found in the aripiprazole-treated group (see main text for details).</w:t>
      </w:r>
      <w:r w:rsidR="009868C0" w:rsidRPr="00F46C71">
        <w:rPr>
          <w:rFonts w:ascii="Times New Roman" w:hAnsi="Times New Roman" w:cs="Times New Roman"/>
          <w:sz w:val="22"/>
          <w:szCs w:val="22"/>
          <w:lang w:val="en-US"/>
        </w:rPr>
        <w:t xml:space="preserve"> Most of the regions associated </w:t>
      </w:r>
      <w:r w:rsidR="00644AB1" w:rsidRPr="00F46C71">
        <w:rPr>
          <w:rFonts w:ascii="Times New Roman" w:hAnsi="Times New Roman" w:cs="Times New Roman"/>
          <w:sz w:val="22"/>
          <w:szCs w:val="22"/>
          <w:lang w:val="en-US"/>
        </w:rPr>
        <w:t xml:space="preserve">with </w:t>
      </w:r>
      <w:r w:rsidR="009868C0" w:rsidRPr="00F46C71">
        <w:rPr>
          <w:rFonts w:ascii="Times New Roman" w:hAnsi="Times New Roman" w:cs="Times New Roman"/>
          <w:sz w:val="22"/>
          <w:szCs w:val="22"/>
          <w:lang w:val="en-US"/>
        </w:rPr>
        <w:t xml:space="preserve">anhedonia response among escitalopram responders in the current analysis do not have a clear role in reward responsivity (i.e., SMA and </w:t>
      </w:r>
      <w:proofErr w:type="spellStart"/>
      <w:r w:rsidR="009868C0" w:rsidRPr="00F46C71">
        <w:rPr>
          <w:rFonts w:ascii="Times New Roman" w:hAnsi="Times New Roman" w:cs="Times New Roman"/>
          <w:sz w:val="22"/>
          <w:szCs w:val="22"/>
          <w:lang w:val="en-US"/>
        </w:rPr>
        <w:t>intracalcarine</w:t>
      </w:r>
      <w:proofErr w:type="spellEnd"/>
      <w:r w:rsidR="009868C0" w:rsidRPr="00F46C71">
        <w:rPr>
          <w:rFonts w:ascii="Times New Roman" w:hAnsi="Times New Roman" w:cs="Times New Roman"/>
          <w:sz w:val="22"/>
          <w:szCs w:val="22"/>
          <w:lang w:val="en-US"/>
        </w:rPr>
        <w:t xml:space="preserve"> cortex). Further, none of these findings were replicated in the 0-16 week analysis, and therefore may have been spurious findings. The findings of the relationship between the ACC and precuneus were also found in the aripiprazole treated group, and therefore this relationship may be more related to general antidepressant treatment and clinical recovery, rather than treatment with any specific medication. </w:t>
      </w:r>
    </w:p>
    <w:p w14:paraId="5018505B" w14:textId="4FCF9EBB" w:rsidR="00B37120" w:rsidRDefault="00B37120" w:rsidP="00F62B8E">
      <w:pPr>
        <w:spacing w:line="480" w:lineRule="auto"/>
        <w:rPr>
          <w:rFonts w:ascii="Times New Roman" w:hAnsi="Times New Roman" w:cs="Times New Roman"/>
          <w:sz w:val="22"/>
          <w:szCs w:val="22"/>
          <w:lang w:val="en-US"/>
        </w:rPr>
      </w:pPr>
    </w:p>
    <w:p w14:paraId="0E8EF678" w14:textId="77777777" w:rsidR="00B37120" w:rsidRDefault="00B37120" w:rsidP="00F62B8E">
      <w:pPr>
        <w:spacing w:line="480" w:lineRule="auto"/>
        <w:rPr>
          <w:rFonts w:ascii="Times New Roman" w:hAnsi="Times New Roman" w:cs="Times New Roman"/>
          <w:b/>
          <w:bCs/>
          <w:sz w:val="22"/>
          <w:szCs w:val="22"/>
          <w:lang w:val="en-US"/>
        </w:rPr>
      </w:pPr>
    </w:p>
    <w:p w14:paraId="0593AE28" w14:textId="77777777" w:rsidR="00B37120" w:rsidRDefault="00B37120" w:rsidP="00F62B8E">
      <w:pPr>
        <w:spacing w:line="480" w:lineRule="auto"/>
        <w:rPr>
          <w:rFonts w:ascii="Times New Roman" w:hAnsi="Times New Roman" w:cs="Times New Roman"/>
          <w:b/>
          <w:bCs/>
          <w:sz w:val="22"/>
          <w:szCs w:val="22"/>
          <w:lang w:val="en-US"/>
        </w:rPr>
      </w:pPr>
    </w:p>
    <w:p w14:paraId="27E3ADB9" w14:textId="77777777" w:rsidR="00F46C71" w:rsidRDefault="00F46C71" w:rsidP="00F62B8E">
      <w:pPr>
        <w:spacing w:line="480" w:lineRule="auto"/>
        <w:rPr>
          <w:rFonts w:ascii="Times New Roman" w:hAnsi="Times New Roman" w:cs="Times New Roman"/>
          <w:b/>
          <w:bCs/>
          <w:sz w:val="22"/>
          <w:szCs w:val="22"/>
          <w:lang w:val="en-US"/>
        </w:rPr>
      </w:pPr>
    </w:p>
    <w:p w14:paraId="771B9E7D" w14:textId="77777777" w:rsidR="00F46C71" w:rsidRDefault="00F46C71" w:rsidP="00F62B8E">
      <w:pPr>
        <w:spacing w:line="480" w:lineRule="auto"/>
        <w:rPr>
          <w:rFonts w:ascii="Times New Roman" w:hAnsi="Times New Roman" w:cs="Times New Roman"/>
          <w:b/>
          <w:bCs/>
          <w:sz w:val="22"/>
          <w:szCs w:val="22"/>
          <w:lang w:val="en-US"/>
        </w:rPr>
      </w:pPr>
    </w:p>
    <w:p w14:paraId="7363D0FE" w14:textId="77777777" w:rsidR="00F46C71" w:rsidRDefault="00F46C71" w:rsidP="00F62B8E">
      <w:pPr>
        <w:spacing w:line="480" w:lineRule="auto"/>
        <w:rPr>
          <w:rFonts w:ascii="Times New Roman" w:hAnsi="Times New Roman" w:cs="Times New Roman"/>
          <w:b/>
          <w:bCs/>
          <w:sz w:val="22"/>
          <w:szCs w:val="22"/>
          <w:lang w:val="en-US"/>
        </w:rPr>
      </w:pPr>
    </w:p>
    <w:p w14:paraId="090050D5" w14:textId="77777777" w:rsidR="00F46C71" w:rsidRDefault="00F46C71" w:rsidP="00F62B8E">
      <w:pPr>
        <w:spacing w:line="480" w:lineRule="auto"/>
        <w:rPr>
          <w:rFonts w:ascii="Times New Roman" w:hAnsi="Times New Roman" w:cs="Times New Roman"/>
          <w:b/>
          <w:bCs/>
          <w:sz w:val="22"/>
          <w:szCs w:val="22"/>
          <w:lang w:val="en-US"/>
        </w:rPr>
      </w:pPr>
    </w:p>
    <w:p w14:paraId="1695F431" w14:textId="77777777" w:rsidR="00F46C71" w:rsidRDefault="00F46C71" w:rsidP="00F62B8E">
      <w:pPr>
        <w:spacing w:line="480" w:lineRule="auto"/>
        <w:rPr>
          <w:rFonts w:ascii="Times New Roman" w:hAnsi="Times New Roman" w:cs="Times New Roman"/>
          <w:b/>
          <w:bCs/>
          <w:sz w:val="22"/>
          <w:szCs w:val="22"/>
          <w:lang w:val="en-US"/>
        </w:rPr>
      </w:pPr>
    </w:p>
    <w:p w14:paraId="1B162B4F" w14:textId="77777777" w:rsidR="00F46C71" w:rsidRDefault="00F46C71" w:rsidP="00F62B8E">
      <w:pPr>
        <w:spacing w:line="480" w:lineRule="auto"/>
        <w:rPr>
          <w:rFonts w:ascii="Times New Roman" w:hAnsi="Times New Roman" w:cs="Times New Roman"/>
          <w:b/>
          <w:bCs/>
          <w:sz w:val="22"/>
          <w:szCs w:val="22"/>
          <w:lang w:val="en-US"/>
        </w:rPr>
      </w:pPr>
    </w:p>
    <w:p w14:paraId="6B094672" w14:textId="7EC5030D" w:rsidR="00B37120" w:rsidRPr="00611BBD" w:rsidRDefault="00B37120" w:rsidP="00F62B8E">
      <w:pPr>
        <w:spacing w:line="480" w:lineRule="auto"/>
        <w:rPr>
          <w:rFonts w:ascii="Times New Roman" w:hAnsi="Times New Roman" w:cs="Times New Roman"/>
          <w:sz w:val="22"/>
          <w:szCs w:val="22"/>
          <w:u w:val="single"/>
          <w:lang w:val="en-US"/>
        </w:rPr>
      </w:pPr>
      <w:r w:rsidRPr="00611BBD">
        <w:rPr>
          <w:rFonts w:ascii="Times New Roman" w:hAnsi="Times New Roman" w:cs="Times New Roman"/>
          <w:sz w:val="22"/>
          <w:szCs w:val="22"/>
          <w:u w:val="single"/>
          <w:lang w:val="en-US"/>
        </w:rPr>
        <w:lastRenderedPageBreak/>
        <w:t>References</w:t>
      </w:r>
    </w:p>
    <w:p w14:paraId="6CA93351" w14:textId="0D1E5F75" w:rsidR="00B37120" w:rsidRPr="00B37120" w:rsidRDefault="00B37120" w:rsidP="00B37120">
      <w:pPr>
        <w:widowControl w:val="0"/>
        <w:autoSpaceDE w:val="0"/>
        <w:autoSpaceDN w:val="0"/>
        <w:adjustRightInd w:val="0"/>
        <w:spacing w:line="480" w:lineRule="auto"/>
        <w:ind w:left="640" w:hanging="640"/>
        <w:rPr>
          <w:rFonts w:ascii="Times New Roman" w:hAnsi="Times New Roman" w:cs="Times New Roman"/>
          <w:noProof/>
          <w:sz w:val="22"/>
          <w:lang w:val="en-US"/>
        </w:rPr>
      </w:pPr>
      <w:r>
        <w:rPr>
          <w:rFonts w:ascii="Times New Roman" w:hAnsi="Times New Roman" w:cs="Times New Roman"/>
          <w:sz w:val="22"/>
          <w:szCs w:val="22"/>
          <w:lang w:val="en-US"/>
        </w:rPr>
        <w:fldChar w:fldCharType="begin" w:fldLock="1"/>
      </w:r>
      <w:r>
        <w:rPr>
          <w:rFonts w:ascii="Times New Roman" w:hAnsi="Times New Roman" w:cs="Times New Roman"/>
          <w:sz w:val="22"/>
          <w:szCs w:val="22"/>
          <w:lang w:val="en-US"/>
        </w:rPr>
        <w:instrText xml:space="preserve">ADDIN Mendeley Bibliography CSL_BIBLIOGRAPHY </w:instrText>
      </w:r>
      <w:r>
        <w:rPr>
          <w:rFonts w:ascii="Times New Roman" w:hAnsi="Times New Roman" w:cs="Times New Roman"/>
          <w:sz w:val="22"/>
          <w:szCs w:val="22"/>
          <w:lang w:val="en-US"/>
        </w:rPr>
        <w:fldChar w:fldCharType="separate"/>
      </w:r>
      <w:r w:rsidRPr="00B37120">
        <w:rPr>
          <w:rFonts w:ascii="Times New Roman" w:hAnsi="Times New Roman" w:cs="Times New Roman"/>
          <w:noProof/>
          <w:sz w:val="22"/>
          <w:lang w:val="en-US"/>
        </w:rPr>
        <w:t xml:space="preserve">1. </w:t>
      </w:r>
      <w:r w:rsidRPr="00B37120">
        <w:rPr>
          <w:rFonts w:ascii="Times New Roman" w:hAnsi="Times New Roman" w:cs="Times New Roman"/>
          <w:noProof/>
          <w:sz w:val="22"/>
          <w:lang w:val="en-US"/>
        </w:rPr>
        <w:tab/>
        <w:t>Smith KS, Tindell AJ, Aldridge JW, Berridge KC. Ventral pallidum roles in reward and motivation. Behav Brain Res [Internet]. 2009 Jan;196(2):155–67. Available from: https://linkinghub.elsevier.com/retrieve/pii/S0166432808005391</w:t>
      </w:r>
    </w:p>
    <w:p w14:paraId="32229D4B" w14:textId="77777777" w:rsidR="00B37120" w:rsidRPr="00B37120" w:rsidRDefault="00B37120" w:rsidP="00B37120">
      <w:pPr>
        <w:widowControl w:val="0"/>
        <w:autoSpaceDE w:val="0"/>
        <w:autoSpaceDN w:val="0"/>
        <w:adjustRightInd w:val="0"/>
        <w:spacing w:line="480" w:lineRule="auto"/>
        <w:ind w:left="640" w:hanging="640"/>
        <w:rPr>
          <w:rFonts w:ascii="Times New Roman" w:hAnsi="Times New Roman" w:cs="Times New Roman"/>
          <w:noProof/>
          <w:sz w:val="22"/>
          <w:lang w:val="en-US"/>
        </w:rPr>
      </w:pPr>
      <w:r w:rsidRPr="00B37120">
        <w:rPr>
          <w:rFonts w:ascii="Times New Roman" w:hAnsi="Times New Roman" w:cs="Times New Roman"/>
          <w:noProof/>
          <w:sz w:val="22"/>
          <w:lang w:val="en-US"/>
        </w:rPr>
        <w:t xml:space="preserve">2. </w:t>
      </w:r>
      <w:r w:rsidRPr="00B37120">
        <w:rPr>
          <w:rFonts w:ascii="Times New Roman" w:hAnsi="Times New Roman" w:cs="Times New Roman"/>
          <w:noProof/>
          <w:sz w:val="22"/>
          <w:lang w:val="en-US"/>
        </w:rPr>
        <w:tab/>
        <w:t>Root DH, Melendez RI, Zaborszky L, Napier TC. The ventral pallidum: Subregion-specific functional anatomy and roles in motivated behaviors. Prog Neurobiol [Internet]. 2015 Jul;130:29–70. Available from: https://linkinghub.elsevier.com/retrieve/pii/S0301008215000271</w:t>
      </w:r>
    </w:p>
    <w:p w14:paraId="74F90B41" w14:textId="77777777" w:rsidR="00B37120" w:rsidRPr="00B37120" w:rsidRDefault="00B37120" w:rsidP="00B37120">
      <w:pPr>
        <w:widowControl w:val="0"/>
        <w:autoSpaceDE w:val="0"/>
        <w:autoSpaceDN w:val="0"/>
        <w:adjustRightInd w:val="0"/>
        <w:spacing w:line="480" w:lineRule="auto"/>
        <w:ind w:left="640" w:hanging="640"/>
        <w:rPr>
          <w:rFonts w:ascii="Times New Roman" w:hAnsi="Times New Roman" w:cs="Times New Roman"/>
          <w:noProof/>
          <w:sz w:val="22"/>
          <w:lang w:val="en-US"/>
        </w:rPr>
      </w:pPr>
      <w:r w:rsidRPr="00B37120">
        <w:rPr>
          <w:rFonts w:ascii="Times New Roman" w:hAnsi="Times New Roman" w:cs="Times New Roman"/>
          <w:noProof/>
          <w:sz w:val="22"/>
          <w:lang w:val="en-US"/>
        </w:rPr>
        <w:t xml:space="preserve">3. </w:t>
      </w:r>
      <w:r w:rsidRPr="00B37120">
        <w:rPr>
          <w:rFonts w:ascii="Times New Roman" w:hAnsi="Times New Roman" w:cs="Times New Roman"/>
          <w:noProof/>
          <w:sz w:val="22"/>
          <w:lang w:val="en-US"/>
        </w:rPr>
        <w:tab/>
        <w:t>Ekhtiari H, Nasseri P, Yavari F, Mokri A, Monterosso J. Neuroscience of drug craving for addiction medicine. In: Progress in Brain Research [Internet]. 2016. p. 115–41. Available from: https://linkinghub.elsevier.com/retrieve/pii/S0079612315001909</w:t>
      </w:r>
    </w:p>
    <w:p w14:paraId="1131A19F" w14:textId="77777777" w:rsidR="00B37120" w:rsidRPr="00B37120" w:rsidRDefault="00B37120" w:rsidP="00B37120">
      <w:pPr>
        <w:widowControl w:val="0"/>
        <w:autoSpaceDE w:val="0"/>
        <w:autoSpaceDN w:val="0"/>
        <w:adjustRightInd w:val="0"/>
        <w:spacing w:line="480" w:lineRule="auto"/>
        <w:ind w:left="640" w:hanging="640"/>
        <w:rPr>
          <w:rFonts w:ascii="Times New Roman" w:hAnsi="Times New Roman" w:cs="Times New Roman"/>
          <w:noProof/>
          <w:sz w:val="22"/>
          <w:lang w:val="en-US"/>
        </w:rPr>
      </w:pPr>
      <w:r w:rsidRPr="00B37120">
        <w:rPr>
          <w:rFonts w:ascii="Times New Roman" w:hAnsi="Times New Roman" w:cs="Times New Roman"/>
          <w:noProof/>
          <w:sz w:val="22"/>
          <w:lang w:val="en-US"/>
        </w:rPr>
        <w:t xml:space="preserve">4. </w:t>
      </w:r>
      <w:r w:rsidRPr="00B37120">
        <w:rPr>
          <w:rFonts w:ascii="Times New Roman" w:hAnsi="Times New Roman" w:cs="Times New Roman"/>
          <w:noProof/>
          <w:sz w:val="22"/>
          <w:lang w:val="en-US"/>
        </w:rPr>
        <w:tab/>
        <w:t>Gillespie CF, Szabo ST, Nemeroff CB. Unipolar depression. In: Rosenberg’s Molecular and Genetic Basis of Neurological and Psychiatric Disease [Internet]. Elsevier; 2020. p. 613–31. Available from: https://linkinghub.elsevier.com/retrieve/pii/B9780128138663000369</w:t>
      </w:r>
    </w:p>
    <w:p w14:paraId="3811FE8B" w14:textId="77777777" w:rsidR="00B37120" w:rsidRPr="00B37120" w:rsidRDefault="00B37120" w:rsidP="00B37120">
      <w:pPr>
        <w:widowControl w:val="0"/>
        <w:autoSpaceDE w:val="0"/>
        <w:autoSpaceDN w:val="0"/>
        <w:adjustRightInd w:val="0"/>
        <w:spacing w:line="480" w:lineRule="auto"/>
        <w:ind w:left="640" w:hanging="640"/>
        <w:rPr>
          <w:rFonts w:ascii="Times New Roman" w:hAnsi="Times New Roman" w:cs="Times New Roman"/>
          <w:noProof/>
          <w:sz w:val="22"/>
          <w:lang w:val="en-US"/>
        </w:rPr>
      </w:pPr>
      <w:r w:rsidRPr="00B37120">
        <w:rPr>
          <w:rFonts w:ascii="Times New Roman" w:hAnsi="Times New Roman" w:cs="Times New Roman"/>
          <w:noProof/>
          <w:sz w:val="22"/>
          <w:lang w:val="en-US"/>
        </w:rPr>
        <w:t xml:space="preserve">5. </w:t>
      </w:r>
      <w:r w:rsidRPr="00B37120">
        <w:rPr>
          <w:rFonts w:ascii="Times New Roman" w:hAnsi="Times New Roman" w:cs="Times New Roman"/>
          <w:noProof/>
          <w:sz w:val="22"/>
          <w:lang w:val="en-US"/>
        </w:rPr>
        <w:tab/>
        <w:t>von Rhein D, Beckmann CF, Franke B, Oosterlaan J, Heslenfeld DJ, Hoekstra PJ, et al. Network-level assessment of reward-related activation in patients with ADHD and healthy individuals. Hum Brain Mapp [Internet]. 2017 May;38(5):2359–69. Available from: http://doi.wiley.com/10.1002/hbm.23522</w:t>
      </w:r>
    </w:p>
    <w:p w14:paraId="255EF3AA" w14:textId="77777777" w:rsidR="00B37120" w:rsidRPr="00B37120" w:rsidRDefault="00B37120" w:rsidP="00B37120">
      <w:pPr>
        <w:widowControl w:val="0"/>
        <w:autoSpaceDE w:val="0"/>
        <w:autoSpaceDN w:val="0"/>
        <w:adjustRightInd w:val="0"/>
        <w:spacing w:line="480" w:lineRule="auto"/>
        <w:ind w:left="640" w:hanging="640"/>
        <w:rPr>
          <w:rFonts w:ascii="Times New Roman" w:hAnsi="Times New Roman" w:cs="Times New Roman"/>
          <w:noProof/>
          <w:sz w:val="22"/>
        </w:rPr>
      </w:pPr>
      <w:r w:rsidRPr="00B37120">
        <w:rPr>
          <w:rFonts w:ascii="Times New Roman" w:hAnsi="Times New Roman" w:cs="Times New Roman"/>
          <w:noProof/>
          <w:sz w:val="22"/>
          <w:lang w:val="en-US"/>
        </w:rPr>
        <w:t xml:space="preserve">6. </w:t>
      </w:r>
      <w:r w:rsidRPr="00B37120">
        <w:rPr>
          <w:rFonts w:ascii="Times New Roman" w:hAnsi="Times New Roman" w:cs="Times New Roman"/>
          <w:noProof/>
          <w:sz w:val="22"/>
          <w:lang w:val="en-US"/>
        </w:rPr>
        <w:tab/>
        <w:t>Sharma A, Wolf DH, Ciric R, Kable JW, Moore TM, Vandekar SN, et al. Common dimensional reward deficits across mood and psychotic disorders: A connectome-wide association study. Am J Psychiatry [Internet]. 2017 Jul;174(7):657–66. Available from: http://ajp.psychiatryonline.org/doi/10.1176/appi.ajp.2016.16070774</w:t>
      </w:r>
    </w:p>
    <w:p w14:paraId="46CFCD88" w14:textId="46B67A14" w:rsidR="00B37120" w:rsidRDefault="00B37120" w:rsidP="00F62B8E">
      <w:pPr>
        <w:spacing w:line="480" w:lineRule="auto"/>
        <w:rPr>
          <w:rFonts w:ascii="Times New Roman" w:hAnsi="Times New Roman" w:cs="Times New Roman"/>
          <w:sz w:val="22"/>
          <w:szCs w:val="22"/>
          <w:lang w:val="en-US"/>
        </w:rPr>
      </w:pPr>
      <w:r>
        <w:rPr>
          <w:rFonts w:ascii="Times New Roman" w:hAnsi="Times New Roman" w:cs="Times New Roman"/>
          <w:sz w:val="22"/>
          <w:szCs w:val="22"/>
          <w:lang w:val="en-US"/>
        </w:rPr>
        <w:fldChar w:fldCharType="end"/>
      </w:r>
    </w:p>
    <w:p w14:paraId="64D2870B" w14:textId="77777777" w:rsidR="00B37120" w:rsidRDefault="00B37120" w:rsidP="00F62B8E">
      <w:pPr>
        <w:spacing w:line="480" w:lineRule="auto"/>
        <w:rPr>
          <w:rFonts w:ascii="Times New Roman" w:hAnsi="Times New Roman" w:cs="Times New Roman"/>
          <w:sz w:val="22"/>
          <w:szCs w:val="22"/>
          <w:lang w:val="en-US"/>
        </w:rPr>
      </w:pPr>
    </w:p>
    <w:p w14:paraId="46658A9B" w14:textId="5F590D11" w:rsidR="00514427" w:rsidRDefault="00514427" w:rsidP="00514427">
      <w:pPr>
        <w:rPr>
          <w:rFonts w:ascii="Times New Roman" w:hAnsi="Times New Roman" w:cs="Times New Roman"/>
          <w:sz w:val="22"/>
          <w:szCs w:val="22"/>
          <w:lang w:val="en-US"/>
        </w:rPr>
      </w:pPr>
    </w:p>
    <w:p w14:paraId="76573F02" w14:textId="0C1916E8" w:rsidR="00F62B8E" w:rsidRDefault="00F62B8E" w:rsidP="00514427">
      <w:pPr>
        <w:rPr>
          <w:rFonts w:ascii="Times New Roman" w:hAnsi="Times New Roman" w:cs="Times New Roman"/>
          <w:sz w:val="22"/>
          <w:szCs w:val="22"/>
          <w:lang w:val="en-US"/>
        </w:rPr>
      </w:pPr>
    </w:p>
    <w:p w14:paraId="09FCE16B" w14:textId="45608509" w:rsidR="00F62B8E" w:rsidRDefault="00F62B8E" w:rsidP="00514427">
      <w:pPr>
        <w:rPr>
          <w:rFonts w:ascii="Times New Roman" w:hAnsi="Times New Roman" w:cs="Times New Roman"/>
          <w:sz w:val="22"/>
          <w:szCs w:val="22"/>
          <w:lang w:val="en-US"/>
        </w:rPr>
      </w:pPr>
    </w:p>
    <w:p w14:paraId="22DC88D5" w14:textId="77777777" w:rsidR="00F62B8E" w:rsidRDefault="00F62B8E" w:rsidP="00514427">
      <w:pPr>
        <w:rPr>
          <w:rFonts w:ascii="Times New Roman" w:hAnsi="Times New Roman" w:cs="Times New Roman"/>
          <w:sz w:val="22"/>
          <w:szCs w:val="22"/>
          <w:lang w:val="en-US"/>
        </w:rPr>
      </w:pPr>
    </w:p>
    <w:p w14:paraId="4D179FC2" w14:textId="77777777" w:rsidR="00B37120" w:rsidRDefault="00B37120" w:rsidP="00514427">
      <w:pPr>
        <w:spacing w:line="480" w:lineRule="auto"/>
        <w:rPr>
          <w:rFonts w:ascii="Times New Roman" w:hAnsi="Times New Roman" w:cs="Times New Roman"/>
          <w:b/>
          <w:bCs/>
          <w:sz w:val="22"/>
          <w:szCs w:val="22"/>
        </w:rPr>
      </w:pPr>
    </w:p>
    <w:p w14:paraId="6DF8142C" w14:textId="3D551394" w:rsidR="00514427" w:rsidRPr="00611BBD" w:rsidRDefault="00FB75B6" w:rsidP="00514427">
      <w:pPr>
        <w:spacing w:line="480" w:lineRule="auto"/>
        <w:rPr>
          <w:rFonts w:ascii="Times New Roman" w:hAnsi="Times New Roman" w:cs="Times New Roman"/>
          <w:sz w:val="22"/>
          <w:szCs w:val="22"/>
          <w:u w:val="single"/>
        </w:rPr>
      </w:pPr>
      <w:r w:rsidRPr="00611BBD">
        <w:rPr>
          <w:rFonts w:ascii="Times New Roman" w:hAnsi="Times New Roman" w:cs="Times New Roman"/>
          <w:sz w:val="22"/>
          <w:szCs w:val="22"/>
          <w:u w:val="single"/>
        </w:rPr>
        <w:lastRenderedPageBreak/>
        <w:t xml:space="preserve">Supplementary </w:t>
      </w:r>
      <w:r w:rsidR="00514427" w:rsidRPr="00611BBD">
        <w:rPr>
          <w:rFonts w:ascii="Times New Roman" w:hAnsi="Times New Roman" w:cs="Times New Roman"/>
          <w:sz w:val="22"/>
          <w:szCs w:val="22"/>
          <w:u w:val="single"/>
        </w:rPr>
        <w:t>Table 1. Baseline Demographics of Study Population</w:t>
      </w:r>
    </w:p>
    <w:tbl>
      <w:tblPr>
        <w:tblStyle w:val="TableGrid"/>
        <w:tblW w:w="5000" w:type="pct"/>
        <w:tblCellMar>
          <w:left w:w="57" w:type="dxa"/>
          <w:right w:w="28" w:type="dxa"/>
        </w:tblCellMar>
        <w:tblLook w:val="04A0" w:firstRow="1" w:lastRow="0" w:firstColumn="1" w:lastColumn="0" w:noHBand="0" w:noVBand="1"/>
      </w:tblPr>
      <w:tblGrid>
        <w:gridCol w:w="2362"/>
        <w:gridCol w:w="2059"/>
        <w:gridCol w:w="1954"/>
        <w:gridCol w:w="2167"/>
        <w:gridCol w:w="808"/>
      </w:tblGrid>
      <w:tr w:rsidR="00514427" w:rsidRPr="00B93052" w14:paraId="1F74F90A" w14:textId="77777777" w:rsidTr="0013197F">
        <w:tc>
          <w:tcPr>
            <w:tcW w:w="1263" w:type="pct"/>
            <w:shd w:val="clear" w:color="auto" w:fill="D9D9D9" w:themeFill="background1" w:themeFillShade="D9"/>
            <w:tcMar>
              <w:left w:w="142" w:type="dxa"/>
              <w:right w:w="142" w:type="dxa"/>
            </w:tcMar>
            <w:vAlign w:val="center"/>
          </w:tcPr>
          <w:p w14:paraId="612ABF43" w14:textId="77777777" w:rsidR="00514427" w:rsidRPr="00B93052" w:rsidRDefault="00514427" w:rsidP="0013197F">
            <w:pPr>
              <w:spacing w:before="120" w:after="120"/>
              <w:rPr>
                <w:b/>
                <w:bCs/>
                <w:color w:val="000000" w:themeColor="text1"/>
                <w:szCs w:val="24"/>
              </w:rPr>
            </w:pPr>
            <w:r w:rsidRPr="00B93052">
              <w:rPr>
                <w:b/>
                <w:bCs/>
                <w:color w:val="000000" w:themeColor="text1"/>
                <w:szCs w:val="24"/>
              </w:rPr>
              <w:t>Variable</w:t>
            </w:r>
          </w:p>
        </w:tc>
        <w:tc>
          <w:tcPr>
            <w:tcW w:w="1101" w:type="pct"/>
            <w:shd w:val="clear" w:color="auto" w:fill="D9D9D9" w:themeFill="background1" w:themeFillShade="D9"/>
            <w:tcMar>
              <w:left w:w="142" w:type="dxa"/>
              <w:right w:w="142" w:type="dxa"/>
            </w:tcMar>
            <w:vAlign w:val="center"/>
          </w:tcPr>
          <w:p w14:paraId="3FF8611B" w14:textId="77777777" w:rsidR="00514427" w:rsidRDefault="00514427" w:rsidP="0013197F">
            <w:pPr>
              <w:spacing w:before="120" w:after="120"/>
              <w:rPr>
                <w:b/>
                <w:bCs/>
                <w:color w:val="000000" w:themeColor="text1"/>
                <w:szCs w:val="24"/>
              </w:rPr>
            </w:pPr>
            <w:r>
              <w:rPr>
                <w:b/>
                <w:bCs/>
                <w:color w:val="000000" w:themeColor="text1"/>
                <w:szCs w:val="24"/>
              </w:rPr>
              <w:t>Entire</w:t>
            </w:r>
            <w:r w:rsidRPr="00B93052">
              <w:rPr>
                <w:b/>
                <w:bCs/>
                <w:color w:val="000000" w:themeColor="text1"/>
                <w:szCs w:val="24"/>
              </w:rPr>
              <w:t xml:space="preserve"> population </w:t>
            </w:r>
          </w:p>
          <w:p w14:paraId="36B214A3" w14:textId="77777777" w:rsidR="00514427" w:rsidRPr="00B93052" w:rsidRDefault="00514427" w:rsidP="0013197F">
            <w:pPr>
              <w:spacing w:before="120" w:after="120"/>
              <w:rPr>
                <w:b/>
                <w:bCs/>
                <w:color w:val="000000" w:themeColor="text1"/>
                <w:szCs w:val="24"/>
              </w:rPr>
            </w:pPr>
            <w:r w:rsidRPr="00B93052">
              <w:rPr>
                <w:b/>
                <w:bCs/>
                <w:color w:val="000000" w:themeColor="text1"/>
                <w:szCs w:val="24"/>
              </w:rPr>
              <w:t xml:space="preserve">(n = </w:t>
            </w:r>
            <w:r>
              <w:rPr>
                <w:b/>
                <w:bCs/>
                <w:color w:val="000000" w:themeColor="text1"/>
                <w:szCs w:val="24"/>
              </w:rPr>
              <w:t>211</w:t>
            </w:r>
            <w:r w:rsidRPr="00B93052">
              <w:rPr>
                <w:b/>
                <w:bCs/>
                <w:color w:val="000000" w:themeColor="text1"/>
                <w:szCs w:val="24"/>
              </w:rPr>
              <w:t>)</w:t>
            </w:r>
          </w:p>
        </w:tc>
        <w:tc>
          <w:tcPr>
            <w:tcW w:w="1045" w:type="pct"/>
            <w:shd w:val="clear" w:color="auto" w:fill="D9D9D9" w:themeFill="background1" w:themeFillShade="D9"/>
            <w:vAlign w:val="center"/>
          </w:tcPr>
          <w:p w14:paraId="68CE8429" w14:textId="77777777" w:rsidR="00514427" w:rsidRDefault="00514427" w:rsidP="0013197F">
            <w:pPr>
              <w:spacing w:before="120" w:after="120"/>
              <w:rPr>
                <w:b/>
                <w:bCs/>
                <w:color w:val="000000" w:themeColor="text1"/>
              </w:rPr>
            </w:pPr>
            <w:r>
              <w:rPr>
                <w:b/>
                <w:bCs/>
                <w:color w:val="000000" w:themeColor="text1"/>
              </w:rPr>
              <w:t xml:space="preserve">Week 8 Responders </w:t>
            </w:r>
          </w:p>
          <w:p w14:paraId="55B0F5A8" w14:textId="77777777" w:rsidR="00514427" w:rsidRPr="00B93052" w:rsidRDefault="00514427" w:rsidP="0013197F">
            <w:pPr>
              <w:spacing w:before="120" w:after="120"/>
              <w:rPr>
                <w:b/>
                <w:bCs/>
                <w:color w:val="000000" w:themeColor="text1"/>
              </w:rPr>
            </w:pPr>
            <w:r>
              <w:rPr>
                <w:b/>
                <w:bCs/>
                <w:color w:val="000000" w:themeColor="text1"/>
              </w:rPr>
              <w:t>(n = 85)</w:t>
            </w:r>
          </w:p>
        </w:tc>
        <w:tc>
          <w:tcPr>
            <w:tcW w:w="1159" w:type="pct"/>
            <w:shd w:val="clear" w:color="auto" w:fill="D9D9D9" w:themeFill="background1" w:themeFillShade="D9"/>
            <w:vAlign w:val="center"/>
          </w:tcPr>
          <w:p w14:paraId="00CD02EE" w14:textId="77777777" w:rsidR="00514427" w:rsidRDefault="00514427" w:rsidP="0013197F">
            <w:pPr>
              <w:spacing w:before="120" w:after="120"/>
              <w:rPr>
                <w:b/>
                <w:bCs/>
                <w:color w:val="000000" w:themeColor="text1"/>
              </w:rPr>
            </w:pPr>
            <w:r>
              <w:rPr>
                <w:b/>
                <w:bCs/>
                <w:color w:val="000000" w:themeColor="text1"/>
              </w:rPr>
              <w:t xml:space="preserve">Week 8 Non-responders </w:t>
            </w:r>
          </w:p>
          <w:p w14:paraId="53F61038" w14:textId="77777777" w:rsidR="00514427" w:rsidRPr="00B93052" w:rsidRDefault="00514427" w:rsidP="0013197F">
            <w:pPr>
              <w:spacing w:before="120" w:after="120"/>
              <w:rPr>
                <w:b/>
                <w:bCs/>
                <w:color w:val="000000" w:themeColor="text1"/>
              </w:rPr>
            </w:pPr>
            <w:r>
              <w:rPr>
                <w:b/>
                <w:bCs/>
                <w:color w:val="000000" w:themeColor="text1"/>
              </w:rPr>
              <w:t>(n = 95)</w:t>
            </w:r>
          </w:p>
        </w:tc>
        <w:tc>
          <w:tcPr>
            <w:tcW w:w="432" w:type="pct"/>
            <w:shd w:val="clear" w:color="auto" w:fill="D9D9D9" w:themeFill="background1" w:themeFillShade="D9"/>
            <w:vAlign w:val="center"/>
          </w:tcPr>
          <w:p w14:paraId="21D9112F" w14:textId="77777777" w:rsidR="00514427" w:rsidRPr="00B93052" w:rsidRDefault="00514427" w:rsidP="0013197F">
            <w:pPr>
              <w:spacing w:before="120" w:after="120"/>
              <w:rPr>
                <w:b/>
                <w:bCs/>
                <w:color w:val="000000" w:themeColor="text1"/>
              </w:rPr>
            </w:pPr>
            <w:r>
              <w:rPr>
                <w:b/>
                <w:bCs/>
                <w:color w:val="000000" w:themeColor="text1"/>
              </w:rPr>
              <w:t>p-value</w:t>
            </w:r>
          </w:p>
        </w:tc>
      </w:tr>
      <w:tr w:rsidR="00514427" w:rsidRPr="00B93052" w14:paraId="0478B4F9" w14:textId="77777777" w:rsidTr="0013197F">
        <w:tc>
          <w:tcPr>
            <w:tcW w:w="1263" w:type="pct"/>
            <w:tcMar>
              <w:left w:w="142" w:type="dxa"/>
              <w:right w:w="142" w:type="dxa"/>
            </w:tcMar>
            <w:vAlign w:val="center"/>
          </w:tcPr>
          <w:p w14:paraId="6582BA9D" w14:textId="77777777" w:rsidR="00514427" w:rsidRPr="00B93052" w:rsidRDefault="00514427" w:rsidP="0013197F">
            <w:pPr>
              <w:spacing w:before="60" w:after="60"/>
              <w:rPr>
                <w:color w:val="000000" w:themeColor="text1"/>
                <w:szCs w:val="24"/>
              </w:rPr>
            </w:pPr>
            <w:r w:rsidRPr="00B93052">
              <w:rPr>
                <w:color w:val="000000" w:themeColor="text1"/>
                <w:szCs w:val="24"/>
              </w:rPr>
              <w:t>Age (SD)</w:t>
            </w:r>
          </w:p>
        </w:tc>
        <w:tc>
          <w:tcPr>
            <w:tcW w:w="1101" w:type="pct"/>
            <w:tcMar>
              <w:left w:w="142" w:type="dxa"/>
              <w:right w:w="142" w:type="dxa"/>
            </w:tcMar>
            <w:vAlign w:val="center"/>
          </w:tcPr>
          <w:p w14:paraId="633E0BE6" w14:textId="77777777" w:rsidR="00514427" w:rsidRPr="00B93052" w:rsidRDefault="00514427" w:rsidP="0013197F">
            <w:pPr>
              <w:spacing w:before="60" w:after="60"/>
              <w:rPr>
                <w:color w:val="000000" w:themeColor="text1"/>
                <w:szCs w:val="24"/>
              </w:rPr>
            </w:pPr>
            <w:r>
              <w:rPr>
                <w:color w:val="000000" w:themeColor="text1"/>
                <w:szCs w:val="24"/>
              </w:rPr>
              <w:t>35.3 (12.6)</w:t>
            </w:r>
          </w:p>
        </w:tc>
        <w:tc>
          <w:tcPr>
            <w:tcW w:w="1045" w:type="pct"/>
            <w:vAlign w:val="center"/>
          </w:tcPr>
          <w:p w14:paraId="5E5B61DA" w14:textId="77777777" w:rsidR="00514427" w:rsidRPr="00B93052" w:rsidRDefault="00514427" w:rsidP="0013197F">
            <w:pPr>
              <w:spacing w:before="60" w:after="60"/>
              <w:rPr>
                <w:color w:val="000000" w:themeColor="text1"/>
              </w:rPr>
            </w:pPr>
            <w:r>
              <w:rPr>
                <w:color w:val="000000" w:themeColor="text1"/>
              </w:rPr>
              <w:t>35.0 (12.2)</w:t>
            </w:r>
          </w:p>
        </w:tc>
        <w:tc>
          <w:tcPr>
            <w:tcW w:w="1159" w:type="pct"/>
            <w:vAlign w:val="center"/>
          </w:tcPr>
          <w:p w14:paraId="72C5C63A" w14:textId="77777777" w:rsidR="00514427" w:rsidRPr="00B93052" w:rsidRDefault="00514427" w:rsidP="0013197F">
            <w:pPr>
              <w:spacing w:before="60" w:after="60"/>
              <w:rPr>
                <w:color w:val="000000" w:themeColor="text1"/>
              </w:rPr>
            </w:pPr>
            <w:r>
              <w:rPr>
                <w:color w:val="000000" w:themeColor="text1"/>
              </w:rPr>
              <w:t>35.8 (13.2)</w:t>
            </w:r>
          </w:p>
        </w:tc>
        <w:tc>
          <w:tcPr>
            <w:tcW w:w="432" w:type="pct"/>
            <w:vAlign w:val="center"/>
          </w:tcPr>
          <w:p w14:paraId="28529DB3" w14:textId="77777777" w:rsidR="00514427" w:rsidRPr="00B93052" w:rsidRDefault="00514427" w:rsidP="0013197F">
            <w:pPr>
              <w:spacing w:before="60" w:after="60"/>
              <w:rPr>
                <w:color w:val="000000" w:themeColor="text1"/>
              </w:rPr>
            </w:pPr>
            <w:r>
              <w:rPr>
                <w:color w:val="000000" w:themeColor="text1"/>
              </w:rPr>
              <w:t>0.68</w:t>
            </w:r>
          </w:p>
        </w:tc>
      </w:tr>
      <w:tr w:rsidR="00514427" w:rsidRPr="00B93052" w14:paraId="4EBE2913" w14:textId="77777777" w:rsidTr="0013197F">
        <w:tc>
          <w:tcPr>
            <w:tcW w:w="1263" w:type="pct"/>
            <w:tcMar>
              <w:left w:w="142" w:type="dxa"/>
              <w:right w:w="142" w:type="dxa"/>
            </w:tcMar>
            <w:vAlign w:val="center"/>
          </w:tcPr>
          <w:p w14:paraId="25C358E0" w14:textId="77777777" w:rsidR="00514427" w:rsidRPr="00B93052" w:rsidRDefault="00514427" w:rsidP="0013197F">
            <w:pPr>
              <w:spacing w:before="60" w:after="60"/>
              <w:rPr>
                <w:color w:val="000000" w:themeColor="text1"/>
                <w:szCs w:val="24"/>
              </w:rPr>
            </w:pPr>
            <w:r w:rsidRPr="00B93052">
              <w:rPr>
                <w:color w:val="000000" w:themeColor="text1"/>
                <w:szCs w:val="24"/>
              </w:rPr>
              <w:t>Years of education (SD)</w:t>
            </w:r>
          </w:p>
        </w:tc>
        <w:tc>
          <w:tcPr>
            <w:tcW w:w="1101" w:type="pct"/>
            <w:tcMar>
              <w:left w:w="142" w:type="dxa"/>
              <w:right w:w="142" w:type="dxa"/>
            </w:tcMar>
            <w:vAlign w:val="center"/>
          </w:tcPr>
          <w:p w14:paraId="5235477D" w14:textId="77777777" w:rsidR="00514427" w:rsidRPr="00B93052" w:rsidRDefault="00514427" w:rsidP="0013197F">
            <w:pPr>
              <w:spacing w:before="60" w:after="60"/>
              <w:rPr>
                <w:color w:val="000000" w:themeColor="text1"/>
                <w:szCs w:val="24"/>
              </w:rPr>
            </w:pPr>
            <w:r>
              <w:rPr>
                <w:color w:val="000000" w:themeColor="text1"/>
                <w:szCs w:val="24"/>
              </w:rPr>
              <w:t>16.9 (2.1)</w:t>
            </w:r>
          </w:p>
        </w:tc>
        <w:tc>
          <w:tcPr>
            <w:tcW w:w="1045" w:type="pct"/>
            <w:vAlign w:val="center"/>
          </w:tcPr>
          <w:p w14:paraId="61047680" w14:textId="77777777" w:rsidR="00514427" w:rsidRPr="00B93052" w:rsidRDefault="00514427" w:rsidP="0013197F">
            <w:pPr>
              <w:spacing w:before="60" w:after="60"/>
              <w:rPr>
                <w:color w:val="000000" w:themeColor="text1"/>
              </w:rPr>
            </w:pPr>
            <w:r>
              <w:rPr>
                <w:color w:val="000000" w:themeColor="text1"/>
              </w:rPr>
              <w:t>16.9 (2.3)</w:t>
            </w:r>
          </w:p>
        </w:tc>
        <w:tc>
          <w:tcPr>
            <w:tcW w:w="1159" w:type="pct"/>
            <w:vAlign w:val="center"/>
          </w:tcPr>
          <w:p w14:paraId="03430284" w14:textId="77777777" w:rsidR="00514427" w:rsidRPr="00B93052" w:rsidRDefault="00514427" w:rsidP="0013197F">
            <w:pPr>
              <w:spacing w:before="60" w:after="60"/>
              <w:rPr>
                <w:color w:val="000000" w:themeColor="text1"/>
              </w:rPr>
            </w:pPr>
            <w:r>
              <w:rPr>
                <w:color w:val="000000" w:themeColor="text1"/>
              </w:rPr>
              <w:t>16.9 (2.1)</w:t>
            </w:r>
          </w:p>
        </w:tc>
        <w:tc>
          <w:tcPr>
            <w:tcW w:w="432" w:type="pct"/>
            <w:vAlign w:val="center"/>
          </w:tcPr>
          <w:p w14:paraId="3CC438A7" w14:textId="77777777" w:rsidR="00514427" w:rsidRPr="00B93052" w:rsidRDefault="00514427" w:rsidP="0013197F">
            <w:pPr>
              <w:spacing w:before="60" w:after="60"/>
              <w:rPr>
                <w:color w:val="000000" w:themeColor="text1"/>
              </w:rPr>
            </w:pPr>
            <w:r>
              <w:rPr>
                <w:color w:val="000000" w:themeColor="text1"/>
              </w:rPr>
              <w:t>0.62</w:t>
            </w:r>
          </w:p>
        </w:tc>
      </w:tr>
      <w:tr w:rsidR="00514427" w:rsidRPr="00B93052" w14:paraId="2C6269CF" w14:textId="77777777" w:rsidTr="0013197F">
        <w:tc>
          <w:tcPr>
            <w:tcW w:w="1263" w:type="pct"/>
            <w:tcMar>
              <w:left w:w="142" w:type="dxa"/>
              <w:right w:w="142" w:type="dxa"/>
            </w:tcMar>
            <w:vAlign w:val="center"/>
          </w:tcPr>
          <w:p w14:paraId="703A968A" w14:textId="77777777" w:rsidR="00514427" w:rsidRPr="00B93052" w:rsidRDefault="00514427" w:rsidP="0013197F">
            <w:pPr>
              <w:spacing w:before="60" w:after="60"/>
              <w:rPr>
                <w:color w:val="000000" w:themeColor="text1"/>
                <w:szCs w:val="24"/>
              </w:rPr>
            </w:pPr>
            <w:r w:rsidRPr="00B93052">
              <w:rPr>
                <w:color w:val="000000" w:themeColor="text1"/>
                <w:szCs w:val="24"/>
              </w:rPr>
              <w:t>% Female (n)</w:t>
            </w:r>
          </w:p>
        </w:tc>
        <w:tc>
          <w:tcPr>
            <w:tcW w:w="1101" w:type="pct"/>
            <w:tcMar>
              <w:left w:w="142" w:type="dxa"/>
              <w:right w:w="142" w:type="dxa"/>
            </w:tcMar>
            <w:vAlign w:val="center"/>
          </w:tcPr>
          <w:p w14:paraId="12AE27C5" w14:textId="77777777" w:rsidR="00514427" w:rsidRPr="00B93052" w:rsidRDefault="00514427" w:rsidP="0013197F">
            <w:pPr>
              <w:spacing w:before="60" w:after="60"/>
              <w:rPr>
                <w:color w:val="000000" w:themeColor="text1"/>
                <w:szCs w:val="24"/>
              </w:rPr>
            </w:pPr>
            <w:r>
              <w:rPr>
                <w:color w:val="000000" w:themeColor="text1"/>
                <w:szCs w:val="24"/>
              </w:rPr>
              <w:t>63% (133)</w:t>
            </w:r>
          </w:p>
        </w:tc>
        <w:tc>
          <w:tcPr>
            <w:tcW w:w="1045" w:type="pct"/>
            <w:vAlign w:val="center"/>
          </w:tcPr>
          <w:p w14:paraId="3E3858F4" w14:textId="77777777" w:rsidR="00514427" w:rsidRPr="00B93052" w:rsidRDefault="00514427" w:rsidP="0013197F">
            <w:pPr>
              <w:spacing w:before="60" w:after="60"/>
              <w:rPr>
                <w:color w:val="000000" w:themeColor="text1"/>
              </w:rPr>
            </w:pPr>
            <w:r>
              <w:rPr>
                <w:color w:val="000000" w:themeColor="text1"/>
              </w:rPr>
              <w:t>65% (55)</w:t>
            </w:r>
          </w:p>
        </w:tc>
        <w:tc>
          <w:tcPr>
            <w:tcW w:w="1159" w:type="pct"/>
            <w:vAlign w:val="center"/>
          </w:tcPr>
          <w:p w14:paraId="12B95ED0" w14:textId="77777777" w:rsidR="00514427" w:rsidRPr="00B93052" w:rsidRDefault="00514427" w:rsidP="0013197F">
            <w:pPr>
              <w:spacing w:before="60" w:after="60"/>
              <w:rPr>
                <w:color w:val="000000" w:themeColor="text1"/>
              </w:rPr>
            </w:pPr>
            <w:r>
              <w:rPr>
                <w:color w:val="000000" w:themeColor="text1"/>
              </w:rPr>
              <w:t>60% (57)</w:t>
            </w:r>
          </w:p>
        </w:tc>
        <w:tc>
          <w:tcPr>
            <w:tcW w:w="432" w:type="pct"/>
            <w:vAlign w:val="center"/>
          </w:tcPr>
          <w:p w14:paraId="6C7700B1" w14:textId="77777777" w:rsidR="00514427" w:rsidRPr="00B93052" w:rsidRDefault="00514427" w:rsidP="0013197F">
            <w:pPr>
              <w:spacing w:before="60" w:after="60"/>
              <w:rPr>
                <w:color w:val="000000" w:themeColor="text1"/>
              </w:rPr>
            </w:pPr>
            <w:r>
              <w:rPr>
                <w:color w:val="000000" w:themeColor="text1"/>
              </w:rPr>
              <w:t>0.52</w:t>
            </w:r>
          </w:p>
        </w:tc>
      </w:tr>
      <w:tr w:rsidR="00514427" w:rsidRPr="00B93052" w14:paraId="17B47FB0" w14:textId="77777777" w:rsidTr="0013197F">
        <w:tc>
          <w:tcPr>
            <w:tcW w:w="1263" w:type="pct"/>
            <w:tcMar>
              <w:left w:w="142" w:type="dxa"/>
              <w:right w:w="142" w:type="dxa"/>
            </w:tcMar>
            <w:vAlign w:val="center"/>
          </w:tcPr>
          <w:p w14:paraId="5681E611" w14:textId="77777777" w:rsidR="00514427" w:rsidRPr="00B93052" w:rsidRDefault="00514427" w:rsidP="0013197F">
            <w:pPr>
              <w:spacing w:before="60" w:after="60"/>
              <w:rPr>
                <w:color w:val="000000" w:themeColor="text1"/>
                <w:szCs w:val="24"/>
              </w:rPr>
            </w:pPr>
            <w:r w:rsidRPr="00B93052">
              <w:rPr>
                <w:color w:val="000000" w:themeColor="text1"/>
                <w:szCs w:val="24"/>
              </w:rPr>
              <w:t>% Employed (n)</w:t>
            </w:r>
          </w:p>
        </w:tc>
        <w:tc>
          <w:tcPr>
            <w:tcW w:w="1101" w:type="pct"/>
            <w:tcMar>
              <w:left w:w="142" w:type="dxa"/>
              <w:right w:w="142" w:type="dxa"/>
            </w:tcMar>
            <w:vAlign w:val="center"/>
          </w:tcPr>
          <w:p w14:paraId="5063F909" w14:textId="77777777" w:rsidR="00514427" w:rsidRPr="00B93052" w:rsidRDefault="00514427" w:rsidP="0013197F">
            <w:pPr>
              <w:spacing w:before="60" w:after="60"/>
              <w:rPr>
                <w:color w:val="000000" w:themeColor="text1"/>
                <w:szCs w:val="24"/>
              </w:rPr>
            </w:pPr>
            <w:r>
              <w:rPr>
                <w:color w:val="000000" w:themeColor="text1"/>
                <w:szCs w:val="24"/>
              </w:rPr>
              <w:t xml:space="preserve">68% (131) </w:t>
            </w:r>
            <w:r w:rsidRPr="00454881">
              <w:rPr>
                <w:color w:val="000000" w:themeColor="text1"/>
                <w:szCs w:val="24"/>
                <w:vertAlign w:val="superscript"/>
              </w:rPr>
              <w:t>a</w:t>
            </w:r>
          </w:p>
        </w:tc>
        <w:tc>
          <w:tcPr>
            <w:tcW w:w="1045" w:type="pct"/>
            <w:vAlign w:val="center"/>
          </w:tcPr>
          <w:p w14:paraId="2655A676" w14:textId="77777777" w:rsidR="00514427" w:rsidRPr="00B93052" w:rsidRDefault="00514427" w:rsidP="0013197F">
            <w:pPr>
              <w:spacing w:before="60" w:after="60"/>
              <w:rPr>
                <w:color w:val="000000" w:themeColor="text1"/>
              </w:rPr>
            </w:pPr>
            <w:r>
              <w:rPr>
                <w:color w:val="000000" w:themeColor="text1"/>
              </w:rPr>
              <w:t>67% (52)</w:t>
            </w:r>
          </w:p>
        </w:tc>
        <w:tc>
          <w:tcPr>
            <w:tcW w:w="1159" w:type="pct"/>
            <w:vAlign w:val="center"/>
          </w:tcPr>
          <w:p w14:paraId="3EDFCEB0" w14:textId="77777777" w:rsidR="00514427" w:rsidRPr="00B93052" w:rsidRDefault="00514427" w:rsidP="0013197F">
            <w:pPr>
              <w:spacing w:before="60" w:after="60"/>
              <w:rPr>
                <w:color w:val="000000" w:themeColor="text1"/>
              </w:rPr>
            </w:pPr>
            <w:r>
              <w:rPr>
                <w:color w:val="000000" w:themeColor="text1"/>
              </w:rPr>
              <w:t>67% (58)</w:t>
            </w:r>
          </w:p>
        </w:tc>
        <w:tc>
          <w:tcPr>
            <w:tcW w:w="432" w:type="pct"/>
            <w:vAlign w:val="center"/>
          </w:tcPr>
          <w:p w14:paraId="2B091D44" w14:textId="77777777" w:rsidR="00514427" w:rsidRPr="00B93052" w:rsidRDefault="00514427" w:rsidP="0013197F">
            <w:pPr>
              <w:spacing w:before="60" w:after="60"/>
              <w:rPr>
                <w:color w:val="000000" w:themeColor="text1"/>
              </w:rPr>
            </w:pPr>
            <w:r>
              <w:rPr>
                <w:color w:val="000000" w:themeColor="text1"/>
              </w:rPr>
              <w:t>1.00</w:t>
            </w:r>
          </w:p>
        </w:tc>
      </w:tr>
      <w:tr w:rsidR="00514427" w:rsidRPr="00B93052" w14:paraId="75837452" w14:textId="77777777" w:rsidTr="0013197F">
        <w:tc>
          <w:tcPr>
            <w:tcW w:w="1263" w:type="pct"/>
            <w:tcMar>
              <w:left w:w="142" w:type="dxa"/>
              <w:right w:w="142" w:type="dxa"/>
            </w:tcMar>
            <w:vAlign w:val="center"/>
          </w:tcPr>
          <w:p w14:paraId="02934F72" w14:textId="77777777" w:rsidR="00514427" w:rsidRPr="00B93052" w:rsidRDefault="00514427" w:rsidP="0013197F">
            <w:pPr>
              <w:spacing w:before="60" w:after="60"/>
              <w:rPr>
                <w:color w:val="000000" w:themeColor="text1"/>
                <w:szCs w:val="24"/>
              </w:rPr>
            </w:pPr>
            <w:r w:rsidRPr="00B93052">
              <w:rPr>
                <w:color w:val="000000" w:themeColor="text1"/>
                <w:szCs w:val="24"/>
              </w:rPr>
              <w:t>% Never married (n)</w:t>
            </w:r>
          </w:p>
        </w:tc>
        <w:tc>
          <w:tcPr>
            <w:tcW w:w="1101" w:type="pct"/>
            <w:tcMar>
              <w:left w:w="142" w:type="dxa"/>
              <w:right w:w="142" w:type="dxa"/>
            </w:tcMar>
            <w:vAlign w:val="center"/>
          </w:tcPr>
          <w:p w14:paraId="685B66FC" w14:textId="77777777" w:rsidR="00514427" w:rsidRPr="00B93052" w:rsidRDefault="00514427" w:rsidP="0013197F">
            <w:pPr>
              <w:spacing w:before="60" w:after="60"/>
              <w:rPr>
                <w:color w:val="000000" w:themeColor="text1"/>
                <w:szCs w:val="24"/>
              </w:rPr>
            </w:pPr>
            <w:r>
              <w:rPr>
                <w:color w:val="000000" w:themeColor="text1"/>
                <w:szCs w:val="24"/>
              </w:rPr>
              <w:t>58% (122)</w:t>
            </w:r>
          </w:p>
        </w:tc>
        <w:tc>
          <w:tcPr>
            <w:tcW w:w="1045" w:type="pct"/>
            <w:vAlign w:val="center"/>
          </w:tcPr>
          <w:p w14:paraId="158AAF96" w14:textId="77777777" w:rsidR="00514427" w:rsidRPr="00B93052" w:rsidRDefault="00514427" w:rsidP="0013197F">
            <w:pPr>
              <w:spacing w:before="60" w:after="60"/>
              <w:rPr>
                <w:color w:val="000000" w:themeColor="text1"/>
              </w:rPr>
            </w:pPr>
            <w:r>
              <w:rPr>
                <w:color w:val="000000" w:themeColor="text1"/>
              </w:rPr>
              <w:t>62% (53)</w:t>
            </w:r>
          </w:p>
        </w:tc>
        <w:tc>
          <w:tcPr>
            <w:tcW w:w="1159" w:type="pct"/>
            <w:vAlign w:val="center"/>
          </w:tcPr>
          <w:p w14:paraId="047ED667" w14:textId="77777777" w:rsidR="00514427" w:rsidRPr="00B93052" w:rsidRDefault="00514427" w:rsidP="0013197F">
            <w:pPr>
              <w:spacing w:before="60" w:after="60"/>
              <w:rPr>
                <w:color w:val="000000" w:themeColor="text1"/>
              </w:rPr>
            </w:pPr>
            <w:r>
              <w:rPr>
                <w:color w:val="000000" w:themeColor="text1"/>
              </w:rPr>
              <w:t>53% (50)</w:t>
            </w:r>
          </w:p>
        </w:tc>
        <w:tc>
          <w:tcPr>
            <w:tcW w:w="432" w:type="pct"/>
            <w:vAlign w:val="center"/>
          </w:tcPr>
          <w:p w14:paraId="10F3D6C8" w14:textId="77777777" w:rsidR="00514427" w:rsidRPr="00B93052" w:rsidRDefault="00514427" w:rsidP="0013197F">
            <w:pPr>
              <w:spacing w:before="60" w:after="60"/>
              <w:rPr>
                <w:color w:val="000000" w:themeColor="text1"/>
              </w:rPr>
            </w:pPr>
            <w:r>
              <w:rPr>
                <w:color w:val="000000" w:themeColor="text1"/>
              </w:rPr>
              <w:t>0.19</w:t>
            </w:r>
          </w:p>
        </w:tc>
      </w:tr>
      <w:tr w:rsidR="00514427" w:rsidRPr="00B93052" w14:paraId="5B9A4A3A" w14:textId="77777777" w:rsidTr="0013197F">
        <w:tc>
          <w:tcPr>
            <w:tcW w:w="1263" w:type="pct"/>
            <w:tcMar>
              <w:left w:w="142" w:type="dxa"/>
              <w:right w:w="142" w:type="dxa"/>
            </w:tcMar>
            <w:vAlign w:val="center"/>
          </w:tcPr>
          <w:p w14:paraId="4F125A6F" w14:textId="77777777" w:rsidR="00514427" w:rsidRPr="00B93052" w:rsidRDefault="00514427" w:rsidP="0013197F">
            <w:pPr>
              <w:spacing w:before="60"/>
              <w:rPr>
                <w:color w:val="000000" w:themeColor="text1"/>
                <w:szCs w:val="24"/>
              </w:rPr>
            </w:pPr>
            <w:r w:rsidRPr="00B93052">
              <w:rPr>
                <w:color w:val="000000" w:themeColor="text1"/>
                <w:szCs w:val="24"/>
              </w:rPr>
              <w:t>Ethnicity</w:t>
            </w:r>
          </w:p>
          <w:p w14:paraId="0E243CDA" w14:textId="77777777" w:rsidR="00514427" w:rsidRPr="00B93052" w:rsidRDefault="00514427" w:rsidP="0013197F">
            <w:pPr>
              <w:ind w:firstLine="311"/>
              <w:rPr>
                <w:color w:val="000000" w:themeColor="text1"/>
                <w:szCs w:val="24"/>
              </w:rPr>
            </w:pPr>
            <w:r w:rsidRPr="00B93052">
              <w:rPr>
                <w:color w:val="000000" w:themeColor="text1"/>
                <w:szCs w:val="24"/>
              </w:rPr>
              <w:t>% White (n)</w:t>
            </w:r>
          </w:p>
          <w:p w14:paraId="1F3F3996" w14:textId="77777777" w:rsidR="00514427" w:rsidRPr="00B93052" w:rsidRDefault="00514427" w:rsidP="0013197F">
            <w:pPr>
              <w:ind w:firstLine="311"/>
              <w:rPr>
                <w:color w:val="000000" w:themeColor="text1"/>
                <w:szCs w:val="24"/>
              </w:rPr>
            </w:pPr>
            <w:r w:rsidRPr="00B93052">
              <w:rPr>
                <w:color w:val="000000" w:themeColor="text1"/>
                <w:szCs w:val="24"/>
              </w:rPr>
              <w:t>% Asian (n)</w:t>
            </w:r>
          </w:p>
          <w:p w14:paraId="5790E06B" w14:textId="77777777" w:rsidR="00514427" w:rsidRPr="00B93052" w:rsidRDefault="00514427" w:rsidP="0013197F">
            <w:pPr>
              <w:ind w:firstLine="311"/>
              <w:rPr>
                <w:color w:val="000000" w:themeColor="text1"/>
                <w:szCs w:val="24"/>
              </w:rPr>
            </w:pPr>
            <w:r w:rsidRPr="00B93052">
              <w:rPr>
                <w:color w:val="000000" w:themeColor="text1"/>
                <w:szCs w:val="24"/>
              </w:rPr>
              <w:t>% Latin/Hispanic (n)</w:t>
            </w:r>
          </w:p>
          <w:p w14:paraId="6BFE5A29" w14:textId="77777777" w:rsidR="00514427" w:rsidRPr="00B93052" w:rsidRDefault="00514427" w:rsidP="0013197F">
            <w:pPr>
              <w:ind w:firstLine="311"/>
              <w:rPr>
                <w:color w:val="000000" w:themeColor="text1"/>
                <w:szCs w:val="24"/>
              </w:rPr>
            </w:pPr>
            <w:r w:rsidRPr="00B93052">
              <w:rPr>
                <w:color w:val="000000" w:themeColor="text1"/>
                <w:szCs w:val="24"/>
              </w:rPr>
              <w:t>% Black (n)</w:t>
            </w:r>
          </w:p>
          <w:p w14:paraId="17D5C950" w14:textId="77777777" w:rsidR="00514427" w:rsidRPr="00B93052" w:rsidRDefault="00514427" w:rsidP="0013197F">
            <w:pPr>
              <w:ind w:firstLine="311"/>
              <w:rPr>
                <w:color w:val="000000" w:themeColor="text1"/>
                <w:szCs w:val="24"/>
              </w:rPr>
            </w:pPr>
            <w:r w:rsidRPr="00B93052">
              <w:rPr>
                <w:color w:val="000000" w:themeColor="text1"/>
                <w:szCs w:val="24"/>
              </w:rPr>
              <w:t>% Mixed (n)</w:t>
            </w:r>
          </w:p>
          <w:p w14:paraId="7F98C39F" w14:textId="77777777" w:rsidR="00514427" w:rsidRPr="00B93052" w:rsidRDefault="00514427" w:rsidP="0013197F">
            <w:pPr>
              <w:ind w:firstLine="311"/>
              <w:rPr>
                <w:color w:val="000000" w:themeColor="text1"/>
                <w:szCs w:val="24"/>
              </w:rPr>
            </w:pPr>
            <w:r w:rsidRPr="00B93052">
              <w:rPr>
                <w:color w:val="000000" w:themeColor="text1"/>
                <w:szCs w:val="24"/>
              </w:rPr>
              <w:t>% Other (n)</w:t>
            </w:r>
          </w:p>
        </w:tc>
        <w:tc>
          <w:tcPr>
            <w:tcW w:w="1101" w:type="pct"/>
            <w:tcMar>
              <w:left w:w="142" w:type="dxa"/>
              <w:right w:w="142" w:type="dxa"/>
            </w:tcMar>
            <w:vAlign w:val="center"/>
          </w:tcPr>
          <w:p w14:paraId="2295A87E" w14:textId="77777777" w:rsidR="00514427" w:rsidRDefault="00514427" w:rsidP="0013197F">
            <w:pPr>
              <w:spacing w:after="60"/>
              <w:rPr>
                <w:color w:val="000000" w:themeColor="text1"/>
                <w:szCs w:val="24"/>
              </w:rPr>
            </w:pPr>
          </w:p>
          <w:p w14:paraId="626DBBD1" w14:textId="77777777" w:rsidR="00514427" w:rsidRDefault="00514427" w:rsidP="0013197F">
            <w:pPr>
              <w:rPr>
                <w:color w:val="000000" w:themeColor="text1"/>
                <w:szCs w:val="24"/>
              </w:rPr>
            </w:pPr>
            <w:r>
              <w:rPr>
                <w:color w:val="000000" w:themeColor="text1"/>
                <w:szCs w:val="24"/>
              </w:rPr>
              <w:t>70% (147)</w:t>
            </w:r>
          </w:p>
          <w:p w14:paraId="26CB3D29" w14:textId="77777777" w:rsidR="00514427" w:rsidRDefault="00514427" w:rsidP="0013197F">
            <w:pPr>
              <w:rPr>
                <w:color w:val="000000" w:themeColor="text1"/>
                <w:szCs w:val="24"/>
              </w:rPr>
            </w:pPr>
            <w:r>
              <w:rPr>
                <w:color w:val="000000" w:themeColor="text1"/>
                <w:szCs w:val="24"/>
              </w:rPr>
              <w:t>15% (32)</w:t>
            </w:r>
          </w:p>
          <w:p w14:paraId="5DF60783" w14:textId="77777777" w:rsidR="00514427" w:rsidRDefault="00514427" w:rsidP="0013197F">
            <w:pPr>
              <w:rPr>
                <w:color w:val="000000" w:themeColor="text1"/>
                <w:szCs w:val="24"/>
              </w:rPr>
            </w:pPr>
            <w:r>
              <w:rPr>
                <w:color w:val="000000" w:themeColor="text1"/>
                <w:szCs w:val="24"/>
              </w:rPr>
              <w:t>5% (10)</w:t>
            </w:r>
          </w:p>
          <w:p w14:paraId="428B2094" w14:textId="77777777" w:rsidR="00514427" w:rsidRDefault="00514427" w:rsidP="0013197F">
            <w:pPr>
              <w:rPr>
                <w:color w:val="000000" w:themeColor="text1"/>
                <w:szCs w:val="24"/>
              </w:rPr>
            </w:pPr>
            <w:r>
              <w:rPr>
                <w:color w:val="000000" w:themeColor="text1"/>
                <w:szCs w:val="24"/>
              </w:rPr>
              <w:t>3% (6)</w:t>
            </w:r>
          </w:p>
          <w:p w14:paraId="6E6DAE7F" w14:textId="77777777" w:rsidR="00514427" w:rsidRDefault="00514427" w:rsidP="0013197F">
            <w:pPr>
              <w:rPr>
                <w:color w:val="000000" w:themeColor="text1"/>
                <w:szCs w:val="24"/>
              </w:rPr>
            </w:pPr>
            <w:r>
              <w:rPr>
                <w:color w:val="000000" w:themeColor="text1"/>
                <w:szCs w:val="24"/>
              </w:rPr>
              <w:t>6% (13)</w:t>
            </w:r>
          </w:p>
          <w:p w14:paraId="00CC2B16" w14:textId="77777777" w:rsidR="00514427" w:rsidRPr="00B93052" w:rsidRDefault="00514427" w:rsidP="0013197F">
            <w:pPr>
              <w:rPr>
                <w:color w:val="000000" w:themeColor="text1"/>
                <w:szCs w:val="24"/>
              </w:rPr>
            </w:pPr>
            <w:r>
              <w:rPr>
                <w:color w:val="000000" w:themeColor="text1"/>
                <w:szCs w:val="24"/>
              </w:rPr>
              <w:t>1% (3)</w:t>
            </w:r>
          </w:p>
        </w:tc>
        <w:tc>
          <w:tcPr>
            <w:tcW w:w="1045" w:type="pct"/>
            <w:vAlign w:val="center"/>
          </w:tcPr>
          <w:p w14:paraId="339DA2AA" w14:textId="77777777" w:rsidR="00514427" w:rsidRDefault="00514427" w:rsidP="0013197F">
            <w:pPr>
              <w:spacing w:after="60"/>
              <w:rPr>
                <w:color w:val="000000" w:themeColor="text1"/>
                <w:szCs w:val="24"/>
              </w:rPr>
            </w:pPr>
          </w:p>
          <w:p w14:paraId="41762C06" w14:textId="77777777" w:rsidR="00514427" w:rsidRDefault="00514427" w:rsidP="0013197F">
            <w:pPr>
              <w:rPr>
                <w:color w:val="000000" w:themeColor="text1"/>
                <w:szCs w:val="24"/>
              </w:rPr>
            </w:pPr>
            <w:r>
              <w:rPr>
                <w:color w:val="000000" w:themeColor="text1"/>
                <w:szCs w:val="24"/>
              </w:rPr>
              <w:t>72% (61)</w:t>
            </w:r>
          </w:p>
          <w:p w14:paraId="6D83C678" w14:textId="77777777" w:rsidR="00514427" w:rsidRDefault="00514427" w:rsidP="0013197F">
            <w:pPr>
              <w:rPr>
                <w:color w:val="000000" w:themeColor="text1"/>
                <w:szCs w:val="24"/>
              </w:rPr>
            </w:pPr>
            <w:r>
              <w:rPr>
                <w:color w:val="000000" w:themeColor="text1"/>
                <w:szCs w:val="24"/>
              </w:rPr>
              <w:t>14% (12)</w:t>
            </w:r>
          </w:p>
          <w:p w14:paraId="7361DB7B" w14:textId="77777777" w:rsidR="00514427" w:rsidRDefault="00514427" w:rsidP="0013197F">
            <w:pPr>
              <w:rPr>
                <w:color w:val="000000" w:themeColor="text1"/>
                <w:szCs w:val="24"/>
              </w:rPr>
            </w:pPr>
            <w:r>
              <w:rPr>
                <w:color w:val="000000" w:themeColor="text1"/>
                <w:szCs w:val="24"/>
              </w:rPr>
              <w:t>5% (4)</w:t>
            </w:r>
          </w:p>
          <w:p w14:paraId="0C2E017C" w14:textId="77777777" w:rsidR="00514427" w:rsidRDefault="00514427" w:rsidP="0013197F">
            <w:pPr>
              <w:rPr>
                <w:color w:val="000000" w:themeColor="text1"/>
                <w:szCs w:val="24"/>
              </w:rPr>
            </w:pPr>
            <w:r>
              <w:rPr>
                <w:color w:val="000000" w:themeColor="text1"/>
                <w:szCs w:val="24"/>
              </w:rPr>
              <w:t>4% (3)</w:t>
            </w:r>
          </w:p>
          <w:p w14:paraId="5BFBB901" w14:textId="77777777" w:rsidR="00514427" w:rsidRDefault="00514427" w:rsidP="0013197F">
            <w:pPr>
              <w:rPr>
                <w:color w:val="000000" w:themeColor="text1"/>
                <w:szCs w:val="24"/>
              </w:rPr>
            </w:pPr>
            <w:r>
              <w:rPr>
                <w:color w:val="000000" w:themeColor="text1"/>
                <w:szCs w:val="24"/>
              </w:rPr>
              <w:t>5% (4)</w:t>
            </w:r>
          </w:p>
          <w:p w14:paraId="62F535BA" w14:textId="77777777" w:rsidR="00514427" w:rsidRPr="00CB2581" w:rsidRDefault="00514427" w:rsidP="0013197F">
            <w:pPr>
              <w:rPr>
                <w:color w:val="000000" w:themeColor="text1"/>
                <w:szCs w:val="24"/>
              </w:rPr>
            </w:pPr>
            <w:r>
              <w:rPr>
                <w:color w:val="000000" w:themeColor="text1"/>
                <w:szCs w:val="24"/>
              </w:rPr>
              <w:t>1% (1)</w:t>
            </w:r>
          </w:p>
        </w:tc>
        <w:tc>
          <w:tcPr>
            <w:tcW w:w="1159" w:type="pct"/>
            <w:vAlign w:val="center"/>
          </w:tcPr>
          <w:p w14:paraId="741AFCA8" w14:textId="77777777" w:rsidR="00514427" w:rsidRDefault="00514427" w:rsidP="0013197F">
            <w:pPr>
              <w:spacing w:after="60"/>
              <w:rPr>
                <w:color w:val="000000" w:themeColor="text1"/>
                <w:szCs w:val="24"/>
              </w:rPr>
            </w:pPr>
          </w:p>
          <w:p w14:paraId="4A5B9BF0" w14:textId="77777777" w:rsidR="00514427" w:rsidRDefault="00514427" w:rsidP="0013197F">
            <w:pPr>
              <w:rPr>
                <w:color w:val="000000" w:themeColor="text1"/>
                <w:szCs w:val="24"/>
              </w:rPr>
            </w:pPr>
            <w:r>
              <w:rPr>
                <w:color w:val="000000" w:themeColor="text1"/>
                <w:szCs w:val="24"/>
              </w:rPr>
              <w:t>69% (66)</w:t>
            </w:r>
          </w:p>
          <w:p w14:paraId="377A1709" w14:textId="77777777" w:rsidR="00514427" w:rsidRDefault="00514427" w:rsidP="0013197F">
            <w:pPr>
              <w:rPr>
                <w:color w:val="000000" w:themeColor="text1"/>
                <w:szCs w:val="24"/>
              </w:rPr>
            </w:pPr>
            <w:r>
              <w:rPr>
                <w:color w:val="000000" w:themeColor="text1"/>
                <w:szCs w:val="24"/>
              </w:rPr>
              <w:t>16% (15)</w:t>
            </w:r>
          </w:p>
          <w:p w14:paraId="61D28DBB" w14:textId="77777777" w:rsidR="00514427" w:rsidRDefault="00514427" w:rsidP="0013197F">
            <w:pPr>
              <w:rPr>
                <w:color w:val="000000" w:themeColor="text1"/>
                <w:szCs w:val="24"/>
              </w:rPr>
            </w:pPr>
            <w:r>
              <w:rPr>
                <w:color w:val="000000" w:themeColor="text1"/>
                <w:szCs w:val="24"/>
              </w:rPr>
              <w:t>4% (4)</w:t>
            </w:r>
          </w:p>
          <w:p w14:paraId="65943A7D" w14:textId="77777777" w:rsidR="00514427" w:rsidRDefault="00514427" w:rsidP="0013197F">
            <w:pPr>
              <w:rPr>
                <w:color w:val="000000" w:themeColor="text1"/>
                <w:szCs w:val="24"/>
              </w:rPr>
            </w:pPr>
            <w:r>
              <w:rPr>
                <w:color w:val="000000" w:themeColor="text1"/>
                <w:szCs w:val="24"/>
              </w:rPr>
              <w:t>1% (1)</w:t>
            </w:r>
          </w:p>
          <w:p w14:paraId="0294BB69" w14:textId="77777777" w:rsidR="00514427" w:rsidRDefault="00514427" w:rsidP="0013197F">
            <w:pPr>
              <w:rPr>
                <w:color w:val="000000" w:themeColor="text1"/>
                <w:szCs w:val="24"/>
              </w:rPr>
            </w:pPr>
            <w:r>
              <w:rPr>
                <w:color w:val="000000" w:themeColor="text1"/>
                <w:szCs w:val="24"/>
              </w:rPr>
              <w:t>7% (7)</w:t>
            </w:r>
          </w:p>
          <w:p w14:paraId="1EE65123" w14:textId="77777777" w:rsidR="00514427" w:rsidRPr="00B93052" w:rsidRDefault="00514427" w:rsidP="0013197F">
            <w:pPr>
              <w:rPr>
                <w:color w:val="000000" w:themeColor="text1"/>
              </w:rPr>
            </w:pPr>
            <w:r>
              <w:rPr>
                <w:color w:val="000000" w:themeColor="text1"/>
                <w:szCs w:val="24"/>
              </w:rPr>
              <w:t>2% (2)</w:t>
            </w:r>
          </w:p>
        </w:tc>
        <w:tc>
          <w:tcPr>
            <w:tcW w:w="432" w:type="pct"/>
            <w:vAlign w:val="center"/>
          </w:tcPr>
          <w:p w14:paraId="04C362B8" w14:textId="77777777" w:rsidR="00514427" w:rsidRDefault="00514427" w:rsidP="0013197F">
            <w:pPr>
              <w:spacing w:after="60"/>
              <w:rPr>
                <w:color w:val="000000" w:themeColor="text1"/>
                <w:szCs w:val="24"/>
              </w:rPr>
            </w:pPr>
          </w:p>
          <w:p w14:paraId="56AEDD65" w14:textId="77777777" w:rsidR="00514427" w:rsidRDefault="00514427" w:rsidP="0013197F">
            <w:pPr>
              <w:rPr>
                <w:color w:val="000000" w:themeColor="text1"/>
                <w:szCs w:val="24"/>
              </w:rPr>
            </w:pPr>
            <w:r>
              <w:rPr>
                <w:color w:val="000000" w:themeColor="text1"/>
                <w:szCs w:val="24"/>
              </w:rPr>
              <w:t>0.74</w:t>
            </w:r>
          </w:p>
          <w:p w14:paraId="0D706082" w14:textId="77777777" w:rsidR="00514427" w:rsidRDefault="00514427" w:rsidP="0013197F">
            <w:pPr>
              <w:rPr>
                <w:color w:val="000000" w:themeColor="text1"/>
                <w:szCs w:val="24"/>
              </w:rPr>
            </w:pPr>
            <w:r>
              <w:rPr>
                <w:color w:val="000000" w:themeColor="text1"/>
                <w:szCs w:val="24"/>
              </w:rPr>
              <w:t>0.78</w:t>
            </w:r>
          </w:p>
          <w:p w14:paraId="2B331586" w14:textId="77777777" w:rsidR="00514427" w:rsidRDefault="00514427" w:rsidP="0013197F">
            <w:pPr>
              <w:rPr>
                <w:color w:val="000000" w:themeColor="text1"/>
                <w:szCs w:val="24"/>
              </w:rPr>
            </w:pPr>
            <w:r>
              <w:rPr>
                <w:color w:val="000000" w:themeColor="text1"/>
                <w:szCs w:val="24"/>
              </w:rPr>
              <w:t>0.87</w:t>
            </w:r>
          </w:p>
          <w:p w14:paraId="61CD754B" w14:textId="77777777" w:rsidR="00514427" w:rsidRDefault="00514427" w:rsidP="0013197F">
            <w:pPr>
              <w:rPr>
                <w:color w:val="000000" w:themeColor="text1"/>
                <w:szCs w:val="24"/>
              </w:rPr>
            </w:pPr>
            <w:r>
              <w:rPr>
                <w:color w:val="000000" w:themeColor="text1"/>
                <w:szCs w:val="24"/>
              </w:rPr>
              <w:t>0.28</w:t>
            </w:r>
          </w:p>
          <w:p w14:paraId="2219A041" w14:textId="77777777" w:rsidR="00514427" w:rsidRDefault="00514427" w:rsidP="0013197F">
            <w:pPr>
              <w:rPr>
                <w:color w:val="000000" w:themeColor="text1"/>
                <w:szCs w:val="24"/>
              </w:rPr>
            </w:pPr>
            <w:r>
              <w:rPr>
                <w:color w:val="000000" w:themeColor="text1"/>
                <w:szCs w:val="24"/>
              </w:rPr>
              <w:t>0.45</w:t>
            </w:r>
          </w:p>
          <w:p w14:paraId="4C25A791" w14:textId="77777777" w:rsidR="00514427" w:rsidRPr="00B93052" w:rsidRDefault="00514427" w:rsidP="0013197F">
            <w:pPr>
              <w:spacing w:before="60"/>
              <w:rPr>
                <w:color w:val="000000" w:themeColor="text1"/>
              </w:rPr>
            </w:pPr>
            <w:r>
              <w:rPr>
                <w:color w:val="000000" w:themeColor="text1"/>
              </w:rPr>
              <w:t>0.62</w:t>
            </w:r>
          </w:p>
        </w:tc>
      </w:tr>
      <w:tr w:rsidR="00514427" w:rsidRPr="00B93052" w14:paraId="61A9E93A" w14:textId="77777777" w:rsidTr="0013197F">
        <w:tc>
          <w:tcPr>
            <w:tcW w:w="1263" w:type="pct"/>
            <w:tcMar>
              <w:left w:w="142" w:type="dxa"/>
              <w:right w:w="142" w:type="dxa"/>
            </w:tcMar>
            <w:vAlign w:val="center"/>
          </w:tcPr>
          <w:p w14:paraId="491E8A22" w14:textId="77777777" w:rsidR="00514427" w:rsidRPr="00B93052" w:rsidRDefault="00514427" w:rsidP="0013197F">
            <w:pPr>
              <w:spacing w:before="60" w:after="60"/>
              <w:rPr>
                <w:color w:val="000000" w:themeColor="text1"/>
                <w:szCs w:val="24"/>
              </w:rPr>
            </w:pPr>
            <w:r w:rsidRPr="00B93052">
              <w:rPr>
                <w:color w:val="000000" w:themeColor="text1"/>
                <w:szCs w:val="24"/>
              </w:rPr>
              <w:t>Age of MDD onset (SD)</w:t>
            </w:r>
          </w:p>
        </w:tc>
        <w:tc>
          <w:tcPr>
            <w:tcW w:w="1101" w:type="pct"/>
            <w:tcMar>
              <w:left w:w="142" w:type="dxa"/>
              <w:right w:w="142" w:type="dxa"/>
            </w:tcMar>
            <w:vAlign w:val="center"/>
          </w:tcPr>
          <w:p w14:paraId="33A605E1" w14:textId="77777777" w:rsidR="00514427" w:rsidRPr="00B93052" w:rsidRDefault="00514427" w:rsidP="0013197F">
            <w:pPr>
              <w:spacing w:before="60" w:after="60"/>
              <w:rPr>
                <w:color w:val="000000" w:themeColor="text1"/>
                <w:szCs w:val="24"/>
              </w:rPr>
            </w:pPr>
            <w:r>
              <w:rPr>
                <w:color w:val="000000" w:themeColor="text1"/>
                <w:szCs w:val="24"/>
              </w:rPr>
              <w:t>20.9 (10.5)</w:t>
            </w:r>
          </w:p>
        </w:tc>
        <w:tc>
          <w:tcPr>
            <w:tcW w:w="1045" w:type="pct"/>
            <w:vAlign w:val="center"/>
          </w:tcPr>
          <w:p w14:paraId="033C662E" w14:textId="77777777" w:rsidR="00514427" w:rsidRPr="00B93052" w:rsidRDefault="00514427" w:rsidP="0013197F">
            <w:pPr>
              <w:spacing w:before="60" w:after="60"/>
              <w:rPr>
                <w:color w:val="000000" w:themeColor="text1"/>
              </w:rPr>
            </w:pPr>
            <w:r>
              <w:rPr>
                <w:color w:val="000000" w:themeColor="text1"/>
              </w:rPr>
              <w:t>19.7 (9.2)</w:t>
            </w:r>
          </w:p>
        </w:tc>
        <w:tc>
          <w:tcPr>
            <w:tcW w:w="1159" w:type="pct"/>
            <w:vAlign w:val="center"/>
          </w:tcPr>
          <w:p w14:paraId="3F28933B" w14:textId="77777777" w:rsidR="00514427" w:rsidRPr="00B93052" w:rsidRDefault="00514427" w:rsidP="0013197F">
            <w:pPr>
              <w:spacing w:before="60" w:after="60"/>
              <w:rPr>
                <w:color w:val="000000" w:themeColor="text1"/>
              </w:rPr>
            </w:pPr>
            <w:r>
              <w:rPr>
                <w:color w:val="000000" w:themeColor="text1"/>
              </w:rPr>
              <w:t>21.9 (11.1)</w:t>
            </w:r>
          </w:p>
        </w:tc>
        <w:tc>
          <w:tcPr>
            <w:tcW w:w="432" w:type="pct"/>
            <w:vAlign w:val="center"/>
          </w:tcPr>
          <w:p w14:paraId="12A511D6" w14:textId="77777777" w:rsidR="00514427" w:rsidRPr="00B93052" w:rsidRDefault="00514427" w:rsidP="0013197F">
            <w:pPr>
              <w:spacing w:before="60" w:after="60"/>
              <w:rPr>
                <w:color w:val="000000" w:themeColor="text1"/>
              </w:rPr>
            </w:pPr>
            <w:r>
              <w:rPr>
                <w:color w:val="000000" w:themeColor="text1"/>
              </w:rPr>
              <w:t>0.16</w:t>
            </w:r>
          </w:p>
        </w:tc>
      </w:tr>
      <w:tr w:rsidR="00514427" w:rsidRPr="00B93052" w14:paraId="0F971D2F" w14:textId="77777777" w:rsidTr="0013197F">
        <w:tc>
          <w:tcPr>
            <w:tcW w:w="1263" w:type="pct"/>
            <w:tcMar>
              <w:left w:w="142" w:type="dxa"/>
              <w:right w:w="142" w:type="dxa"/>
            </w:tcMar>
            <w:vAlign w:val="center"/>
          </w:tcPr>
          <w:p w14:paraId="4E652F89" w14:textId="77777777" w:rsidR="00514427" w:rsidRPr="00B93052" w:rsidRDefault="00514427" w:rsidP="0013197F">
            <w:pPr>
              <w:spacing w:before="60" w:after="60"/>
              <w:rPr>
                <w:color w:val="000000" w:themeColor="text1"/>
                <w:szCs w:val="24"/>
              </w:rPr>
            </w:pPr>
            <w:r w:rsidRPr="00B93052">
              <w:rPr>
                <w:color w:val="000000" w:themeColor="text1"/>
                <w:szCs w:val="24"/>
              </w:rPr>
              <w:t>Number of previous MDEs (SD)</w:t>
            </w:r>
          </w:p>
        </w:tc>
        <w:tc>
          <w:tcPr>
            <w:tcW w:w="1101" w:type="pct"/>
            <w:tcMar>
              <w:left w:w="142" w:type="dxa"/>
              <w:right w:w="142" w:type="dxa"/>
            </w:tcMar>
            <w:vAlign w:val="center"/>
          </w:tcPr>
          <w:p w14:paraId="1ADD6FF7" w14:textId="77777777" w:rsidR="00514427" w:rsidRPr="00B93052" w:rsidRDefault="00514427" w:rsidP="0013197F">
            <w:pPr>
              <w:spacing w:before="60" w:after="60"/>
              <w:rPr>
                <w:color w:val="000000" w:themeColor="text1"/>
                <w:szCs w:val="24"/>
              </w:rPr>
            </w:pPr>
            <w:r>
              <w:rPr>
                <w:color w:val="000000" w:themeColor="text1"/>
                <w:szCs w:val="24"/>
              </w:rPr>
              <w:t>3.4 (4.4)</w:t>
            </w:r>
          </w:p>
        </w:tc>
        <w:tc>
          <w:tcPr>
            <w:tcW w:w="1045" w:type="pct"/>
            <w:vAlign w:val="center"/>
          </w:tcPr>
          <w:p w14:paraId="3C1D1E5D" w14:textId="77777777" w:rsidR="00514427" w:rsidRPr="00B93052" w:rsidRDefault="00514427" w:rsidP="0013197F">
            <w:pPr>
              <w:spacing w:before="60" w:after="60"/>
              <w:rPr>
                <w:color w:val="000000" w:themeColor="text1"/>
              </w:rPr>
            </w:pPr>
            <w:r>
              <w:rPr>
                <w:color w:val="000000" w:themeColor="text1"/>
              </w:rPr>
              <w:t>3.5 (3.1)</w:t>
            </w:r>
          </w:p>
        </w:tc>
        <w:tc>
          <w:tcPr>
            <w:tcW w:w="1159" w:type="pct"/>
            <w:vAlign w:val="center"/>
          </w:tcPr>
          <w:p w14:paraId="4422A223" w14:textId="77777777" w:rsidR="00514427" w:rsidRPr="00B93052" w:rsidRDefault="00514427" w:rsidP="0013197F">
            <w:pPr>
              <w:spacing w:before="60" w:after="60"/>
              <w:rPr>
                <w:color w:val="000000" w:themeColor="text1"/>
              </w:rPr>
            </w:pPr>
            <w:r>
              <w:rPr>
                <w:color w:val="000000" w:themeColor="text1"/>
              </w:rPr>
              <w:t>2.7 (3.4)</w:t>
            </w:r>
          </w:p>
        </w:tc>
        <w:tc>
          <w:tcPr>
            <w:tcW w:w="432" w:type="pct"/>
            <w:vAlign w:val="center"/>
          </w:tcPr>
          <w:p w14:paraId="7FB2F612" w14:textId="77777777" w:rsidR="00514427" w:rsidRPr="00B93052" w:rsidRDefault="00514427" w:rsidP="0013197F">
            <w:pPr>
              <w:spacing w:before="60" w:after="60"/>
              <w:rPr>
                <w:color w:val="000000" w:themeColor="text1"/>
              </w:rPr>
            </w:pPr>
            <w:r>
              <w:rPr>
                <w:color w:val="000000" w:themeColor="text1"/>
              </w:rPr>
              <w:t>0.11</w:t>
            </w:r>
          </w:p>
        </w:tc>
      </w:tr>
      <w:tr w:rsidR="00514427" w:rsidRPr="00B93052" w14:paraId="21C4A717" w14:textId="77777777" w:rsidTr="0013197F">
        <w:tc>
          <w:tcPr>
            <w:tcW w:w="1263" w:type="pct"/>
            <w:tcMar>
              <w:left w:w="142" w:type="dxa"/>
              <w:right w:w="142" w:type="dxa"/>
            </w:tcMar>
            <w:vAlign w:val="center"/>
          </w:tcPr>
          <w:p w14:paraId="3347454E" w14:textId="77777777" w:rsidR="00514427" w:rsidRPr="00B93052" w:rsidRDefault="00514427" w:rsidP="0013197F">
            <w:pPr>
              <w:spacing w:before="60" w:after="60"/>
              <w:rPr>
                <w:color w:val="000000" w:themeColor="text1"/>
                <w:szCs w:val="24"/>
              </w:rPr>
            </w:pPr>
            <w:r w:rsidRPr="00B93052">
              <w:rPr>
                <w:color w:val="000000" w:themeColor="text1"/>
                <w:szCs w:val="24"/>
              </w:rPr>
              <w:t>Current MDE duration, months (SD)</w:t>
            </w:r>
          </w:p>
        </w:tc>
        <w:tc>
          <w:tcPr>
            <w:tcW w:w="1101" w:type="pct"/>
            <w:tcMar>
              <w:left w:w="142" w:type="dxa"/>
              <w:right w:w="142" w:type="dxa"/>
            </w:tcMar>
            <w:vAlign w:val="center"/>
          </w:tcPr>
          <w:p w14:paraId="503A81C6" w14:textId="77777777" w:rsidR="00514427" w:rsidRPr="00B93052" w:rsidRDefault="00514427" w:rsidP="0013197F">
            <w:pPr>
              <w:spacing w:before="60" w:after="60"/>
              <w:rPr>
                <w:color w:val="000000" w:themeColor="text1"/>
                <w:szCs w:val="24"/>
              </w:rPr>
            </w:pPr>
            <w:r>
              <w:rPr>
                <w:color w:val="000000" w:themeColor="text1"/>
                <w:szCs w:val="24"/>
              </w:rPr>
              <w:t>25.8 (33.6)</w:t>
            </w:r>
          </w:p>
        </w:tc>
        <w:tc>
          <w:tcPr>
            <w:tcW w:w="1045" w:type="pct"/>
            <w:vAlign w:val="center"/>
          </w:tcPr>
          <w:p w14:paraId="6F916ADC" w14:textId="77777777" w:rsidR="00514427" w:rsidRPr="00B93052" w:rsidRDefault="00514427" w:rsidP="0013197F">
            <w:pPr>
              <w:spacing w:before="60" w:after="60"/>
              <w:rPr>
                <w:color w:val="000000" w:themeColor="text1"/>
              </w:rPr>
            </w:pPr>
            <w:r w:rsidRPr="00136E68">
              <w:rPr>
                <w:color w:val="000000" w:themeColor="text1"/>
                <w:szCs w:val="24"/>
              </w:rPr>
              <w:t>23.1 (29.5)</w:t>
            </w:r>
          </w:p>
        </w:tc>
        <w:tc>
          <w:tcPr>
            <w:tcW w:w="1159" w:type="pct"/>
            <w:vAlign w:val="center"/>
          </w:tcPr>
          <w:p w14:paraId="38BD6346" w14:textId="77777777" w:rsidR="00514427" w:rsidRPr="00B93052" w:rsidRDefault="00514427" w:rsidP="0013197F">
            <w:pPr>
              <w:spacing w:before="60" w:after="60"/>
              <w:rPr>
                <w:color w:val="000000" w:themeColor="text1"/>
              </w:rPr>
            </w:pPr>
            <w:r>
              <w:rPr>
                <w:color w:val="000000" w:themeColor="text1"/>
                <w:szCs w:val="24"/>
              </w:rPr>
              <w:t>30.5</w:t>
            </w:r>
            <w:r w:rsidRPr="00136E68">
              <w:rPr>
                <w:color w:val="000000" w:themeColor="text1"/>
                <w:szCs w:val="24"/>
              </w:rPr>
              <w:t xml:space="preserve"> (</w:t>
            </w:r>
            <w:r>
              <w:rPr>
                <w:color w:val="000000" w:themeColor="text1"/>
                <w:szCs w:val="24"/>
              </w:rPr>
              <w:t>37.6</w:t>
            </w:r>
            <w:r w:rsidRPr="00136E68">
              <w:rPr>
                <w:color w:val="000000" w:themeColor="text1"/>
                <w:szCs w:val="24"/>
              </w:rPr>
              <w:t>)</w:t>
            </w:r>
          </w:p>
        </w:tc>
        <w:tc>
          <w:tcPr>
            <w:tcW w:w="432" w:type="pct"/>
            <w:vAlign w:val="center"/>
          </w:tcPr>
          <w:p w14:paraId="549636E4" w14:textId="77777777" w:rsidR="00514427" w:rsidRPr="00B93052" w:rsidRDefault="00514427" w:rsidP="0013197F">
            <w:pPr>
              <w:spacing w:before="60" w:after="60"/>
              <w:rPr>
                <w:color w:val="000000" w:themeColor="text1"/>
              </w:rPr>
            </w:pPr>
            <w:r>
              <w:rPr>
                <w:color w:val="000000" w:themeColor="text1"/>
              </w:rPr>
              <w:t>0.15</w:t>
            </w:r>
          </w:p>
        </w:tc>
      </w:tr>
      <w:tr w:rsidR="00514427" w:rsidRPr="00B93052" w14:paraId="60D6E3CC" w14:textId="77777777" w:rsidTr="0013197F">
        <w:tc>
          <w:tcPr>
            <w:tcW w:w="1263" w:type="pct"/>
            <w:tcMar>
              <w:left w:w="142" w:type="dxa"/>
              <w:right w:w="142" w:type="dxa"/>
            </w:tcMar>
            <w:vAlign w:val="center"/>
          </w:tcPr>
          <w:p w14:paraId="104AE42A" w14:textId="77777777" w:rsidR="00514427" w:rsidRPr="00B93052" w:rsidRDefault="00514427" w:rsidP="0013197F">
            <w:pPr>
              <w:spacing w:before="60" w:after="60"/>
              <w:rPr>
                <w:color w:val="000000" w:themeColor="text1"/>
                <w:szCs w:val="24"/>
              </w:rPr>
            </w:pPr>
            <w:r w:rsidRPr="00B93052">
              <w:rPr>
                <w:color w:val="000000" w:themeColor="text1"/>
                <w:szCs w:val="24"/>
              </w:rPr>
              <w:t>Number of previous treatments (SD)</w:t>
            </w:r>
          </w:p>
        </w:tc>
        <w:tc>
          <w:tcPr>
            <w:tcW w:w="1101" w:type="pct"/>
            <w:tcMar>
              <w:left w:w="142" w:type="dxa"/>
              <w:right w:w="142" w:type="dxa"/>
            </w:tcMar>
            <w:vAlign w:val="center"/>
          </w:tcPr>
          <w:p w14:paraId="241FEBB0" w14:textId="77777777" w:rsidR="00514427" w:rsidRPr="00B93052" w:rsidRDefault="00514427" w:rsidP="0013197F">
            <w:pPr>
              <w:spacing w:before="60" w:after="60"/>
              <w:rPr>
                <w:color w:val="000000" w:themeColor="text1"/>
                <w:szCs w:val="24"/>
              </w:rPr>
            </w:pPr>
            <w:r>
              <w:rPr>
                <w:color w:val="000000" w:themeColor="text1"/>
                <w:szCs w:val="24"/>
              </w:rPr>
              <w:t>0.57 (0.82)</w:t>
            </w:r>
          </w:p>
        </w:tc>
        <w:tc>
          <w:tcPr>
            <w:tcW w:w="1045" w:type="pct"/>
            <w:vAlign w:val="center"/>
          </w:tcPr>
          <w:p w14:paraId="77A17CE6" w14:textId="77777777" w:rsidR="00514427" w:rsidRPr="00B93052" w:rsidRDefault="00514427" w:rsidP="0013197F">
            <w:pPr>
              <w:spacing w:before="60" w:after="60"/>
              <w:rPr>
                <w:color w:val="000000" w:themeColor="text1"/>
              </w:rPr>
            </w:pPr>
            <w:r>
              <w:rPr>
                <w:color w:val="000000" w:themeColor="text1"/>
              </w:rPr>
              <w:t>0.40 (0.68)</w:t>
            </w:r>
          </w:p>
        </w:tc>
        <w:tc>
          <w:tcPr>
            <w:tcW w:w="1159" w:type="pct"/>
            <w:vAlign w:val="center"/>
          </w:tcPr>
          <w:p w14:paraId="09418C14" w14:textId="77777777" w:rsidR="00514427" w:rsidRPr="00B93052" w:rsidRDefault="00514427" w:rsidP="0013197F">
            <w:pPr>
              <w:spacing w:before="60" w:after="60"/>
              <w:rPr>
                <w:color w:val="000000" w:themeColor="text1"/>
              </w:rPr>
            </w:pPr>
            <w:r>
              <w:rPr>
                <w:color w:val="000000" w:themeColor="text1"/>
              </w:rPr>
              <w:t>0.72 (0.91)</w:t>
            </w:r>
          </w:p>
        </w:tc>
        <w:tc>
          <w:tcPr>
            <w:tcW w:w="432" w:type="pct"/>
            <w:vAlign w:val="center"/>
          </w:tcPr>
          <w:p w14:paraId="32A78CF2" w14:textId="77777777" w:rsidR="00514427" w:rsidRPr="00AC1ED2" w:rsidRDefault="00514427" w:rsidP="0013197F">
            <w:pPr>
              <w:spacing w:before="60" w:after="60"/>
              <w:rPr>
                <w:b/>
                <w:bCs/>
                <w:color w:val="000000" w:themeColor="text1"/>
              </w:rPr>
            </w:pPr>
            <w:r w:rsidRPr="00AC1ED2">
              <w:rPr>
                <w:b/>
                <w:bCs/>
                <w:color w:val="000000" w:themeColor="text1"/>
              </w:rPr>
              <w:t>&lt; 0.01</w:t>
            </w:r>
          </w:p>
        </w:tc>
      </w:tr>
      <w:tr w:rsidR="00514427" w:rsidRPr="00B93052" w14:paraId="6889B8BA" w14:textId="77777777" w:rsidTr="0013197F">
        <w:tc>
          <w:tcPr>
            <w:tcW w:w="1263" w:type="pct"/>
            <w:tcMar>
              <w:left w:w="142" w:type="dxa"/>
              <w:right w:w="142" w:type="dxa"/>
            </w:tcMar>
            <w:vAlign w:val="center"/>
          </w:tcPr>
          <w:p w14:paraId="2EEDF8AE" w14:textId="77777777" w:rsidR="00514427" w:rsidRPr="00B93052" w:rsidRDefault="00514427" w:rsidP="0013197F">
            <w:pPr>
              <w:spacing w:before="60" w:after="60"/>
              <w:rPr>
                <w:color w:val="000000" w:themeColor="text1"/>
                <w:szCs w:val="24"/>
              </w:rPr>
            </w:pPr>
            <w:r w:rsidRPr="00B93052">
              <w:rPr>
                <w:color w:val="000000" w:themeColor="text1"/>
                <w:szCs w:val="24"/>
              </w:rPr>
              <w:t>% Family history, psychiatric illness (n)</w:t>
            </w:r>
          </w:p>
        </w:tc>
        <w:tc>
          <w:tcPr>
            <w:tcW w:w="1101" w:type="pct"/>
            <w:tcMar>
              <w:left w:w="142" w:type="dxa"/>
              <w:right w:w="142" w:type="dxa"/>
            </w:tcMar>
            <w:vAlign w:val="center"/>
          </w:tcPr>
          <w:p w14:paraId="7A69F071" w14:textId="77777777" w:rsidR="00514427" w:rsidRPr="00B93052" w:rsidRDefault="00514427" w:rsidP="0013197F">
            <w:pPr>
              <w:spacing w:before="60" w:after="60"/>
              <w:rPr>
                <w:color w:val="000000" w:themeColor="text1"/>
                <w:szCs w:val="24"/>
              </w:rPr>
            </w:pPr>
            <w:r>
              <w:rPr>
                <w:color w:val="000000" w:themeColor="text1"/>
                <w:szCs w:val="24"/>
              </w:rPr>
              <w:t xml:space="preserve">77% (160) </w:t>
            </w:r>
            <w:r>
              <w:rPr>
                <w:color w:val="000000" w:themeColor="text1"/>
                <w:szCs w:val="24"/>
                <w:vertAlign w:val="superscript"/>
              </w:rPr>
              <w:t>b</w:t>
            </w:r>
          </w:p>
        </w:tc>
        <w:tc>
          <w:tcPr>
            <w:tcW w:w="1045" w:type="pct"/>
            <w:vAlign w:val="center"/>
          </w:tcPr>
          <w:p w14:paraId="4D3A18F5" w14:textId="77777777" w:rsidR="00514427" w:rsidRPr="00B93052" w:rsidRDefault="00514427" w:rsidP="0013197F">
            <w:pPr>
              <w:spacing w:before="60" w:after="60"/>
              <w:rPr>
                <w:color w:val="000000" w:themeColor="text1"/>
              </w:rPr>
            </w:pPr>
            <w:r>
              <w:rPr>
                <w:color w:val="000000" w:themeColor="text1"/>
              </w:rPr>
              <w:t>78% (64)</w:t>
            </w:r>
          </w:p>
        </w:tc>
        <w:tc>
          <w:tcPr>
            <w:tcW w:w="1159" w:type="pct"/>
            <w:vAlign w:val="center"/>
          </w:tcPr>
          <w:p w14:paraId="48DC5D39" w14:textId="77777777" w:rsidR="00514427" w:rsidRPr="00B93052" w:rsidRDefault="00514427" w:rsidP="0013197F">
            <w:pPr>
              <w:spacing w:before="60" w:after="60"/>
              <w:rPr>
                <w:color w:val="000000" w:themeColor="text1"/>
              </w:rPr>
            </w:pPr>
            <w:r>
              <w:rPr>
                <w:color w:val="000000" w:themeColor="text1"/>
              </w:rPr>
              <w:t>75% (71)</w:t>
            </w:r>
          </w:p>
        </w:tc>
        <w:tc>
          <w:tcPr>
            <w:tcW w:w="432" w:type="pct"/>
            <w:vAlign w:val="center"/>
          </w:tcPr>
          <w:p w14:paraId="48F134F7" w14:textId="77777777" w:rsidR="00514427" w:rsidRPr="00B93052" w:rsidRDefault="00514427" w:rsidP="0013197F">
            <w:pPr>
              <w:spacing w:before="60" w:after="60"/>
              <w:rPr>
                <w:color w:val="000000" w:themeColor="text1"/>
              </w:rPr>
            </w:pPr>
            <w:r>
              <w:rPr>
                <w:color w:val="000000" w:themeColor="text1"/>
              </w:rPr>
              <w:t>0.61</w:t>
            </w:r>
          </w:p>
        </w:tc>
      </w:tr>
      <w:tr w:rsidR="00514427" w:rsidRPr="00B93052" w14:paraId="7BD6FD47" w14:textId="77777777" w:rsidTr="0013197F">
        <w:tc>
          <w:tcPr>
            <w:tcW w:w="1263" w:type="pct"/>
            <w:tcMar>
              <w:left w:w="142" w:type="dxa"/>
              <w:right w:w="142" w:type="dxa"/>
            </w:tcMar>
            <w:vAlign w:val="center"/>
          </w:tcPr>
          <w:p w14:paraId="06809EFA" w14:textId="77777777" w:rsidR="00514427" w:rsidRPr="00B93052" w:rsidRDefault="00514427" w:rsidP="0013197F">
            <w:pPr>
              <w:spacing w:before="60" w:after="60"/>
              <w:rPr>
                <w:color w:val="000000" w:themeColor="text1"/>
                <w:szCs w:val="24"/>
              </w:rPr>
            </w:pPr>
            <w:r w:rsidRPr="00B93052">
              <w:rPr>
                <w:color w:val="000000" w:themeColor="text1"/>
                <w:szCs w:val="24"/>
              </w:rPr>
              <w:t>Mean MADRS score (SD)</w:t>
            </w:r>
          </w:p>
        </w:tc>
        <w:tc>
          <w:tcPr>
            <w:tcW w:w="1101" w:type="pct"/>
            <w:tcMar>
              <w:left w:w="142" w:type="dxa"/>
              <w:right w:w="142" w:type="dxa"/>
            </w:tcMar>
            <w:vAlign w:val="center"/>
          </w:tcPr>
          <w:p w14:paraId="0F5F8369" w14:textId="77777777" w:rsidR="00514427" w:rsidRPr="00B93052" w:rsidRDefault="00514427" w:rsidP="0013197F">
            <w:pPr>
              <w:spacing w:before="60" w:after="60"/>
              <w:rPr>
                <w:color w:val="000000" w:themeColor="text1"/>
                <w:szCs w:val="24"/>
              </w:rPr>
            </w:pPr>
            <w:r>
              <w:rPr>
                <w:color w:val="000000" w:themeColor="text1"/>
                <w:szCs w:val="24"/>
              </w:rPr>
              <w:t>29.9 (5.6)</w:t>
            </w:r>
          </w:p>
        </w:tc>
        <w:tc>
          <w:tcPr>
            <w:tcW w:w="1045" w:type="pct"/>
            <w:vAlign w:val="center"/>
          </w:tcPr>
          <w:p w14:paraId="5E411B86" w14:textId="77777777" w:rsidR="00514427" w:rsidRPr="00B93052" w:rsidRDefault="00514427" w:rsidP="0013197F">
            <w:pPr>
              <w:spacing w:before="60" w:after="60"/>
              <w:rPr>
                <w:color w:val="000000" w:themeColor="text1"/>
              </w:rPr>
            </w:pPr>
            <w:r>
              <w:rPr>
                <w:color w:val="000000" w:themeColor="text1"/>
                <w:szCs w:val="24"/>
              </w:rPr>
              <w:t>29.5 (5.6)</w:t>
            </w:r>
          </w:p>
        </w:tc>
        <w:tc>
          <w:tcPr>
            <w:tcW w:w="1159" w:type="pct"/>
            <w:vAlign w:val="center"/>
          </w:tcPr>
          <w:p w14:paraId="02C9CF5B" w14:textId="77777777" w:rsidR="00514427" w:rsidRPr="00B93052" w:rsidRDefault="00514427" w:rsidP="0013197F">
            <w:pPr>
              <w:spacing w:before="60" w:after="60"/>
              <w:rPr>
                <w:color w:val="000000" w:themeColor="text1"/>
              </w:rPr>
            </w:pPr>
            <w:r>
              <w:rPr>
                <w:color w:val="000000" w:themeColor="text1"/>
                <w:szCs w:val="24"/>
              </w:rPr>
              <w:t>30.5 (5.5)</w:t>
            </w:r>
          </w:p>
        </w:tc>
        <w:tc>
          <w:tcPr>
            <w:tcW w:w="432" w:type="pct"/>
            <w:vAlign w:val="center"/>
          </w:tcPr>
          <w:p w14:paraId="13248A36" w14:textId="77777777" w:rsidR="00514427" w:rsidRPr="00B93052" w:rsidRDefault="00514427" w:rsidP="0013197F">
            <w:pPr>
              <w:spacing w:before="60" w:after="60"/>
              <w:rPr>
                <w:color w:val="000000" w:themeColor="text1"/>
              </w:rPr>
            </w:pPr>
            <w:r>
              <w:rPr>
                <w:color w:val="000000" w:themeColor="text1"/>
              </w:rPr>
              <w:t>0.24</w:t>
            </w:r>
          </w:p>
        </w:tc>
      </w:tr>
      <w:tr w:rsidR="00514427" w:rsidRPr="00B93052" w14:paraId="2321E109" w14:textId="77777777" w:rsidTr="0013197F">
        <w:trPr>
          <w:trHeight w:val="635"/>
        </w:trPr>
        <w:tc>
          <w:tcPr>
            <w:tcW w:w="1263" w:type="pct"/>
            <w:tcMar>
              <w:left w:w="142" w:type="dxa"/>
              <w:right w:w="142" w:type="dxa"/>
            </w:tcMar>
            <w:vAlign w:val="center"/>
          </w:tcPr>
          <w:p w14:paraId="01BF7E77" w14:textId="77777777" w:rsidR="00514427" w:rsidRPr="00B93052" w:rsidRDefault="00514427" w:rsidP="0013197F">
            <w:pPr>
              <w:spacing w:before="60" w:after="60"/>
              <w:rPr>
                <w:color w:val="000000" w:themeColor="text1"/>
                <w:szCs w:val="24"/>
              </w:rPr>
            </w:pPr>
            <w:r w:rsidRPr="00B93052">
              <w:rPr>
                <w:color w:val="000000" w:themeColor="text1"/>
                <w:szCs w:val="24"/>
              </w:rPr>
              <w:t>Mean DARS score (SD)</w:t>
            </w:r>
            <w:r>
              <w:rPr>
                <w:color w:val="000000" w:themeColor="text1"/>
                <w:szCs w:val="24"/>
              </w:rPr>
              <w:t>, Baseline</w:t>
            </w:r>
          </w:p>
        </w:tc>
        <w:tc>
          <w:tcPr>
            <w:tcW w:w="1101" w:type="pct"/>
            <w:tcMar>
              <w:left w:w="142" w:type="dxa"/>
              <w:right w:w="142" w:type="dxa"/>
            </w:tcMar>
            <w:vAlign w:val="center"/>
          </w:tcPr>
          <w:p w14:paraId="2A633D79" w14:textId="77777777" w:rsidR="00514427" w:rsidRPr="00B93052" w:rsidRDefault="00514427" w:rsidP="0013197F">
            <w:pPr>
              <w:spacing w:before="60" w:after="60"/>
              <w:rPr>
                <w:color w:val="000000" w:themeColor="text1"/>
                <w:szCs w:val="24"/>
              </w:rPr>
            </w:pPr>
            <w:r>
              <w:rPr>
                <w:color w:val="000000" w:themeColor="text1"/>
                <w:szCs w:val="24"/>
              </w:rPr>
              <w:t>33.8 (14.2)</w:t>
            </w:r>
          </w:p>
        </w:tc>
        <w:tc>
          <w:tcPr>
            <w:tcW w:w="1045" w:type="pct"/>
            <w:vAlign w:val="center"/>
          </w:tcPr>
          <w:p w14:paraId="3C3A252C" w14:textId="77777777" w:rsidR="00514427" w:rsidRPr="00B93052" w:rsidRDefault="00514427" w:rsidP="0013197F">
            <w:pPr>
              <w:spacing w:before="60" w:after="60"/>
              <w:rPr>
                <w:color w:val="000000" w:themeColor="text1"/>
              </w:rPr>
            </w:pPr>
            <w:r>
              <w:rPr>
                <w:color w:val="000000" w:themeColor="text1"/>
              </w:rPr>
              <w:t>34.0 (13.5)</w:t>
            </w:r>
          </w:p>
        </w:tc>
        <w:tc>
          <w:tcPr>
            <w:tcW w:w="1159" w:type="pct"/>
            <w:vAlign w:val="center"/>
          </w:tcPr>
          <w:p w14:paraId="1DB0EE24" w14:textId="77777777" w:rsidR="00514427" w:rsidRPr="00B93052" w:rsidRDefault="00514427" w:rsidP="0013197F">
            <w:pPr>
              <w:spacing w:before="60" w:after="60"/>
              <w:rPr>
                <w:color w:val="000000" w:themeColor="text1"/>
              </w:rPr>
            </w:pPr>
            <w:r>
              <w:rPr>
                <w:color w:val="000000" w:themeColor="text1"/>
              </w:rPr>
              <w:t>32.3 (15.1)</w:t>
            </w:r>
          </w:p>
        </w:tc>
        <w:tc>
          <w:tcPr>
            <w:tcW w:w="432" w:type="pct"/>
            <w:vAlign w:val="center"/>
          </w:tcPr>
          <w:p w14:paraId="27AC96CC" w14:textId="77777777" w:rsidR="00514427" w:rsidRPr="00B93052" w:rsidRDefault="00514427" w:rsidP="0013197F">
            <w:pPr>
              <w:spacing w:before="60" w:after="60"/>
              <w:rPr>
                <w:color w:val="000000" w:themeColor="text1"/>
              </w:rPr>
            </w:pPr>
            <w:r>
              <w:rPr>
                <w:color w:val="000000" w:themeColor="text1"/>
              </w:rPr>
              <w:t>0.43</w:t>
            </w:r>
          </w:p>
        </w:tc>
      </w:tr>
      <w:tr w:rsidR="00514427" w:rsidRPr="00B93052" w14:paraId="366D49B2" w14:textId="77777777" w:rsidTr="0013197F">
        <w:trPr>
          <w:trHeight w:val="635"/>
        </w:trPr>
        <w:tc>
          <w:tcPr>
            <w:tcW w:w="1263" w:type="pct"/>
            <w:tcMar>
              <w:left w:w="142" w:type="dxa"/>
              <w:right w:w="142" w:type="dxa"/>
            </w:tcMar>
            <w:vAlign w:val="center"/>
          </w:tcPr>
          <w:p w14:paraId="65C2D056" w14:textId="77777777" w:rsidR="00514427" w:rsidRDefault="00514427" w:rsidP="0013197F">
            <w:pPr>
              <w:spacing w:before="60" w:after="60"/>
              <w:rPr>
                <w:color w:val="000000" w:themeColor="text1"/>
              </w:rPr>
            </w:pPr>
            <w:r>
              <w:rPr>
                <w:color w:val="000000" w:themeColor="text1"/>
              </w:rPr>
              <w:t>Mean DARS score (SD),</w:t>
            </w:r>
          </w:p>
          <w:p w14:paraId="7DBF6AAD" w14:textId="77777777" w:rsidR="00514427" w:rsidRPr="00B93052" w:rsidRDefault="00514427" w:rsidP="0013197F">
            <w:pPr>
              <w:spacing w:before="60" w:after="60"/>
              <w:rPr>
                <w:color w:val="000000" w:themeColor="text1"/>
              </w:rPr>
            </w:pPr>
            <w:r>
              <w:rPr>
                <w:color w:val="000000" w:themeColor="text1"/>
              </w:rPr>
              <w:t>Week 8</w:t>
            </w:r>
          </w:p>
        </w:tc>
        <w:tc>
          <w:tcPr>
            <w:tcW w:w="1101" w:type="pct"/>
            <w:tcMar>
              <w:left w:w="142" w:type="dxa"/>
              <w:right w:w="142" w:type="dxa"/>
            </w:tcMar>
            <w:vAlign w:val="center"/>
          </w:tcPr>
          <w:p w14:paraId="336C5D38" w14:textId="77777777" w:rsidR="00514427" w:rsidRDefault="00514427" w:rsidP="0013197F">
            <w:pPr>
              <w:spacing w:before="60" w:after="60"/>
              <w:rPr>
                <w:color w:val="000000" w:themeColor="text1"/>
              </w:rPr>
            </w:pPr>
            <w:r>
              <w:rPr>
                <w:color w:val="000000" w:themeColor="text1"/>
              </w:rPr>
              <w:t>41.1 (15.8)</w:t>
            </w:r>
          </w:p>
        </w:tc>
        <w:tc>
          <w:tcPr>
            <w:tcW w:w="1045" w:type="pct"/>
            <w:vAlign w:val="center"/>
          </w:tcPr>
          <w:p w14:paraId="5F40F63F" w14:textId="77777777" w:rsidR="00514427" w:rsidRDefault="00514427" w:rsidP="0013197F">
            <w:pPr>
              <w:spacing w:before="60" w:after="60"/>
              <w:rPr>
                <w:color w:val="000000" w:themeColor="text1"/>
              </w:rPr>
            </w:pPr>
            <w:r>
              <w:rPr>
                <w:color w:val="000000" w:themeColor="text1"/>
              </w:rPr>
              <w:t>50.6 (12.0)</w:t>
            </w:r>
          </w:p>
        </w:tc>
        <w:tc>
          <w:tcPr>
            <w:tcW w:w="1159" w:type="pct"/>
            <w:vAlign w:val="center"/>
          </w:tcPr>
          <w:p w14:paraId="5A33C4F9" w14:textId="77777777" w:rsidR="00514427" w:rsidRDefault="00514427" w:rsidP="0013197F">
            <w:pPr>
              <w:spacing w:before="60" w:after="60"/>
              <w:rPr>
                <w:color w:val="000000" w:themeColor="text1"/>
              </w:rPr>
            </w:pPr>
            <w:r>
              <w:rPr>
                <w:color w:val="000000" w:themeColor="text1"/>
              </w:rPr>
              <w:t>32.6 (14.0)</w:t>
            </w:r>
          </w:p>
        </w:tc>
        <w:tc>
          <w:tcPr>
            <w:tcW w:w="432" w:type="pct"/>
            <w:vAlign w:val="center"/>
          </w:tcPr>
          <w:p w14:paraId="0F18687D" w14:textId="77777777" w:rsidR="00514427" w:rsidRPr="00AC1ED2" w:rsidRDefault="00514427" w:rsidP="0013197F">
            <w:pPr>
              <w:spacing w:before="60" w:after="60"/>
              <w:rPr>
                <w:b/>
                <w:bCs/>
                <w:color w:val="000000" w:themeColor="text1"/>
              </w:rPr>
            </w:pPr>
            <w:r w:rsidRPr="00AC1ED2">
              <w:rPr>
                <w:b/>
                <w:bCs/>
                <w:color w:val="000000" w:themeColor="text1"/>
              </w:rPr>
              <w:t>&lt; 0.001</w:t>
            </w:r>
          </w:p>
        </w:tc>
      </w:tr>
      <w:tr w:rsidR="00514427" w:rsidRPr="00B93052" w14:paraId="4E5D3B2F" w14:textId="77777777" w:rsidTr="0013197F">
        <w:trPr>
          <w:trHeight w:val="635"/>
        </w:trPr>
        <w:tc>
          <w:tcPr>
            <w:tcW w:w="1263" w:type="pct"/>
            <w:tcMar>
              <w:left w:w="142" w:type="dxa"/>
              <w:right w:w="142" w:type="dxa"/>
            </w:tcMar>
            <w:vAlign w:val="center"/>
          </w:tcPr>
          <w:p w14:paraId="19B0F3AE" w14:textId="77777777" w:rsidR="00514427" w:rsidRPr="00B93052" w:rsidRDefault="00514427" w:rsidP="0013197F">
            <w:pPr>
              <w:spacing w:before="60" w:after="60"/>
              <w:rPr>
                <w:color w:val="000000" w:themeColor="text1"/>
              </w:rPr>
            </w:pPr>
            <w:r>
              <w:rPr>
                <w:color w:val="000000" w:themeColor="text1"/>
              </w:rPr>
              <w:t>Mean DARS score (SD), Week 16</w:t>
            </w:r>
          </w:p>
        </w:tc>
        <w:tc>
          <w:tcPr>
            <w:tcW w:w="1101" w:type="pct"/>
            <w:tcMar>
              <w:left w:w="142" w:type="dxa"/>
              <w:right w:w="142" w:type="dxa"/>
            </w:tcMar>
            <w:vAlign w:val="center"/>
          </w:tcPr>
          <w:p w14:paraId="34810EA9" w14:textId="77777777" w:rsidR="00514427" w:rsidRDefault="00514427" w:rsidP="0013197F">
            <w:pPr>
              <w:spacing w:before="60" w:after="60"/>
              <w:rPr>
                <w:color w:val="000000" w:themeColor="text1"/>
              </w:rPr>
            </w:pPr>
            <w:r>
              <w:rPr>
                <w:color w:val="000000" w:themeColor="text1"/>
              </w:rPr>
              <w:t>46.7 (16.4)</w:t>
            </w:r>
          </w:p>
        </w:tc>
        <w:tc>
          <w:tcPr>
            <w:tcW w:w="1045" w:type="pct"/>
            <w:vAlign w:val="center"/>
          </w:tcPr>
          <w:p w14:paraId="561C48ED" w14:textId="77777777" w:rsidR="00514427" w:rsidRDefault="00514427" w:rsidP="0013197F">
            <w:pPr>
              <w:spacing w:before="60" w:after="60"/>
              <w:rPr>
                <w:color w:val="000000" w:themeColor="text1"/>
              </w:rPr>
            </w:pPr>
            <w:r>
              <w:rPr>
                <w:color w:val="000000" w:themeColor="text1"/>
              </w:rPr>
              <w:t>53.0 (11.8)</w:t>
            </w:r>
          </w:p>
        </w:tc>
        <w:tc>
          <w:tcPr>
            <w:tcW w:w="1159" w:type="pct"/>
            <w:vAlign w:val="center"/>
          </w:tcPr>
          <w:p w14:paraId="16269CA5" w14:textId="77777777" w:rsidR="00514427" w:rsidRDefault="00514427" w:rsidP="0013197F">
            <w:pPr>
              <w:spacing w:before="60" w:after="60"/>
              <w:rPr>
                <w:color w:val="000000" w:themeColor="text1"/>
              </w:rPr>
            </w:pPr>
            <w:r>
              <w:rPr>
                <w:color w:val="000000" w:themeColor="text1"/>
              </w:rPr>
              <w:t>41.2 (17.8)</w:t>
            </w:r>
          </w:p>
        </w:tc>
        <w:tc>
          <w:tcPr>
            <w:tcW w:w="432" w:type="pct"/>
            <w:vAlign w:val="center"/>
          </w:tcPr>
          <w:p w14:paraId="625412AC" w14:textId="77777777" w:rsidR="00514427" w:rsidRPr="00AC1ED2" w:rsidRDefault="00514427" w:rsidP="0013197F">
            <w:pPr>
              <w:spacing w:before="60" w:after="60"/>
              <w:rPr>
                <w:b/>
                <w:bCs/>
                <w:color w:val="000000" w:themeColor="text1"/>
              </w:rPr>
            </w:pPr>
            <w:r w:rsidRPr="00AC1ED2">
              <w:rPr>
                <w:b/>
                <w:bCs/>
                <w:color w:val="000000" w:themeColor="text1"/>
              </w:rPr>
              <w:t>&lt; 0.001</w:t>
            </w:r>
          </w:p>
        </w:tc>
      </w:tr>
      <w:tr w:rsidR="00514427" w:rsidRPr="00B93052" w14:paraId="74EB3EE9" w14:textId="77777777" w:rsidTr="0013197F">
        <w:tc>
          <w:tcPr>
            <w:tcW w:w="1263" w:type="pct"/>
            <w:tcMar>
              <w:left w:w="142" w:type="dxa"/>
              <w:right w:w="142" w:type="dxa"/>
            </w:tcMar>
            <w:vAlign w:val="center"/>
          </w:tcPr>
          <w:p w14:paraId="69B446B9" w14:textId="77777777" w:rsidR="00514427" w:rsidRDefault="00514427" w:rsidP="0013197F">
            <w:pPr>
              <w:spacing w:before="60" w:after="60"/>
              <w:rPr>
                <w:color w:val="000000" w:themeColor="text1"/>
              </w:rPr>
            </w:pPr>
            <w:r>
              <w:rPr>
                <w:color w:val="000000" w:themeColor="text1"/>
              </w:rPr>
              <w:t xml:space="preserve">Change in DARS (SD), </w:t>
            </w:r>
          </w:p>
          <w:p w14:paraId="440A2071" w14:textId="77777777" w:rsidR="00514427" w:rsidRPr="00B93052" w:rsidRDefault="00514427" w:rsidP="0013197F">
            <w:pPr>
              <w:spacing w:before="60" w:after="60"/>
              <w:rPr>
                <w:color w:val="000000" w:themeColor="text1"/>
              </w:rPr>
            </w:pPr>
            <w:r>
              <w:rPr>
                <w:color w:val="000000" w:themeColor="text1"/>
              </w:rPr>
              <w:t xml:space="preserve">Baseline to Week 8 </w:t>
            </w:r>
            <w:r>
              <w:rPr>
                <w:color w:val="000000" w:themeColor="text1"/>
                <w:sz w:val="18"/>
                <w:szCs w:val="18"/>
                <w:vertAlign w:val="superscript"/>
              </w:rPr>
              <w:t>c</w:t>
            </w:r>
          </w:p>
        </w:tc>
        <w:tc>
          <w:tcPr>
            <w:tcW w:w="1101" w:type="pct"/>
            <w:tcMar>
              <w:left w:w="142" w:type="dxa"/>
              <w:right w:w="142" w:type="dxa"/>
            </w:tcMar>
            <w:vAlign w:val="center"/>
          </w:tcPr>
          <w:p w14:paraId="538B64D8" w14:textId="77777777" w:rsidR="00514427" w:rsidRDefault="00514427" w:rsidP="0013197F">
            <w:pPr>
              <w:spacing w:before="60" w:after="60"/>
              <w:rPr>
                <w:color w:val="000000" w:themeColor="text1"/>
              </w:rPr>
            </w:pPr>
            <w:r>
              <w:rPr>
                <w:color w:val="000000" w:themeColor="text1"/>
              </w:rPr>
              <w:t>1.50 (1.07)</w:t>
            </w:r>
          </w:p>
        </w:tc>
        <w:tc>
          <w:tcPr>
            <w:tcW w:w="1045" w:type="pct"/>
            <w:vAlign w:val="center"/>
          </w:tcPr>
          <w:p w14:paraId="25A88B7C" w14:textId="77777777" w:rsidR="00514427" w:rsidRDefault="00514427" w:rsidP="0013197F">
            <w:pPr>
              <w:spacing w:before="60" w:after="60"/>
              <w:rPr>
                <w:color w:val="000000" w:themeColor="text1"/>
              </w:rPr>
            </w:pPr>
            <w:r>
              <w:rPr>
                <w:color w:val="000000" w:themeColor="text1"/>
              </w:rPr>
              <w:t>1.75 (1.00)</w:t>
            </w:r>
          </w:p>
        </w:tc>
        <w:tc>
          <w:tcPr>
            <w:tcW w:w="1159" w:type="pct"/>
            <w:vAlign w:val="center"/>
          </w:tcPr>
          <w:p w14:paraId="4DFBE5CB" w14:textId="77777777" w:rsidR="00514427" w:rsidRDefault="00514427" w:rsidP="0013197F">
            <w:pPr>
              <w:spacing w:before="60" w:after="60"/>
              <w:rPr>
                <w:color w:val="000000" w:themeColor="text1"/>
              </w:rPr>
            </w:pPr>
            <w:r>
              <w:rPr>
                <w:color w:val="000000" w:themeColor="text1"/>
              </w:rPr>
              <w:t>1.28 (1.09)</w:t>
            </w:r>
          </w:p>
        </w:tc>
        <w:tc>
          <w:tcPr>
            <w:tcW w:w="432" w:type="pct"/>
            <w:vAlign w:val="center"/>
          </w:tcPr>
          <w:p w14:paraId="53AB7D1A" w14:textId="77777777" w:rsidR="00514427" w:rsidRPr="00AF5F1B" w:rsidRDefault="00514427" w:rsidP="0013197F">
            <w:pPr>
              <w:spacing w:before="60" w:after="60"/>
              <w:rPr>
                <w:b/>
                <w:bCs/>
                <w:color w:val="000000" w:themeColor="text1"/>
              </w:rPr>
            </w:pPr>
            <w:r w:rsidRPr="00AF5F1B">
              <w:rPr>
                <w:b/>
                <w:bCs/>
                <w:color w:val="000000" w:themeColor="text1"/>
              </w:rPr>
              <w:t>0.04</w:t>
            </w:r>
          </w:p>
        </w:tc>
      </w:tr>
      <w:tr w:rsidR="00514427" w:rsidRPr="00B93052" w14:paraId="6B47D88A" w14:textId="77777777" w:rsidTr="0013197F">
        <w:tc>
          <w:tcPr>
            <w:tcW w:w="1263" w:type="pct"/>
            <w:tcMar>
              <w:left w:w="142" w:type="dxa"/>
              <w:right w:w="142" w:type="dxa"/>
            </w:tcMar>
            <w:vAlign w:val="center"/>
          </w:tcPr>
          <w:p w14:paraId="7FD96322" w14:textId="77777777" w:rsidR="00514427" w:rsidRDefault="00514427" w:rsidP="0013197F">
            <w:pPr>
              <w:spacing w:before="60" w:after="60"/>
              <w:rPr>
                <w:color w:val="000000" w:themeColor="text1"/>
              </w:rPr>
            </w:pPr>
            <w:r>
              <w:rPr>
                <w:color w:val="000000" w:themeColor="text1"/>
              </w:rPr>
              <w:t>Change in DARS (SD),</w:t>
            </w:r>
          </w:p>
          <w:p w14:paraId="51BCFE2B" w14:textId="77777777" w:rsidR="00514427" w:rsidRDefault="00514427" w:rsidP="0013197F">
            <w:pPr>
              <w:spacing w:before="60" w:after="60"/>
              <w:rPr>
                <w:color w:val="000000" w:themeColor="text1"/>
              </w:rPr>
            </w:pPr>
            <w:r>
              <w:rPr>
                <w:color w:val="000000" w:themeColor="text1"/>
              </w:rPr>
              <w:t xml:space="preserve">Baseline to Week 16 </w:t>
            </w:r>
            <w:r>
              <w:rPr>
                <w:color w:val="000000" w:themeColor="text1"/>
                <w:sz w:val="18"/>
                <w:szCs w:val="18"/>
                <w:vertAlign w:val="superscript"/>
              </w:rPr>
              <w:t>c</w:t>
            </w:r>
          </w:p>
        </w:tc>
        <w:tc>
          <w:tcPr>
            <w:tcW w:w="1101" w:type="pct"/>
            <w:tcMar>
              <w:left w:w="142" w:type="dxa"/>
              <w:right w:w="142" w:type="dxa"/>
            </w:tcMar>
            <w:vAlign w:val="center"/>
          </w:tcPr>
          <w:p w14:paraId="5A6FAA56" w14:textId="77777777" w:rsidR="00514427" w:rsidRDefault="00514427" w:rsidP="0013197F">
            <w:pPr>
              <w:spacing w:before="60" w:after="60"/>
              <w:rPr>
                <w:color w:val="000000" w:themeColor="text1"/>
              </w:rPr>
            </w:pPr>
            <w:r>
              <w:rPr>
                <w:color w:val="000000" w:themeColor="text1"/>
              </w:rPr>
              <w:t>1.72 (11.37)</w:t>
            </w:r>
          </w:p>
        </w:tc>
        <w:tc>
          <w:tcPr>
            <w:tcW w:w="1045" w:type="pct"/>
            <w:vAlign w:val="center"/>
          </w:tcPr>
          <w:p w14:paraId="08E6829B" w14:textId="77777777" w:rsidR="00514427" w:rsidRDefault="00514427" w:rsidP="0013197F">
            <w:pPr>
              <w:spacing w:before="60" w:after="60"/>
              <w:rPr>
                <w:color w:val="000000" w:themeColor="text1"/>
              </w:rPr>
            </w:pPr>
            <w:r>
              <w:rPr>
                <w:color w:val="000000" w:themeColor="text1"/>
              </w:rPr>
              <w:t>1.83 (1.14)</w:t>
            </w:r>
          </w:p>
        </w:tc>
        <w:tc>
          <w:tcPr>
            <w:tcW w:w="1159" w:type="pct"/>
            <w:vAlign w:val="center"/>
          </w:tcPr>
          <w:p w14:paraId="0E2D343A" w14:textId="77777777" w:rsidR="00514427" w:rsidRDefault="00514427" w:rsidP="0013197F">
            <w:pPr>
              <w:spacing w:before="60" w:after="60"/>
              <w:rPr>
                <w:color w:val="000000" w:themeColor="text1"/>
              </w:rPr>
            </w:pPr>
            <w:r>
              <w:rPr>
                <w:color w:val="000000" w:themeColor="text1"/>
              </w:rPr>
              <w:t>1.62 (1.56)</w:t>
            </w:r>
          </w:p>
        </w:tc>
        <w:tc>
          <w:tcPr>
            <w:tcW w:w="432" w:type="pct"/>
            <w:vAlign w:val="center"/>
          </w:tcPr>
          <w:p w14:paraId="77394638" w14:textId="77777777" w:rsidR="00514427" w:rsidRDefault="00514427" w:rsidP="0013197F">
            <w:pPr>
              <w:spacing w:before="60" w:after="60"/>
              <w:rPr>
                <w:color w:val="000000" w:themeColor="text1"/>
              </w:rPr>
            </w:pPr>
            <w:r>
              <w:rPr>
                <w:color w:val="000000" w:themeColor="text1"/>
              </w:rPr>
              <w:t>0.32</w:t>
            </w:r>
          </w:p>
        </w:tc>
      </w:tr>
      <w:tr w:rsidR="00514427" w:rsidRPr="00B93052" w14:paraId="3B2EB3CD" w14:textId="77777777" w:rsidTr="0013197F">
        <w:tc>
          <w:tcPr>
            <w:tcW w:w="1263" w:type="pct"/>
            <w:tcMar>
              <w:left w:w="142" w:type="dxa"/>
              <w:right w:w="142" w:type="dxa"/>
            </w:tcMar>
            <w:vAlign w:val="center"/>
          </w:tcPr>
          <w:p w14:paraId="3E4B0C43" w14:textId="77777777" w:rsidR="00514427" w:rsidRDefault="00514427" w:rsidP="0013197F">
            <w:pPr>
              <w:spacing w:before="60" w:after="60"/>
              <w:rPr>
                <w:color w:val="000000" w:themeColor="text1"/>
              </w:rPr>
            </w:pPr>
            <w:r>
              <w:rPr>
                <w:color w:val="000000" w:themeColor="text1"/>
              </w:rPr>
              <w:t>Change in DARS (SD),</w:t>
            </w:r>
          </w:p>
          <w:p w14:paraId="60222FFE" w14:textId="77777777" w:rsidR="00514427" w:rsidRDefault="00514427" w:rsidP="0013197F">
            <w:pPr>
              <w:spacing w:before="60" w:after="60"/>
              <w:rPr>
                <w:color w:val="000000" w:themeColor="text1"/>
              </w:rPr>
            </w:pPr>
            <w:r>
              <w:rPr>
                <w:color w:val="000000" w:themeColor="text1"/>
              </w:rPr>
              <w:t xml:space="preserve">Week 8 to Week 16 </w:t>
            </w:r>
            <w:r>
              <w:rPr>
                <w:color w:val="000000" w:themeColor="text1"/>
                <w:sz w:val="18"/>
                <w:szCs w:val="18"/>
                <w:vertAlign w:val="superscript"/>
              </w:rPr>
              <w:t>c</w:t>
            </w:r>
          </w:p>
        </w:tc>
        <w:tc>
          <w:tcPr>
            <w:tcW w:w="1101" w:type="pct"/>
            <w:tcMar>
              <w:left w:w="142" w:type="dxa"/>
              <w:right w:w="142" w:type="dxa"/>
            </w:tcMar>
            <w:vAlign w:val="center"/>
          </w:tcPr>
          <w:p w14:paraId="1A981252" w14:textId="77777777" w:rsidR="00514427" w:rsidRDefault="00514427" w:rsidP="0013197F">
            <w:pPr>
              <w:spacing w:before="60" w:after="60"/>
              <w:rPr>
                <w:color w:val="000000" w:themeColor="text1"/>
              </w:rPr>
            </w:pPr>
            <w:r>
              <w:rPr>
                <w:color w:val="000000" w:themeColor="text1"/>
              </w:rPr>
              <w:t>1.25 (0.51)</w:t>
            </w:r>
          </w:p>
        </w:tc>
        <w:tc>
          <w:tcPr>
            <w:tcW w:w="1045" w:type="pct"/>
            <w:vAlign w:val="center"/>
          </w:tcPr>
          <w:p w14:paraId="57038E9B" w14:textId="77777777" w:rsidR="00514427" w:rsidRDefault="00514427" w:rsidP="0013197F">
            <w:pPr>
              <w:spacing w:before="60" w:after="60"/>
              <w:rPr>
                <w:color w:val="000000" w:themeColor="text1"/>
              </w:rPr>
            </w:pPr>
            <w:r>
              <w:rPr>
                <w:color w:val="000000" w:themeColor="text1"/>
              </w:rPr>
              <w:t>1.10 (0.32)</w:t>
            </w:r>
          </w:p>
        </w:tc>
        <w:tc>
          <w:tcPr>
            <w:tcW w:w="1159" w:type="pct"/>
            <w:vAlign w:val="center"/>
          </w:tcPr>
          <w:p w14:paraId="3E82C0B4" w14:textId="77777777" w:rsidR="00514427" w:rsidRDefault="00514427" w:rsidP="0013197F">
            <w:pPr>
              <w:spacing w:before="60" w:after="60"/>
              <w:rPr>
                <w:color w:val="000000" w:themeColor="text1"/>
              </w:rPr>
            </w:pPr>
            <w:r>
              <w:rPr>
                <w:color w:val="000000" w:themeColor="text1"/>
              </w:rPr>
              <w:t>1.39 (0.61)</w:t>
            </w:r>
          </w:p>
        </w:tc>
        <w:tc>
          <w:tcPr>
            <w:tcW w:w="432" w:type="pct"/>
            <w:vAlign w:val="center"/>
          </w:tcPr>
          <w:p w14:paraId="39277E8D" w14:textId="77777777" w:rsidR="00514427" w:rsidRPr="00AC1ED2" w:rsidRDefault="00514427" w:rsidP="0013197F">
            <w:pPr>
              <w:spacing w:before="60" w:after="60"/>
              <w:rPr>
                <w:b/>
                <w:bCs/>
                <w:color w:val="000000" w:themeColor="text1"/>
              </w:rPr>
            </w:pPr>
            <w:r w:rsidRPr="00AC1ED2">
              <w:rPr>
                <w:b/>
                <w:bCs/>
                <w:color w:val="000000" w:themeColor="text1"/>
              </w:rPr>
              <w:t>&lt; 0.001</w:t>
            </w:r>
          </w:p>
        </w:tc>
      </w:tr>
    </w:tbl>
    <w:p w14:paraId="09B48B61" w14:textId="77777777" w:rsidR="00514427" w:rsidRDefault="00514427" w:rsidP="00514427">
      <w:pPr>
        <w:pStyle w:val="Caption"/>
        <w:spacing w:before="0" w:line="480" w:lineRule="auto"/>
        <w:rPr>
          <w:color w:val="000000" w:themeColor="text1"/>
        </w:rPr>
      </w:pPr>
      <w:r w:rsidRPr="00866455">
        <w:rPr>
          <w:b w:val="0"/>
          <w:bCs w:val="0"/>
          <w:color w:val="000000" w:themeColor="text1"/>
          <w:sz w:val="18"/>
          <w:szCs w:val="18"/>
          <w:vertAlign w:val="superscript"/>
        </w:rPr>
        <w:lastRenderedPageBreak/>
        <w:t xml:space="preserve">a </w:t>
      </w:r>
      <w:r w:rsidRPr="00866455">
        <w:rPr>
          <w:b w:val="0"/>
          <w:bCs w:val="0"/>
          <w:color w:val="000000" w:themeColor="text1"/>
          <w:sz w:val="18"/>
          <w:szCs w:val="18"/>
        </w:rPr>
        <w:t xml:space="preserve">n = 17 missing data, </w:t>
      </w:r>
      <w:r w:rsidRPr="00866455">
        <w:rPr>
          <w:b w:val="0"/>
          <w:bCs w:val="0"/>
          <w:color w:val="000000" w:themeColor="text1"/>
          <w:sz w:val="18"/>
          <w:szCs w:val="18"/>
          <w:vertAlign w:val="superscript"/>
        </w:rPr>
        <w:t xml:space="preserve">b  </w:t>
      </w:r>
      <w:r w:rsidRPr="00866455">
        <w:rPr>
          <w:b w:val="0"/>
          <w:bCs w:val="0"/>
          <w:color w:val="000000" w:themeColor="text1"/>
          <w:sz w:val="18"/>
          <w:szCs w:val="18"/>
        </w:rPr>
        <w:t>n = 3 missing data</w:t>
      </w:r>
      <w:r>
        <w:rPr>
          <w:b w:val="0"/>
          <w:bCs w:val="0"/>
          <w:color w:val="000000" w:themeColor="text1"/>
          <w:sz w:val="18"/>
          <w:szCs w:val="18"/>
        </w:rPr>
        <w:t xml:space="preserve">, </w:t>
      </w:r>
      <w:r>
        <w:rPr>
          <w:color w:val="000000" w:themeColor="text1"/>
          <w:sz w:val="18"/>
          <w:szCs w:val="18"/>
          <w:vertAlign w:val="superscript"/>
        </w:rPr>
        <w:t xml:space="preserve">c  </w:t>
      </w:r>
      <w:r>
        <w:rPr>
          <w:b w:val="0"/>
          <w:bCs w:val="0"/>
          <w:color w:val="000000" w:themeColor="text1"/>
          <w:sz w:val="18"/>
          <w:szCs w:val="18"/>
        </w:rPr>
        <w:t xml:space="preserve">expressed as a fraction, final value divided by initial; </w:t>
      </w:r>
      <w:r w:rsidRPr="00866455">
        <w:rPr>
          <w:b w:val="0"/>
          <w:bCs w:val="0"/>
          <w:sz w:val="18"/>
          <w:szCs w:val="18"/>
        </w:rPr>
        <w:t xml:space="preserve">SD: standard deviation, MDD: Major Depressive Disorder, MDE: Major Depressive Episode, DARS: Dimensional Anhedonia Rating Scale; MADRS: Montgomery </w:t>
      </w:r>
      <w:proofErr w:type="spellStart"/>
      <w:r w:rsidRPr="00866455">
        <w:rPr>
          <w:b w:val="0"/>
          <w:bCs w:val="0"/>
          <w:sz w:val="18"/>
          <w:szCs w:val="18"/>
        </w:rPr>
        <w:t>Asberg</w:t>
      </w:r>
      <w:proofErr w:type="spellEnd"/>
      <w:r w:rsidRPr="00866455">
        <w:rPr>
          <w:b w:val="0"/>
          <w:bCs w:val="0"/>
          <w:sz w:val="18"/>
          <w:szCs w:val="18"/>
        </w:rPr>
        <w:t xml:space="preserve"> Depression Rating Scale</w:t>
      </w:r>
    </w:p>
    <w:p w14:paraId="07AF5FBA" w14:textId="1D2EE7B1" w:rsidR="00514427" w:rsidRDefault="00514427" w:rsidP="00514427">
      <w:pPr>
        <w:rPr>
          <w:rFonts w:ascii="Times New Roman" w:hAnsi="Times New Roman" w:cs="Times New Roman"/>
          <w:b/>
          <w:bCs/>
          <w:sz w:val="28"/>
          <w:szCs w:val="28"/>
        </w:rPr>
      </w:pPr>
    </w:p>
    <w:p w14:paraId="5AF130D3" w14:textId="77777777" w:rsidR="00B37120" w:rsidRDefault="00B37120" w:rsidP="00514427">
      <w:pPr>
        <w:pStyle w:val="Caption"/>
        <w:spacing w:before="0" w:line="480" w:lineRule="auto"/>
        <w:rPr>
          <w:sz w:val="22"/>
          <w:szCs w:val="22"/>
        </w:rPr>
      </w:pPr>
    </w:p>
    <w:p w14:paraId="2FD9C579" w14:textId="5AFC480E" w:rsidR="00514427" w:rsidRPr="00611BBD" w:rsidRDefault="00FB75B6" w:rsidP="00514427">
      <w:pPr>
        <w:pStyle w:val="Caption"/>
        <w:spacing w:before="0" w:line="480" w:lineRule="auto"/>
        <w:rPr>
          <w:b w:val="0"/>
          <w:bCs w:val="0"/>
          <w:color w:val="000000" w:themeColor="text1"/>
          <w:sz w:val="18"/>
          <w:szCs w:val="18"/>
          <w:u w:val="single"/>
        </w:rPr>
      </w:pPr>
      <w:r w:rsidRPr="00611BBD">
        <w:rPr>
          <w:b w:val="0"/>
          <w:bCs w:val="0"/>
          <w:sz w:val="22"/>
          <w:szCs w:val="22"/>
          <w:u w:val="single"/>
        </w:rPr>
        <w:t xml:space="preserve">Supplementary </w:t>
      </w:r>
      <w:r w:rsidR="00514427" w:rsidRPr="00611BBD">
        <w:rPr>
          <w:b w:val="0"/>
          <w:bCs w:val="0"/>
          <w:sz w:val="22"/>
          <w:szCs w:val="22"/>
          <w:u w:val="single"/>
        </w:rPr>
        <w:t>Table 2. MNI152 coordinates of Z-maxima for association between DARS change and rsFC</w:t>
      </w:r>
      <w:r w:rsidR="00F62B8E" w:rsidRPr="00611BBD">
        <w:rPr>
          <w:b w:val="0"/>
          <w:bCs w:val="0"/>
          <w:sz w:val="22"/>
          <w:szCs w:val="22"/>
          <w:u w:val="single"/>
        </w:rPr>
        <w:t>, baseline to week 8</w:t>
      </w:r>
      <w:r w:rsidR="00B37120" w:rsidRPr="00611BBD">
        <w:rPr>
          <w:b w:val="0"/>
          <w:bCs w:val="0"/>
          <w:sz w:val="22"/>
          <w:szCs w:val="22"/>
          <w:u w:val="single"/>
        </w:rPr>
        <w:t xml:space="preserve"> </w:t>
      </w:r>
      <w:r w:rsidR="00B37120" w:rsidRPr="00611BBD">
        <w:rPr>
          <w:b w:val="0"/>
          <w:bCs w:val="0"/>
          <w:color w:val="000000" w:themeColor="text1"/>
          <w:sz w:val="20"/>
          <w:szCs w:val="15"/>
          <w:u w:val="single"/>
          <w:vertAlign w:val="superscript"/>
        </w:rPr>
        <w:t>a</w:t>
      </w:r>
    </w:p>
    <w:tbl>
      <w:tblPr>
        <w:tblStyle w:val="TableGrid"/>
        <w:tblW w:w="5000" w:type="pct"/>
        <w:tblLook w:val="04A0" w:firstRow="1" w:lastRow="0" w:firstColumn="1" w:lastColumn="0" w:noHBand="0" w:noVBand="1"/>
      </w:tblPr>
      <w:tblGrid>
        <w:gridCol w:w="1094"/>
        <w:gridCol w:w="742"/>
        <w:gridCol w:w="640"/>
        <w:gridCol w:w="3046"/>
        <w:gridCol w:w="3046"/>
        <w:gridCol w:w="782"/>
      </w:tblGrid>
      <w:tr w:rsidR="00514427" w:rsidRPr="00C764FB" w14:paraId="2B982AAB" w14:textId="77777777" w:rsidTr="0013197F">
        <w:tc>
          <w:tcPr>
            <w:tcW w:w="585" w:type="pct"/>
            <w:tcMar>
              <w:left w:w="57" w:type="dxa"/>
              <w:right w:w="57" w:type="dxa"/>
            </w:tcMar>
          </w:tcPr>
          <w:p w14:paraId="50797E7C" w14:textId="77777777" w:rsidR="00514427" w:rsidRPr="00C764FB" w:rsidRDefault="00514427" w:rsidP="0013197F">
            <w:pPr>
              <w:pStyle w:val="BodyText"/>
              <w:spacing w:before="120" w:after="120" w:line="240" w:lineRule="auto"/>
              <w:jc w:val="center"/>
              <w:rPr>
                <w:b/>
                <w:bCs/>
                <w:color w:val="000000" w:themeColor="text1"/>
                <w:sz w:val="18"/>
                <w:szCs w:val="18"/>
              </w:rPr>
            </w:pPr>
            <w:r w:rsidRPr="00C764FB">
              <w:rPr>
                <w:b/>
                <w:bCs/>
                <w:color w:val="000000" w:themeColor="text1"/>
                <w:sz w:val="18"/>
                <w:szCs w:val="18"/>
              </w:rPr>
              <w:t>Cluster</w:t>
            </w:r>
          </w:p>
        </w:tc>
        <w:tc>
          <w:tcPr>
            <w:tcW w:w="397" w:type="pct"/>
            <w:tcMar>
              <w:left w:w="57" w:type="dxa"/>
              <w:right w:w="57" w:type="dxa"/>
            </w:tcMar>
          </w:tcPr>
          <w:p w14:paraId="5FF6387B" w14:textId="77777777" w:rsidR="00514427" w:rsidRPr="00C764FB" w:rsidRDefault="00514427" w:rsidP="0013197F">
            <w:pPr>
              <w:pStyle w:val="BodyText"/>
              <w:spacing w:before="120" w:after="120" w:line="240" w:lineRule="auto"/>
              <w:jc w:val="center"/>
              <w:rPr>
                <w:b/>
                <w:bCs/>
                <w:color w:val="000000" w:themeColor="text1"/>
                <w:sz w:val="18"/>
                <w:szCs w:val="18"/>
              </w:rPr>
            </w:pPr>
            <w:r w:rsidRPr="00C764FB">
              <w:rPr>
                <w:b/>
                <w:bCs/>
                <w:color w:val="000000" w:themeColor="text1"/>
                <w:sz w:val="18"/>
                <w:szCs w:val="18"/>
              </w:rPr>
              <w:t># voxels</w:t>
            </w:r>
          </w:p>
        </w:tc>
        <w:tc>
          <w:tcPr>
            <w:tcW w:w="342" w:type="pct"/>
            <w:tcMar>
              <w:left w:w="57" w:type="dxa"/>
              <w:right w:w="57" w:type="dxa"/>
            </w:tcMar>
          </w:tcPr>
          <w:p w14:paraId="03E1B3EF" w14:textId="77777777" w:rsidR="00514427" w:rsidRPr="00C764FB" w:rsidRDefault="00514427" w:rsidP="0013197F">
            <w:pPr>
              <w:pStyle w:val="BodyText"/>
              <w:spacing w:before="120" w:after="120" w:line="240" w:lineRule="auto"/>
              <w:jc w:val="center"/>
              <w:rPr>
                <w:b/>
                <w:bCs/>
                <w:color w:val="000000" w:themeColor="text1"/>
                <w:sz w:val="18"/>
                <w:szCs w:val="18"/>
              </w:rPr>
            </w:pPr>
            <w:r w:rsidRPr="00C764FB">
              <w:rPr>
                <w:b/>
                <w:bCs/>
                <w:color w:val="000000" w:themeColor="text1"/>
                <w:sz w:val="18"/>
                <w:szCs w:val="18"/>
              </w:rPr>
              <w:t>Z-max</w:t>
            </w:r>
          </w:p>
        </w:tc>
        <w:tc>
          <w:tcPr>
            <w:tcW w:w="1629" w:type="pct"/>
            <w:tcMar>
              <w:left w:w="57" w:type="dxa"/>
              <w:right w:w="57" w:type="dxa"/>
            </w:tcMar>
          </w:tcPr>
          <w:p w14:paraId="04C084DC" w14:textId="77777777" w:rsidR="00514427" w:rsidRPr="00C764FB" w:rsidRDefault="00514427" w:rsidP="0013197F">
            <w:pPr>
              <w:pStyle w:val="BodyText"/>
              <w:spacing w:before="120" w:after="120" w:line="240" w:lineRule="auto"/>
              <w:jc w:val="center"/>
              <w:rPr>
                <w:b/>
                <w:bCs/>
                <w:color w:val="000000" w:themeColor="text1"/>
                <w:sz w:val="18"/>
                <w:szCs w:val="18"/>
              </w:rPr>
            </w:pPr>
            <w:r w:rsidRPr="00C764FB">
              <w:rPr>
                <w:b/>
                <w:bCs/>
                <w:color w:val="000000" w:themeColor="text1"/>
                <w:sz w:val="18"/>
                <w:szCs w:val="18"/>
              </w:rPr>
              <w:t>MNI152 coordinate(s) [x, y, z]</w:t>
            </w:r>
          </w:p>
        </w:tc>
        <w:tc>
          <w:tcPr>
            <w:tcW w:w="1629" w:type="pct"/>
            <w:tcMar>
              <w:left w:w="57" w:type="dxa"/>
              <w:right w:w="57" w:type="dxa"/>
            </w:tcMar>
          </w:tcPr>
          <w:p w14:paraId="68B5A5C4" w14:textId="77777777" w:rsidR="00514427" w:rsidRPr="00C764FB" w:rsidRDefault="00514427" w:rsidP="0013197F">
            <w:pPr>
              <w:pStyle w:val="BodyText"/>
              <w:spacing w:before="120" w:after="120" w:line="240" w:lineRule="auto"/>
              <w:jc w:val="center"/>
              <w:rPr>
                <w:b/>
                <w:bCs/>
                <w:color w:val="000000" w:themeColor="text1"/>
                <w:sz w:val="18"/>
                <w:szCs w:val="18"/>
              </w:rPr>
            </w:pPr>
            <w:r w:rsidRPr="00C764FB">
              <w:rPr>
                <w:b/>
                <w:bCs/>
                <w:color w:val="000000" w:themeColor="text1"/>
                <w:sz w:val="18"/>
                <w:szCs w:val="18"/>
              </w:rPr>
              <w:t>Brain region(s)</w:t>
            </w:r>
          </w:p>
        </w:tc>
        <w:tc>
          <w:tcPr>
            <w:tcW w:w="418" w:type="pct"/>
            <w:tcMar>
              <w:left w:w="57" w:type="dxa"/>
              <w:right w:w="57" w:type="dxa"/>
            </w:tcMar>
          </w:tcPr>
          <w:p w14:paraId="1BA532BD" w14:textId="77777777" w:rsidR="00514427" w:rsidRPr="00C764FB" w:rsidRDefault="00514427" w:rsidP="0013197F">
            <w:pPr>
              <w:pStyle w:val="BodyText"/>
              <w:spacing w:before="120" w:after="120" w:line="240" w:lineRule="auto"/>
              <w:jc w:val="center"/>
              <w:rPr>
                <w:b/>
                <w:bCs/>
                <w:color w:val="000000" w:themeColor="text1"/>
                <w:sz w:val="18"/>
                <w:szCs w:val="18"/>
              </w:rPr>
            </w:pPr>
            <w:r w:rsidRPr="00C764FB">
              <w:rPr>
                <w:b/>
                <w:bCs/>
                <w:color w:val="000000" w:themeColor="text1"/>
                <w:sz w:val="18"/>
                <w:szCs w:val="18"/>
              </w:rPr>
              <w:t>p</w:t>
            </w:r>
          </w:p>
        </w:tc>
      </w:tr>
      <w:tr w:rsidR="00514427" w:rsidRPr="00C764FB" w14:paraId="6CF44655" w14:textId="77777777" w:rsidTr="00F62B8E">
        <w:tc>
          <w:tcPr>
            <w:tcW w:w="5000" w:type="pct"/>
            <w:gridSpan w:val="6"/>
            <w:shd w:val="clear" w:color="auto" w:fill="E7E6E6" w:themeFill="background2"/>
            <w:tcMar>
              <w:left w:w="57" w:type="dxa"/>
              <w:right w:w="57" w:type="dxa"/>
            </w:tcMar>
          </w:tcPr>
          <w:p w14:paraId="75D7A57B" w14:textId="77777777" w:rsidR="00514427" w:rsidRPr="00F62B8E" w:rsidRDefault="00514427" w:rsidP="0013197F">
            <w:pPr>
              <w:pStyle w:val="BodyText"/>
              <w:spacing w:before="60" w:after="60" w:line="240" w:lineRule="auto"/>
              <w:rPr>
                <w:b/>
                <w:bCs/>
                <w:color w:val="000000" w:themeColor="text1"/>
                <w:sz w:val="18"/>
                <w:szCs w:val="18"/>
              </w:rPr>
            </w:pPr>
            <w:r w:rsidRPr="00F62B8E">
              <w:rPr>
                <w:b/>
                <w:bCs/>
                <w:color w:val="000000" w:themeColor="text1"/>
                <w:sz w:val="18"/>
                <w:szCs w:val="18"/>
              </w:rPr>
              <w:t>Positive correlation, rsFC in ACC</w:t>
            </w:r>
          </w:p>
        </w:tc>
      </w:tr>
      <w:tr w:rsidR="00514427" w:rsidRPr="00C764FB" w14:paraId="49625BD5" w14:textId="77777777" w:rsidTr="0013197F">
        <w:trPr>
          <w:trHeight w:val="363"/>
        </w:trPr>
        <w:tc>
          <w:tcPr>
            <w:tcW w:w="585" w:type="pct"/>
            <w:shd w:val="clear" w:color="auto" w:fill="auto"/>
            <w:tcMar>
              <w:left w:w="57" w:type="dxa"/>
              <w:right w:w="57" w:type="dxa"/>
            </w:tcMar>
          </w:tcPr>
          <w:p w14:paraId="723B2562" w14:textId="77777777" w:rsidR="00514427" w:rsidRPr="00C764FB" w:rsidRDefault="00514427" w:rsidP="0013197F">
            <w:pPr>
              <w:pStyle w:val="BodyText"/>
              <w:spacing w:before="60" w:after="60" w:line="240" w:lineRule="auto"/>
              <w:rPr>
                <w:color w:val="000000" w:themeColor="text1"/>
                <w:sz w:val="18"/>
                <w:szCs w:val="18"/>
              </w:rPr>
            </w:pPr>
            <w:r w:rsidRPr="00C764FB">
              <w:rPr>
                <w:color w:val="000000" w:themeColor="text1"/>
                <w:sz w:val="18"/>
                <w:szCs w:val="18"/>
              </w:rPr>
              <w:t>1</w:t>
            </w:r>
          </w:p>
        </w:tc>
        <w:tc>
          <w:tcPr>
            <w:tcW w:w="397" w:type="pct"/>
            <w:shd w:val="clear" w:color="auto" w:fill="auto"/>
          </w:tcPr>
          <w:p w14:paraId="62162034" w14:textId="77777777" w:rsidR="00514427" w:rsidRPr="00C764FB" w:rsidRDefault="00514427" w:rsidP="0013197F">
            <w:pPr>
              <w:pStyle w:val="BodyText"/>
              <w:spacing w:before="60" w:after="60" w:line="240" w:lineRule="auto"/>
              <w:rPr>
                <w:color w:val="000000" w:themeColor="text1"/>
                <w:sz w:val="18"/>
                <w:szCs w:val="18"/>
              </w:rPr>
            </w:pPr>
            <w:r w:rsidRPr="00C764FB">
              <w:rPr>
                <w:color w:val="000000" w:themeColor="text1"/>
                <w:sz w:val="18"/>
                <w:szCs w:val="18"/>
              </w:rPr>
              <w:t>147</w:t>
            </w:r>
          </w:p>
        </w:tc>
        <w:tc>
          <w:tcPr>
            <w:tcW w:w="342" w:type="pct"/>
            <w:shd w:val="clear" w:color="auto" w:fill="auto"/>
          </w:tcPr>
          <w:p w14:paraId="05DE519F" w14:textId="77777777" w:rsidR="00514427" w:rsidRPr="00C764FB" w:rsidRDefault="00514427" w:rsidP="0013197F">
            <w:pPr>
              <w:pStyle w:val="BodyText"/>
              <w:spacing w:before="60" w:after="60" w:line="240" w:lineRule="auto"/>
              <w:rPr>
                <w:color w:val="000000" w:themeColor="text1"/>
                <w:sz w:val="18"/>
                <w:szCs w:val="18"/>
              </w:rPr>
            </w:pPr>
            <w:r>
              <w:rPr>
                <w:color w:val="000000" w:themeColor="text1"/>
                <w:sz w:val="18"/>
                <w:szCs w:val="18"/>
              </w:rPr>
              <w:t>6.47</w:t>
            </w:r>
          </w:p>
        </w:tc>
        <w:tc>
          <w:tcPr>
            <w:tcW w:w="1629" w:type="pct"/>
            <w:shd w:val="clear" w:color="auto" w:fill="auto"/>
          </w:tcPr>
          <w:p w14:paraId="3CEDF55D" w14:textId="77777777" w:rsidR="00514427" w:rsidRPr="00C764FB" w:rsidRDefault="00514427" w:rsidP="0013197F">
            <w:pPr>
              <w:pStyle w:val="BodyText"/>
              <w:spacing w:before="60" w:after="60" w:line="240" w:lineRule="auto"/>
              <w:rPr>
                <w:color w:val="000000" w:themeColor="text1"/>
                <w:sz w:val="18"/>
                <w:szCs w:val="18"/>
              </w:rPr>
            </w:pPr>
            <w:r w:rsidRPr="00C764FB">
              <w:rPr>
                <w:color w:val="000000" w:themeColor="text1"/>
                <w:sz w:val="18"/>
                <w:szCs w:val="18"/>
              </w:rPr>
              <w:t>[14, -</w:t>
            </w:r>
            <w:r>
              <w:rPr>
                <w:color w:val="000000" w:themeColor="text1"/>
                <w:sz w:val="18"/>
                <w:szCs w:val="18"/>
              </w:rPr>
              <w:t>20</w:t>
            </w:r>
            <w:r w:rsidRPr="00C764FB">
              <w:rPr>
                <w:color w:val="000000" w:themeColor="text1"/>
                <w:sz w:val="18"/>
                <w:szCs w:val="18"/>
              </w:rPr>
              <w:t xml:space="preserve">, </w:t>
            </w:r>
            <w:r>
              <w:rPr>
                <w:color w:val="000000" w:themeColor="text1"/>
                <w:sz w:val="18"/>
                <w:szCs w:val="18"/>
              </w:rPr>
              <w:t>48</w:t>
            </w:r>
            <w:r w:rsidRPr="00C764FB">
              <w:rPr>
                <w:color w:val="000000" w:themeColor="text1"/>
                <w:sz w:val="18"/>
                <w:szCs w:val="18"/>
              </w:rPr>
              <w:t>]</w:t>
            </w:r>
          </w:p>
        </w:tc>
        <w:tc>
          <w:tcPr>
            <w:tcW w:w="1629" w:type="pct"/>
            <w:shd w:val="clear" w:color="auto" w:fill="auto"/>
          </w:tcPr>
          <w:p w14:paraId="0FEAB7E5" w14:textId="77777777" w:rsidR="00514427" w:rsidRPr="00C764FB" w:rsidRDefault="00514427" w:rsidP="0013197F">
            <w:pPr>
              <w:pStyle w:val="BodyText"/>
              <w:spacing w:before="60" w:after="60" w:line="240" w:lineRule="auto"/>
              <w:rPr>
                <w:color w:val="000000" w:themeColor="text1"/>
                <w:sz w:val="18"/>
                <w:szCs w:val="18"/>
              </w:rPr>
            </w:pPr>
            <w:r w:rsidRPr="00C764FB">
              <w:rPr>
                <w:color w:val="000000" w:themeColor="text1"/>
                <w:sz w:val="18"/>
                <w:szCs w:val="18"/>
              </w:rPr>
              <w:t>Precentral gyrus/unclassified WM</w:t>
            </w:r>
          </w:p>
        </w:tc>
        <w:tc>
          <w:tcPr>
            <w:tcW w:w="418" w:type="pct"/>
            <w:shd w:val="clear" w:color="auto" w:fill="auto"/>
          </w:tcPr>
          <w:p w14:paraId="3A9D8E21" w14:textId="77777777" w:rsidR="00514427" w:rsidRPr="00C764FB" w:rsidRDefault="00514427" w:rsidP="0013197F">
            <w:pPr>
              <w:pStyle w:val="BodyText"/>
              <w:spacing w:before="60" w:after="60" w:line="240" w:lineRule="auto"/>
              <w:rPr>
                <w:color w:val="000000" w:themeColor="text1"/>
                <w:sz w:val="18"/>
                <w:szCs w:val="18"/>
              </w:rPr>
            </w:pPr>
            <w:r w:rsidRPr="00C764FB">
              <w:rPr>
                <w:color w:val="000000" w:themeColor="text1"/>
                <w:sz w:val="18"/>
                <w:szCs w:val="18"/>
              </w:rPr>
              <w:t>0.005</w:t>
            </w:r>
          </w:p>
        </w:tc>
      </w:tr>
      <w:tr w:rsidR="00514427" w:rsidRPr="00C764FB" w14:paraId="4177C913" w14:textId="77777777" w:rsidTr="00F62B8E">
        <w:trPr>
          <w:trHeight w:val="363"/>
        </w:trPr>
        <w:tc>
          <w:tcPr>
            <w:tcW w:w="5000" w:type="pct"/>
            <w:gridSpan w:val="6"/>
            <w:shd w:val="clear" w:color="auto" w:fill="E7E6E6" w:themeFill="background2"/>
            <w:tcMar>
              <w:left w:w="57" w:type="dxa"/>
              <w:right w:w="57" w:type="dxa"/>
            </w:tcMar>
          </w:tcPr>
          <w:p w14:paraId="5D69DE08" w14:textId="77777777" w:rsidR="00514427" w:rsidRPr="00F62B8E" w:rsidRDefault="00514427" w:rsidP="0013197F">
            <w:pPr>
              <w:pStyle w:val="BodyText"/>
              <w:spacing w:before="60" w:after="60" w:line="240" w:lineRule="auto"/>
              <w:rPr>
                <w:b/>
                <w:bCs/>
                <w:color w:val="000000" w:themeColor="text1"/>
                <w:sz w:val="18"/>
                <w:szCs w:val="18"/>
              </w:rPr>
            </w:pPr>
            <w:r w:rsidRPr="00F62B8E">
              <w:rPr>
                <w:b/>
                <w:bCs/>
                <w:color w:val="000000" w:themeColor="text1"/>
                <w:sz w:val="18"/>
                <w:szCs w:val="18"/>
              </w:rPr>
              <w:t>Positive correlation, rsFC in NAc</w:t>
            </w:r>
          </w:p>
        </w:tc>
      </w:tr>
      <w:tr w:rsidR="00514427" w:rsidRPr="00C764FB" w14:paraId="61E9A23A" w14:textId="77777777" w:rsidTr="0013197F">
        <w:trPr>
          <w:trHeight w:val="363"/>
        </w:trPr>
        <w:tc>
          <w:tcPr>
            <w:tcW w:w="585" w:type="pct"/>
            <w:shd w:val="clear" w:color="auto" w:fill="auto"/>
            <w:tcMar>
              <w:left w:w="57" w:type="dxa"/>
              <w:right w:w="57" w:type="dxa"/>
            </w:tcMar>
          </w:tcPr>
          <w:p w14:paraId="2B69B485" w14:textId="77777777" w:rsidR="00514427" w:rsidRPr="00C764FB" w:rsidRDefault="00514427" w:rsidP="0013197F">
            <w:pPr>
              <w:pStyle w:val="BodyText"/>
              <w:spacing w:before="60" w:after="60" w:line="240" w:lineRule="auto"/>
              <w:rPr>
                <w:color w:val="000000" w:themeColor="text1"/>
                <w:sz w:val="18"/>
                <w:szCs w:val="18"/>
              </w:rPr>
            </w:pPr>
            <w:r w:rsidRPr="00C764FB">
              <w:rPr>
                <w:color w:val="000000" w:themeColor="text1"/>
                <w:sz w:val="18"/>
                <w:szCs w:val="18"/>
              </w:rPr>
              <w:t>1</w:t>
            </w:r>
          </w:p>
        </w:tc>
        <w:tc>
          <w:tcPr>
            <w:tcW w:w="397" w:type="pct"/>
            <w:shd w:val="clear" w:color="auto" w:fill="auto"/>
          </w:tcPr>
          <w:p w14:paraId="113F2B42" w14:textId="77777777" w:rsidR="00514427" w:rsidRPr="00C764FB" w:rsidRDefault="00514427" w:rsidP="0013197F">
            <w:pPr>
              <w:pStyle w:val="BodyText"/>
              <w:spacing w:before="60" w:after="60" w:line="240" w:lineRule="auto"/>
              <w:rPr>
                <w:color w:val="000000" w:themeColor="text1"/>
                <w:sz w:val="18"/>
                <w:szCs w:val="18"/>
              </w:rPr>
            </w:pPr>
            <w:r>
              <w:rPr>
                <w:color w:val="000000" w:themeColor="text1"/>
                <w:sz w:val="18"/>
                <w:szCs w:val="18"/>
              </w:rPr>
              <w:t>108</w:t>
            </w:r>
          </w:p>
        </w:tc>
        <w:tc>
          <w:tcPr>
            <w:tcW w:w="342" w:type="pct"/>
            <w:shd w:val="clear" w:color="auto" w:fill="auto"/>
          </w:tcPr>
          <w:p w14:paraId="3F6B4DC1" w14:textId="77777777" w:rsidR="00514427" w:rsidRPr="00F350A1" w:rsidRDefault="00514427" w:rsidP="0013197F">
            <w:pPr>
              <w:pStyle w:val="BodyText"/>
              <w:spacing w:before="60" w:after="60" w:line="240" w:lineRule="auto"/>
              <w:rPr>
                <w:color w:val="000000" w:themeColor="text1"/>
                <w:sz w:val="18"/>
                <w:szCs w:val="18"/>
              </w:rPr>
            </w:pPr>
            <w:r w:rsidRPr="00F350A1">
              <w:rPr>
                <w:color w:val="000000" w:themeColor="text1"/>
                <w:sz w:val="18"/>
                <w:szCs w:val="18"/>
              </w:rPr>
              <w:t>4.49</w:t>
            </w:r>
          </w:p>
          <w:p w14:paraId="1292C998" w14:textId="77777777" w:rsidR="00514427" w:rsidRPr="00F350A1" w:rsidRDefault="00514427" w:rsidP="0013197F">
            <w:pPr>
              <w:pStyle w:val="BodyText"/>
              <w:spacing w:before="60" w:after="60" w:line="240" w:lineRule="auto"/>
              <w:rPr>
                <w:color w:val="000000" w:themeColor="text1"/>
                <w:sz w:val="18"/>
                <w:szCs w:val="18"/>
              </w:rPr>
            </w:pPr>
            <w:r w:rsidRPr="00F350A1">
              <w:rPr>
                <w:color w:val="000000" w:themeColor="text1"/>
                <w:sz w:val="18"/>
                <w:szCs w:val="18"/>
              </w:rPr>
              <w:t>3.75</w:t>
            </w:r>
          </w:p>
          <w:p w14:paraId="244C95F3" w14:textId="77777777" w:rsidR="00514427" w:rsidRPr="00F350A1" w:rsidRDefault="00514427" w:rsidP="0013197F">
            <w:pPr>
              <w:pStyle w:val="BodyText"/>
              <w:spacing w:before="60" w:after="60" w:line="240" w:lineRule="auto"/>
              <w:rPr>
                <w:color w:val="000000" w:themeColor="text1"/>
                <w:sz w:val="18"/>
                <w:szCs w:val="18"/>
              </w:rPr>
            </w:pPr>
            <w:r w:rsidRPr="00F350A1">
              <w:rPr>
                <w:color w:val="000000" w:themeColor="text1"/>
                <w:sz w:val="18"/>
                <w:szCs w:val="18"/>
              </w:rPr>
              <w:t>3.56</w:t>
            </w:r>
          </w:p>
          <w:p w14:paraId="29215AEE" w14:textId="77777777" w:rsidR="00514427" w:rsidRPr="00C764FB" w:rsidRDefault="00514427" w:rsidP="0013197F">
            <w:pPr>
              <w:pStyle w:val="BodyText"/>
              <w:spacing w:before="60" w:after="60" w:line="240" w:lineRule="auto"/>
              <w:rPr>
                <w:color w:val="000000" w:themeColor="text1"/>
                <w:sz w:val="18"/>
                <w:szCs w:val="18"/>
              </w:rPr>
            </w:pPr>
            <w:r w:rsidRPr="00F350A1">
              <w:rPr>
                <w:color w:val="000000" w:themeColor="text1"/>
                <w:sz w:val="18"/>
                <w:szCs w:val="18"/>
              </w:rPr>
              <w:t>3.36</w:t>
            </w:r>
          </w:p>
        </w:tc>
        <w:tc>
          <w:tcPr>
            <w:tcW w:w="1629" w:type="pct"/>
            <w:shd w:val="clear" w:color="auto" w:fill="auto"/>
          </w:tcPr>
          <w:p w14:paraId="7FAA1328" w14:textId="77777777" w:rsidR="00514427" w:rsidRPr="00C764FB" w:rsidRDefault="00514427" w:rsidP="0013197F">
            <w:pPr>
              <w:pStyle w:val="BodyText"/>
              <w:spacing w:before="60" w:after="60" w:line="240" w:lineRule="auto"/>
              <w:rPr>
                <w:color w:val="000000" w:themeColor="text1"/>
                <w:sz w:val="18"/>
                <w:szCs w:val="18"/>
              </w:rPr>
            </w:pPr>
            <w:r w:rsidRPr="00C764FB">
              <w:rPr>
                <w:sz w:val="18"/>
                <w:szCs w:val="18"/>
              </w:rPr>
              <w:t>[-</w:t>
            </w:r>
            <w:r w:rsidRPr="00C764FB">
              <w:rPr>
                <w:color w:val="000000" w:themeColor="text1"/>
                <w:sz w:val="18"/>
                <w:szCs w:val="18"/>
              </w:rPr>
              <w:t>22, -60, 4]</w:t>
            </w:r>
          </w:p>
          <w:p w14:paraId="3AADD64D" w14:textId="77777777" w:rsidR="00514427" w:rsidRPr="00C764FB" w:rsidRDefault="00514427" w:rsidP="0013197F">
            <w:pPr>
              <w:pStyle w:val="BodyText"/>
              <w:spacing w:before="60" w:after="60" w:line="240" w:lineRule="auto"/>
              <w:rPr>
                <w:color w:val="000000" w:themeColor="text1"/>
                <w:sz w:val="18"/>
                <w:szCs w:val="18"/>
              </w:rPr>
            </w:pPr>
            <w:r w:rsidRPr="00C764FB">
              <w:rPr>
                <w:color w:val="000000" w:themeColor="text1"/>
                <w:sz w:val="18"/>
                <w:szCs w:val="18"/>
              </w:rPr>
              <w:t>[-12, -76, 14]</w:t>
            </w:r>
          </w:p>
          <w:p w14:paraId="3A0309AF" w14:textId="77777777" w:rsidR="00514427" w:rsidRPr="00C764FB" w:rsidRDefault="00514427" w:rsidP="0013197F">
            <w:pPr>
              <w:pStyle w:val="BodyText"/>
              <w:spacing w:before="60" w:after="60" w:line="240" w:lineRule="auto"/>
              <w:rPr>
                <w:color w:val="000000" w:themeColor="text1"/>
                <w:sz w:val="18"/>
                <w:szCs w:val="18"/>
              </w:rPr>
            </w:pPr>
            <w:r w:rsidRPr="00C764FB">
              <w:rPr>
                <w:color w:val="000000" w:themeColor="text1"/>
                <w:sz w:val="18"/>
                <w:szCs w:val="18"/>
              </w:rPr>
              <w:t>[-18, -74, 6]</w:t>
            </w:r>
          </w:p>
          <w:p w14:paraId="219763E1" w14:textId="77777777" w:rsidR="00514427" w:rsidRPr="00C764FB" w:rsidRDefault="00514427" w:rsidP="0013197F">
            <w:pPr>
              <w:pStyle w:val="BodyText"/>
              <w:spacing w:before="60" w:after="60" w:line="240" w:lineRule="auto"/>
              <w:rPr>
                <w:color w:val="000000" w:themeColor="text1"/>
                <w:sz w:val="18"/>
                <w:szCs w:val="18"/>
              </w:rPr>
            </w:pPr>
            <w:r w:rsidRPr="00C764FB">
              <w:rPr>
                <w:color w:val="000000" w:themeColor="text1"/>
                <w:sz w:val="18"/>
                <w:szCs w:val="18"/>
              </w:rPr>
              <w:t>[-16, -74, 10]</w:t>
            </w:r>
          </w:p>
        </w:tc>
        <w:tc>
          <w:tcPr>
            <w:tcW w:w="1629" w:type="pct"/>
            <w:shd w:val="clear" w:color="auto" w:fill="auto"/>
          </w:tcPr>
          <w:p w14:paraId="47DF7865" w14:textId="77777777" w:rsidR="00514427" w:rsidRPr="00C764FB" w:rsidRDefault="00514427" w:rsidP="0013197F">
            <w:pPr>
              <w:pStyle w:val="BodyText"/>
              <w:spacing w:before="60" w:after="60" w:line="240" w:lineRule="auto"/>
              <w:rPr>
                <w:color w:val="000000" w:themeColor="text1"/>
                <w:sz w:val="18"/>
                <w:szCs w:val="18"/>
              </w:rPr>
            </w:pPr>
            <w:r w:rsidRPr="00C764FB">
              <w:rPr>
                <w:color w:val="000000" w:themeColor="text1"/>
                <w:sz w:val="18"/>
                <w:szCs w:val="18"/>
              </w:rPr>
              <w:t>Precuneus</w:t>
            </w:r>
          </w:p>
          <w:p w14:paraId="631A835F" w14:textId="77777777" w:rsidR="00514427" w:rsidRDefault="00514427" w:rsidP="0013197F">
            <w:pPr>
              <w:pStyle w:val="BodyText"/>
              <w:spacing w:before="60" w:after="60" w:line="240" w:lineRule="auto"/>
              <w:rPr>
                <w:color w:val="000000" w:themeColor="text1"/>
                <w:sz w:val="18"/>
                <w:szCs w:val="18"/>
              </w:rPr>
            </w:pPr>
            <w:proofErr w:type="spellStart"/>
            <w:r>
              <w:rPr>
                <w:color w:val="000000" w:themeColor="text1"/>
                <w:sz w:val="18"/>
                <w:szCs w:val="18"/>
              </w:rPr>
              <w:t>Intracalcarine</w:t>
            </w:r>
            <w:proofErr w:type="spellEnd"/>
            <w:r>
              <w:rPr>
                <w:color w:val="000000" w:themeColor="text1"/>
                <w:sz w:val="18"/>
                <w:szCs w:val="18"/>
              </w:rPr>
              <w:t xml:space="preserve"> cortex</w:t>
            </w:r>
          </w:p>
          <w:p w14:paraId="0B2EB4B2" w14:textId="77777777" w:rsidR="00514427" w:rsidRDefault="00514427" w:rsidP="0013197F">
            <w:pPr>
              <w:pStyle w:val="BodyText"/>
              <w:spacing w:before="60" w:after="60" w:line="240" w:lineRule="auto"/>
              <w:rPr>
                <w:color w:val="000000" w:themeColor="text1"/>
                <w:sz w:val="18"/>
                <w:szCs w:val="18"/>
              </w:rPr>
            </w:pPr>
            <w:proofErr w:type="spellStart"/>
            <w:r>
              <w:rPr>
                <w:color w:val="000000" w:themeColor="text1"/>
                <w:sz w:val="18"/>
                <w:szCs w:val="18"/>
              </w:rPr>
              <w:t>Intracalcarine</w:t>
            </w:r>
            <w:proofErr w:type="spellEnd"/>
            <w:r>
              <w:rPr>
                <w:color w:val="000000" w:themeColor="text1"/>
                <w:sz w:val="18"/>
                <w:szCs w:val="18"/>
              </w:rPr>
              <w:t xml:space="preserve"> cortex</w:t>
            </w:r>
          </w:p>
          <w:p w14:paraId="19D6DAB2" w14:textId="77777777" w:rsidR="00514427" w:rsidRPr="00C764FB" w:rsidRDefault="00514427" w:rsidP="0013197F">
            <w:pPr>
              <w:pStyle w:val="BodyText"/>
              <w:spacing w:before="60" w:after="60" w:line="240" w:lineRule="auto"/>
              <w:rPr>
                <w:color w:val="000000" w:themeColor="text1"/>
                <w:sz w:val="18"/>
                <w:szCs w:val="18"/>
              </w:rPr>
            </w:pPr>
            <w:proofErr w:type="spellStart"/>
            <w:r>
              <w:rPr>
                <w:color w:val="000000" w:themeColor="text1"/>
                <w:sz w:val="18"/>
                <w:szCs w:val="18"/>
              </w:rPr>
              <w:t>Intracalcarine</w:t>
            </w:r>
            <w:proofErr w:type="spellEnd"/>
            <w:r>
              <w:rPr>
                <w:color w:val="000000" w:themeColor="text1"/>
                <w:sz w:val="18"/>
                <w:szCs w:val="18"/>
              </w:rPr>
              <w:t xml:space="preserve"> cortex</w:t>
            </w:r>
          </w:p>
        </w:tc>
        <w:tc>
          <w:tcPr>
            <w:tcW w:w="418" w:type="pct"/>
            <w:shd w:val="clear" w:color="auto" w:fill="auto"/>
          </w:tcPr>
          <w:p w14:paraId="6290A3D2" w14:textId="77777777" w:rsidR="00514427" w:rsidRPr="00C764FB" w:rsidRDefault="00514427" w:rsidP="0013197F">
            <w:pPr>
              <w:pStyle w:val="BodyText"/>
              <w:spacing w:before="60" w:after="60" w:line="240" w:lineRule="auto"/>
              <w:rPr>
                <w:color w:val="000000" w:themeColor="text1"/>
                <w:sz w:val="18"/>
                <w:szCs w:val="18"/>
              </w:rPr>
            </w:pPr>
            <w:r w:rsidRPr="00C764FB">
              <w:rPr>
                <w:color w:val="000000" w:themeColor="text1"/>
                <w:sz w:val="18"/>
                <w:szCs w:val="18"/>
              </w:rPr>
              <w:t>0.00</w:t>
            </w:r>
            <w:r>
              <w:rPr>
                <w:color w:val="000000" w:themeColor="text1"/>
                <w:sz w:val="18"/>
                <w:szCs w:val="18"/>
              </w:rPr>
              <w:t>3</w:t>
            </w:r>
          </w:p>
        </w:tc>
      </w:tr>
      <w:tr w:rsidR="00514427" w:rsidRPr="00C764FB" w14:paraId="6CB3D1A0" w14:textId="77777777" w:rsidTr="0013197F">
        <w:trPr>
          <w:trHeight w:val="363"/>
        </w:trPr>
        <w:tc>
          <w:tcPr>
            <w:tcW w:w="585" w:type="pct"/>
            <w:shd w:val="clear" w:color="auto" w:fill="auto"/>
            <w:tcMar>
              <w:left w:w="57" w:type="dxa"/>
              <w:right w:w="57" w:type="dxa"/>
            </w:tcMar>
          </w:tcPr>
          <w:p w14:paraId="5B017D56" w14:textId="77777777" w:rsidR="00514427" w:rsidRPr="00A57BB6" w:rsidRDefault="00514427" w:rsidP="0013197F">
            <w:pPr>
              <w:pStyle w:val="BodyText"/>
              <w:spacing w:before="60" w:after="60" w:line="240" w:lineRule="auto"/>
              <w:rPr>
                <w:color w:val="000000" w:themeColor="text1"/>
                <w:sz w:val="18"/>
                <w:szCs w:val="18"/>
              </w:rPr>
            </w:pPr>
            <w:r w:rsidRPr="00A57BB6">
              <w:rPr>
                <w:color w:val="000000" w:themeColor="text1"/>
                <w:sz w:val="18"/>
                <w:szCs w:val="18"/>
              </w:rPr>
              <w:t>2</w:t>
            </w:r>
          </w:p>
        </w:tc>
        <w:tc>
          <w:tcPr>
            <w:tcW w:w="397" w:type="pct"/>
            <w:shd w:val="clear" w:color="auto" w:fill="auto"/>
          </w:tcPr>
          <w:p w14:paraId="63322628" w14:textId="77777777" w:rsidR="00514427" w:rsidRPr="00A57BB6" w:rsidRDefault="00514427" w:rsidP="0013197F">
            <w:pPr>
              <w:pStyle w:val="BodyText"/>
              <w:spacing w:before="60" w:after="60" w:line="240" w:lineRule="auto"/>
              <w:rPr>
                <w:color w:val="000000" w:themeColor="text1"/>
                <w:sz w:val="18"/>
                <w:szCs w:val="18"/>
              </w:rPr>
            </w:pPr>
            <w:r>
              <w:rPr>
                <w:color w:val="000000" w:themeColor="text1"/>
                <w:sz w:val="18"/>
                <w:szCs w:val="18"/>
              </w:rPr>
              <w:t>82</w:t>
            </w:r>
          </w:p>
        </w:tc>
        <w:tc>
          <w:tcPr>
            <w:tcW w:w="342" w:type="pct"/>
            <w:shd w:val="clear" w:color="auto" w:fill="auto"/>
          </w:tcPr>
          <w:p w14:paraId="15EEA52D" w14:textId="77777777" w:rsidR="00514427" w:rsidRPr="00A57BB6" w:rsidRDefault="00514427" w:rsidP="0013197F">
            <w:pPr>
              <w:pStyle w:val="BodyText"/>
              <w:spacing w:before="60" w:after="60" w:line="240" w:lineRule="auto"/>
              <w:rPr>
                <w:color w:val="000000" w:themeColor="text1"/>
                <w:sz w:val="18"/>
                <w:szCs w:val="18"/>
              </w:rPr>
            </w:pPr>
            <w:r w:rsidRPr="00A57BB6">
              <w:rPr>
                <w:color w:val="000000" w:themeColor="text1"/>
                <w:sz w:val="18"/>
                <w:szCs w:val="18"/>
              </w:rPr>
              <w:t>4.3</w:t>
            </w:r>
            <w:r>
              <w:rPr>
                <w:color w:val="000000" w:themeColor="text1"/>
                <w:sz w:val="18"/>
                <w:szCs w:val="18"/>
              </w:rPr>
              <w:t>1</w:t>
            </w:r>
          </w:p>
          <w:p w14:paraId="7F435E40" w14:textId="77777777" w:rsidR="00514427" w:rsidRPr="00A57BB6" w:rsidRDefault="00514427" w:rsidP="0013197F">
            <w:pPr>
              <w:pStyle w:val="BodyText"/>
              <w:spacing w:before="60" w:after="60" w:line="240" w:lineRule="auto"/>
              <w:rPr>
                <w:color w:val="000000" w:themeColor="text1"/>
                <w:sz w:val="18"/>
                <w:szCs w:val="18"/>
              </w:rPr>
            </w:pPr>
            <w:r w:rsidRPr="00A57BB6">
              <w:rPr>
                <w:color w:val="000000" w:themeColor="text1"/>
                <w:sz w:val="18"/>
                <w:szCs w:val="18"/>
              </w:rPr>
              <w:t>3.</w:t>
            </w:r>
            <w:r>
              <w:rPr>
                <w:color w:val="000000" w:themeColor="text1"/>
                <w:sz w:val="18"/>
                <w:szCs w:val="18"/>
              </w:rPr>
              <w:t>88</w:t>
            </w:r>
          </w:p>
          <w:p w14:paraId="5683B236" w14:textId="77777777" w:rsidR="00514427" w:rsidRPr="00A57BB6" w:rsidRDefault="00514427" w:rsidP="0013197F">
            <w:pPr>
              <w:pStyle w:val="BodyText"/>
              <w:spacing w:before="60" w:after="60" w:line="240" w:lineRule="auto"/>
              <w:rPr>
                <w:color w:val="000000" w:themeColor="text1"/>
                <w:sz w:val="18"/>
                <w:szCs w:val="18"/>
              </w:rPr>
            </w:pPr>
            <w:r w:rsidRPr="00A57BB6">
              <w:rPr>
                <w:color w:val="000000" w:themeColor="text1"/>
                <w:sz w:val="18"/>
                <w:szCs w:val="18"/>
              </w:rPr>
              <w:t>3.</w:t>
            </w:r>
            <w:r>
              <w:rPr>
                <w:color w:val="000000" w:themeColor="text1"/>
                <w:sz w:val="18"/>
                <w:szCs w:val="18"/>
              </w:rPr>
              <w:t>86</w:t>
            </w:r>
          </w:p>
        </w:tc>
        <w:tc>
          <w:tcPr>
            <w:tcW w:w="1629" w:type="pct"/>
            <w:shd w:val="clear" w:color="auto" w:fill="auto"/>
          </w:tcPr>
          <w:p w14:paraId="1558B04A" w14:textId="77777777" w:rsidR="00514427" w:rsidRPr="00A57BB6" w:rsidRDefault="00514427" w:rsidP="0013197F">
            <w:pPr>
              <w:pStyle w:val="BodyText"/>
              <w:spacing w:before="60" w:after="60" w:line="240" w:lineRule="auto"/>
              <w:rPr>
                <w:color w:val="000000" w:themeColor="text1"/>
                <w:sz w:val="18"/>
                <w:szCs w:val="18"/>
              </w:rPr>
            </w:pPr>
            <w:r w:rsidRPr="00A57BB6">
              <w:rPr>
                <w:color w:val="000000" w:themeColor="text1"/>
                <w:sz w:val="18"/>
                <w:szCs w:val="18"/>
              </w:rPr>
              <w:t>[12, -16, 50]</w:t>
            </w:r>
          </w:p>
          <w:p w14:paraId="066FC53A" w14:textId="77777777" w:rsidR="00514427" w:rsidRPr="00A57BB6" w:rsidRDefault="00514427" w:rsidP="0013197F">
            <w:pPr>
              <w:pStyle w:val="BodyText"/>
              <w:spacing w:before="60" w:after="60" w:line="240" w:lineRule="auto"/>
              <w:rPr>
                <w:color w:val="000000" w:themeColor="text1"/>
                <w:sz w:val="18"/>
                <w:szCs w:val="18"/>
              </w:rPr>
            </w:pPr>
            <w:r w:rsidRPr="00A57BB6">
              <w:rPr>
                <w:color w:val="000000" w:themeColor="text1"/>
                <w:sz w:val="18"/>
                <w:szCs w:val="18"/>
              </w:rPr>
              <w:t>[6, -6, 42]</w:t>
            </w:r>
          </w:p>
          <w:p w14:paraId="08EDFA58" w14:textId="77777777" w:rsidR="00514427" w:rsidRPr="00A57BB6" w:rsidRDefault="00514427" w:rsidP="0013197F">
            <w:pPr>
              <w:pStyle w:val="BodyText"/>
              <w:spacing w:before="60" w:after="60" w:line="240" w:lineRule="auto"/>
              <w:rPr>
                <w:color w:val="000000" w:themeColor="text1"/>
                <w:sz w:val="18"/>
                <w:szCs w:val="18"/>
              </w:rPr>
            </w:pPr>
            <w:r w:rsidRPr="00A57BB6">
              <w:rPr>
                <w:color w:val="000000" w:themeColor="text1"/>
                <w:sz w:val="18"/>
                <w:szCs w:val="18"/>
              </w:rPr>
              <w:t>[10, -12, 46]</w:t>
            </w:r>
          </w:p>
        </w:tc>
        <w:tc>
          <w:tcPr>
            <w:tcW w:w="1629" w:type="pct"/>
            <w:shd w:val="clear" w:color="auto" w:fill="auto"/>
          </w:tcPr>
          <w:p w14:paraId="2CA9C542" w14:textId="77777777" w:rsidR="00514427" w:rsidRPr="00A57BB6" w:rsidRDefault="00514427" w:rsidP="0013197F">
            <w:pPr>
              <w:pStyle w:val="BodyText"/>
              <w:spacing w:before="60" w:after="60" w:line="240" w:lineRule="auto"/>
              <w:rPr>
                <w:color w:val="000000" w:themeColor="text1"/>
                <w:sz w:val="18"/>
                <w:szCs w:val="18"/>
              </w:rPr>
            </w:pPr>
            <w:r w:rsidRPr="00A57BB6">
              <w:rPr>
                <w:color w:val="000000" w:themeColor="text1"/>
                <w:sz w:val="18"/>
                <w:szCs w:val="18"/>
              </w:rPr>
              <w:t>Precentral gyrus/unclassified WM</w:t>
            </w:r>
          </w:p>
          <w:p w14:paraId="08012CCD" w14:textId="77777777" w:rsidR="00514427" w:rsidRPr="00A57BB6" w:rsidRDefault="00514427" w:rsidP="0013197F">
            <w:pPr>
              <w:pStyle w:val="BodyText"/>
              <w:spacing w:before="60" w:after="60" w:line="240" w:lineRule="auto"/>
              <w:rPr>
                <w:color w:val="000000" w:themeColor="text1"/>
                <w:sz w:val="18"/>
                <w:szCs w:val="18"/>
              </w:rPr>
            </w:pPr>
            <w:r w:rsidRPr="00A57BB6">
              <w:rPr>
                <w:color w:val="000000" w:themeColor="text1"/>
                <w:sz w:val="18"/>
                <w:szCs w:val="18"/>
              </w:rPr>
              <w:t>ACC</w:t>
            </w:r>
          </w:p>
          <w:p w14:paraId="30207450" w14:textId="77777777" w:rsidR="00514427" w:rsidRPr="00A57BB6" w:rsidRDefault="00514427" w:rsidP="0013197F">
            <w:pPr>
              <w:pStyle w:val="BodyText"/>
              <w:spacing w:before="60" w:after="60" w:line="240" w:lineRule="auto"/>
              <w:rPr>
                <w:color w:val="000000" w:themeColor="text1"/>
                <w:sz w:val="18"/>
                <w:szCs w:val="18"/>
              </w:rPr>
            </w:pPr>
            <w:r w:rsidRPr="00A57BB6">
              <w:rPr>
                <w:color w:val="000000" w:themeColor="text1"/>
                <w:sz w:val="18"/>
                <w:szCs w:val="18"/>
              </w:rPr>
              <w:t>SMA</w:t>
            </w:r>
          </w:p>
        </w:tc>
        <w:tc>
          <w:tcPr>
            <w:tcW w:w="418" w:type="pct"/>
            <w:shd w:val="clear" w:color="auto" w:fill="auto"/>
          </w:tcPr>
          <w:p w14:paraId="681AF19C" w14:textId="77777777" w:rsidR="00514427" w:rsidRPr="00A57BB6" w:rsidRDefault="00514427" w:rsidP="0013197F">
            <w:pPr>
              <w:pStyle w:val="BodyText"/>
              <w:spacing w:before="60" w:after="60" w:line="240" w:lineRule="auto"/>
              <w:rPr>
                <w:color w:val="000000" w:themeColor="text1"/>
                <w:sz w:val="18"/>
                <w:szCs w:val="18"/>
              </w:rPr>
            </w:pPr>
            <w:r w:rsidRPr="00A57BB6">
              <w:rPr>
                <w:color w:val="000000" w:themeColor="text1"/>
                <w:sz w:val="18"/>
                <w:szCs w:val="18"/>
              </w:rPr>
              <w:t>0.01</w:t>
            </w:r>
            <w:r>
              <w:rPr>
                <w:color w:val="000000" w:themeColor="text1"/>
                <w:sz w:val="18"/>
                <w:szCs w:val="18"/>
              </w:rPr>
              <w:t>3</w:t>
            </w:r>
          </w:p>
        </w:tc>
      </w:tr>
    </w:tbl>
    <w:p w14:paraId="6FD1F063" w14:textId="22C581CC" w:rsidR="00514427" w:rsidRDefault="00B37120" w:rsidP="00514427">
      <w:pPr>
        <w:pStyle w:val="BodyText"/>
        <w:spacing w:before="120"/>
        <w:rPr>
          <w:color w:val="000000" w:themeColor="text1"/>
          <w:sz w:val="20"/>
          <w:szCs w:val="15"/>
        </w:rPr>
      </w:pPr>
      <w:r w:rsidRPr="00B37120">
        <w:rPr>
          <w:color w:val="000000" w:themeColor="text1"/>
          <w:sz w:val="20"/>
          <w:szCs w:val="15"/>
          <w:vertAlign w:val="superscript"/>
        </w:rPr>
        <w:t>a</w:t>
      </w:r>
      <w:r>
        <w:rPr>
          <w:color w:val="000000" w:themeColor="text1"/>
          <w:sz w:val="20"/>
          <w:szCs w:val="15"/>
        </w:rPr>
        <w:t xml:space="preserve"> Controlled for age, sex, and MADRS; </w:t>
      </w:r>
      <w:r w:rsidR="00514427" w:rsidRPr="00B93052">
        <w:rPr>
          <w:color w:val="000000" w:themeColor="text1"/>
          <w:sz w:val="20"/>
          <w:szCs w:val="15"/>
        </w:rPr>
        <w:t xml:space="preserve">MNI: Montreal Neurological Institute; DARS: Dimensional Anhedonia Rating Scale; rsFC: resting-state functional connectivity; </w:t>
      </w:r>
      <w:r w:rsidR="00514427">
        <w:rPr>
          <w:color w:val="000000" w:themeColor="text1"/>
          <w:sz w:val="20"/>
          <w:szCs w:val="15"/>
        </w:rPr>
        <w:t xml:space="preserve">WM: white matter; </w:t>
      </w:r>
      <w:r w:rsidR="00514427" w:rsidRPr="00B93052">
        <w:rPr>
          <w:color w:val="000000" w:themeColor="text1"/>
          <w:sz w:val="20"/>
          <w:szCs w:val="15"/>
        </w:rPr>
        <w:t xml:space="preserve">ACC: anterior cingulate cortex; </w:t>
      </w:r>
      <w:r w:rsidR="00514427">
        <w:rPr>
          <w:color w:val="000000" w:themeColor="text1"/>
          <w:sz w:val="20"/>
          <w:szCs w:val="15"/>
        </w:rPr>
        <w:t>SMA: supplementary motor area</w:t>
      </w:r>
    </w:p>
    <w:p w14:paraId="2B7B2F7E" w14:textId="77777777" w:rsidR="00514427" w:rsidRPr="00514427" w:rsidRDefault="00514427" w:rsidP="00514427">
      <w:pPr>
        <w:rPr>
          <w:rFonts w:ascii="Times New Roman" w:hAnsi="Times New Roman" w:cs="Times New Roman"/>
          <w:b/>
          <w:bCs/>
          <w:sz w:val="28"/>
          <w:szCs w:val="28"/>
        </w:rPr>
      </w:pPr>
    </w:p>
    <w:sectPr w:rsidR="00514427" w:rsidRPr="0051442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69217" w14:textId="77777777" w:rsidR="002E4F3C" w:rsidRDefault="002E4F3C" w:rsidP="00514427">
      <w:r>
        <w:separator/>
      </w:r>
    </w:p>
  </w:endnote>
  <w:endnote w:type="continuationSeparator" w:id="0">
    <w:p w14:paraId="30DE2000" w14:textId="77777777" w:rsidR="002E4F3C" w:rsidRDefault="002E4F3C" w:rsidP="00514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86538081"/>
      <w:docPartObj>
        <w:docPartGallery w:val="Page Numbers (Bottom of Page)"/>
        <w:docPartUnique/>
      </w:docPartObj>
    </w:sdtPr>
    <w:sdtContent>
      <w:p w14:paraId="780E2263" w14:textId="22F65819" w:rsidR="00514427" w:rsidRDefault="00514427" w:rsidP="0008556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AB549BD" w14:textId="77777777" w:rsidR="00514427" w:rsidRDefault="00514427" w:rsidP="005144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07976096"/>
      <w:docPartObj>
        <w:docPartGallery w:val="Page Numbers (Bottom of Page)"/>
        <w:docPartUnique/>
      </w:docPartObj>
    </w:sdtPr>
    <w:sdtContent>
      <w:p w14:paraId="23045237" w14:textId="1215F681" w:rsidR="00514427" w:rsidRDefault="00514427" w:rsidP="0008556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DA4387B" w14:textId="77777777" w:rsidR="00514427" w:rsidRDefault="00514427" w:rsidP="0051442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D7889" w14:textId="77777777" w:rsidR="00644AB1" w:rsidRDefault="00644A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77D82" w14:textId="77777777" w:rsidR="002E4F3C" w:rsidRDefault="002E4F3C" w:rsidP="00514427">
      <w:r>
        <w:separator/>
      </w:r>
    </w:p>
  </w:footnote>
  <w:footnote w:type="continuationSeparator" w:id="0">
    <w:p w14:paraId="295BF201" w14:textId="77777777" w:rsidR="002E4F3C" w:rsidRDefault="002E4F3C" w:rsidP="005144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5213F" w14:textId="77777777" w:rsidR="00644AB1" w:rsidRDefault="00644A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EF605" w14:textId="29D1D91F" w:rsidR="00514427" w:rsidRPr="00514427" w:rsidRDefault="00514427" w:rsidP="00514427">
    <w:pPr>
      <w:pStyle w:val="Header"/>
      <w:jc w:val="right"/>
      <w:rPr>
        <w:rFonts w:ascii="Times New Roman" w:hAnsi="Times New Roman" w:cs="Times New Roman"/>
        <w:sz w:val="20"/>
        <w:szCs w:val="20"/>
      </w:rPr>
    </w:pPr>
    <w:r w:rsidRPr="00514427">
      <w:rPr>
        <w:rFonts w:ascii="Times New Roman" w:hAnsi="Times New Roman" w:cs="Times New Roman"/>
        <w:sz w:val="20"/>
        <w:szCs w:val="20"/>
      </w:rPr>
      <w:t xml:space="preserve">Version date: </w:t>
    </w:r>
    <w:r w:rsidR="00644AB1">
      <w:rPr>
        <w:rFonts w:ascii="Times New Roman" w:hAnsi="Times New Roman" w:cs="Times New Roman"/>
        <w:sz w:val="20"/>
        <w:szCs w:val="20"/>
      </w:rPr>
      <w:t>July 19</w:t>
    </w:r>
    <w:r w:rsidRPr="00514427">
      <w:rPr>
        <w:rFonts w:ascii="Times New Roman" w:hAnsi="Times New Roman" w:cs="Times New Roman"/>
        <w:sz w:val="20"/>
        <w:szCs w:val="20"/>
      </w:rPr>
      <w:t>, 202</w:t>
    </w:r>
    <w:r w:rsidR="00644AB1">
      <w:rPr>
        <w:rFonts w:ascii="Times New Roman" w:hAnsi="Times New Roman" w:cs="Times New Roman"/>
        <w:sz w:val="20"/>
        <w:szCs w:val="20"/>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E9E45" w14:textId="77777777" w:rsidR="00644AB1" w:rsidRDefault="00644A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427"/>
    <w:rsid w:val="00136A98"/>
    <w:rsid w:val="002442D8"/>
    <w:rsid w:val="002E3A9B"/>
    <w:rsid w:val="002E4F3C"/>
    <w:rsid w:val="002F0C40"/>
    <w:rsid w:val="003203E0"/>
    <w:rsid w:val="004108BA"/>
    <w:rsid w:val="00514427"/>
    <w:rsid w:val="00611BBD"/>
    <w:rsid w:val="00644AB1"/>
    <w:rsid w:val="00657C88"/>
    <w:rsid w:val="0071664B"/>
    <w:rsid w:val="00717DEA"/>
    <w:rsid w:val="007B3215"/>
    <w:rsid w:val="008D6D95"/>
    <w:rsid w:val="009868C0"/>
    <w:rsid w:val="009E51EB"/>
    <w:rsid w:val="00A549C1"/>
    <w:rsid w:val="00B37120"/>
    <w:rsid w:val="00C93399"/>
    <w:rsid w:val="00E20AB9"/>
    <w:rsid w:val="00E623A7"/>
    <w:rsid w:val="00F46C71"/>
    <w:rsid w:val="00F62B8E"/>
    <w:rsid w:val="00FB75B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018AA"/>
  <w15:chartTrackingRefBased/>
  <w15:docId w15:val="{9F6E73ED-D2EF-0447-A0B3-8DA2695B1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4427"/>
    <w:pPr>
      <w:tabs>
        <w:tab w:val="center" w:pos="4680"/>
        <w:tab w:val="right" w:pos="9360"/>
      </w:tabs>
    </w:pPr>
  </w:style>
  <w:style w:type="character" w:customStyle="1" w:styleId="HeaderChar">
    <w:name w:val="Header Char"/>
    <w:basedOn w:val="DefaultParagraphFont"/>
    <w:link w:val="Header"/>
    <w:uiPriority w:val="99"/>
    <w:rsid w:val="00514427"/>
  </w:style>
  <w:style w:type="paragraph" w:styleId="Footer">
    <w:name w:val="footer"/>
    <w:basedOn w:val="Normal"/>
    <w:link w:val="FooterChar"/>
    <w:uiPriority w:val="99"/>
    <w:unhideWhenUsed/>
    <w:rsid w:val="00514427"/>
    <w:pPr>
      <w:tabs>
        <w:tab w:val="center" w:pos="4680"/>
        <w:tab w:val="right" w:pos="9360"/>
      </w:tabs>
    </w:pPr>
  </w:style>
  <w:style w:type="character" w:customStyle="1" w:styleId="FooterChar">
    <w:name w:val="Footer Char"/>
    <w:basedOn w:val="DefaultParagraphFont"/>
    <w:link w:val="Footer"/>
    <w:uiPriority w:val="99"/>
    <w:rsid w:val="00514427"/>
  </w:style>
  <w:style w:type="character" w:styleId="PageNumber">
    <w:name w:val="page number"/>
    <w:basedOn w:val="DefaultParagraphFont"/>
    <w:uiPriority w:val="99"/>
    <w:semiHidden/>
    <w:unhideWhenUsed/>
    <w:rsid w:val="00514427"/>
  </w:style>
  <w:style w:type="table" w:styleId="TableGrid">
    <w:name w:val="Table Grid"/>
    <w:basedOn w:val="TableNormal"/>
    <w:uiPriority w:val="59"/>
    <w:rsid w:val="00514427"/>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514427"/>
    <w:pPr>
      <w:spacing w:before="240" w:line="360" w:lineRule="auto"/>
    </w:pPr>
    <w:rPr>
      <w:rFonts w:ascii="Times New Roman" w:eastAsia="Times New Roman" w:hAnsi="Times New Roman" w:cs="Times New Roman"/>
      <w:b/>
      <w:bCs/>
      <w:szCs w:val="20"/>
      <w:lang w:val="en-US" w:eastAsia="en-CA"/>
    </w:rPr>
  </w:style>
  <w:style w:type="paragraph" w:styleId="BodyText">
    <w:name w:val="Body Text"/>
    <w:basedOn w:val="Normal"/>
    <w:link w:val="BodyTextChar"/>
    <w:rsid w:val="00514427"/>
    <w:pPr>
      <w:spacing w:before="240" w:line="360" w:lineRule="auto"/>
    </w:pPr>
    <w:rPr>
      <w:rFonts w:ascii="Times New Roman" w:eastAsia="Times New Roman" w:hAnsi="Times New Roman" w:cs="Times New Roman"/>
      <w:szCs w:val="20"/>
      <w:lang w:val="en-US" w:eastAsia="en-CA"/>
    </w:rPr>
  </w:style>
  <w:style w:type="character" w:customStyle="1" w:styleId="BodyTextChar">
    <w:name w:val="Body Text Char"/>
    <w:basedOn w:val="DefaultParagraphFont"/>
    <w:link w:val="BodyText"/>
    <w:rsid w:val="00514427"/>
    <w:rPr>
      <w:rFonts w:ascii="Times New Roman" w:eastAsia="Times New Roman" w:hAnsi="Times New Roman" w:cs="Times New Roman"/>
      <w:szCs w:val="20"/>
      <w:lang w:val="en-US" w:eastAsia="en-CA"/>
    </w:rPr>
  </w:style>
  <w:style w:type="paragraph" w:customStyle="1" w:styleId="TableHeader">
    <w:name w:val="TableHeader"/>
    <w:basedOn w:val="Normal"/>
    <w:rsid w:val="00611BBD"/>
    <w:pPr>
      <w:spacing w:before="120"/>
    </w:pPr>
    <w:rPr>
      <w:rFonts w:ascii="Times New Roman" w:eastAsia="Times New Roman" w:hAnsi="Times New Roman" w:cs="Times New Roman"/>
      <w:b/>
      <w:szCs w:val="20"/>
      <w:lang w:val="en-GB"/>
    </w:rPr>
  </w:style>
  <w:style w:type="paragraph" w:customStyle="1" w:styleId="TableSubHead">
    <w:name w:val="TableSubHead"/>
    <w:basedOn w:val="TableHeader"/>
    <w:rsid w:val="00611B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1AB97-56ED-4C41-9261-A58C937B6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2777</Words>
  <Characters>15829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Vaccarino</dc:creator>
  <cp:keywords/>
  <dc:description/>
  <cp:lastModifiedBy>Sophia Vaccarino</cp:lastModifiedBy>
  <cp:revision>6</cp:revision>
  <dcterms:created xsi:type="dcterms:W3CDTF">2023-07-12T22:50:00Z</dcterms:created>
  <dcterms:modified xsi:type="dcterms:W3CDTF">2023-08-21T20:12:00Z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http://www.zotero.org/styles/cambridge-university-press-note</vt:lpwstr>
  </property>
  <property fmtid="{D5CDD505-2E9C-101B-9397-08002B2CF9AE}" pid="9" name="Mendeley Recent Style Name 3_1">
    <vt:lpwstr>Cambridge University Press (note)</vt:lpwstr>
  </property>
  <property fmtid="{D5CDD505-2E9C-101B-9397-08002B2CF9AE}" pid="10" name="Mendeley Recent Style Id 4_1">
    <vt:lpwstr>http://www.zotero.org/styles/cambridge-university-press-numeric</vt:lpwstr>
  </property>
  <property fmtid="{D5CDD505-2E9C-101B-9397-08002B2CF9AE}" pid="11" name="Mendeley Recent Style Name 4_1">
    <vt:lpwstr>Cambridge University Press (numeric)</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http://www.zotero.org/styles/the-lancet</vt:lpwstr>
  </property>
  <property fmtid="{D5CDD505-2E9C-101B-9397-08002B2CF9AE}" pid="19" name="Mendeley Recent Style Name 8_1">
    <vt:lpwstr>The Lancet</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6bb53daa-43ad-3ad5-b5ee-50fe6bf951ce</vt:lpwstr>
  </property>
  <property fmtid="{D5CDD505-2E9C-101B-9397-08002B2CF9AE}" pid="24" name="Mendeley Citation Style_1">
    <vt:lpwstr>http://www.zotero.org/styles/vancouver</vt:lpwstr>
  </property>
</Properties>
</file>