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64BF" w14:textId="6491E495" w:rsidR="002A79D6" w:rsidRPr="003F747B" w:rsidRDefault="002A79D6" w:rsidP="002A79D6">
      <w:pPr>
        <w:pStyle w:val="Style1"/>
        <w:rPr>
          <w:rFonts w:ascii="Times New Roman" w:hAnsi="Times New Roman" w:cs="Times New Roman"/>
          <w:lang w:val="en-US"/>
        </w:rPr>
      </w:pPr>
      <w:r w:rsidRPr="003F747B">
        <w:rPr>
          <w:rFonts w:ascii="Times New Roman" w:hAnsi="Times New Roman" w:cs="Times New Roman"/>
          <w:lang w:val="en-US"/>
        </w:rPr>
        <w:t>Supplementary Methods</w:t>
      </w:r>
    </w:p>
    <w:p w14:paraId="7A4A78F3" w14:textId="77777777" w:rsidR="00012BEE" w:rsidRPr="003F747B" w:rsidRDefault="00012BEE" w:rsidP="00012B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747B">
        <w:rPr>
          <w:rFonts w:ascii="Times New Roman" w:hAnsi="Times New Roman" w:cs="Times New Roman"/>
          <w:b/>
          <w:bCs/>
          <w:sz w:val="20"/>
          <w:szCs w:val="20"/>
        </w:rPr>
        <w:t>Digit Triplet Test</w:t>
      </w:r>
    </w:p>
    <w:p w14:paraId="346F42BB" w14:textId="291F6650" w:rsidR="005540B8" w:rsidRPr="005E095B" w:rsidRDefault="00A019FD" w:rsidP="005540B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095B">
        <w:rPr>
          <w:rFonts w:ascii="Times New Roman" w:hAnsi="Times New Roman" w:cs="Times New Roman"/>
          <w:sz w:val="20"/>
          <w:szCs w:val="20"/>
        </w:rPr>
        <w:t>Digit Triplet Test (</w:t>
      </w:r>
      <w:r w:rsidR="00012BEE" w:rsidRPr="005E095B">
        <w:rPr>
          <w:rFonts w:ascii="Times New Roman" w:hAnsi="Times New Roman" w:cs="Times New Roman"/>
          <w:sz w:val="20"/>
          <w:szCs w:val="20"/>
        </w:rPr>
        <w:t>DTT</w:t>
      </w:r>
      <w:r w:rsidRPr="005E095B">
        <w:rPr>
          <w:rFonts w:ascii="Times New Roman" w:hAnsi="Times New Roman" w:cs="Times New Roman"/>
          <w:sz w:val="20"/>
          <w:szCs w:val="20"/>
        </w:rPr>
        <w:t>)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is a speech-in-noise test for large</w:t>
      </w:r>
      <w:r w:rsidR="00B42152" w:rsidRPr="005E095B">
        <w:rPr>
          <w:rFonts w:ascii="Times New Roman" w:hAnsi="Times New Roman" w:cs="Times New Roman"/>
          <w:sz w:val="20"/>
          <w:szCs w:val="20"/>
        </w:rPr>
        <w:t xml:space="preserve"> population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hearing screening</w:t>
      </w:r>
      <w:r w:rsidR="007C2992" w:rsidRPr="005E095B">
        <w:rPr>
          <w:rFonts w:ascii="Times New Roman" w:hAnsi="Times New Roman" w:cs="Times New Roman"/>
          <w:sz w:val="20"/>
          <w:szCs w:val="20"/>
        </w:rPr>
        <w:t>, which</w:t>
      </w:r>
      <w:r w:rsidR="00F40798" w:rsidRPr="005E095B">
        <w:rPr>
          <w:rFonts w:ascii="Times New Roman" w:hAnsi="Times New Roman" w:cs="Times New Roman"/>
          <w:sz w:val="20"/>
          <w:szCs w:val="20"/>
        </w:rPr>
        <w:t xml:space="preserve"> has been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described </w:t>
      </w:r>
      <w:r w:rsidR="00F40798" w:rsidRPr="005E095B">
        <w:rPr>
          <w:rFonts w:ascii="Times New Roman" w:hAnsi="Times New Roman" w:cs="Times New Roman"/>
          <w:sz w:val="20"/>
          <w:szCs w:val="20"/>
        </w:rPr>
        <w:t xml:space="preserve">in detail </w:t>
      </w:r>
      <w:r w:rsidR="007C2992" w:rsidRPr="005E095B">
        <w:rPr>
          <w:rFonts w:ascii="Times New Roman" w:hAnsi="Times New Roman" w:cs="Times New Roman"/>
          <w:sz w:val="20"/>
          <w:szCs w:val="20"/>
        </w:rPr>
        <w:t xml:space="preserve">previously </w:t>
      </w:r>
      <w:r w:rsidR="00012BEE" w:rsidRPr="005E095B">
        <w:rPr>
          <w:rFonts w:ascii="Times New Roman" w:hAnsi="Times New Roman" w:cs="Times New Roman"/>
          <w:sz w:val="20"/>
          <w:szCs w:val="20"/>
        </w:rPr>
        <w:t>(</w:t>
      </w:r>
      <w:hyperlink r:id="rId6" w:history="1">
        <w:r w:rsidR="007C2992" w:rsidRPr="005E095B">
          <w:rPr>
            <w:rStyle w:val="a8"/>
            <w:rFonts w:ascii="Times New Roman" w:hAnsi="Times New Roman" w:cs="Times New Roman"/>
            <w:sz w:val="20"/>
            <w:szCs w:val="20"/>
          </w:rPr>
          <w:t>http://biobank.ctsu.ox.ac.uk/crystal/label.cgi?id=100049</w:t>
        </w:r>
      </w:hyperlink>
      <w:r w:rsidR="00012BEE" w:rsidRPr="005E095B">
        <w:rPr>
          <w:rFonts w:ascii="Times New Roman" w:hAnsi="Times New Roman" w:cs="Times New Roman"/>
          <w:sz w:val="20"/>
          <w:szCs w:val="20"/>
        </w:rPr>
        <w:t xml:space="preserve">). In brief, 15 sets of three monosyllabic digits (e.g., 1-5-8) </w:t>
      </w:r>
      <w:r w:rsidR="00BC1EB1" w:rsidRPr="005E095B">
        <w:rPr>
          <w:rFonts w:ascii="Times New Roman" w:hAnsi="Times New Roman" w:cs="Times New Roman"/>
          <w:sz w:val="20"/>
          <w:szCs w:val="20"/>
        </w:rPr>
        <w:t>are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presented via </w:t>
      </w:r>
      <w:r w:rsidR="002303FC" w:rsidRPr="005E095B">
        <w:rPr>
          <w:rFonts w:ascii="Times New Roman" w:hAnsi="Times New Roman" w:cs="Times New Roman"/>
          <w:sz w:val="20"/>
          <w:szCs w:val="20"/>
        </w:rPr>
        <w:t>surround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headphones.</w:t>
      </w:r>
      <w:r w:rsidR="00BC1EB1" w:rsidRPr="005E095B">
        <w:rPr>
          <w:rFonts w:ascii="Times New Roman" w:hAnsi="Times New Roman" w:cs="Times New Roman"/>
          <w:sz w:val="20"/>
          <w:szCs w:val="20"/>
        </w:rPr>
        <w:t xml:space="preserve"> The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ear</w:t>
      </w:r>
      <w:r w:rsidR="00BC1EB1" w:rsidRPr="005E095B">
        <w:rPr>
          <w:rFonts w:ascii="Times New Roman" w:hAnsi="Times New Roman" w:cs="Times New Roman"/>
          <w:sz w:val="20"/>
          <w:szCs w:val="20"/>
        </w:rPr>
        <w:t>s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</w:t>
      </w:r>
      <w:r w:rsidR="00BC1EB1" w:rsidRPr="005E095B">
        <w:rPr>
          <w:rFonts w:ascii="Times New Roman" w:hAnsi="Times New Roman" w:cs="Times New Roman"/>
          <w:sz w:val="20"/>
          <w:szCs w:val="20"/>
        </w:rPr>
        <w:t>are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tested separately with randomized testing order </w:t>
      </w:r>
      <w:r w:rsidR="00BC1EB1" w:rsidRPr="005E095B">
        <w:rPr>
          <w:rFonts w:ascii="Times New Roman" w:hAnsi="Times New Roman" w:cs="Times New Roman"/>
          <w:sz w:val="20"/>
          <w:szCs w:val="20"/>
        </w:rPr>
        <w:t>among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participants. </w:t>
      </w:r>
      <w:r w:rsidR="00BC1EB1" w:rsidRPr="005E095B">
        <w:rPr>
          <w:rFonts w:ascii="Times New Roman" w:hAnsi="Times New Roman" w:cs="Times New Roman"/>
          <w:sz w:val="20"/>
          <w:szCs w:val="20"/>
        </w:rPr>
        <w:t>In the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beginning, </w:t>
      </w:r>
      <w:r w:rsidR="00BC1EB1" w:rsidRPr="005E095B">
        <w:rPr>
          <w:rFonts w:ascii="Times New Roman" w:hAnsi="Times New Roman" w:cs="Times New Roman"/>
          <w:sz w:val="20"/>
          <w:szCs w:val="20"/>
        </w:rPr>
        <w:t>p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articipants set the volume of the stimuli to a comfortable level. Digit triplets </w:t>
      </w:r>
      <w:r w:rsidR="003C0352" w:rsidRPr="005E095B">
        <w:rPr>
          <w:rFonts w:ascii="Times New Roman" w:hAnsi="Times New Roman" w:cs="Times New Roman"/>
          <w:sz w:val="20"/>
          <w:szCs w:val="20"/>
        </w:rPr>
        <w:t>are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then presented in a background of noise shaped to match the spectrum of the speech stimuli. Noise levels var</w:t>
      </w:r>
      <w:r w:rsidR="003C0352" w:rsidRPr="005E095B">
        <w:rPr>
          <w:rFonts w:ascii="Times New Roman" w:hAnsi="Times New Roman" w:cs="Times New Roman"/>
          <w:sz w:val="20"/>
          <w:szCs w:val="20"/>
        </w:rPr>
        <w:t>y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adaptively after each triplet to estimate the signal to noise ratio (SNR) for 50% correct recognition of the three digits via touchscreen response. The recognition threshold </w:t>
      </w:r>
      <w:r w:rsidR="00C33F96" w:rsidRPr="005E095B">
        <w:rPr>
          <w:rFonts w:ascii="Times New Roman" w:hAnsi="Times New Roman" w:cs="Times New Roman"/>
          <w:sz w:val="20"/>
          <w:szCs w:val="20"/>
        </w:rPr>
        <w:t>is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taken as the mean SNR for the last eight triplets. In </w:t>
      </w:r>
      <w:r w:rsidR="00C33F96" w:rsidRPr="005E095B">
        <w:rPr>
          <w:rFonts w:ascii="Times New Roman" w:hAnsi="Times New Roman" w:cs="Times New Roman"/>
          <w:sz w:val="20"/>
          <w:szCs w:val="20"/>
        </w:rPr>
        <w:t>the present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study, hearing ability was </w:t>
      </w:r>
      <w:r w:rsidR="00C33F96" w:rsidRPr="005E095B">
        <w:rPr>
          <w:rFonts w:ascii="Times New Roman" w:hAnsi="Times New Roman" w:cs="Times New Roman"/>
          <w:sz w:val="20"/>
          <w:szCs w:val="20"/>
        </w:rPr>
        <w:t>determined based on performance of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</w:t>
      </w:r>
      <w:r w:rsidR="00C33F96" w:rsidRPr="005E095B">
        <w:rPr>
          <w:rFonts w:ascii="Times New Roman" w:hAnsi="Times New Roman" w:cs="Times New Roman"/>
          <w:sz w:val="20"/>
          <w:szCs w:val="20"/>
        </w:rPr>
        <w:t xml:space="preserve">the </w:t>
      </w:r>
      <w:r w:rsidR="00012BEE" w:rsidRPr="005E095B">
        <w:rPr>
          <w:rFonts w:ascii="Times New Roman" w:hAnsi="Times New Roman" w:cs="Times New Roman"/>
          <w:sz w:val="20"/>
          <w:szCs w:val="20"/>
        </w:rPr>
        <w:t>“better-ear</w:t>
      </w:r>
      <w:r w:rsidR="00940B12" w:rsidRPr="005E095B">
        <w:rPr>
          <w:rFonts w:ascii="Times New Roman" w:hAnsi="Times New Roman" w:cs="Times New Roman"/>
          <w:sz w:val="20"/>
          <w:szCs w:val="20"/>
        </w:rPr>
        <w:t>” and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categorized </w:t>
      </w:r>
      <w:r w:rsidR="00555170" w:rsidRPr="005E095B">
        <w:rPr>
          <w:rFonts w:ascii="Times New Roman" w:hAnsi="Times New Roman" w:cs="Times New Roman"/>
          <w:sz w:val="20"/>
          <w:szCs w:val="20"/>
        </w:rPr>
        <w:t>according to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the mean speech reception</w:t>
      </w:r>
      <w:r w:rsidR="00A847A7" w:rsidRPr="005E095B">
        <w:rPr>
          <w:rFonts w:ascii="Times New Roman" w:hAnsi="Times New Roman" w:cs="Times New Roman"/>
          <w:sz w:val="20"/>
          <w:szCs w:val="20"/>
        </w:rPr>
        <w:t xml:space="preserve"> </w:t>
      </w:r>
      <w:r w:rsidR="00012BEE" w:rsidRPr="005E095B">
        <w:rPr>
          <w:rFonts w:ascii="Times New Roman" w:hAnsi="Times New Roman" w:cs="Times New Roman"/>
          <w:sz w:val="20"/>
          <w:szCs w:val="20"/>
        </w:rPr>
        <w:t>threshold (SRT)</w:t>
      </w:r>
      <w:r w:rsidR="00940B12" w:rsidRPr="005E095B">
        <w:rPr>
          <w:rFonts w:ascii="Times New Roman" w:hAnsi="Times New Roman" w:cs="Times New Roman"/>
          <w:sz w:val="20"/>
          <w:szCs w:val="20"/>
        </w:rPr>
        <w:t xml:space="preserve"> as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“Normal” </w:t>
      </w:r>
      <w:r w:rsidR="00940B12" w:rsidRPr="005E095B">
        <w:rPr>
          <w:rFonts w:ascii="Times New Roman" w:hAnsi="Times New Roman" w:cs="Times New Roman"/>
          <w:sz w:val="20"/>
          <w:szCs w:val="20"/>
        </w:rPr>
        <w:t>(</w:t>
      </w:r>
      <w:r w:rsidR="00012BEE" w:rsidRPr="005E095B">
        <w:rPr>
          <w:rFonts w:ascii="Times New Roman" w:hAnsi="Times New Roman" w:cs="Times New Roman"/>
          <w:sz w:val="20"/>
          <w:szCs w:val="20"/>
        </w:rPr>
        <w:t>SRT &lt;−5.5 dB</w:t>
      </w:r>
      <w:r w:rsidR="00940B12" w:rsidRPr="005E095B">
        <w:rPr>
          <w:rFonts w:ascii="Times New Roman" w:hAnsi="Times New Roman" w:cs="Times New Roman"/>
          <w:sz w:val="20"/>
          <w:szCs w:val="20"/>
        </w:rPr>
        <w:t>),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 “Insufficient” </w:t>
      </w:r>
      <w:r w:rsidR="00940B12" w:rsidRPr="005E095B">
        <w:rPr>
          <w:rFonts w:ascii="Times New Roman" w:hAnsi="Times New Roman" w:cs="Times New Roman"/>
          <w:sz w:val="20"/>
          <w:szCs w:val="20"/>
        </w:rPr>
        <w:t>(</w:t>
      </w:r>
      <w:r w:rsidR="00012BEE" w:rsidRPr="005E095B">
        <w:rPr>
          <w:rFonts w:ascii="Times New Roman" w:hAnsi="Times New Roman" w:cs="Times New Roman"/>
          <w:sz w:val="20"/>
          <w:szCs w:val="20"/>
        </w:rPr>
        <w:t>SRT −5.5 to −3.5 dB</w:t>
      </w:r>
      <w:r w:rsidR="00940B12" w:rsidRPr="005E095B">
        <w:rPr>
          <w:rFonts w:ascii="Times New Roman" w:hAnsi="Times New Roman" w:cs="Times New Roman"/>
          <w:sz w:val="20"/>
          <w:szCs w:val="20"/>
        </w:rPr>
        <w:t xml:space="preserve">), </w:t>
      </w:r>
      <w:r w:rsidR="00012BEE" w:rsidRPr="005E095B">
        <w:rPr>
          <w:rFonts w:ascii="Times New Roman" w:hAnsi="Times New Roman" w:cs="Times New Roman"/>
          <w:sz w:val="20"/>
          <w:szCs w:val="20"/>
        </w:rPr>
        <w:t xml:space="preserve">and “Poor” </w:t>
      </w:r>
      <w:r w:rsidR="00940B12" w:rsidRPr="005E095B">
        <w:rPr>
          <w:rFonts w:ascii="Times New Roman" w:hAnsi="Times New Roman" w:cs="Times New Roman"/>
          <w:sz w:val="20"/>
          <w:szCs w:val="20"/>
        </w:rPr>
        <w:t>(</w:t>
      </w:r>
      <w:r w:rsidR="00012BEE" w:rsidRPr="005E095B">
        <w:rPr>
          <w:rFonts w:ascii="Times New Roman" w:hAnsi="Times New Roman" w:cs="Times New Roman"/>
          <w:sz w:val="20"/>
          <w:szCs w:val="20"/>
        </w:rPr>
        <w:t>SRT &gt;−3.5 dB</w:t>
      </w:r>
      <w:r w:rsidR="00940B12" w:rsidRPr="005E095B">
        <w:rPr>
          <w:rFonts w:ascii="Times New Roman" w:hAnsi="Times New Roman" w:cs="Times New Roman"/>
          <w:sz w:val="20"/>
          <w:szCs w:val="20"/>
        </w:rPr>
        <w:t>)</w:t>
      </w:r>
      <w:r w:rsidR="00012BEE" w:rsidRPr="005E095B">
        <w:rPr>
          <w:rFonts w:ascii="Times New Roman" w:hAnsi="Times New Roman" w:cs="Times New Roman"/>
          <w:sz w:val="20"/>
          <w:szCs w:val="20"/>
        </w:rPr>
        <w:t>.</w:t>
      </w:r>
    </w:p>
    <w:p w14:paraId="7444382C" w14:textId="77777777" w:rsidR="005540B8" w:rsidRPr="003F747B" w:rsidRDefault="005540B8" w:rsidP="002A79D6">
      <w:pPr>
        <w:keepNext/>
        <w:keepLines/>
        <w:widowControl/>
        <w:spacing w:before="40" w:line="259" w:lineRule="auto"/>
        <w:jc w:val="left"/>
        <w:outlineLvl w:val="1"/>
        <w:rPr>
          <w:rFonts w:ascii="Times New Roman" w:eastAsia="等线 Light" w:hAnsi="Times New Roman" w:cs="Times New Roman"/>
          <w:b/>
          <w:color w:val="000000"/>
          <w:kern w:val="0"/>
          <w:sz w:val="20"/>
          <w:szCs w:val="26"/>
        </w:rPr>
      </w:pPr>
    </w:p>
    <w:p w14:paraId="3375B488" w14:textId="77777777" w:rsidR="00555170" w:rsidRPr="003F747B" w:rsidRDefault="00555170">
      <w:pPr>
        <w:widowControl/>
        <w:jc w:val="left"/>
        <w:rPr>
          <w:rFonts w:ascii="Times New Roman" w:eastAsia="等线 Light" w:hAnsi="Times New Roman" w:cs="Times New Roman"/>
          <w:b/>
          <w:color w:val="000000"/>
          <w:kern w:val="0"/>
          <w:sz w:val="20"/>
          <w:szCs w:val="26"/>
        </w:rPr>
      </w:pPr>
      <w:r w:rsidRPr="003F747B">
        <w:rPr>
          <w:rFonts w:ascii="Times New Roman" w:eastAsia="等线 Light" w:hAnsi="Times New Roman" w:cs="Times New Roman"/>
          <w:b/>
          <w:color w:val="000000"/>
          <w:kern w:val="0"/>
          <w:sz w:val="20"/>
          <w:szCs w:val="26"/>
        </w:rPr>
        <w:br w:type="page"/>
      </w:r>
    </w:p>
    <w:p w14:paraId="221F04C9" w14:textId="34A4DB16" w:rsidR="002A79D6" w:rsidRPr="003F747B" w:rsidRDefault="002A79D6" w:rsidP="002A79D6">
      <w:pPr>
        <w:keepNext/>
        <w:keepLines/>
        <w:widowControl/>
        <w:spacing w:before="40" w:line="259" w:lineRule="auto"/>
        <w:jc w:val="left"/>
        <w:outlineLvl w:val="1"/>
        <w:rPr>
          <w:rFonts w:ascii="Times New Roman" w:eastAsia="等线 Light" w:hAnsi="Times New Roman" w:cs="Times New Roman"/>
          <w:b/>
          <w:color w:val="000000"/>
          <w:kern w:val="0"/>
          <w:sz w:val="20"/>
          <w:szCs w:val="26"/>
        </w:rPr>
      </w:pPr>
      <w:r w:rsidRPr="003F747B">
        <w:rPr>
          <w:rFonts w:ascii="Times New Roman" w:eastAsia="等线 Light" w:hAnsi="Times New Roman" w:cs="Times New Roman"/>
          <w:b/>
          <w:color w:val="000000"/>
          <w:kern w:val="0"/>
          <w:sz w:val="20"/>
          <w:szCs w:val="26"/>
        </w:rPr>
        <w:lastRenderedPageBreak/>
        <w:t>Table S1. ICD-10 codes used to ascertain depression, anxiety, and previous psychiatric disorders</w:t>
      </w:r>
    </w:p>
    <w:p w14:paraId="1B076093" w14:textId="77777777" w:rsidR="002A79D6" w:rsidRPr="003F747B" w:rsidRDefault="002A79D6" w:rsidP="002A79D6">
      <w:pPr>
        <w:keepNext/>
        <w:keepLines/>
        <w:widowControl/>
        <w:spacing w:before="40" w:line="259" w:lineRule="auto"/>
        <w:jc w:val="left"/>
        <w:outlineLvl w:val="1"/>
        <w:rPr>
          <w:rFonts w:ascii="Times New Roman" w:eastAsia="等线 Light" w:hAnsi="Times New Roman" w:cs="Times New Roman"/>
          <w:b/>
          <w:color w:val="000000"/>
          <w:kern w:val="0"/>
          <w:sz w:val="20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187"/>
      </w:tblGrid>
      <w:tr w:rsidR="002A79D6" w:rsidRPr="003F747B" w14:paraId="16CEDAA5" w14:textId="77777777" w:rsidTr="002A79D6">
        <w:trPr>
          <w:trHeight w:val="25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109ACF" w14:textId="77777777" w:rsidR="002A79D6" w:rsidRPr="003F747B" w:rsidRDefault="002A79D6" w:rsidP="002A79D6">
            <w:pPr>
              <w:widowControl/>
              <w:spacing w:line="360" w:lineRule="auto"/>
              <w:jc w:val="left"/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</w:pPr>
            <w:r w:rsidRPr="003F747B"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  <w:t>Psychiatric disorders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</w:tcPr>
          <w:p w14:paraId="690F9B8A" w14:textId="77777777" w:rsidR="002A79D6" w:rsidRPr="003F747B" w:rsidRDefault="002A79D6" w:rsidP="002A79D6">
            <w:pPr>
              <w:widowControl/>
              <w:spacing w:line="360" w:lineRule="auto"/>
              <w:jc w:val="left"/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</w:pPr>
            <w:r w:rsidRPr="003F747B"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  <w:t>ICD-10 codes</w:t>
            </w:r>
          </w:p>
        </w:tc>
      </w:tr>
      <w:tr w:rsidR="002A79D6" w:rsidRPr="003F747B" w14:paraId="5D005066" w14:textId="77777777" w:rsidTr="002A79D6">
        <w:trPr>
          <w:trHeight w:val="250"/>
        </w:trPr>
        <w:tc>
          <w:tcPr>
            <w:tcW w:w="3119" w:type="dxa"/>
            <w:tcBorders>
              <w:top w:val="single" w:sz="4" w:space="0" w:color="auto"/>
            </w:tcBorders>
          </w:tcPr>
          <w:p w14:paraId="18A6B9CB" w14:textId="77777777" w:rsidR="002A79D6" w:rsidRPr="003F747B" w:rsidRDefault="002A79D6" w:rsidP="002A79D6">
            <w:pPr>
              <w:widowControl/>
              <w:spacing w:line="360" w:lineRule="auto"/>
              <w:jc w:val="left"/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</w:pPr>
            <w:bookmarkStart w:id="0" w:name="_Hlk103265832"/>
            <w:r w:rsidRPr="003F747B"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  <w:t xml:space="preserve">Depression </w:t>
            </w:r>
          </w:p>
        </w:tc>
        <w:tc>
          <w:tcPr>
            <w:tcW w:w="5187" w:type="dxa"/>
            <w:tcBorders>
              <w:top w:val="single" w:sz="4" w:space="0" w:color="auto"/>
            </w:tcBorders>
          </w:tcPr>
          <w:p w14:paraId="4F327005" w14:textId="77777777" w:rsidR="002A79D6" w:rsidRPr="003F747B" w:rsidRDefault="002A79D6" w:rsidP="002A79D6">
            <w:pPr>
              <w:widowControl/>
              <w:spacing w:line="360" w:lineRule="auto"/>
              <w:jc w:val="left"/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</w:pPr>
            <w:r w:rsidRPr="003F747B"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  <w:t>F32, F33</w:t>
            </w:r>
          </w:p>
        </w:tc>
      </w:tr>
      <w:bookmarkEnd w:id="0"/>
      <w:tr w:rsidR="002A79D6" w:rsidRPr="003F747B" w14:paraId="1F061E35" w14:textId="77777777" w:rsidTr="002A79D6">
        <w:trPr>
          <w:trHeight w:val="250"/>
        </w:trPr>
        <w:tc>
          <w:tcPr>
            <w:tcW w:w="3119" w:type="dxa"/>
          </w:tcPr>
          <w:p w14:paraId="70193810" w14:textId="77777777" w:rsidR="002A79D6" w:rsidRPr="003F747B" w:rsidRDefault="002A79D6" w:rsidP="002A79D6">
            <w:pPr>
              <w:widowControl/>
              <w:spacing w:line="360" w:lineRule="auto"/>
              <w:jc w:val="left"/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</w:pPr>
            <w:r w:rsidRPr="003F747B"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  <w:t xml:space="preserve">Anxiety </w:t>
            </w:r>
          </w:p>
        </w:tc>
        <w:tc>
          <w:tcPr>
            <w:tcW w:w="5187" w:type="dxa"/>
          </w:tcPr>
          <w:p w14:paraId="1288A3F1" w14:textId="77777777" w:rsidR="002A79D6" w:rsidRPr="003F747B" w:rsidRDefault="002A79D6" w:rsidP="002A79D6">
            <w:pPr>
              <w:widowControl/>
              <w:spacing w:line="360" w:lineRule="auto"/>
              <w:jc w:val="left"/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</w:pPr>
            <w:r w:rsidRPr="003F747B"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  <w:t>F40, F41</w:t>
            </w:r>
          </w:p>
        </w:tc>
      </w:tr>
      <w:tr w:rsidR="002A79D6" w:rsidRPr="003F747B" w14:paraId="699297C1" w14:textId="77777777" w:rsidTr="002A79D6">
        <w:trPr>
          <w:trHeight w:val="25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C19FEF" w14:textId="77777777" w:rsidR="002A79D6" w:rsidRPr="003F747B" w:rsidRDefault="002A79D6" w:rsidP="002A79D6">
            <w:pPr>
              <w:widowControl/>
              <w:spacing w:line="360" w:lineRule="auto"/>
              <w:jc w:val="left"/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</w:pPr>
            <w:r w:rsidRPr="003F747B"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  <w:t>Previous psychiatric disorders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68AC1F7D" w14:textId="77777777" w:rsidR="002A79D6" w:rsidRPr="003F747B" w:rsidRDefault="002A79D6" w:rsidP="002A79D6">
            <w:pPr>
              <w:widowControl/>
              <w:spacing w:line="360" w:lineRule="auto"/>
              <w:jc w:val="left"/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</w:pPr>
            <w:r w:rsidRPr="003F747B"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  <w:t xml:space="preserve">F10-F19, F23-F25, F28-F34, F38-F45, F48, </w:t>
            </w:r>
          </w:p>
          <w:p w14:paraId="47217502" w14:textId="712D0F2D" w:rsidR="002A79D6" w:rsidRPr="003F747B" w:rsidRDefault="002A79D6" w:rsidP="002A79D6">
            <w:pPr>
              <w:widowControl/>
              <w:spacing w:line="360" w:lineRule="auto"/>
              <w:jc w:val="left"/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</w:pPr>
            <w:r w:rsidRPr="003F747B"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en-US"/>
              </w:rPr>
              <w:t>F50-55, F59-F69, F81-F83, F88-F95, F98, F99</w:t>
            </w:r>
          </w:p>
        </w:tc>
      </w:tr>
    </w:tbl>
    <w:p w14:paraId="28DA0006" w14:textId="77777777" w:rsidR="002A79D6" w:rsidRPr="003F747B" w:rsidRDefault="002A79D6" w:rsidP="002A79D6">
      <w:pPr>
        <w:pStyle w:val="Style1"/>
        <w:rPr>
          <w:rFonts w:ascii="Times New Roman" w:hAnsi="Times New Roman" w:cs="Times New Roman"/>
          <w:lang w:val="en-US"/>
        </w:rPr>
      </w:pPr>
    </w:p>
    <w:p w14:paraId="4496C20E" w14:textId="77777777" w:rsidR="005540B8" w:rsidRPr="003F747B" w:rsidRDefault="005540B8" w:rsidP="00240A1D">
      <w:pPr>
        <w:widowControl/>
        <w:spacing w:after="160" w:line="259" w:lineRule="auto"/>
        <w:jc w:val="left"/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</w:pPr>
    </w:p>
    <w:p w14:paraId="0D0B92CF" w14:textId="77777777" w:rsidR="005540B8" w:rsidRPr="003F747B" w:rsidRDefault="005540B8" w:rsidP="00240A1D">
      <w:pPr>
        <w:widowControl/>
        <w:spacing w:after="160" w:line="259" w:lineRule="auto"/>
        <w:jc w:val="left"/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</w:pPr>
    </w:p>
    <w:p w14:paraId="2D58029C" w14:textId="77777777" w:rsidR="005540B8" w:rsidRPr="003F747B" w:rsidRDefault="005540B8" w:rsidP="00240A1D">
      <w:pPr>
        <w:widowControl/>
        <w:spacing w:after="160" w:line="259" w:lineRule="auto"/>
        <w:jc w:val="left"/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</w:pPr>
    </w:p>
    <w:p w14:paraId="65D5C129" w14:textId="77777777" w:rsidR="005540B8" w:rsidRPr="003F747B" w:rsidRDefault="005540B8" w:rsidP="00240A1D">
      <w:pPr>
        <w:widowControl/>
        <w:spacing w:after="160" w:line="259" w:lineRule="auto"/>
        <w:jc w:val="left"/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</w:pPr>
    </w:p>
    <w:p w14:paraId="0AA3D877" w14:textId="77777777" w:rsidR="005540B8" w:rsidRPr="003F747B" w:rsidRDefault="005540B8" w:rsidP="00240A1D">
      <w:pPr>
        <w:widowControl/>
        <w:spacing w:after="160" w:line="259" w:lineRule="auto"/>
        <w:jc w:val="left"/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</w:pPr>
    </w:p>
    <w:p w14:paraId="78B3D898" w14:textId="77777777" w:rsidR="005540B8" w:rsidRPr="003F747B" w:rsidRDefault="005540B8" w:rsidP="00240A1D">
      <w:pPr>
        <w:widowControl/>
        <w:spacing w:after="160" w:line="259" w:lineRule="auto"/>
        <w:jc w:val="left"/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</w:pPr>
    </w:p>
    <w:p w14:paraId="76A9CE23" w14:textId="77777777" w:rsidR="005540B8" w:rsidRPr="003F747B" w:rsidRDefault="005540B8" w:rsidP="00240A1D">
      <w:pPr>
        <w:widowControl/>
        <w:spacing w:after="160" w:line="259" w:lineRule="auto"/>
        <w:jc w:val="left"/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</w:pPr>
    </w:p>
    <w:p w14:paraId="7E92218C" w14:textId="77777777" w:rsidR="00555170" w:rsidRPr="003F747B" w:rsidRDefault="00555170">
      <w:pPr>
        <w:widowControl/>
        <w:jc w:val="left"/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</w:pPr>
      <w:r w:rsidRPr="003F747B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br w:type="page"/>
      </w:r>
    </w:p>
    <w:p w14:paraId="0EC1F188" w14:textId="459BA191" w:rsidR="00240A1D" w:rsidRPr="003F747B" w:rsidRDefault="00240A1D" w:rsidP="00240A1D">
      <w:pPr>
        <w:widowControl/>
        <w:spacing w:after="160" w:line="259" w:lineRule="auto"/>
        <w:jc w:val="left"/>
        <w:rPr>
          <w:rFonts w:ascii="Times New Roman" w:eastAsia="Cambria" w:hAnsi="Times New Roman" w:cs="Times New Roman"/>
          <w:b/>
          <w:bCs/>
          <w:iCs/>
          <w:kern w:val="0"/>
          <w:sz w:val="20"/>
          <w:szCs w:val="20"/>
          <w:lang w:eastAsia="en-US"/>
        </w:rPr>
      </w:pPr>
      <w:r w:rsidRPr="003F747B">
        <w:rPr>
          <w:rFonts w:ascii="Times New Roman" w:eastAsia="等线" w:hAnsi="Times New Roman" w:cs="Times New Roman"/>
          <w:b/>
          <w:bCs/>
          <w:kern w:val="0"/>
          <w:sz w:val="20"/>
          <w:szCs w:val="20"/>
        </w:rPr>
        <w:lastRenderedPageBreak/>
        <w:t>Table S2.</w:t>
      </w:r>
      <w:r w:rsidRPr="003F747B">
        <w:rPr>
          <w:rFonts w:ascii="Times New Roman" w:eastAsia="等线" w:hAnsi="Times New Roman" w:cs="Times New Roman"/>
          <w:kern w:val="0"/>
          <w:sz w:val="22"/>
        </w:rPr>
        <w:t xml:space="preserve"> </w:t>
      </w:r>
      <w:r w:rsidRPr="003F747B">
        <w:rPr>
          <w:rFonts w:ascii="Times New Roman" w:eastAsia="Cambria" w:hAnsi="Times New Roman" w:cs="Times New Roman"/>
          <w:b/>
          <w:bCs/>
          <w:iCs/>
          <w:kern w:val="0"/>
          <w:sz w:val="20"/>
          <w:szCs w:val="20"/>
          <w:lang w:eastAsia="en-US"/>
        </w:rPr>
        <w:t>Hazard ratio (HR) and 95% confidence interval (CI) of depression or anxiety in relation to severity of hearing loss, using no hearing loss as reference*</w:t>
      </w:r>
    </w:p>
    <w:tbl>
      <w:tblPr>
        <w:tblW w:w="8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38"/>
        <w:gridCol w:w="1444"/>
        <w:gridCol w:w="320"/>
        <w:gridCol w:w="1853"/>
        <w:gridCol w:w="1539"/>
      </w:tblGrid>
      <w:tr w:rsidR="00240A1D" w:rsidRPr="003F747B" w14:paraId="14E3821B" w14:textId="77777777" w:rsidTr="00240A1D">
        <w:trPr>
          <w:trHeight w:val="290"/>
        </w:trPr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B284" w14:textId="77777777" w:rsidR="00240A1D" w:rsidRPr="003F747B" w:rsidRDefault="00240A1D" w:rsidP="00240A1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500F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HR (95%CI) of depression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550C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 HR (95%CI) of anxiety</w:t>
            </w:r>
          </w:p>
        </w:tc>
      </w:tr>
      <w:tr w:rsidR="00240A1D" w:rsidRPr="003F747B" w14:paraId="2249EA31" w14:textId="77777777" w:rsidTr="00240A1D">
        <w:trPr>
          <w:trHeight w:val="290"/>
        </w:trPr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09FE" w14:textId="77777777" w:rsidR="00240A1D" w:rsidRPr="003F747B" w:rsidRDefault="00240A1D" w:rsidP="00240A1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Group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3A5A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Insufficient hearing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69E1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Poor hearing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DF1D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3779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Insufficient hearing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F1ED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Poor hearing</w:t>
            </w:r>
          </w:p>
        </w:tc>
      </w:tr>
      <w:tr w:rsidR="00240A1D" w:rsidRPr="003F747B" w14:paraId="79822202" w14:textId="77777777" w:rsidTr="00240A1D">
        <w:trPr>
          <w:trHeight w:val="290"/>
        </w:trPr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0C28" w14:textId="77777777" w:rsidR="00240A1D" w:rsidRPr="003F747B" w:rsidRDefault="00240A1D" w:rsidP="00240A1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Overall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1067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1.08 (0.99-1.17)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044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1.34 (1.14-1.57)</w:t>
            </w: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4318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D7DF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1.10 (1.01-1.19)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4C11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1.23 (1.04-1.45)</w:t>
            </w:r>
          </w:p>
        </w:tc>
      </w:tr>
      <w:tr w:rsidR="00240A1D" w:rsidRPr="003F747B" w14:paraId="76352F01" w14:textId="77777777" w:rsidTr="00240A1D">
        <w:trPr>
          <w:trHeight w:val="290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05F8E0E" w14:textId="77777777" w:rsidR="00240A1D" w:rsidRPr="003F747B" w:rsidRDefault="00240A1D" w:rsidP="00240A1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Stratified by sex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3CD97525" w14:textId="77777777" w:rsidR="00240A1D" w:rsidRPr="003F747B" w:rsidRDefault="00240A1D" w:rsidP="00240A1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D6FDFE8" w14:textId="77777777" w:rsidR="00240A1D" w:rsidRPr="003F747B" w:rsidRDefault="00240A1D" w:rsidP="00240A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7EDD4D2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14:paraId="0A0A5AC7" w14:textId="77777777" w:rsidR="00240A1D" w:rsidRPr="003F747B" w:rsidRDefault="00240A1D" w:rsidP="00240A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4A4939A4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0A1D" w:rsidRPr="003F747B" w14:paraId="6292D9E1" w14:textId="77777777" w:rsidTr="00240A1D">
        <w:trPr>
          <w:trHeight w:val="290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1591ED0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03000FAC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1.07 (0.94-1.22)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465E192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1.23 (0.96-1.56)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38B7EB3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14:paraId="59886FA5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1.10 (0.96-1.26)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622FE5E1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1.23 (0.96-1.59)</w:t>
            </w:r>
          </w:p>
        </w:tc>
      </w:tr>
      <w:tr w:rsidR="00240A1D" w:rsidRPr="003F747B" w14:paraId="6810E2A1" w14:textId="77777777" w:rsidTr="00240A1D">
        <w:trPr>
          <w:trHeight w:val="290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BD7138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1CAD3B13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1.08 (0.97-1.20)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CC0178D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1.43 (1.15-1.76)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0545949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14:paraId="2EF20FED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1.09 (0.99-1.20)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1759B8BD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1.23 (0.99-1.52)</w:t>
            </w:r>
          </w:p>
        </w:tc>
      </w:tr>
      <w:tr w:rsidR="00240A1D" w:rsidRPr="003F747B" w14:paraId="324D8323" w14:textId="77777777" w:rsidTr="00240A1D">
        <w:trPr>
          <w:trHeight w:val="290"/>
        </w:trPr>
        <w:tc>
          <w:tcPr>
            <w:tcW w:w="3518" w:type="dxa"/>
            <w:gridSpan w:val="2"/>
            <w:shd w:val="clear" w:color="auto" w:fill="auto"/>
            <w:noWrap/>
            <w:vAlign w:val="center"/>
            <w:hideMark/>
          </w:tcPr>
          <w:p w14:paraId="6AD32EA0" w14:textId="48AEF1A7" w:rsidR="00240A1D" w:rsidRPr="003F747B" w:rsidRDefault="00240A1D" w:rsidP="00240A1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Stratified by previous </w:t>
            </w:r>
            <w:r w:rsidR="0041268E"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psychiatric</w:t>
            </w: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disorders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2B09ECB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CC8B687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14:paraId="0B0F1849" w14:textId="77777777" w:rsidR="00240A1D" w:rsidRPr="003F747B" w:rsidRDefault="00240A1D" w:rsidP="00240A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5D2367AF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0A1D" w:rsidRPr="003F747B" w14:paraId="0C2CB035" w14:textId="77777777" w:rsidTr="00240A1D">
        <w:trPr>
          <w:trHeight w:val="290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2AC9208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116B1F37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0.99 (0.8-1.24)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55994072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1.42 (1.00-2.03)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34A297B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14:paraId="7F264C3D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1.00 (0.80-1.24)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7B47CA66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1.04 (0.68-1.59)</w:t>
            </w:r>
          </w:p>
        </w:tc>
      </w:tr>
      <w:tr w:rsidR="00240A1D" w:rsidRPr="003F747B" w14:paraId="2CBDB3F1" w14:textId="77777777" w:rsidTr="00240A1D">
        <w:trPr>
          <w:trHeight w:val="290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9708C31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5DBEEA59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1.09 (1.00-1.19)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0313B2B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1.32 (1.10-1.57)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BB78422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14:paraId="4A55104D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1.10 (0.96-1.26)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3C5F3D41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1.23 (0.96-1.59)</w:t>
            </w:r>
          </w:p>
        </w:tc>
      </w:tr>
      <w:tr w:rsidR="00240A1D" w:rsidRPr="003F747B" w14:paraId="6DF744F7" w14:textId="77777777" w:rsidTr="00240A1D">
        <w:trPr>
          <w:trHeight w:val="290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4ACE96A" w14:textId="77777777" w:rsidR="00240A1D" w:rsidRPr="003F747B" w:rsidRDefault="00240A1D" w:rsidP="00240A1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Stratified by insomnia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78833835" w14:textId="77777777" w:rsidR="00240A1D" w:rsidRPr="003F747B" w:rsidRDefault="00240A1D" w:rsidP="00240A1D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5D104C01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5409ADA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14:paraId="2A818AE4" w14:textId="77777777" w:rsidR="00240A1D" w:rsidRPr="003F747B" w:rsidRDefault="00240A1D" w:rsidP="00240A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46BA23AC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0A1D" w:rsidRPr="003F747B" w14:paraId="08592301" w14:textId="77777777" w:rsidTr="00240A1D">
        <w:trPr>
          <w:trHeight w:val="290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21D9C82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Usually</w:t>
            </w:r>
            <w:proofErr w:type="gramEnd"/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050A0CE8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1.05 (0.93-1.20)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D9DE669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1.27 (0.98-1.64)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D9D4AF2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14:paraId="7651090B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1.21 (1.07-1.37)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1DD4D0C0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1.20 (0.91-1.57)</w:t>
            </w:r>
          </w:p>
        </w:tc>
      </w:tr>
      <w:tr w:rsidR="00240A1D" w:rsidRPr="003F747B" w14:paraId="472732B6" w14:textId="77777777" w:rsidTr="00240A1D">
        <w:trPr>
          <w:trHeight w:val="290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EA09B41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Sometimes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5270E7CD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1.13 (1.00-1.28)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50797F7C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1.40 (1.11-1.76)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01C93FB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14:paraId="4365FF84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1.04 (0.93-1.17)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3B08440B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1.30 (1.03-1.64)</w:t>
            </w:r>
          </w:p>
        </w:tc>
      </w:tr>
      <w:tr w:rsidR="00240A1D" w:rsidRPr="003F747B" w14:paraId="143B561E" w14:textId="77777777" w:rsidTr="00240A1D">
        <w:trPr>
          <w:trHeight w:val="290"/>
        </w:trPr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4C5B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Never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098A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0.98 (0.79-1.22)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BBBC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1.34 (0.89-2.01)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1BE1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E86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0.98 (0.80-1.21)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B5D4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1.13 (0.73-1.74)</w:t>
            </w:r>
          </w:p>
        </w:tc>
      </w:tr>
    </w:tbl>
    <w:p w14:paraId="6E7789E6" w14:textId="2E9830B6" w:rsidR="00F1360C" w:rsidRPr="003F747B" w:rsidRDefault="00240A1D" w:rsidP="00240A1D">
      <w:pPr>
        <w:rPr>
          <w:rFonts w:ascii="Times New Roman" w:eastAsia="等线" w:hAnsi="Times New Roman" w:cs="Times New Roman"/>
          <w:kern w:val="0"/>
          <w:sz w:val="18"/>
          <w:szCs w:val="18"/>
        </w:rPr>
      </w:pPr>
      <w:r w:rsidRPr="003F747B">
        <w:rPr>
          <w:rFonts w:ascii="Times New Roman" w:eastAsia="等线" w:hAnsi="Times New Roman" w:cs="Times New Roman"/>
          <w:kern w:val="0"/>
          <w:sz w:val="18"/>
          <w:szCs w:val="18"/>
        </w:rPr>
        <w:t>*Adjusted for age, sex, income, educational level, insomnia, Townsend index, previous psychiatric disorders, and assessment center. All analyses used a 90-day lag time.</w:t>
      </w:r>
    </w:p>
    <w:p w14:paraId="1F917309" w14:textId="77777777" w:rsidR="005540B8" w:rsidRPr="003F747B" w:rsidRDefault="005540B8" w:rsidP="00240A1D">
      <w:pPr>
        <w:rPr>
          <w:rFonts w:ascii="Times New Roman" w:eastAsia="等线" w:hAnsi="Times New Roman" w:cs="Times New Roman"/>
          <w:kern w:val="0"/>
          <w:sz w:val="18"/>
          <w:szCs w:val="18"/>
        </w:rPr>
      </w:pPr>
    </w:p>
    <w:p w14:paraId="6184207F" w14:textId="77777777" w:rsidR="005540B8" w:rsidRPr="003F747B" w:rsidRDefault="005540B8" w:rsidP="00240A1D">
      <w:pPr>
        <w:rPr>
          <w:rFonts w:ascii="Times New Roman" w:hAnsi="Times New Roman" w:cs="Times New Roman"/>
          <w:b/>
          <w:bCs/>
        </w:rPr>
      </w:pPr>
    </w:p>
    <w:p w14:paraId="61CB461D" w14:textId="77777777" w:rsidR="00555170" w:rsidRPr="003F747B" w:rsidRDefault="00555170">
      <w:pPr>
        <w:widowControl/>
        <w:jc w:val="left"/>
        <w:rPr>
          <w:rFonts w:ascii="Times New Roman" w:hAnsi="Times New Roman" w:cs="Times New Roman"/>
          <w:b/>
          <w:bCs/>
        </w:rPr>
      </w:pPr>
      <w:bookmarkStart w:id="1" w:name="_Hlk106086315"/>
      <w:r w:rsidRPr="003F747B">
        <w:rPr>
          <w:rFonts w:ascii="Times New Roman" w:hAnsi="Times New Roman" w:cs="Times New Roman"/>
          <w:b/>
          <w:bCs/>
        </w:rPr>
        <w:br w:type="page"/>
      </w:r>
    </w:p>
    <w:p w14:paraId="7B165BE2" w14:textId="471DEAF3" w:rsidR="00240A1D" w:rsidRPr="003F747B" w:rsidRDefault="00240A1D" w:rsidP="00240A1D">
      <w:pPr>
        <w:rPr>
          <w:rFonts w:ascii="Times New Roman" w:eastAsia="Cambria" w:hAnsi="Times New Roman" w:cs="Times New Roman"/>
          <w:b/>
          <w:bCs/>
          <w:iCs/>
          <w:sz w:val="20"/>
          <w:szCs w:val="20"/>
          <w:lang w:eastAsia="en-US"/>
        </w:rPr>
      </w:pPr>
      <w:r w:rsidRPr="003F747B">
        <w:rPr>
          <w:rFonts w:ascii="Times New Roman" w:hAnsi="Times New Roman" w:cs="Times New Roman"/>
          <w:b/>
          <w:bCs/>
        </w:rPr>
        <w:lastRenderedPageBreak/>
        <w:t>Table S3.</w:t>
      </w:r>
      <w:r w:rsidRPr="003F747B">
        <w:rPr>
          <w:rFonts w:ascii="Times New Roman" w:hAnsi="Times New Roman" w:cs="Times New Roman"/>
        </w:rPr>
        <w:t xml:space="preserve"> </w:t>
      </w:r>
      <w:r w:rsidRPr="003F747B">
        <w:rPr>
          <w:rFonts w:ascii="Times New Roman" w:eastAsia="Cambria" w:hAnsi="Times New Roman" w:cs="Times New Roman"/>
          <w:b/>
          <w:bCs/>
          <w:iCs/>
          <w:sz w:val="20"/>
          <w:szCs w:val="20"/>
          <w:lang w:eastAsia="en-US"/>
        </w:rPr>
        <w:t>Hazard ratio (HR) and 95% confidence interval (CI) of depression or anxiety in relation to severity of tinnitus, using no tinnitus as reference*</w:t>
      </w:r>
    </w:p>
    <w:bookmarkEnd w:id="1"/>
    <w:p w14:paraId="23CFF2ED" w14:textId="77777777" w:rsidR="00240A1D" w:rsidRPr="003F747B" w:rsidRDefault="00240A1D" w:rsidP="00240A1D">
      <w:pPr>
        <w:pStyle w:val="Style1"/>
        <w:rPr>
          <w:rFonts w:eastAsiaTheme="minorEastAsia" w:cstheme="minorBidi"/>
          <w:b w:val="0"/>
          <w:color w:val="auto"/>
          <w:sz w:val="22"/>
          <w:szCs w:val="22"/>
          <w:lang w:val="en-US"/>
        </w:rPr>
      </w:pPr>
      <w:r w:rsidRPr="003F747B">
        <w:rPr>
          <w:rFonts w:asciiTheme="minorHAnsi" w:hAnsiTheme="minorHAnsi"/>
          <w:lang w:val="en-US" w:eastAsia="en-US"/>
        </w:rPr>
        <w:fldChar w:fldCharType="begin"/>
      </w:r>
      <w:r w:rsidRPr="003F747B">
        <w:rPr>
          <w:lang w:val="en-US" w:eastAsia="en-US"/>
        </w:rPr>
        <w:instrText xml:space="preserve"> LINK Excel.Sheet.12 "\\\\user.ki.se\\projects\\cxw-work\\tinninus\\tinnitus_0528\\HRs.xlsx" "Sheet1!R1C1:R13C10" \a \f 4 \h  \* MERGEFORMAT </w:instrText>
      </w:r>
      <w:r w:rsidRPr="003F747B">
        <w:rPr>
          <w:rFonts w:asciiTheme="minorHAnsi" w:hAnsiTheme="minorHAnsi"/>
          <w:lang w:val="en-US" w:eastAsia="en-US"/>
        </w:rPr>
        <w:fldChar w:fldCharType="separate"/>
      </w:r>
    </w:p>
    <w:tbl>
      <w:tblPr>
        <w:tblW w:w="8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40"/>
        <w:gridCol w:w="1544"/>
        <w:gridCol w:w="1543"/>
        <w:gridCol w:w="600"/>
        <w:gridCol w:w="733"/>
        <w:gridCol w:w="778"/>
        <w:gridCol w:w="733"/>
        <w:gridCol w:w="778"/>
      </w:tblGrid>
      <w:tr w:rsidR="00240A1D" w:rsidRPr="003F747B" w14:paraId="1E0CE634" w14:textId="77777777" w:rsidTr="00240A1D">
        <w:trPr>
          <w:trHeight w:val="290"/>
        </w:trPr>
        <w:tc>
          <w:tcPr>
            <w:tcW w:w="15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3174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3AA8" w14:textId="296D92D8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HR (95%CI) for depression 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2144" w14:textId="0ABA5578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 HR (95%CI) for anxiety </w:t>
            </w:r>
          </w:p>
        </w:tc>
      </w:tr>
      <w:tr w:rsidR="00240A1D" w:rsidRPr="003F747B" w14:paraId="64961A06" w14:textId="77777777" w:rsidTr="00240A1D">
        <w:trPr>
          <w:trHeight w:val="290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AB7" w14:textId="77777777" w:rsidR="00240A1D" w:rsidRPr="003F747B" w:rsidRDefault="00240A1D" w:rsidP="0016001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Group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06AB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Not-bothersome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8F16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Bothersome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04FA" w14:textId="3A9BB6AE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B752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Not-bothersome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B015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Bothersome</w:t>
            </w:r>
          </w:p>
        </w:tc>
      </w:tr>
      <w:tr w:rsidR="00240A1D" w:rsidRPr="003F747B" w14:paraId="6640F576" w14:textId="77777777" w:rsidTr="00FC1751">
        <w:trPr>
          <w:trHeight w:val="290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56E2" w14:textId="77777777" w:rsidR="00240A1D" w:rsidRPr="003F747B" w:rsidRDefault="00240A1D" w:rsidP="0016001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Overall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BDC" w14:textId="6AEF83DB" w:rsidR="00240A1D" w:rsidRPr="003F747B" w:rsidRDefault="00103703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="00240A1D"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1.19 (1.10-1.28)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0628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1.60 (1.43-1.78)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0134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E51B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1.21 (1.12-1.30)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2602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1.71 (1.53-1.90)</w:t>
            </w:r>
          </w:p>
        </w:tc>
      </w:tr>
      <w:tr w:rsidR="00240A1D" w:rsidRPr="003F747B" w14:paraId="4EFED71E" w14:textId="77777777" w:rsidTr="00240A1D">
        <w:trPr>
          <w:trHeight w:val="290"/>
        </w:trPr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14:paraId="6515AECB" w14:textId="77777777" w:rsidR="00240A1D" w:rsidRPr="003F747B" w:rsidRDefault="00240A1D" w:rsidP="00160017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Stratified by sex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0BDF966A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1B9A0CDE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FEC6880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2B71FE1F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4F2EBC69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40A1D" w:rsidRPr="003F747B" w14:paraId="52B4893A" w14:textId="77777777" w:rsidTr="00240A1D">
        <w:trPr>
          <w:trHeight w:val="290"/>
        </w:trPr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14:paraId="218F84F9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Male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19ED0D97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1.15 (1.03-1.30)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362F181F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1.59 (1.34-1.88)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7BD34ED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40A455DE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1.16 (1.03-1.31)</w:t>
            </w: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7B7F0375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1.75 (1.47-2.08)</w:t>
            </w:r>
          </w:p>
        </w:tc>
      </w:tr>
      <w:tr w:rsidR="00240A1D" w:rsidRPr="003F747B" w14:paraId="4981EC37" w14:textId="77777777" w:rsidTr="00240A1D">
        <w:trPr>
          <w:trHeight w:val="290"/>
        </w:trPr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14:paraId="73015B4C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16185BA9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1.21 (1.09-1.34)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3F812F59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1.59 (1.37-1.85)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A0231B6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2139FECB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1.24 (1.13-1.37)</w:t>
            </w: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48F065E5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1.68 (1.46-1.93)</w:t>
            </w:r>
          </w:p>
        </w:tc>
      </w:tr>
      <w:tr w:rsidR="00240A1D" w:rsidRPr="003F747B" w14:paraId="73E2FC33" w14:textId="77777777" w:rsidTr="00240A1D">
        <w:trPr>
          <w:trHeight w:val="290"/>
        </w:trPr>
        <w:tc>
          <w:tcPr>
            <w:tcW w:w="5187" w:type="dxa"/>
            <w:gridSpan w:val="5"/>
            <w:shd w:val="clear" w:color="auto" w:fill="auto"/>
            <w:noWrap/>
            <w:vAlign w:val="center"/>
            <w:hideMark/>
          </w:tcPr>
          <w:p w14:paraId="184FD4A5" w14:textId="77777777" w:rsidR="00240A1D" w:rsidRPr="003F747B" w:rsidRDefault="00240A1D" w:rsidP="0010370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Stratified by previous psychiatric disorders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99D8F8A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3C98738E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F95E0EF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40A1D" w:rsidRPr="003F747B" w14:paraId="2C6F681A" w14:textId="77777777" w:rsidTr="00240A1D">
        <w:trPr>
          <w:trHeight w:val="290"/>
        </w:trPr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14:paraId="65F22663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Yes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15B79988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1.40 (1.17-1.68)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3F89A9A8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1.57 (1.20-2.04)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F3E752A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3A218BA6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1.29 (1.06-1.57)</w:t>
            </w: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33F72C68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1.36 (1.01-1.83)</w:t>
            </w:r>
          </w:p>
        </w:tc>
      </w:tr>
      <w:tr w:rsidR="00240A1D" w:rsidRPr="003F747B" w14:paraId="5FE95310" w14:textId="77777777" w:rsidTr="00240A1D">
        <w:trPr>
          <w:trHeight w:val="290"/>
        </w:trPr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14:paraId="48F96A83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No 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2377FEDB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1.15 (1.05-1.25)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D78D42D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1.60 (1.42-1.81)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F709A2A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0DD7129B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1.20 (1.10-1.30)</w:t>
            </w: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0EF17384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1.78 (1.59-2.00)</w:t>
            </w:r>
          </w:p>
        </w:tc>
      </w:tr>
      <w:tr w:rsidR="00240A1D" w:rsidRPr="003F747B" w14:paraId="76B88746" w14:textId="77777777" w:rsidTr="00240A1D">
        <w:trPr>
          <w:trHeight w:val="290"/>
        </w:trPr>
        <w:tc>
          <w:tcPr>
            <w:tcW w:w="3044" w:type="dxa"/>
            <w:gridSpan w:val="3"/>
            <w:shd w:val="clear" w:color="auto" w:fill="auto"/>
            <w:noWrap/>
            <w:vAlign w:val="center"/>
            <w:hideMark/>
          </w:tcPr>
          <w:p w14:paraId="15246AED" w14:textId="77777777" w:rsidR="00240A1D" w:rsidRPr="003F747B" w:rsidRDefault="00240A1D" w:rsidP="00103703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Stratified by insomnia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3126BEF8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67904C3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5BB8906B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52894212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40A1D" w:rsidRPr="003F747B" w14:paraId="5793C340" w14:textId="77777777" w:rsidTr="00240A1D">
        <w:trPr>
          <w:trHeight w:val="290"/>
        </w:trPr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14:paraId="202A875C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Usually</w:t>
            </w:r>
            <w:proofErr w:type="gramEnd"/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1A97A2E0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1.28 (1.14-1.44)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465025AB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1.66 (1.42-1.94)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BC1F71A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2B315C17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1.32 (1.17-1.48)</w:t>
            </w: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1FA6A850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1.66 (1.41-1.95)</w:t>
            </w:r>
          </w:p>
        </w:tc>
      </w:tr>
      <w:tr w:rsidR="00240A1D" w:rsidRPr="003F747B" w14:paraId="6BC27EBA" w14:textId="77777777" w:rsidTr="00240A1D">
        <w:trPr>
          <w:trHeight w:val="290"/>
        </w:trPr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14:paraId="5AB6654F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Sometimes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22597998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1.12 (1.00-1.26)</w:t>
            </w:r>
          </w:p>
        </w:tc>
        <w:tc>
          <w:tcPr>
            <w:tcW w:w="1543" w:type="dxa"/>
            <w:shd w:val="clear" w:color="auto" w:fill="auto"/>
            <w:noWrap/>
            <w:vAlign w:val="bottom"/>
            <w:hideMark/>
          </w:tcPr>
          <w:p w14:paraId="5D9A734A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1.51 (1.27-1.80)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945CB22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558E8462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1.19 (1.06-1.33)</w:t>
            </w: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14:paraId="577983CF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1.74 (1.47-2.05)</w:t>
            </w:r>
          </w:p>
        </w:tc>
      </w:tr>
      <w:tr w:rsidR="00240A1D" w:rsidRPr="003F747B" w14:paraId="6637D31E" w14:textId="77777777" w:rsidTr="00240A1D">
        <w:trPr>
          <w:trHeight w:val="290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04E" w14:textId="77777777" w:rsidR="00240A1D" w:rsidRPr="003F747B" w:rsidRDefault="00240A1D" w:rsidP="00240A1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Never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9831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1.06 (0.86-1.31)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710F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1.66 (1.15-2.39)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1D72" w14:textId="02BC06B5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85D2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0.96 (0.78-1.19)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6FE0" w14:textId="77777777" w:rsidR="00240A1D" w:rsidRPr="003F747B" w:rsidRDefault="00240A1D" w:rsidP="00DE360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F7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1.75 (1.25-2.46)</w:t>
            </w:r>
          </w:p>
        </w:tc>
      </w:tr>
    </w:tbl>
    <w:p w14:paraId="06AB1193" w14:textId="77777777" w:rsidR="00240A1D" w:rsidRPr="003F747B" w:rsidRDefault="00240A1D" w:rsidP="00240A1D">
      <w:pPr>
        <w:pStyle w:val="Style1"/>
        <w:rPr>
          <w:rFonts w:ascii="Times New Roman" w:hAnsi="Times New Roman" w:cs="Times New Roman"/>
          <w:lang w:val="en-US" w:eastAsia="en-US"/>
        </w:rPr>
      </w:pPr>
      <w:r w:rsidRPr="003F747B">
        <w:rPr>
          <w:rFonts w:ascii="Times New Roman" w:hAnsi="Times New Roman" w:cs="Times New Roman"/>
          <w:lang w:val="en-US" w:eastAsia="en-US"/>
        </w:rPr>
        <w:fldChar w:fldCharType="end"/>
      </w:r>
    </w:p>
    <w:p w14:paraId="150EFD41" w14:textId="54CC445C" w:rsidR="00240A1D" w:rsidRPr="003F747B" w:rsidRDefault="00240A1D" w:rsidP="00240A1D">
      <w:pPr>
        <w:rPr>
          <w:rFonts w:ascii="Times New Roman" w:eastAsia="Cambria" w:hAnsi="Times New Roman" w:cs="Times New Roman"/>
          <w:iCs/>
          <w:sz w:val="18"/>
          <w:szCs w:val="18"/>
          <w:lang w:eastAsia="en-US"/>
        </w:rPr>
      </w:pPr>
      <w:r w:rsidRPr="003F747B">
        <w:rPr>
          <w:rFonts w:ascii="Times New Roman" w:eastAsia="Cambria" w:hAnsi="Times New Roman" w:cs="Times New Roman"/>
          <w:iCs/>
          <w:sz w:val="18"/>
          <w:szCs w:val="18"/>
          <w:lang w:eastAsia="en-US"/>
        </w:rPr>
        <w:t>*Adjusted for age, sex, income, educational level, insomnia, Townsend index, previous psychiatric disorders, and assessment center. All analyses used a 90-day lag time.</w:t>
      </w:r>
    </w:p>
    <w:p w14:paraId="3B6770AA" w14:textId="0A59EB2C" w:rsidR="00EE4A6F" w:rsidRPr="003F747B" w:rsidRDefault="00EE4A6F" w:rsidP="00240A1D">
      <w:pPr>
        <w:rPr>
          <w:rFonts w:ascii="Times New Roman" w:eastAsia="Cambria" w:hAnsi="Times New Roman" w:cs="Times New Roman"/>
          <w:iCs/>
          <w:sz w:val="18"/>
          <w:szCs w:val="18"/>
          <w:lang w:eastAsia="en-US"/>
        </w:rPr>
      </w:pPr>
    </w:p>
    <w:p w14:paraId="709C5606" w14:textId="77777777" w:rsidR="0008715F" w:rsidRPr="003F747B" w:rsidRDefault="0008715F" w:rsidP="00EE4A6F">
      <w:pPr>
        <w:pStyle w:val="Style1"/>
        <w:rPr>
          <w:rFonts w:ascii="Times New Roman" w:hAnsi="Times New Roman" w:cs="Times New Roman"/>
          <w:lang w:val="en-US"/>
        </w:rPr>
      </w:pPr>
    </w:p>
    <w:p w14:paraId="45062F79" w14:textId="77777777" w:rsidR="0095664D" w:rsidRPr="003F747B" w:rsidRDefault="0095664D" w:rsidP="00EE4A6F">
      <w:pPr>
        <w:pStyle w:val="Style1"/>
        <w:rPr>
          <w:rFonts w:ascii="Times New Roman" w:hAnsi="Times New Roman" w:cs="Times New Roman"/>
          <w:lang w:val="en-US"/>
        </w:rPr>
      </w:pPr>
    </w:p>
    <w:p w14:paraId="5238F832" w14:textId="77777777" w:rsidR="0095664D" w:rsidRPr="003F747B" w:rsidRDefault="0095664D" w:rsidP="0095664D">
      <w:pPr>
        <w:rPr>
          <w:rFonts w:ascii="Times New Roman" w:hAnsi="Times New Roman" w:cs="Times New Roman"/>
          <w:b/>
          <w:bCs/>
        </w:rPr>
      </w:pPr>
    </w:p>
    <w:p w14:paraId="1DA9B8A6" w14:textId="77777777" w:rsidR="0095664D" w:rsidRPr="003F747B" w:rsidRDefault="0095664D" w:rsidP="0095664D">
      <w:pPr>
        <w:rPr>
          <w:rFonts w:ascii="Times New Roman" w:hAnsi="Times New Roman" w:cs="Times New Roman"/>
          <w:b/>
          <w:bCs/>
        </w:rPr>
      </w:pPr>
    </w:p>
    <w:p w14:paraId="04D4776F" w14:textId="20249237" w:rsidR="0095664D" w:rsidRPr="0053655D" w:rsidRDefault="00555170" w:rsidP="0053655D">
      <w:pPr>
        <w:widowControl/>
        <w:jc w:val="left"/>
        <w:rPr>
          <w:rFonts w:ascii="Times New Roman" w:hAnsi="Times New Roman" w:cs="Times New Roman"/>
          <w:b/>
          <w:bCs/>
        </w:rPr>
      </w:pPr>
      <w:r w:rsidRPr="003F747B">
        <w:rPr>
          <w:rFonts w:ascii="Times New Roman" w:hAnsi="Times New Roman" w:cs="Times New Roman"/>
          <w:b/>
          <w:bCs/>
        </w:rPr>
        <w:br w:type="page"/>
      </w:r>
    </w:p>
    <w:p w14:paraId="0B111AF1" w14:textId="2D4D2D6D" w:rsidR="0095664D" w:rsidRPr="003F747B" w:rsidRDefault="0095664D" w:rsidP="00EE4A6F">
      <w:pPr>
        <w:pStyle w:val="Style1"/>
        <w:rPr>
          <w:rFonts w:ascii="Times New Roman" w:hAnsi="Times New Roman" w:cs="Times New Roman"/>
          <w:lang w:val="en-US"/>
        </w:rPr>
        <w:sectPr w:rsidR="0095664D" w:rsidRPr="003F747B" w:rsidSect="000871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69AC8F1" w14:textId="65DE5038" w:rsidR="00EE4A6F" w:rsidRPr="003F747B" w:rsidRDefault="002712DB" w:rsidP="00EE4A6F">
      <w:pPr>
        <w:pStyle w:val="Style1"/>
        <w:rPr>
          <w:rFonts w:ascii="Times New Roman" w:hAnsi="Times New Roman" w:cs="Times New Roman"/>
          <w:lang w:val="en-US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56828A11" wp14:editId="6D3DCB92">
            <wp:simplePos x="0" y="0"/>
            <wp:positionH relativeFrom="column">
              <wp:posOffset>251460</wp:posOffset>
            </wp:positionH>
            <wp:positionV relativeFrom="paragraph">
              <wp:posOffset>304800</wp:posOffset>
            </wp:positionV>
            <wp:extent cx="7825474" cy="4465320"/>
            <wp:effectExtent l="0" t="0" r="444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474" cy="446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4A6F" w:rsidRPr="003F747B">
        <w:rPr>
          <w:rFonts w:ascii="Times New Roman" w:hAnsi="Times New Roman" w:cs="Times New Roman"/>
          <w:lang w:val="en-US"/>
        </w:rPr>
        <w:t>Figure S1. Hazard ratio (95% confidence interval) for depression and anxiety in relation to hearing loss or tinnitus and covariates, univariable analysis*</w:t>
      </w:r>
    </w:p>
    <w:p w14:paraId="6759BEB3" w14:textId="77777777" w:rsidR="002712DB" w:rsidRDefault="002712DB" w:rsidP="00EE4A6F">
      <w:pPr>
        <w:rPr>
          <w:sz w:val="20"/>
          <w:szCs w:val="20"/>
        </w:rPr>
      </w:pPr>
    </w:p>
    <w:p w14:paraId="69716058" w14:textId="1CB859CD" w:rsidR="00EE4A6F" w:rsidRPr="003F747B" w:rsidRDefault="00EE4A6F" w:rsidP="00EE4A6F">
      <w:pPr>
        <w:rPr>
          <w:rFonts w:ascii="Times New Roman" w:hAnsi="Times New Roman" w:cs="Times New Roman"/>
          <w:sz w:val="20"/>
          <w:szCs w:val="20"/>
        </w:rPr>
      </w:pPr>
      <w:r w:rsidRPr="003F747B">
        <w:rPr>
          <w:sz w:val="20"/>
          <w:szCs w:val="20"/>
        </w:rPr>
        <w:t>*</w:t>
      </w:r>
      <w:r w:rsidRPr="003F747B">
        <w:rPr>
          <w:rFonts w:ascii="Times New Roman" w:hAnsi="Times New Roman" w:cs="Times New Roman"/>
          <w:sz w:val="20"/>
          <w:szCs w:val="20"/>
        </w:rPr>
        <w:t>All analyses used a 90-day lag time.</w:t>
      </w:r>
    </w:p>
    <w:p w14:paraId="070D912F" w14:textId="1E8CF4F6" w:rsidR="00EE4A6F" w:rsidRPr="003F747B" w:rsidRDefault="00EE4A6F" w:rsidP="00EE4A6F">
      <w:pPr>
        <w:pStyle w:val="Style1"/>
        <w:rPr>
          <w:rFonts w:ascii="Times New Roman" w:hAnsi="Times New Roman" w:cs="Times New Roman"/>
          <w:lang w:val="en-US"/>
        </w:rPr>
      </w:pPr>
      <w:r w:rsidRPr="003F747B">
        <w:rPr>
          <w:rFonts w:ascii="Times New Roman" w:hAnsi="Times New Roman" w:cs="Times New Roman"/>
          <w:lang w:val="en-US"/>
        </w:rPr>
        <w:lastRenderedPageBreak/>
        <w:t>Figure S2. Changes of hazard ratios for depression and anxiety in relation to severity of hearing loss and tinnitus during the follow-up period</w:t>
      </w:r>
    </w:p>
    <w:p w14:paraId="209E5451" w14:textId="76E77A46" w:rsidR="00D92A0B" w:rsidRPr="003F747B" w:rsidRDefault="008B3D84" w:rsidP="00EE4A6F">
      <w:pPr>
        <w:pStyle w:val="Style1"/>
        <w:rPr>
          <w:rFonts w:ascii="Times New Roman" w:hAnsi="Times New Roman" w:cs="Times New Roman"/>
          <w:lang w:val="en-US"/>
        </w:rPr>
      </w:pPr>
      <w:r w:rsidRPr="003F747B">
        <w:rPr>
          <w:noProof/>
          <w:lang w:val="en-US"/>
        </w:rPr>
        <w:drawing>
          <wp:inline distT="0" distB="0" distL="0" distR="0" wp14:anchorId="6E58500B" wp14:editId="369EDEEB">
            <wp:extent cx="8295968" cy="4431665"/>
            <wp:effectExtent l="0" t="0" r="0" b="6985"/>
            <wp:docPr id="1" name="Picture 1" descr="Graphical user interface,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532" cy="443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FC06A" w14:textId="48CF9935" w:rsidR="00EE4A6F" w:rsidRDefault="00EE4A6F" w:rsidP="00E622C6">
      <w:pPr>
        <w:widowControl/>
        <w:spacing w:after="160" w:line="259" w:lineRule="auto"/>
        <w:jc w:val="left"/>
        <w:rPr>
          <w:rFonts w:ascii="Times New Roman" w:eastAsia="等线" w:hAnsi="Times New Roman" w:cs="Times New Roman"/>
          <w:kern w:val="0"/>
          <w:sz w:val="20"/>
          <w:szCs w:val="20"/>
        </w:rPr>
      </w:pPr>
      <w:r w:rsidRPr="003F747B">
        <w:rPr>
          <w:rFonts w:ascii="Times New Roman" w:eastAsia="等线" w:hAnsi="Times New Roman" w:cs="Times New Roman"/>
          <w:kern w:val="0"/>
          <w:sz w:val="20"/>
          <w:szCs w:val="20"/>
        </w:rPr>
        <w:t xml:space="preserve">Flexible parametric model was used to demonstrate the changes of hazard ratios along the follow-up period, with neither hearing loss nor tinnitus as reference. All analyses used a 90-day lag time. A/C, depression. B/D, anxiety. </w:t>
      </w:r>
    </w:p>
    <w:p w14:paraId="65859D8E" w14:textId="7C20AAC0" w:rsidR="00893D26" w:rsidRDefault="00893D26" w:rsidP="00E622C6">
      <w:pPr>
        <w:widowControl/>
        <w:spacing w:after="160" w:line="259" w:lineRule="auto"/>
        <w:jc w:val="left"/>
        <w:rPr>
          <w:rFonts w:ascii="Times New Roman" w:hAnsi="Times New Roman" w:cs="Times New Roman"/>
        </w:rPr>
      </w:pPr>
      <w:bookmarkStart w:id="2" w:name="_Hlk148993343"/>
      <w:r w:rsidRPr="003F747B">
        <w:rPr>
          <w:rFonts w:ascii="Times New Roman" w:hAnsi="Times New Roman" w:cs="Times New Roman"/>
        </w:rPr>
        <w:lastRenderedPageBreak/>
        <w:t>Figure S</w:t>
      </w:r>
      <w:r>
        <w:rPr>
          <w:rFonts w:ascii="Times New Roman" w:hAnsi="Times New Roman" w:cs="Times New Roman"/>
        </w:rPr>
        <w:t>3</w:t>
      </w:r>
      <w:r w:rsidRPr="003F747B">
        <w:rPr>
          <w:rFonts w:ascii="Times New Roman" w:hAnsi="Times New Roman" w:cs="Times New Roman"/>
        </w:rPr>
        <w:t>.</w:t>
      </w:r>
      <w:r w:rsidR="00E621FB">
        <w:rPr>
          <w:rFonts w:ascii="Times New Roman" w:hAnsi="Times New Roman" w:cs="Times New Roman"/>
        </w:rPr>
        <w:t xml:space="preserve"> </w:t>
      </w:r>
      <w:r w:rsidR="00E621FB" w:rsidRPr="00E621FB">
        <w:rPr>
          <w:rFonts w:ascii="Times New Roman" w:hAnsi="Times New Roman" w:cs="Times New Roman"/>
        </w:rPr>
        <w:t>Structures of limbic system</w:t>
      </w:r>
    </w:p>
    <w:p w14:paraId="12EB86B7" w14:textId="66DF1CE4" w:rsidR="00893D26" w:rsidRPr="003F747B" w:rsidRDefault="00A50ECD" w:rsidP="00E622C6">
      <w:pPr>
        <w:widowControl/>
        <w:spacing w:after="160" w:line="259" w:lineRule="auto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81D966" wp14:editId="4DCFE0EA">
            <wp:simplePos x="0" y="0"/>
            <wp:positionH relativeFrom="column">
              <wp:posOffset>584200</wp:posOffset>
            </wp:positionH>
            <wp:positionV relativeFrom="paragraph">
              <wp:posOffset>459105</wp:posOffset>
            </wp:positionV>
            <wp:extent cx="3479800" cy="2082800"/>
            <wp:effectExtent l="0" t="0" r="6350" b="0"/>
            <wp:wrapTopAndBottom/>
            <wp:docPr id="17884180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sectPr w:rsidR="00893D26" w:rsidRPr="003F747B" w:rsidSect="00E622C6">
      <w:pgSz w:w="16838" w:h="11906" w:orient="landscape" w:code="9"/>
      <w:pgMar w:top="1800" w:right="1440" w:bottom="1800" w:left="144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D489" w14:textId="77777777" w:rsidR="00000D49" w:rsidRDefault="00000D49" w:rsidP="002A79D6">
      <w:r>
        <w:separator/>
      </w:r>
    </w:p>
  </w:endnote>
  <w:endnote w:type="continuationSeparator" w:id="0">
    <w:p w14:paraId="7014B174" w14:textId="77777777" w:rsidR="00000D49" w:rsidRDefault="00000D49" w:rsidP="002A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9B5B" w14:textId="77777777" w:rsidR="00000D49" w:rsidRDefault="00000D49" w:rsidP="002A79D6">
      <w:r>
        <w:separator/>
      </w:r>
    </w:p>
  </w:footnote>
  <w:footnote w:type="continuationSeparator" w:id="0">
    <w:p w14:paraId="64B1010A" w14:textId="77777777" w:rsidR="00000D49" w:rsidRDefault="00000D49" w:rsidP="002A7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0C"/>
    <w:rsid w:val="00000D49"/>
    <w:rsid w:val="00012BEE"/>
    <w:rsid w:val="000759B8"/>
    <w:rsid w:val="0008715F"/>
    <w:rsid w:val="00103703"/>
    <w:rsid w:val="00135408"/>
    <w:rsid w:val="00160017"/>
    <w:rsid w:val="0017157C"/>
    <w:rsid w:val="001C0166"/>
    <w:rsid w:val="002303FC"/>
    <w:rsid w:val="00240A1D"/>
    <w:rsid w:val="002712DB"/>
    <w:rsid w:val="002A79D6"/>
    <w:rsid w:val="003C0352"/>
    <w:rsid w:val="003F747B"/>
    <w:rsid w:val="0041268E"/>
    <w:rsid w:val="00412A74"/>
    <w:rsid w:val="004E4451"/>
    <w:rsid w:val="0053655D"/>
    <w:rsid w:val="005540B8"/>
    <w:rsid w:val="00555170"/>
    <w:rsid w:val="00556CE6"/>
    <w:rsid w:val="005E095B"/>
    <w:rsid w:val="00624229"/>
    <w:rsid w:val="00626A6F"/>
    <w:rsid w:val="00654742"/>
    <w:rsid w:val="006828C7"/>
    <w:rsid w:val="00684738"/>
    <w:rsid w:val="006C472B"/>
    <w:rsid w:val="0070398D"/>
    <w:rsid w:val="0075004D"/>
    <w:rsid w:val="007C2992"/>
    <w:rsid w:val="007D21A6"/>
    <w:rsid w:val="00800C2A"/>
    <w:rsid w:val="00862E99"/>
    <w:rsid w:val="00893D26"/>
    <w:rsid w:val="008B3D84"/>
    <w:rsid w:val="00912FD4"/>
    <w:rsid w:val="00940B12"/>
    <w:rsid w:val="00950749"/>
    <w:rsid w:val="0095664D"/>
    <w:rsid w:val="00991D3D"/>
    <w:rsid w:val="009C38AD"/>
    <w:rsid w:val="009F68EA"/>
    <w:rsid w:val="00A019FD"/>
    <w:rsid w:val="00A50ECD"/>
    <w:rsid w:val="00A847A7"/>
    <w:rsid w:val="00AE0142"/>
    <w:rsid w:val="00B372AE"/>
    <w:rsid w:val="00B42152"/>
    <w:rsid w:val="00BA5A4D"/>
    <w:rsid w:val="00BC1EB1"/>
    <w:rsid w:val="00C33F96"/>
    <w:rsid w:val="00C85738"/>
    <w:rsid w:val="00CC39BB"/>
    <w:rsid w:val="00D36882"/>
    <w:rsid w:val="00D92A0B"/>
    <w:rsid w:val="00DB14C5"/>
    <w:rsid w:val="00DE3609"/>
    <w:rsid w:val="00E330F2"/>
    <w:rsid w:val="00E621FB"/>
    <w:rsid w:val="00E622C6"/>
    <w:rsid w:val="00E945F6"/>
    <w:rsid w:val="00EE4A6F"/>
    <w:rsid w:val="00F1360C"/>
    <w:rsid w:val="00F40798"/>
    <w:rsid w:val="00F72B83"/>
    <w:rsid w:val="00FC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C9F66"/>
  <w15:chartTrackingRefBased/>
  <w15:docId w15:val="{2C53EE13-8E18-464D-94F5-242CFC97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9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9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9D6"/>
    <w:rPr>
      <w:sz w:val="18"/>
      <w:szCs w:val="18"/>
    </w:rPr>
  </w:style>
  <w:style w:type="paragraph" w:customStyle="1" w:styleId="Style1">
    <w:name w:val="Style1"/>
    <w:basedOn w:val="2"/>
    <w:link w:val="Style1Char"/>
    <w:qFormat/>
    <w:rsid w:val="002A79D6"/>
    <w:pPr>
      <w:widowControl/>
      <w:spacing w:before="40" w:after="0" w:line="259" w:lineRule="auto"/>
      <w:jc w:val="left"/>
    </w:pPr>
    <w:rPr>
      <w:bCs w:val="0"/>
      <w:color w:val="000000" w:themeColor="text1"/>
      <w:kern w:val="0"/>
      <w:sz w:val="20"/>
      <w:szCs w:val="26"/>
      <w:lang w:val="sv-SE"/>
    </w:rPr>
  </w:style>
  <w:style w:type="character" w:customStyle="1" w:styleId="Style1Char">
    <w:name w:val="Style1 Char"/>
    <w:basedOn w:val="20"/>
    <w:link w:val="Style1"/>
    <w:rsid w:val="002A79D6"/>
    <w:rPr>
      <w:rFonts w:asciiTheme="majorHAnsi" w:eastAsiaTheme="majorEastAsia" w:hAnsiTheme="majorHAnsi" w:cstheme="majorBidi"/>
      <w:b/>
      <w:bCs w:val="0"/>
      <w:color w:val="000000" w:themeColor="text1"/>
      <w:kern w:val="0"/>
      <w:sz w:val="20"/>
      <w:szCs w:val="26"/>
      <w:lang w:val="sv-SE"/>
    </w:rPr>
  </w:style>
  <w:style w:type="character" w:customStyle="1" w:styleId="20">
    <w:name w:val="标题 2 字符"/>
    <w:basedOn w:val="a0"/>
    <w:link w:val="2"/>
    <w:uiPriority w:val="9"/>
    <w:semiHidden/>
    <w:rsid w:val="002A79D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2A79D6"/>
    <w:rPr>
      <w:kern w:val="0"/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C299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C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obank.ctsu.ox.ac.uk/crystal/label.cgi?id=10004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685</Words>
  <Characters>3910</Characters>
  <Application>Microsoft Office Word</Application>
  <DocSecurity>0</DocSecurity>
  <Lines>32</Lines>
  <Paragraphs>9</Paragraphs>
  <ScaleCrop>false</ScaleCrop>
  <Company>HP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xw</dc:creator>
  <cp:keywords/>
  <dc:description/>
  <cp:lastModifiedBy>xw chen</cp:lastModifiedBy>
  <cp:revision>6</cp:revision>
  <dcterms:created xsi:type="dcterms:W3CDTF">2023-10-23T14:09:00Z</dcterms:created>
  <dcterms:modified xsi:type="dcterms:W3CDTF">2023-10-23T14:44:00Z</dcterms:modified>
</cp:coreProperties>
</file>