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4FA1" w14:textId="32E24AFF" w:rsidR="00A516D1" w:rsidRPr="00853174" w:rsidRDefault="005B68BA" w:rsidP="00523707">
      <w:pPr>
        <w:widowControl/>
        <w:rPr>
          <w:rFonts w:ascii="Times New Roman" w:hAnsi="Times New Roman"/>
          <w:color w:val="000000"/>
          <w:kern w:val="0"/>
          <w:sz w:val="24"/>
          <w:szCs w:val="24"/>
        </w:rPr>
      </w:pPr>
      <w:r w:rsidRPr="00853174">
        <w:rPr>
          <w:rFonts w:ascii="Times New Roman" w:hAnsi="Times New Roman"/>
          <w:color w:val="000000"/>
          <w:kern w:val="0"/>
          <w:sz w:val="24"/>
          <w:szCs w:val="24"/>
        </w:rPr>
        <w:t xml:space="preserve">Supplementary Tables 1 and 2 show the comparative results of factors associated with psychiatric symptoms in MDD patients with elevated </w:t>
      </w:r>
      <w:r w:rsidR="009E7CCF">
        <w:rPr>
          <w:rFonts w:ascii="Times New Roman" w:hAnsi="Times New Roman"/>
          <w:color w:val="000000"/>
          <w:kern w:val="0"/>
          <w:sz w:val="24"/>
          <w:szCs w:val="24"/>
        </w:rPr>
        <w:t>FBG</w:t>
      </w:r>
      <w:r w:rsidRPr="00853174">
        <w:rPr>
          <w:rFonts w:ascii="Times New Roman" w:hAnsi="Times New Roman"/>
          <w:color w:val="000000"/>
          <w:kern w:val="0"/>
          <w:sz w:val="24"/>
          <w:szCs w:val="24"/>
        </w:rPr>
        <w:t>, without and with Bonferroni correction, respectively.</w:t>
      </w:r>
    </w:p>
    <w:p w14:paraId="56BCABB3" w14:textId="77777777" w:rsidR="005B68BA" w:rsidRPr="00853174" w:rsidRDefault="005B68BA" w:rsidP="00523707">
      <w:pPr>
        <w:widowControl/>
        <w:rPr>
          <w:rFonts w:ascii="Times New Roman" w:hAnsi="Times New Roman"/>
          <w:color w:val="000000"/>
          <w:kern w:val="0"/>
          <w:sz w:val="24"/>
          <w:szCs w:val="24"/>
        </w:rPr>
      </w:pPr>
    </w:p>
    <w:p w14:paraId="1E724481" w14:textId="4DC95430" w:rsidR="00A26056" w:rsidRPr="00853174" w:rsidRDefault="00847B9F" w:rsidP="00523707">
      <w:pPr>
        <w:widowControl/>
        <w:rPr>
          <w:rFonts w:ascii="Times New Roman" w:hAnsi="Times New Roman"/>
          <w:color w:val="000000"/>
          <w:kern w:val="0"/>
          <w:sz w:val="24"/>
          <w:szCs w:val="24"/>
        </w:rPr>
      </w:pPr>
      <w:r w:rsidRPr="00853174">
        <w:rPr>
          <w:rFonts w:ascii="Times New Roman" w:hAnsi="Times New Roman"/>
          <w:color w:val="000000"/>
          <w:kern w:val="0"/>
          <w:sz w:val="24"/>
          <w:szCs w:val="24"/>
        </w:rPr>
        <w:t>Supplementary Table 1 shows the results without Bonferroni correction</w:t>
      </w:r>
      <w:r w:rsidR="00523707" w:rsidRPr="00853174">
        <w:rPr>
          <w:rFonts w:ascii="Times New Roman" w:hAnsi="Times New Roman"/>
          <w:color w:val="000000"/>
          <w:kern w:val="0"/>
          <w:sz w:val="24"/>
          <w:szCs w:val="24"/>
        </w:rPr>
        <w:t xml:space="preserve"> (p &lt; 0.05)</w:t>
      </w:r>
      <w:r w:rsidRPr="00853174">
        <w:rPr>
          <w:rFonts w:ascii="Times New Roman" w:hAnsi="Times New Roman"/>
          <w:color w:val="000000"/>
          <w:kern w:val="0"/>
          <w:sz w:val="24"/>
          <w:szCs w:val="24"/>
        </w:rPr>
        <w:t xml:space="preserve"> for factors associated with psychiatric symptoms in MDD patients with elevated </w:t>
      </w:r>
      <w:r w:rsidR="009E7CCF">
        <w:rPr>
          <w:rFonts w:ascii="Times New Roman" w:hAnsi="Times New Roman"/>
          <w:color w:val="000000"/>
          <w:kern w:val="0"/>
          <w:sz w:val="24"/>
          <w:szCs w:val="24"/>
        </w:rPr>
        <w:t>FBG</w:t>
      </w:r>
      <w:r w:rsidRPr="00853174">
        <w:rPr>
          <w:rFonts w:ascii="Times New Roman" w:hAnsi="Times New Roman"/>
          <w:color w:val="000000"/>
          <w:kern w:val="0"/>
          <w:sz w:val="24"/>
          <w:szCs w:val="24"/>
        </w:rPr>
        <w:t>.</w:t>
      </w:r>
    </w:p>
    <w:tbl>
      <w:tblPr>
        <w:tblW w:w="8451" w:type="dxa"/>
        <w:tblBorders>
          <w:top w:val="single" w:sz="12" w:space="0" w:color="auto"/>
          <w:bottom w:val="single" w:sz="12" w:space="0" w:color="auto"/>
        </w:tblBorders>
        <w:tblLook w:val="04A0" w:firstRow="1" w:lastRow="0" w:firstColumn="1" w:lastColumn="0" w:noHBand="0" w:noVBand="1"/>
      </w:tblPr>
      <w:tblGrid>
        <w:gridCol w:w="2950"/>
        <w:gridCol w:w="2106"/>
        <w:gridCol w:w="1473"/>
        <w:gridCol w:w="1922"/>
      </w:tblGrid>
      <w:tr w:rsidR="00A26056" w:rsidRPr="00853174" w14:paraId="2B324800" w14:textId="77777777" w:rsidTr="00D70019">
        <w:trPr>
          <w:trHeight w:val="322"/>
        </w:trPr>
        <w:tc>
          <w:tcPr>
            <w:tcW w:w="2950" w:type="dxa"/>
            <w:tcBorders>
              <w:top w:val="single" w:sz="12" w:space="0" w:color="auto"/>
              <w:bottom w:val="single" w:sz="12" w:space="0" w:color="auto"/>
            </w:tcBorders>
            <w:shd w:val="clear" w:color="auto" w:fill="auto"/>
            <w:noWrap/>
            <w:vAlign w:val="bottom"/>
            <w:hideMark/>
          </w:tcPr>
          <w:p w14:paraId="20BAB9B8" w14:textId="77777777" w:rsidR="00A26056" w:rsidRPr="00853174" w:rsidRDefault="00A26056" w:rsidP="00D70019">
            <w:pPr>
              <w:widowControl/>
              <w:jc w:val="left"/>
              <w:rPr>
                <w:rFonts w:ascii="Times New Roman" w:hAnsi="Times New Roman"/>
                <w:color w:val="000000"/>
                <w:kern w:val="0"/>
                <w:sz w:val="24"/>
                <w:szCs w:val="24"/>
              </w:rPr>
            </w:pPr>
            <w:bookmarkStart w:id="0" w:name="_Hlk157017713"/>
          </w:p>
        </w:tc>
        <w:tc>
          <w:tcPr>
            <w:tcW w:w="2106" w:type="dxa"/>
            <w:tcBorders>
              <w:top w:val="single" w:sz="12" w:space="0" w:color="auto"/>
              <w:bottom w:val="single" w:sz="12" w:space="0" w:color="auto"/>
            </w:tcBorders>
            <w:shd w:val="clear" w:color="auto" w:fill="auto"/>
            <w:noWrap/>
            <w:vAlign w:val="bottom"/>
            <w:hideMark/>
          </w:tcPr>
          <w:p w14:paraId="3673974E" w14:textId="77777777" w:rsidR="00A26056" w:rsidRPr="00853174" w:rsidRDefault="00A26056" w:rsidP="00D70019">
            <w:pPr>
              <w:widowControl/>
              <w:jc w:val="left"/>
              <w:rPr>
                <w:rFonts w:ascii="Times New Roman" w:hAnsi="Times New Roman"/>
                <w:i/>
                <w:iCs/>
                <w:color w:val="000000"/>
                <w:kern w:val="0"/>
                <w:sz w:val="24"/>
                <w:szCs w:val="24"/>
              </w:rPr>
            </w:pPr>
            <w:r w:rsidRPr="00853174">
              <w:rPr>
                <w:rFonts w:ascii="Times New Roman" w:hAnsi="Times New Roman"/>
                <w:i/>
                <w:iCs/>
                <w:color w:val="000000"/>
                <w:kern w:val="0"/>
                <w:sz w:val="24"/>
                <w:szCs w:val="24"/>
              </w:rPr>
              <w:t>P</w:t>
            </w:r>
          </w:p>
        </w:tc>
        <w:tc>
          <w:tcPr>
            <w:tcW w:w="1473" w:type="dxa"/>
            <w:tcBorders>
              <w:top w:val="single" w:sz="12" w:space="0" w:color="auto"/>
              <w:bottom w:val="single" w:sz="12" w:space="0" w:color="auto"/>
            </w:tcBorders>
            <w:shd w:val="clear" w:color="auto" w:fill="auto"/>
            <w:noWrap/>
            <w:vAlign w:val="bottom"/>
            <w:hideMark/>
          </w:tcPr>
          <w:p w14:paraId="0B806A29"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OR</w:t>
            </w:r>
          </w:p>
        </w:tc>
        <w:tc>
          <w:tcPr>
            <w:tcW w:w="1922" w:type="dxa"/>
            <w:tcBorders>
              <w:top w:val="single" w:sz="12" w:space="0" w:color="auto"/>
              <w:bottom w:val="single" w:sz="12" w:space="0" w:color="auto"/>
            </w:tcBorders>
            <w:shd w:val="clear" w:color="auto" w:fill="auto"/>
            <w:noWrap/>
            <w:vAlign w:val="bottom"/>
            <w:hideMark/>
          </w:tcPr>
          <w:p w14:paraId="58756861"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95%CI</w:t>
            </w:r>
          </w:p>
        </w:tc>
      </w:tr>
      <w:tr w:rsidR="00A26056" w:rsidRPr="00853174" w14:paraId="38396868" w14:textId="77777777" w:rsidTr="00D70019">
        <w:trPr>
          <w:trHeight w:val="322"/>
        </w:trPr>
        <w:tc>
          <w:tcPr>
            <w:tcW w:w="2950" w:type="dxa"/>
            <w:shd w:val="clear" w:color="auto" w:fill="auto"/>
            <w:noWrap/>
            <w:vAlign w:val="bottom"/>
            <w:hideMark/>
          </w:tcPr>
          <w:p w14:paraId="4300FE05"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HAMD score</w:t>
            </w:r>
          </w:p>
        </w:tc>
        <w:tc>
          <w:tcPr>
            <w:tcW w:w="2106" w:type="dxa"/>
            <w:shd w:val="clear" w:color="auto" w:fill="auto"/>
            <w:noWrap/>
            <w:vAlign w:val="bottom"/>
            <w:hideMark/>
          </w:tcPr>
          <w:p w14:paraId="181DCD60" w14:textId="77777777" w:rsidR="00A26056" w:rsidRPr="00853174" w:rsidRDefault="00A26056" w:rsidP="00D70019">
            <w:pPr>
              <w:widowControl/>
              <w:jc w:val="left"/>
              <w:rPr>
                <w:rFonts w:ascii="Times New Roman" w:hAnsi="Times New Roman"/>
                <w:color w:val="000000"/>
                <w:kern w:val="0"/>
                <w:sz w:val="24"/>
                <w:szCs w:val="24"/>
              </w:rPr>
            </w:pPr>
            <w:bookmarkStart w:id="1" w:name="OLE_LINK1"/>
            <w:r w:rsidRPr="00853174">
              <w:rPr>
                <w:rFonts w:ascii="Times New Roman" w:hAnsi="Times New Roman"/>
                <w:color w:val="000000"/>
                <w:kern w:val="0"/>
                <w:sz w:val="24"/>
                <w:szCs w:val="24"/>
              </w:rPr>
              <w:t>&lt;0.001</w:t>
            </w:r>
            <w:bookmarkEnd w:id="1"/>
          </w:p>
        </w:tc>
        <w:tc>
          <w:tcPr>
            <w:tcW w:w="1473" w:type="dxa"/>
            <w:shd w:val="clear" w:color="auto" w:fill="auto"/>
            <w:noWrap/>
            <w:vAlign w:val="bottom"/>
            <w:hideMark/>
          </w:tcPr>
          <w:p w14:paraId="4A5CA142"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1.55</w:t>
            </w:r>
          </w:p>
        </w:tc>
        <w:tc>
          <w:tcPr>
            <w:tcW w:w="1922" w:type="dxa"/>
            <w:shd w:val="clear" w:color="auto" w:fill="auto"/>
            <w:noWrap/>
            <w:vAlign w:val="bottom"/>
            <w:hideMark/>
          </w:tcPr>
          <w:p w14:paraId="5EA34275"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1.27-1.90</w:t>
            </w:r>
          </w:p>
        </w:tc>
      </w:tr>
      <w:tr w:rsidR="00A26056" w:rsidRPr="00853174" w14:paraId="2E672669" w14:textId="77777777" w:rsidTr="00D70019">
        <w:trPr>
          <w:trHeight w:val="322"/>
        </w:trPr>
        <w:tc>
          <w:tcPr>
            <w:tcW w:w="2950" w:type="dxa"/>
            <w:shd w:val="clear" w:color="auto" w:fill="auto"/>
            <w:noWrap/>
            <w:vAlign w:val="bottom"/>
          </w:tcPr>
          <w:p w14:paraId="0D6738D3"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Suicide attempts</w:t>
            </w:r>
          </w:p>
        </w:tc>
        <w:tc>
          <w:tcPr>
            <w:tcW w:w="2106" w:type="dxa"/>
            <w:shd w:val="clear" w:color="auto" w:fill="auto"/>
            <w:noWrap/>
            <w:vAlign w:val="bottom"/>
          </w:tcPr>
          <w:p w14:paraId="4BFB9E5D"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0.011</w:t>
            </w:r>
          </w:p>
        </w:tc>
        <w:tc>
          <w:tcPr>
            <w:tcW w:w="1473" w:type="dxa"/>
            <w:shd w:val="clear" w:color="auto" w:fill="auto"/>
            <w:noWrap/>
            <w:vAlign w:val="bottom"/>
          </w:tcPr>
          <w:p w14:paraId="0EF739F8" w14:textId="61E66F8C"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3.0</w:t>
            </w:r>
            <w:r w:rsidR="00936ECD" w:rsidRPr="00853174">
              <w:rPr>
                <w:rFonts w:ascii="Times New Roman" w:hAnsi="Times New Roman"/>
                <w:color w:val="000000"/>
                <w:kern w:val="0"/>
                <w:sz w:val="24"/>
                <w:szCs w:val="24"/>
              </w:rPr>
              <w:t>0</w:t>
            </w:r>
          </w:p>
        </w:tc>
        <w:tc>
          <w:tcPr>
            <w:tcW w:w="1922" w:type="dxa"/>
            <w:shd w:val="clear" w:color="auto" w:fill="auto"/>
            <w:noWrap/>
            <w:vAlign w:val="bottom"/>
          </w:tcPr>
          <w:p w14:paraId="3D778CF3" w14:textId="4F86D91F"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1.29-7.0</w:t>
            </w:r>
            <w:r w:rsidR="00936ECD" w:rsidRPr="00853174">
              <w:rPr>
                <w:rFonts w:ascii="Times New Roman" w:hAnsi="Times New Roman"/>
                <w:color w:val="000000"/>
                <w:kern w:val="0"/>
                <w:sz w:val="24"/>
                <w:szCs w:val="24"/>
              </w:rPr>
              <w:t>0</w:t>
            </w:r>
          </w:p>
        </w:tc>
      </w:tr>
      <w:tr w:rsidR="00A26056" w:rsidRPr="00853174" w14:paraId="425CACEB" w14:textId="77777777" w:rsidTr="00D70019">
        <w:trPr>
          <w:trHeight w:val="322"/>
        </w:trPr>
        <w:tc>
          <w:tcPr>
            <w:tcW w:w="2950" w:type="dxa"/>
            <w:shd w:val="clear" w:color="auto" w:fill="auto"/>
            <w:noWrap/>
            <w:vAlign w:val="bottom"/>
            <w:hideMark/>
          </w:tcPr>
          <w:p w14:paraId="463965B5"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TSH</w:t>
            </w:r>
          </w:p>
        </w:tc>
        <w:tc>
          <w:tcPr>
            <w:tcW w:w="2106" w:type="dxa"/>
            <w:shd w:val="clear" w:color="auto" w:fill="auto"/>
            <w:noWrap/>
            <w:vAlign w:val="bottom"/>
            <w:hideMark/>
          </w:tcPr>
          <w:p w14:paraId="22FFA93F"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&lt;0.001</w:t>
            </w:r>
          </w:p>
        </w:tc>
        <w:tc>
          <w:tcPr>
            <w:tcW w:w="1473" w:type="dxa"/>
            <w:shd w:val="clear" w:color="auto" w:fill="auto"/>
            <w:noWrap/>
            <w:vAlign w:val="bottom"/>
            <w:hideMark/>
          </w:tcPr>
          <w:p w14:paraId="450C9D38" w14:textId="5662C28D"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1.</w:t>
            </w:r>
            <w:r w:rsidR="00936ECD" w:rsidRPr="00853174">
              <w:rPr>
                <w:rFonts w:ascii="Times New Roman" w:hAnsi="Times New Roman"/>
                <w:color w:val="000000"/>
                <w:kern w:val="0"/>
                <w:sz w:val="24"/>
                <w:szCs w:val="24"/>
              </w:rPr>
              <w:t>70</w:t>
            </w:r>
          </w:p>
        </w:tc>
        <w:tc>
          <w:tcPr>
            <w:tcW w:w="1922" w:type="dxa"/>
            <w:shd w:val="clear" w:color="auto" w:fill="auto"/>
            <w:noWrap/>
            <w:vAlign w:val="bottom"/>
            <w:hideMark/>
          </w:tcPr>
          <w:p w14:paraId="0FF84430" w14:textId="6B16C101"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1.3</w:t>
            </w:r>
            <w:r w:rsidR="00936ECD" w:rsidRPr="00853174">
              <w:rPr>
                <w:rFonts w:ascii="Times New Roman" w:hAnsi="Times New Roman"/>
                <w:color w:val="000000"/>
                <w:kern w:val="0"/>
                <w:sz w:val="24"/>
                <w:szCs w:val="24"/>
              </w:rPr>
              <w:t>3</w:t>
            </w:r>
            <w:r w:rsidRPr="00853174">
              <w:rPr>
                <w:rFonts w:ascii="Times New Roman" w:hAnsi="Times New Roman"/>
                <w:color w:val="000000"/>
                <w:kern w:val="0"/>
                <w:sz w:val="24"/>
                <w:szCs w:val="24"/>
              </w:rPr>
              <w:t>-2.1</w:t>
            </w:r>
            <w:r w:rsidR="00936ECD" w:rsidRPr="00853174">
              <w:rPr>
                <w:rFonts w:ascii="Times New Roman" w:hAnsi="Times New Roman"/>
                <w:color w:val="000000"/>
                <w:kern w:val="0"/>
                <w:sz w:val="24"/>
                <w:szCs w:val="24"/>
              </w:rPr>
              <w:t>5</w:t>
            </w:r>
          </w:p>
        </w:tc>
      </w:tr>
      <w:tr w:rsidR="00A26056" w:rsidRPr="00853174" w14:paraId="2918059B" w14:textId="77777777" w:rsidTr="00D70019">
        <w:trPr>
          <w:trHeight w:val="322"/>
        </w:trPr>
        <w:tc>
          <w:tcPr>
            <w:tcW w:w="2950" w:type="dxa"/>
            <w:shd w:val="clear" w:color="auto" w:fill="auto"/>
            <w:noWrap/>
            <w:vAlign w:val="bottom"/>
          </w:tcPr>
          <w:p w14:paraId="78629826"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TC</w:t>
            </w:r>
          </w:p>
        </w:tc>
        <w:tc>
          <w:tcPr>
            <w:tcW w:w="2106" w:type="dxa"/>
            <w:shd w:val="clear" w:color="auto" w:fill="auto"/>
            <w:noWrap/>
            <w:vAlign w:val="bottom"/>
          </w:tcPr>
          <w:p w14:paraId="7973CF67"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0.013</w:t>
            </w:r>
          </w:p>
        </w:tc>
        <w:tc>
          <w:tcPr>
            <w:tcW w:w="1473" w:type="dxa"/>
            <w:shd w:val="clear" w:color="auto" w:fill="auto"/>
            <w:noWrap/>
            <w:vAlign w:val="bottom"/>
          </w:tcPr>
          <w:p w14:paraId="6AE8AE4F" w14:textId="77777777"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0.56</w:t>
            </w:r>
          </w:p>
        </w:tc>
        <w:tc>
          <w:tcPr>
            <w:tcW w:w="1922" w:type="dxa"/>
            <w:shd w:val="clear" w:color="auto" w:fill="auto"/>
            <w:noWrap/>
            <w:vAlign w:val="bottom"/>
          </w:tcPr>
          <w:p w14:paraId="7B73EB55" w14:textId="40D9DB04" w:rsidR="00A26056" w:rsidRPr="00853174" w:rsidRDefault="00A26056"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0.35-0.8</w:t>
            </w:r>
            <w:r w:rsidR="00936ECD" w:rsidRPr="00853174">
              <w:rPr>
                <w:rFonts w:ascii="Times New Roman" w:hAnsi="Times New Roman"/>
                <w:color w:val="000000"/>
                <w:kern w:val="0"/>
                <w:sz w:val="24"/>
                <w:szCs w:val="24"/>
              </w:rPr>
              <w:t>8</w:t>
            </w:r>
          </w:p>
        </w:tc>
      </w:tr>
      <w:tr w:rsidR="00936ECD" w:rsidRPr="00853174" w14:paraId="2B1FD297" w14:textId="77777777" w:rsidTr="00D70019">
        <w:trPr>
          <w:trHeight w:val="322"/>
        </w:trPr>
        <w:tc>
          <w:tcPr>
            <w:tcW w:w="2950" w:type="dxa"/>
            <w:shd w:val="clear" w:color="auto" w:fill="auto"/>
            <w:noWrap/>
            <w:vAlign w:val="bottom"/>
          </w:tcPr>
          <w:p w14:paraId="15337546" w14:textId="3EDA88A8" w:rsidR="00936ECD" w:rsidRPr="00853174" w:rsidRDefault="005E762C" w:rsidP="00D70019">
            <w:pPr>
              <w:widowControl/>
              <w:jc w:val="left"/>
              <w:rPr>
                <w:rFonts w:ascii="Times New Roman" w:hAnsi="Times New Roman"/>
                <w:color w:val="000000"/>
                <w:kern w:val="0"/>
                <w:sz w:val="24"/>
                <w:szCs w:val="24"/>
              </w:rPr>
            </w:pPr>
            <w:r w:rsidRPr="00853174">
              <w:rPr>
                <w:rFonts w:ascii="Times New Roman" w:hAnsi="Times New Roman" w:hint="eastAsia"/>
                <w:color w:val="000000"/>
                <w:kern w:val="0"/>
                <w:sz w:val="24"/>
                <w:szCs w:val="24"/>
              </w:rPr>
              <w:t>S</w:t>
            </w:r>
            <w:r w:rsidRPr="00853174">
              <w:rPr>
                <w:rFonts w:ascii="Times New Roman" w:hAnsi="Times New Roman"/>
                <w:color w:val="000000"/>
                <w:kern w:val="0"/>
                <w:sz w:val="24"/>
                <w:szCs w:val="24"/>
              </w:rPr>
              <w:t>BP</w:t>
            </w:r>
          </w:p>
        </w:tc>
        <w:tc>
          <w:tcPr>
            <w:tcW w:w="2106" w:type="dxa"/>
            <w:shd w:val="clear" w:color="auto" w:fill="auto"/>
            <w:noWrap/>
            <w:vAlign w:val="bottom"/>
          </w:tcPr>
          <w:p w14:paraId="7226B6EC" w14:textId="15E1EBE5" w:rsidR="00936ECD" w:rsidRPr="00853174" w:rsidRDefault="005E762C" w:rsidP="00D70019">
            <w:pPr>
              <w:widowControl/>
              <w:jc w:val="left"/>
              <w:rPr>
                <w:rFonts w:ascii="Times New Roman" w:hAnsi="Times New Roman"/>
                <w:color w:val="000000"/>
                <w:kern w:val="0"/>
                <w:sz w:val="24"/>
                <w:szCs w:val="24"/>
              </w:rPr>
            </w:pPr>
            <w:r w:rsidRPr="00853174">
              <w:rPr>
                <w:rFonts w:ascii="Times New Roman" w:hAnsi="Times New Roman" w:hint="eastAsia"/>
                <w:color w:val="000000"/>
                <w:kern w:val="0"/>
                <w:sz w:val="24"/>
                <w:szCs w:val="24"/>
              </w:rPr>
              <w:t>0</w:t>
            </w:r>
            <w:r w:rsidRPr="00853174">
              <w:rPr>
                <w:rFonts w:ascii="Times New Roman" w:hAnsi="Times New Roman"/>
                <w:color w:val="000000"/>
                <w:kern w:val="0"/>
                <w:sz w:val="24"/>
                <w:szCs w:val="24"/>
              </w:rPr>
              <w:t>.69</w:t>
            </w:r>
          </w:p>
        </w:tc>
        <w:tc>
          <w:tcPr>
            <w:tcW w:w="1473" w:type="dxa"/>
            <w:shd w:val="clear" w:color="auto" w:fill="auto"/>
            <w:noWrap/>
            <w:vAlign w:val="bottom"/>
          </w:tcPr>
          <w:p w14:paraId="52447A4A" w14:textId="19BBB034" w:rsidR="00936ECD" w:rsidRPr="00853174" w:rsidRDefault="005E762C" w:rsidP="00D70019">
            <w:pPr>
              <w:widowControl/>
              <w:jc w:val="left"/>
              <w:rPr>
                <w:rFonts w:ascii="Times New Roman" w:hAnsi="Times New Roman"/>
                <w:color w:val="000000"/>
                <w:kern w:val="0"/>
                <w:sz w:val="24"/>
                <w:szCs w:val="24"/>
              </w:rPr>
            </w:pPr>
            <w:r w:rsidRPr="00853174">
              <w:rPr>
                <w:rFonts w:ascii="Times New Roman" w:hAnsi="Times New Roman" w:hint="eastAsia"/>
                <w:color w:val="000000"/>
                <w:kern w:val="0"/>
                <w:sz w:val="24"/>
                <w:szCs w:val="24"/>
              </w:rPr>
              <w:t>1</w:t>
            </w:r>
            <w:r w:rsidRPr="00853174">
              <w:rPr>
                <w:rFonts w:ascii="Times New Roman" w:hAnsi="Times New Roman"/>
                <w:color w:val="000000"/>
                <w:kern w:val="0"/>
                <w:sz w:val="24"/>
                <w:szCs w:val="24"/>
              </w:rPr>
              <w:t>.01</w:t>
            </w:r>
          </w:p>
        </w:tc>
        <w:tc>
          <w:tcPr>
            <w:tcW w:w="1922" w:type="dxa"/>
            <w:shd w:val="clear" w:color="auto" w:fill="auto"/>
            <w:noWrap/>
            <w:vAlign w:val="bottom"/>
          </w:tcPr>
          <w:p w14:paraId="28143AC8" w14:textId="7176083A" w:rsidR="00936ECD" w:rsidRPr="00853174" w:rsidRDefault="005E762C" w:rsidP="00D70019">
            <w:pPr>
              <w:widowControl/>
              <w:jc w:val="left"/>
              <w:rPr>
                <w:rFonts w:ascii="Times New Roman" w:hAnsi="Times New Roman"/>
                <w:color w:val="000000"/>
                <w:kern w:val="0"/>
                <w:sz w:val="24"/>
                <w:szCs w:val="24"/>
              </w:rPr>
            </w:pPr>
            <w:r w:rsidRPr="00853174">
              <w:rPr>
                <w:rFonts w:ascii="Times New Roman" w:hAnsi="Times New Roman" w:hint="eastAsia"/>
                <w:color w:val="000000"/>
                <w:kern w:val="0"/>
                <w:sz w:val="24"/>
                <w:szCs w:val="24"/>
              </w:rPr>
              <w:t>0</w:t>
            </w:r>
            <w:r w:rsidRPr="00853174">
              <w:rPr>
                <w:rFonts w:ascii="Times New Roman" w:hAnsi="Times New Roman"/>
                <w:color w:val="000000"/>
                <w:kern w:val="0"/>
                <w:sz w:val="24"/>
                <w:szCs w:val="24"/>
              </w:rPr>
              <w:t>.95-1.08</w:t>
            </w:r>
          </w:p>
        </w:tc>
      </w:tr>
      <w:tr w:rsidR="00936ECD" w:rsidRPr="00853174" w14:paraId="2006E960" w14:textId="77777777" w:rsidTr="00D70019">
        <w:trPr>
          <w:trHeight w:val="322"/>
        </w:trPr>
        <w:tc>
          <w:tcPr>
            <w:tcW w:w="2950" w:type="dxa"/>
            <w:shd w:val="clear" w:color="auto" w:fill="auto"/>
            <w:noWrap/>
            <w:vAlign w:val="bottom"/>
          </w:tcPr>
          <w:p w14:paraId="08161FB9" w14:textId="41A83CF7" w:rsidR="00936ECD" w:rsidRPr="00853174" w:rsidRDefault="005E762C" w:rsidP="00D70019">
            <w:pPr>
              <w:widowControl/>
              <w:jc w:val="left"/>
              <w:rPr>
                <w:rFonts w:ascii="Times New Roman" w:hAnsi="Times New Roman"/>
                <w:color w:val="000000"/>
                <w:kern w:val="0"/>
                <w:sz w:val="24"/>
                <w:szCs w:val="24"/>
              </w:rPr>
            </w:pPr>
            <w:r w:rsidRPr="00853174">
              <w:rPr>
                <w:rFonts w:ascii="Times New Roman" w:hAnsi="Times New Roman" w:hint="eastAsia"/>
                <w:color w:val="000000"/>
                <w:kern w:val="0"/>
                <w:sz w:val="24"/>
                <w:szCs w:val="24"/>
              </w:rPr>
              <w:t>D</w:t>
            </w:r>
            <w:r w:rsidRPr="00853174">
              <w:rPr>
                <w:rFonts w:ascii="Times New Roman" w:hAnsi="Times New Roman"/>
                <w:color w:val="000000"/>
                <w:kern w:val="0"/>
                <w:sz w:val="24"/>
                <w:szCs w:val="24"/>
              </w:rPr>
              <w:t>BP</w:t>
            </w:r>
          </w:p>
        </w:tc>
        <w:tc>
          <w:tcPr>
            <w:tcW w:w="2106" w:type="dxa"/>
            <w:shd w:val="clear" w:color="auto" w:fill="auto"/>
            <w:noWrap/>
            <w:vAlign w:val="bottom"/>
          </w:tcPr>
          <w:p w14:paraId="53CBC423" w14:textId="1FC49E10" w:rsidR="00936ECD" w:rsidRPr="00853174" w:rsidRDefault="005E762C" w:rsidP="00D70019">
            <w:pPr>
              <w:widowControl/>
              <w:jc w:val="left"/>
              <w:rPr>
                <w:rFonts w:ascii="Times New Roman" w:hAnsi="Times New Roman"/>
                <w:color w:val="000000"/>
                <w:kern w:val="0"/>
                <w:sz w:val="24"/>
                <w:szCs w:val="24"/>
              </w:rPr>
            </w:pPr>
            <w:r w:rsidRPr="00853174">
              <w:rPr>
                <w:rFonts w:ascii="Times New Roman" w:hAnsi="Times New Roman" w:hint="eastAsia"/>
                <w:color w:val="000000"/>
                <w:kern w:val="0"/>
                <w:sz w:val="24"/>
                <w:szCs w:val="24"/>
              </w:rPr>
              <w:t>0</w:t>
            </w:r>
            <w:r w:rsidRPr="00853174">
              <w:rPr>
                <w:rFonts w:ascii="Times New Roman" w:hAnsi="Times New Roman"/>
                <w:color w:val="000000"/>
                <w:kern w:val="0"/>
                <w:sz w:val="24"/>
                <w:szCs w:val="24"/>
              </w:rPr>
              <w:t>.65</w:t>
            </w:r>
          </w:p>
        </w:tc>
        <w:tc>
          <w:tcPr>
            <w:tcW w:w="1473" w:type="dxa"/>
            <w:shd w:val="clear" w:color="auto" w:fill="auto"/>
            <w:noWrap/>
            <w:vAlign w:val="bottom"/>
          </w:tcPr>
          <w:p w14:paraId="4B305AF1" w14:textId="15CCB3E2" w:rsidR="00936ECD" w:rsidRPr="00853174" w:rsidRDefault="005E762C" w:rsidP="00D70019">
            <w:pPr>
              <w:widowControl/>
              <w:jc w:val="left"/>
              <w:rPr>
                <w:rFonts w:ascii="Times New Roman" w:hAnsi="Times New Roman"/>
                <w:color w:val="000000"/>
                <w:kern w:val="0"/>
                <w:sz w:val="24"/>
                <w:szCs w:val="24"/>
              </w:rPr>
            </w:pPr>
            <w:r w:rsidRPr="00853174">
              <w:rPr>
                <w:rFonts w:ascii="Times New Roman" w:hAnsi="Times New Roman" w:hint="eastAsia"/>
                <w:color w:val="000000"/>
                <w:kern w:val="0"/>
                <w:sz w:val="24"/>
                <w:szCs w:val="24"/>
              </w:rPr>
              <w:t>0</w:t>
            </w:r>
            <w:r w:rsidRPr="00853174">
              <w:rPr>
                <w:rFonts w:ascii="Times New Roman" w:hAnsi="Times New Roman"/>
                <w:color w:val="000000"/>
                <w:kern w:val="0"/>
                <w:sz w:val="24"/>
                <w:szCs w:val="24"/>
              </w:rPr>
              <w:t>.98</w:t>
            </w:r>
          </w:p>
        </w:tc>
        <w:tc>
          <w:tcPr>
            <w:tcW w:w="1922" w:type="dxa"/>
            <w:shd w:val="clear" w:color="auto" w:fill="auto"/>
            <w:noWrap/>
            <w:vAlign w:val="bottom"/>
          </w:tcPr>
          <w:p w14:paraId="191D9C6E" w14:textId="21BAD65F" w:rsidR="00936ECD" w:rsidRPr="00853174" w:rsidRDefault="005E762C" w:rsidP="00D70019">
            <w:pPr>
              <w:widowControl/>
              <w:jc w:val="left"/>
              <w:rPr>
                <w:rFonts w:ascii="Times New Roman" w:hAnsi="Times New Roman"/>
                <w:color w:val="000000"/>
                <w:kern w:val="0"/>
                <w:sz w:val="24"/>
                <w:szCs w:val="24"/>
              </w:rPr>
            </w:pPr>
            <w:r w:rsidRPr="00853174">
              <w:rPr>
                <w:rFonts w:ascii="Times New Roman" w:hAnsi="Times New Roman" w:hint="eastAsia"/>
                <w:color w:val="000000"/>
                <w:kern w:val="0"/>
                <w:sz w:val="24"/>
                <w:szCs w:val="24"/>
              </w:rPr>
              <w:t>0</w:t>
            </w:r>
            <w:r w:rsidRPr="00853174">
              <w:rPr>
                <w:rFonts w:ascii="Times New Roman" w:hAnsi="Times New Roman"/>
                <w:color w:val="000000"/>
                <w:kern w:val="0"/>
                <w:sz w:val="24"/>
                <w:szCs w:val="24"/>
              </w:rPr>
              <w:t>.90-1.07</w:t>
            </w:r>
          </w:p>
        </w:tc>
      </w:tr>
    </w:tbl>
    <w:bookmarkEnd w:id="0"/>
    <w:p w14:paraId="199BCA2D" w14:textId="77777777" w:rsidR="00A26056" w:rsidRPr="00853174" w:rsidRDefault="00A26056" w:rsidP="00A26056">
      <w:pPr>
        <w:rPr>
          <w:rFonts w:ascii="Times New Roman" w:hAnsi="Times New Roman"/>
          <w:color w:val="000000"/>
          <w:kern w:val="0"/>
          <w:szCs w:val="21"/>
        </w:rPr>
      </w:pPr>
      <w:r w:rsidRPr="00853174">
        <w:rPr>
          <w:rFonts w:ascii="Times New Roman" w:hAnsi="Times New Roman"/>
          <w:i/>
          <w:iCs/>
          <w:szCs w:val="21"/>
        </w:rPr>
        <w:t>Note</w:t>
      </w:r>
      <w:r w:rsidRPr="00853174">
        <w:rPr>
          <w:rFonts w:ascii="Times New Roman" w:hAnsi="Times New Roman"/>
          <w:szCs w:val="21"/>
        </w:rPr>
        <w:t>:</w:t>
      </w:r>
      <w:r w:rsidRPr="00853174">
        <w:rPr>
          <w:rFonts w:ascii="Times New Roman" w:hAnsi="Times New Roman"/>
          <w:color w:val="000000"/>
          <w:kern w:val="0"/>
          <w:szCs w:val="21"/>
        </w:rPr>
        <w:t xml:space="preserve"> HAMD = Hamilton Depression Rating Scale, TSH = thyroid-stimulating hormone,</w:t>
      </w:r>
      <w:r w:rsidRPr="00853174">
        <w:rPr>
          <w:rFonts w:ascii="Times New Roman" w:hAnsi="Times New Roman"/>
          <w:iCs/>
          <w:color w:val="000000"/>
          <w:kern w:val="0"/>
          <w:szCs w:val="21"/>
        </w:rPr>
        <w:t xml:space="preserve"> TC</w:t>
      </w:r>
      <w:r w:rsidRPr="00853174">
        <w:rPr>
          <w:rFonts w:ascii="Times New Roman" w:hAnsi="Times New Roman"/>
          <w:color w:val="000000"/>
          <w:kern w:val="0"/>
          <w:szCs w:val="21"/>
        </w:rPr>
        <w:t xml:space="preserve"> = total cholesterol. </w:t>
      </w:r>
    </w:p>
    <w:p w14:paraId="5406E509" w14:textId="77777777" w:rsidR="001467A0" w:rsidRPr="00853174" w:rsidRDefault="001467A0"/>
    <w:p w14:paraId="7448DA0E" w14:textId="7696CCF1" w:rsidR="00BD2B65" w:rsidRPr="00853174" w:rsidRDefault="003214CB" w:rsidP="00523707">
      <w:pPr>
        <w:widowControl/>
        <w:rPr>
          <w:rFonts w:ascii="Times New Roman" w:hAnsi="Times New Roman"/>
          <w:color w:val="000000"/>
          <w:kern w:val="0"/>
          <w:sz w:val="24"/>
          <w:szCs w:val="24"/>
        </w:rPr>
      </w:pPr>
      <w:r w:rsidRPr="00853174">
        <w:rPr>
          <w:rFonts w:ascii="Times New Roman" w:hAnsi="Times New Roman"/>
          <w:color w:val="000000"/>
          <w:kern w:val="0"/>
          <w:sz w:val="24"/>
          <w:szCs w:val="24"/>
        </w:rPr>
        <w:t>Supplementary Table 2 shows the Bonferroni-corrected results</w:t>
      </w:r>
      <w:r w:rsidR="00523707" w:rsidRPr="00853174">
        <w:rPr>
          <w:rFonts w:ascii="Times New Roman" w:hAnsi="Times New Roman"/>
          <w:color w:val="000000"/>
          <w:kern w:val="0"/>
          <w:sz w:val="24"/>
          <w:szCs w:val="24"/>
        </w:rPr>
        <w:t xml:space="preserve"> (p &lt; 0.05/21 = 0.00238)</w:t>
      </w:r>
      <w:r w:rsidRPr="00853174">
        <w:rPr>
          <w:rFonts w:ascii="Times New Roman" w:hAnsi="Times New Roman"/>
          <w:color w:val="000000"/>
          <w:kern w:val="0"/>
          <w:sz w:val="24"/>
          <w:szCs w:val="24"/>
        </w:rPr>
        <w:t xml:space="preserve"> for factors associated with psychiatric symptoms in MDD patients with elevated </w:t>
      </w:r>
      <w:r w:rsidR="009E7CCF">
        <w:rPr>
          <w:rFonts w:ascii="Times New Roman" w:hAnsi="Times New Roman"/>
          <w:color w:val="000000"/>
          <w:kern w:val="0"/>
          <w:sz w:val="24"/>
          <w:szCs w:val="24"/>
        </w:rPr>
        <w:t>FBG</w:t>
      </w:r>
      <w:r w:rsidR="00BD2B65" w:rsidRPr="00853174">
        <w:rPr>
          <w:rFonts w:ascii="Times New Roman" w:hAnsi="Times New Roman"/>
          <w:color w:val="000000"/>
          <w:kern w:val="0"/>
          <w:sz w:val="24"/>
          <w:szCs w:val="24"/>
        </w:rPr>
        <w:t xml:space="preserve">. </w:t>
      </w:r>
    </w:p>
    <w:tbl>
      <w:tblPr>
        <w:tblW w:w="8451" w:type="dxa"/>
        <w:tblBorders>
          <w:top w:val="single" w:sz="12" w:space="0" w:color="auto"/>
          <w:bottom w:val="single" w:sz="12" w:space="0" w:color="auto"/>
        </w:tblBorders>
        <w:tblLook w:val="04A0" w:firstRow="1" w:lastRow="0" w:firstColumn="1" w:lastColumn="0" w:noHBand="0" w:noVBand="1"/>
      </w:tblPr>
      <w:tblGrid>
        <w:gridCol w:w="2950"/>
        <w:gridCol w:w="2106"/>
        <w:gridCol w:w="1473"/>
        <w:gridCol w:w="1922"/>
      </w:tblGrid>
      <w:tr w:rsidR="00BD2B65" w:rsidRPr="00853174" w14:paraId="174E71A4" w14:textId="77777777" w:rsidTr="00D70019">
        <w:trPr>
          <w:trHeight w:val="322"/>
        </w:trPr>
        <w:tc>
          <w:tcPr>
            <w:tcW w:w="2950" w:type="dxa"/>
            <w:tcBorders>
              <w:top w:val="single" w:sz="12" w:space="0" w:color="auto"/>
              <w:bottom w:val="single" w:sz="12" w:space="0" w:color="auto"/>
            </w:tcBorders>
            <w:shd w:val="clear" w:color="auto" w:fill="auto"/>
            <w:noWrap/>
            <w:vAlign w:val="bottom"/>
            <w:hideMark/>
          </w:tcPr>
          <w:p w14:paraId="29E237A9" w14:textId="77777777" w:rsidR="00BD2B65" w:rsidRPr="00853174" w:rsidRDefault="00BD2B65" w:rsidP="00D70019">
            <w:pPr>
              <w:widowControl/>
              <w:jc w:val="left"/>
              <w:rPr>
                <w:rFonts w:ascii="Times New Roman" w:hAnsi="Times New Roman"/>
                <w:color w:val="000000"/>
                <w:kern w:val="0"/>
                <w:sz w:val="24"/>
                <w:szCs w:val="24"/>
              </w:rPr>
            </w:pPr>
          </w:p>
        </w:tc>
        <w:tc>
          <w:tcPr>
            <w:tcW w:w="2106" w:type="dxa"/>
            <w:tcBorders>
              <w:top w:val="single" w:sz="12" w:space="0" w:color="auto"/>
              <w:bottom w:val="single" w:sz="12" w:space="0" w:color="auto"/>
            </w:tcBorders>
            <w:shd w:val="clear" w:color="auto" w:fill="auto"/>
            <w:noWrap/>
            <w:vAlign w:val="bottom"/>
            <w:hideMark/>
          </w:tcPr>
          <w:p w14:paraId="667E0983" w14:textId="77777777" w:rsidR="00BD2B65" w:rsidRPr="00853174" w:rsidRDefault="00BD2B65" w:rsidP="00D70019">
            <w:pPr>
              <w:widowControl/>
              <w:jc w:val="left"/>
              <w:rPr>
                <w:rFonts w:ascii="Times New Roman" w:hAnsi="Times New Roman"/>
                <w:i/>
                <w:iCs/>
                <w:color w:val="000000"/>
                <w:kern w:val="0"/>
                <w:sz w:val="24"/>
                <w:szCs w:val="24"/>
              </w:rPr>
            </w:pPr>
            <w:r w:rsidRPr="00853174">
              <w:rPr>
                <w:rFonts w:ascii="Times New Roman" w:hAnsi="Times New Roman"/>
                <w:i/>
                <w:iCs/>
                <w:color w:val="000000"/>
                <w:kern w:val="0"/>
                <w:sz w:val="24"/>
                <w:szCs w:val="24"/>
              </w:rPr>
              <w:t>P</w:t>
            </w:r>
          </w:p>
        </w:tc>
        <w:tc>
          <w:tcPr>
            <w:tcW w:w="1473" w:type="dxa"/>
            <w:tcBorders>
              <w:top w:val="single" w:sz="12" w:space="0" w:color="auto"/>
              <w:bottom w:val="single" w:sz="12" w:space="0" w:color="auto"/>
            </w:tcBorders>
            <w:shd w:val="clear" w:color="auto" w:fill="auto"/>
            <w:noWrap/>
            <w:vAlign w:val="bottom"/>
            <w:hideMark/>
          </w:tcPr>
          <w:p w14:paraId="0C3FCC7F" w14:textId="77777777"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OR</w:t>
            </w:r>
          </w:p>
        </w:tc>
        <w:tc>
          <w:tcPr>
            <w:tcW w:w="1922" w:type="dxa"/>
            <w:tcBorders>
              <w:top w:val="single" w:sz="12" w:space="0" w:color="auto"/>
              <w:bottom w:val="single" w:sz="12" w:space="0" w:color="auto"/>
            </w:tcBorders>
            <w:shd w:val="clear" w:color="auto" w:fill="auto"/>
            <w:noWrap/>
            <w:vAlign w:val="bottom"/>
            <w:hideMark/>
          </w:tcPr>
          <w:p w14:paraId="0694D8D1" w14:textId="77777777"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95%CI</w:t>
            </w:r>
          </w:p>
        </w:tc>
      </w:tr>
      <w:tr w:rsidR="00BD2B65" w:rsidRPr="00853174" w14:paraId="1168A90D" w14:textId="77777777" w:rsidTr="00D70019">
        <w:trPr>
          <w:trHeight w:val="322"/>
        </w:trPr>
        <w:tc>
          <w:tcPr>
            <w:tcW w:w="2950" w:type="dxa"/>
            <w:shd w:val="clear" w:color="auto" w:fill="auto"/>
            <w:noWrap/>
            <w:vAlign w:val="bottom"/>
            <w:hideMark/>
          </w:tcPr>
          <w:p w14:paraId="376A5E65" w14:textId="77777777"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HAMD score</w:t>
            </w:r>
          </w:p>
        </w:tc>
        <w:tc>
          <w:tcPr>
            <w:tcW w:w="2106" w:type="dxa"/>
            <w:shd w:val="clear" w:color="auto" w:fill="auto"/>
            <w:noWrap/>
            <w:vAlign w:val="bottom"/>
            <w:hideMark/>
          </w:tcPr>
          <w:p w14:paraId="06B41CEA" w14:textId="77777777"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&lt;0.001</w:t>
            </w:r>
          </w:p>
        </w:tc>
        <w:tc>
          <w:tcPr>
            <w:tcW w:w="1473" w:type="dxa"/>
            <w:shd w:val="clear" w:color="auto" w:fill="auto"/>
            <w:noWrap/>
            <w:vAlign w:val="bottom"/>
            <w:hideMark/>
          </w:tcPr>
          <w:p w14:paraId="46C5F6C7" w14:textId="332C30FA"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1.</w:t>
            </w:r>
            <w:r w:rsidR="005E762C" w:rsidRPr="00853174">
              <w:rPr>
                <w:rFonts w:ascii="Times New Roman" w:hAnsi="Times New Roman"/>
                <w:color w:val="000000"/>
                <w:kern w:val="0"/>
                <w:sz w:val="24"/>
                <w:szCs w:val="24"/>
              </w:rPr>
              <w:t>43</w:t>
            </w:r>
          </w:p>
        </w:tc>
        <w:tc>
          <w:tcPr>
            <w:tcW w:w="1922" w:type="dxa"/>
            <w:shd w:val="clear" w:color="auto" w:fill="auto"/>
            <w:noWrap/>
            <w:vAlign w:val="bottom"/>
            <w:hideMark/>
          </w:tcPr>
          <w:p w14:paraId="33990BDB" w14:textId="4015C78B"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1.</w:t>
            </w:r>
            <w:r w:rsidR="005E762C" w:rsidRPr="00853174">
              <w:rPr>
                <w:rFonts w:ascii="Times New Roman" w:hAnsi="Times New Roman"/>
                <w:color w:val="000000"/>
                <w:kern w:val="0"/>
                <w:sz w:val="24"/>
                <w:szCs w:val="24"/>
              </w:rPr>
              <w:t>19</w:t>
            </w:r>
            <w:r w:rsidRPr="00853174">
              <w:rPr>
                <w:rFonts w:ascii="Times New Roman" w:hAnsi="Times New Roman"/>
                <w:color w:val="000000"/>
                <w:kern w:val="0"/>
                <w:sz w:val="24"/>
                <w:szCs w:val="24"/>
              </w:rPr>
              <w:t>-1.</w:t>
            </w:r>
            <w:r w:rsidR="005E762C" w:rsidRPr="00853174">
              <w:rPr>
                <w:rFonts w:ascii="Times New Roman" w:hAnsi="Times New Roman"/>
                <w:color w:val="000000"/>
                <w:kern w:val="0"/>
                <w:sz w:val="24"/>
                <w:szCs w:val="24"/>
              </w:rPr>
              <w:t>72</w:t>
            </w:r>
          </w:p>
        </w:tc>
      </w:tr>
      <w:tr w:rsidR="00BD2B65" w:rsidRPr="00853174" w14:paraId="66CE5328" w14:textId="77777777" w:rsidTr="00D70019">
        <w:trPr>
          <w:trHeight w:val="322"/>
        </w:trPr>
        <w:tc>
          <w:tcPr>
            <w:tcW w:w="2950" w:type="dxa"/>
            <w:shd w:val="clear" w:color="auto" w:fill="auto"/>
            <w:noWrap/>
            <w:vAlign w:val="bottom"/>
          </w:tcPr>
          <w:p w14:paraId="772A1F0D" w14:textId="77777777"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Suicide attempts</w:t>
            </w:r>
          </w:p>
        </w:tc>
        <w:tc>
          <w:tcPr>
            <w:tcW w:w="2106" w:type="dxa"/>
            <w:shd w:val="clear" w:color="auto" w:fill="auto"/>
            <w:noWrap/>
            <w:vAlign w:val="bottom"/>
          </w:tcPr>
          <w:p w14:paraId="25F632EE" w14:textId="0A5EE67D"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0.01</w:t>
            </w:r>
            <w:r w:rsidR="005E762C" w:rsidRPr="00853174">
              <w:rPr>
                <w:rFonts w:ascii="Times New Roman" w:hAnsi="Times New Roman"/>
                <w:color w:val="000000"/>
                <w:kern w:val="0"/>
                <w:sz w:val="24"/>
                <w:szCs w:val="24"/>
              </w:rPr>
              <w:t>6</w:t>
            </w:r>
          </w:p>
        </w:tc>
        <w:tc>
          <w:tcPr>
            <w:tcW w:w="1473" w:type="dxa"/>
            <w:shd w:val="clear" w:color="auto" w:fill="auto"/>
            <w:noWrap/>
            <w:vAlign w:val="bottom"/>
          </w:tcPr>
          <w:p w14:paraId="710C9C04" w14:textId="29C61B75" w:rsidR="00BD2B65" w:rsidRPr="00853174" w:rsidRDefault="005E762C" w:rsidP="00D70019">
            <w:pPr>
              <w:widowControl/>
              <w:jc w:val="left"/>
              <w:rPr>
                <w:rFonts w:ascii="Times New Roman" w:hAnsi="Times New Roman"/>
                <w:color w:val="000000"/>
                <w:kern w:val="0"/>
                <w:sz w:val="24"/>
                <w:szCs w:val="24"/>
              </w:rPr>
            </w:pPr>
            <w:r w:rsidRPr="00853174">
              <w:rPr>
                <w:rFonts w:ascii="Times New Roman" w:hAnsi="Times New Roman" w:hint="eastAsia"/>
                <w:color w:val="000000"/>
                <w:kern w:val="0"/>
                <w:sz w:val="24"/>
                <w:szCs w:val="24"/>
              </w:rPr>
              <w:t>2</w:t>
            </w:r>
            <w:r w:rsidRPr="00853174">
              <w:rPr>
                <w:rFonts w:ascii="Times New Roman" w:hAnsi="Times New Roman"/>
                <w:color w:val="000000"/>
                <w:kern w:val="0"/>
                <w:sz w:val="24"/>
                <w:szCs w:val="24"/>
              </w:rPr>
              <w:t>.76</w:t>
            </w:r>
          </w:p>
        </w:tc>
        <w:tc>
          <w:tcPr>
            <w:tcW w:w="1922" w:type="dxa"/>
            <w:shd w:val="clear" w:color="auto" w:fill="auto"/>
            <w:noWrap/>
            <w:vAlign w:val="bottom"/>
          </w:tcPr>
          <w:p w14:paraId="0BCA3134" w14:textId="73FA5AA5"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1.2</w:t>
            </w:r>
            <w:r w:rsidR="008A2229" w:rsidRPr="00853174">
              <w:rPr>
                <w:rFonts w:ascii="Times New Roman" w:hAnsi="Times New Roman"/>
                <w:color w:val="000000"/>
                <w:kern w:val="0"/>
                <w:sz w:val="24"/>
                <w:szCs w:val="24"/>
              </w:rPr>
              <w:t>1</w:t>
            </w:r>
            <w:r w:rsidRPr="00853174">
              <w:rPr>
                <w:rFonts w:ascii="Times New Roman" w:hAnsi="Times New Roman"/>
                <w:color w:val="000000"/>
                <w:kern w:val="0"/>
                <w:sz w:val="24"/>
                <w:szCs w:val="24"/>
              </w:rPr>
              <w:t>-</w:t>
            </w:r>
            <w:r w:rsidR="008A2229" w:rsidRPr="00853174">
              <w:rPr>
                <w:rFonts w:ascii="Times New Roman" w:hAnsi="Times New Roman"/>
                <w:color w:val="000000"/>
                <w:kern w:val="0"/>
                <w:sz w:val="24"/>
                <w:szCs w:val="24"/>
              </w:rPr>
              <w:t>6.28</w:t>
            </w:r>
          </w:p>
        </w:tc>
      </w:tr>
      <w:tr w:rsidR="00BD2B65" w:rsidRPr="00853174" w14:paraId="0B1FF14D" w14:textId="77777777" w:rsidTr="00D70019">
        <w:trPr>
          <w:trHeight w:val="322"/>
        </w:trPr>
        <w:tc>
          <w:tcPr>
            <w:tcW w:w="2950" w:type="dxa"/>
            <w:shd w:val="clear" w:color="auto" w:fill="auto"/>
            <w:noWrap/>
            <w:vAlign w:val="bottom"/>
            <w:hideMark/>
          </w:tcPr>
          <w:p w14:paraId="14591960" w14:textId="77777777"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TSH</w:t>
            </w:r>
          </w:p>
        </w:tc>
        <w:tc>
          <w:tcPr>
            <w:tcW w:w="2106" w:type="dxa"/>
            <w:shd w:val="clear" w:color="auto" w:fill="auto"/>
            <w:noWrap/>
            <w:vAlign w:val="bottom"/>
            <w:hideMark/>
          </w:tcPr>
          <w:p w14:paraId="392F244F" w14:textId="77777777"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&lt;0.001</w:t>
            </w:r>
          </w:p>
        </w:tc>
        <w:tc>
          <w:tcPr>
            <w:tcW w:w="1473" w:type="dxa"/>
            <w:shd w:val="clear" w:color="auto" w:fill="auto"/>
            <w:noWrap/>
            <w:vAlign w:val="bottom"/>
            <w:hideMark/>
          </w:tcPr>
          <w:p w14:paraId="6090B986" w14:textId="5453BDAE"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1.</w:t>
            </w:r>
            <w:r w:rsidR="008A2229" w:rsidRPr="00853174">
              <w:rPr>
                <w:rFonts w:ascii="Times New Roman" w:hAnsi="Times New Roman"/>
                <w:color w:val="000000"/>
                <w:kern w:val="0"/>
                <w:sz w:val="24"/>
                <w:szCs w:val="24"/>
              </w:rPr>
              <w:t>57</w:t>
            </w:r>
          </w:p>
        </w:tc>
        <w:tc>
          <w:tcPr>
            <w:tcW w:w="1922" w:type="dxa"/>
            <w:shd w:val="clear" w:color="auto" w:fill="auto"/>
            <w:noWrap/>
            <w:vAlign w:val="bottom"/>
            <w:hideMark/>
          </w:tcPr>
          <w:p w14:paraId="2B2A26D1" w14:textId="30752C7F" w:rsidR="00BD2B65" w:rsidRPr="00853174" w:rsidRDefault="00BD2B65" w:rsidP="00D70019">
            <w:pPr>
              <w:widowControl/>
              <w:jc w:val="left"/>
              <w:rPr>
                <w:rFonts w:ascii="Times New Roman" w:hAnsi="Times New Roman"/>
                <w:color w:val="000000"/>
                <w:kern w:val="0"/>
                <w:sz w:val="24"/>
                <w:szCs w:val="24"/>
              </w:rPr>
            </w:pPr>
            <w:r w:rsidRPr="00853174">
              <w:rPr>
                <w:rFonts w:ascii="Times New Roman" w:hAnsi="Times New Roman"/>
                <w:color w:val="000000"/>
                <w:kern w:val="0"/>
                <w:sz w:val="24"/>
                <w:szCs w:val="24"/>
              </w:rPr>
              <w:t>1.</w:t>
            </w:r>
            <w:r w:rsidR="008A2229" w:rsidRPr="00853174">
              <w:rPr>
                <w:rFonts w:ascii="Times New Roman" w:hAnsi="Times New Roman"/>
                <w:color w:val="000000"/>
                <w:kern w:val="0"/>
                <w:sz w:val="24"/>
                <w:szCs w:val="24"/>
              </w:rPr>
              <w:t>27</w:t>
            </w:r>
            <w:r w:rsidRPr="00853174">
              <w:rPr>
                <w:rFonts w:ascii="Times New Roman" w:hAnsi="Times New Roman"/>
                <w:color w:val="000000"/>
                <w:kern w:val="0"/>
                <w:sz w:val="24"/>
                <w:szCs w:val="24"/>
              </w:rPr>
              <w:t>-</w:t>
            </w:r>
            <w:r w:rsidR="008A2229" w:rsidRPr="00853174">
              <w:rPr>
                <w:rFonts w:ascii="Times New Roman" w:hAnsi="Times New Roman"/>
                <w:color w:val="000000"/>
                <w:kern w:val="0"/>
                <w:sz w:val="24"/>
                <w:szCs w:val="24"/>
              </w:rPr>
              <w:t>1.95</w:t>
            </w:r>
          </w:p>
        </w:tc>
      </w:tr>
    </w:tbl>
    <w:p w14:paraId="5B8CDAEE" w14:textId="77777777" w:rsidR="00BD2B65" w:rsidRPr="00272AF6" w:rsidRDefault="00BD2B65" w:rsidP="00BD2B65">
      <w:pPr>
        <w:rPr>
          <w:rFonts w:ascii="Times New Roman" w:hAnsi="Times New Roman"/>
          <w:color w:val="000000"/>
          <w:kern w:val="0"/>
          <w:szCs w:val="21"/>
        </w:rPr>
      </w:pPr>
      <w:r w:rsidRPr="00853174">
        <w:rPr>
          <w:rFonts w:ascii="Times New Roman" w:hAnsi="Times New Roman"/>
          <w:i/>
          <w:iCs/>
          <w:szCs w:val="21"/>
        </w:rPr>
        <w:t>Note</w:t>
      </w:r>
      <w:r w:rsidRPr="00853174">
        <w:rPr>
          <w:rFonts w:ascii="Times New Roman" w:hAnsi="Times New Roman"/>
          <w:szCs w:val="21"/>
        </w:rPr>
        <w:t>:</w:t>
      </w:r>
      <w:r w:rsidRPr="00853174">
        <w:rPr>
          <w:rFonts w:ascii="Times New Roman" w:hAnsi="Times New Roman"/>
          <w:color w:val="000000"/>
          <w:kern w:val="0"/>
          <w:szCs w:val="21"/>
        </w:rPr>
        <w:t xml:space="preserve"> HAMD = Hamilton Depression Rating Scale, TSH = thyroid-stimulating hormone,</w:t>
      </w:r>
      <w:r w:rsidRPr="00853174">
        <w:rPr>
          <w:rFonts w:ascii="Times New Roman" w:hAnsi="Times New Roman"/>
          <w:iCs/>
          <w:color w:val="000000"/>
          <w:kern w:val="0"/>
          <w:szCs w:val="21"/>
        </w:rPr>
        <w:t xml:space="preserve"> TC</w:t>
      </w:r>
      <w:r w:rsidRPr="00853174">
        <w:rPr>
          <w:rFonts w:ascii="Times New Roman" w:hAnsi="Times New Roman"/>
          <w:color w:val="000000"/>
          <w:kern w:val="0"/>
          <w:szCs w:val="21"/>
        </w:rPr>
        <w:t xml:space="preserve"> = total cholesterol.</w:t>
      </w:r>
      <w:r w:rsidRPr="00272AF6">
        <w:rPr>
          <w:rFonts w:ascii="Times New Roman" w:hAnsi="Times New Roman"/>
          <w:color w:val="000000"/>
          <w:kern w:val="0"/>
          <w:szCs w:val="21"/>
        </w:rPr>
        <w:t xml:space="preserve"> </w:t>
      </w:r>
    </w:p>
    <w:p w14:paraId="07C38EC5" w14:textId="77777777" w:rsidR="00BD2B65" w:rsidRDefault="00BD2B65"/>
    <w:p w14:paraId="14ADF00D" w14:textId="77777777" w:rsidR="00FB1676" w:rsidRDefault="00D04D80">
      <w:r w:rsidRPr="00D04D80">
        <w:rPr>
          <w:rFonts w:ascii="Times New Roman" w:hAnsi="Times New Roman"/>
          <w:color w:val="000000"/>
          <w:kern w:val="0"/>
          <w:sz w:val="24"/>
          <w:szCs w:val="24"/>
        </w:rPr>
        <w:t>It should be noted that when performing binary logistic regression, we found that the ORs for the dichotomous variable (i.e., the cut-off point for determining the presence of anxiety symptoms in terms of whether or not the HAMA was greater than 18 points) were significantly abnormal (very large).</w:t>
      </w:r>
      <w:r w:rsidR="00FB1676" w:rsidRPr="00FB1676">
        <w:t xml:space="preserve"> </w:t>
      </w:r>
    </w:p>
    <w:p w14:paraId="52BAF4F9" w14:textId="77777777" w:rsidR="00FB1676" w:rsidRDefault="00FB1676"/>
    <w:p w14:paraId="4B64762D" w14:textId="52BB5E0D" w:rsidR="005C7BAF" w:rsidRDefault="00FB1676">
      <w:pPr>
        <w:rPr>
          <w:rFonts w:ascii="Times New Roman" w:hAnsi="Times New Roman"/>
          <w:color w:val="000000"/>
          <w:kern w:val="0"/>
          <w:sz w:val="24"/>
          <w:szCs w:val="24"/>
        </w:rPr>
      </w:pPr>
      <w:r w:rsidRPr="00FB1676">
        <w:rPr>
          <w:rFonts w:ascii="Times New Roman" w:hAnsi="Times New Roman"/>
          <w:color w:val="000000"/>
          <w:kern w:val="0"/>
          <w:sz w:val="24"/>
          <w:szCs w:val="24"/>
        </w:rPr>
        <w:t>On the one hand, this suggests that there is really a strong association between anxiety and the predicted response variable, and its OR may become very large, indicating that the variable has a strong influence on the probability of the predicted response variable.</w:t>
      </w:r>
      <w:r>
        <w:rPr>
          <w:rFonts w:ascii="Times New Roman" w:hAnsi="Times New Roman"/>
          <w:color w:val="000000"/>
          <w:kern w:val="0"/>
          <w:sz w:val="24"/>
          <w:szCs w:val="24"/>
        </w:rPr>
        <w:t xml:space="preserve"> </w:t>
      </w:r>
      <w:r w:rsidRPr="00FB1676">
        <w:rPr>
          <w:rFonts w:ascii="Times New Roman" w:hAnsi="Times New Roman"/>
          <w:color w:val="000000"/>
          <w:kern w:val="0"/>
          <w:sz w:val="24"/>
          <w:szCs w:val="24"/>
        </w:rPr>
        <w:t>However, on the other hand, when the OR is very large, it needs to be interpreted with caution as it may suggest the possibility of other problems.</w:t>
      </w:r>
      <w:r>
        <w:rPr>
          <w:rFonts w:ascii="Times New Roman" w:hAnsi="Times New Roman"/>
          <w:color w:val="000000"/>
          <w:kern w:val="0"/>
          <w:sz w:val="24"/>
          <w:szCs w:val="24"/>
        </w:rPr>
        <w:t xml:space="preserve"> </w:t>
      </w:r>
      <w:r w:rsidRPr="00FB1676">
        <w:rPr>
          <w:rFonts w:ascii="Times New Roman" w:hAnsi="Times New Roman"/>
          <w:color w:val="000000"/>
          <w:kern w:val="0"/>
          <w:sz w:val="24"/>
          <w:szCs w:val="24"/>
        </w:rPr>
        <w:t xml:space="preserve">Also, issues such as outliers, </w:t>
      </w:r>
      <w:r w:rsidR="00075BD2" w:rsidRPr="00075BD2">
        <w:rPr>
          <w:rFonts w:ascii="Times New Roman" w:hAnsi="Times New Roman"/>
          <w:color w:val="000000"/>
          <w:kern w:val="0"/>
          <w:sz w:val="24"/>
          <w:szCs w:val="24"/>
        </w:rPr>
        <w:t>multicollinearity</w:t>
      </w:r>
      <w:r>
        <w:rPr>
          <w:rFonts w:ascii="Times New Roman" w:hAnsi="Times New Roman"/>
          <w:color w:val="000000"/>
          <w:kern w:val="0"/>
          <w:sz w:val="24"/>
          <w:szCs w:val="24"/>
        </w:rPr>
        <w:t>,</w:t>
      </w:r>
      <w:r w:rsidRPr="00FB1676">
        <w:rPr>
          <w:rFonts w:ascii="Times New Roman" w:hAnsi="Times New Roman"/>
          <w:color w:val="000000"/>
          <w:kern w:val="0"/>
          <w:sz w:val="24"/>
          <w:szCs w:val="24"/>
        </w:rPr>
        <w:t xml:space="preserve"> and sample imbalance in the data may affect the model results.</w:t>
      </w:r>
    </w:p>
    <w:p w14:paraId="791E6160" w14:textId="77777777" w:rsidR="00FB1676" w:rsidRDefault="00FB1676">
      <w:pPr>
        <w:rPr>
          <w:rFonts w:ascii="Times New Roman" w:hAnsi="Times New Roman"/>
          <w:color w:val="000000"/>
          <w:kern w:val="0"/>
          <w:sz w:val="24"/>
          <w:szCs w:val="24"/>
        </w:rPr>
      </w:pPr>
    </w:p>
    <w:p w14:paraId="6B3A24DA" w14:textId="6EED09B7" w:rsidR="00FB1676" w:rsidRDefault="00E40852">
      <w:pPr>
        <w:rPr>
          <w:rFonts w:ascii="Times New Roman" w:hAnsi="Times New Roman"/>
          <w:color w:val="000000"/>
          <w:kern w:val="0"/>
          <w:sz w:val="24"/>
          <w:szCs w:val="24"/>
        </w:rPr>
      </w:pPr>
      <w:r w:rsidRPr="00E40852">
        <w:rPr>
          <w:rFonts w:ascii="Times New Roman" w:hAnsi="Times New Roman"/>
          <w:color w:val="000000"/>
          <w:kern w:val="0"/>
          <w:sz w:val="24"/>
          <w:szCs w:val="24"/>
        </w:rPr>
        <w:t>Based on the above issues, we fully examined the data and did not find any outliers in the data. Meanwhile, we tested the multicollinearity between the variables and found that the VIF were less than 5, which indicated the lack of covariance between the variables.</w:t>
      </w:r>
      <w:r w:rsidR="000F06D8">
        <w:rPr>
          <w:rFonts w:ascii="Times New Roman" w:hAnsi="Times New Roman"/>
          <w:color w:val="000000"/>
          <w:kern w:val="0"/>
          <w:sz w:val="24"/>
          <w:szCs w:val="24"/>
        </w:rPr>
        <w:t xml:space="preserve"> </w:t>
      </w:r>
      <w:r w:rsidR="000F06D8" w:rsidRPr="000F06D8">
        <w:rPr>
          <w:rFonts w:ascii="Times New Roman" w:hAnsi="Times New Roman"/>
          <w:color w:val="000000"/>
          <w:kern w:val="0"/>
          <w:sz w:val="24"/>
          <w:szCs w:val="24"/>
        </w:rPr>
        <w:t>Conversely, when testing for sample imbalance, it was found that the number of MDD patients with anxiety who developed psychotic symptoms</w:t>
      </w:r>
      <w:r w:rsidR="000F06D8">
        <w:rPr>
          <w:rFonts w:ascii="Times New Roman" w:hAnsi="Times New Roman"/>
          <w:color w:val="000000"/>
          <w:kern w:val="0"/>
          <w:sz w:val="24"/>
          <w:szCs w:val="24"/>
        </w:rPr>
        <w:t xml:space="preserve"> (PS)</w:t>
      </w:r>
      <w:r w:rsidR="000F06D8" w:rsidRPr="000F06D8">
        <w:rPr>
          <w:rFonts w:ascii="Times New Roman" w:hAnsi="Times New Roman"/>
          <w:color w:val="000000"/>
          <w:kern w:val="0"/>
          <w:sz w:val="24"/>
          <w:szCs w:val="24"/>
        </w:rPr>
        <w:t xml:space="preserve"> was 45 and the number of those who did not develop PS was 0, as detailed in Table 1</w:t>
      </w:r>
      <w:r w:rsidR="00925ED5" w:rsidRPr="00925ED5">
        <w:rPr>
          <w:rFonts w:ascii="Times New Roman" w:hAnsi="Times New Roman"/>
          <w:color w:val="000000"/>
          <w:kern w:val="0"/>
          <w:sz w:val="24"/>
          <w:szCs w:val="24"/>
        </w:rPr>
        <w:t xml:space="preserve"> </w:t>
      </w:r>
      <w:r w:rsidR="00925ED5" w:rsidRPr="003B0382">
        <w:rPr>
          <w:rFonts w:ascii="Times New Roman" w:hAnsi="Times New Roman"/>
          <w:color w:val="000000"/>
          <w:kern w:val="0"/>
          <w:sz w:val="24"/>
          <w:szCs w:val="24"/>
        </w:rPr>
        <w:t>in the main text</w:t>
      </w:r>
      <w:r w:rsidR="000F06D8" w:rsidRPr="000F06D8">
        <w:rPr>
          <w:rFonts w:ascii="Times New Roman" w:hAnsi="Times New Roman"/>
          <w:color w:val="000000"/>
          <w:kern w:val="0"/>
          <w:sz w:val="24"/>
          <w:szCs w:val="24"/>
        </w:rPr>
        <w:t>.</w:t>
      </w:r>
      <w:r w:rsidR="00AD32BF">
        <w:rPr>
          <w:rFonts w:ascii="Times New Roman" w:hAnsi="Times New Roman"/>
          <w:color w:val="000000"/>
          <w:kern w:val="0"/>
          <w:sz w:val="24"/>
          <w:szCs w:val="24"/>
        </w:rPr>
        <w:t xml:space="preserve"> </w:t>
      </w:r>
      <w:r w:rsidR="00AD32BF" w:rsidRPr="00AD32BF">
        <w:rPr>
          <w:rFonts w:ascii="Times New Roman" w:hAnsi="Times New Roman"/>
          <w:color w:val="000000"/>
          <w:kern w:val="0"/>
          <w:sz w:val="24"/>
          <w:szCs w:val="24"/>
        </w:rPr>
        <w:lastRenderedPageBreak/>
        <w:t>Sample imbalance may be the main reason for the large OR for the anxiety variable, which would require studies with larger sample sizes to validate and eliminate this result. Therefore, we did not include the dichotomous variable of presence of anxiety in the supplementary analyses of the subsequent binary logistic regression.</w:t>
      </w:r>
    </w:p>
    <w:p w14:paraId="406FC8D8" w14:textId="77777777" w:rsidR="003B0382" w:rsidRDefault="003B0382">
      <w:pPr>
        <w:rPr>
          <w:rFonts w:ascii="Times New Roman" w:hAnsi="Times New Roman"/>
          <w:color w:val="000000"/>
          <w:kern w:val="0"/>
          <w:sz w:val="24"/>
          <w:szCs w:val="24"/>
        </w:rPr>
      </w:pPr>
    </w:p>
    <w:p w14:paraId="07112A93" w14:textId="28CB8560" w:rsidR="003B0382" w:rsidRPr="00D04D80" w:rsidRDefault="003B0382">
      <w:pPr>
        <w:rPr>
          <w:rFonts w:ascii="Times New Roman" w:hAnsi="Times New Roman"/>
          <w:color w:val="000000"/>
          <w:kern w:val="0"/>
          <w:sz w:val="24"/>
          <w:szCs w:val="24"/>
        </w:rPr>
      </w:pPr>
      <w:r w:rsidRPr="003B0382">
        <w:rPr>
          <w:rFonts w:ascii="Times New Roman" w:hAnsi="Times New Roman"/>
          <w:color w:val="000000"/>
          <w:kern w:val="0"/>
          <w:sz w:val="24"/>
          <w:szCs w:val="24"/>
        </w:rPr>
        <w:t>This decision was made primarily because the model also actively excluded the binary variable of whether or not there was anxiety from the binary logistic regression when we used the Backward (Wald) method, which did not affect the other results, as detailed in the results in Table 2 in the main text.</w:t>
      </w:r>
    </w:p>
    <w:sectPr w:rsidR="003B0382" w:rsidRPr="00D04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A264" w14:textId="77777777" w:rsidR="00ED75D7" w:rsidRDefault="00ED75D7" w:rsidP="00A26056">
      <w:r>
        <w:separator/>
      </w:r>
    </w:p>
  </w:endnote>
  <w:endnote w:type="continuationSeparator" w:id="0">
    <w:p w14:paraId="27AD6C24" w14:textId="77777777" w:rsidR="00ED75D7" w:rsidRDefault="00ED75D7" w:rsidP="00A2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D456" w14:textId="77777777" w:rsidR="00ED75D7" w:rsidRDefault="00ED75D7" w:rsidP="00A26056">
      <w:r>
        <w:separator/>
      </w:r>
    </w:p>
  </w:footnote>
  <w:footnote w:type="continuationSeparator" w:id="0">
    <w:p w14:paraId="19D8E1AF" w14:textId="77777777" w:rsidR="00ED75D7" w:rsidRDefault="00ED75D7" w:rsidP="00A26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BD"/>
    <w:rsid w:val="00075BD2"/>
    <w:rsid w:val="000F06D8"/>
    <w:rsid w:val="001467A0"/>
    <w:rsid w:val="00172EAF"/>
    <w:rsid w:val="003214CB"/>
    <w:rsid w:val="003B0382"/>
    <w:rsid w:val="003E4B49"/>
    <w:rsid w:val="00506AE8"/>
    <w:rsid w:val="00523707"/>
    <w:rsid w:val="005B68BA"/>
    <w:rsid w:val="005C7BAF"/>
    <w:rsid w:val="005E762C"/>
    <w:rsid w:val="00847B9F"/>
    <w:rsid w:val="00853174"/>
    <w:rsid w:val="008A2229"/>
    <w:rsid w:val="008D79BD"/>
    <w:rsid w:val="00925ED5"/>
    <w:rsid w:val="00936ECD"/>
    <w:rsid w:val="009E7CCF"/>
    <w:rsid w:val="009F1F48"/>
    <w:rsid w:val="00A26056"/>
    <w:rsid w:val="00A516D1"/>
    <w:rsid w:val="00AD32BF"/>
    <w:rsid w:val="00BD2B65"/>
    <w:rsid w:val="00D04D80"/>
    <w:rsid w:val="00E40852"/>
    <w:rsid w:val="00ED75D7"/>
    <w:rsid w:val="00F1506F"/>
    <w:rsid w:val="00FB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0AEC6"/>
  <w15:chartTrackingRefBased/>
  <w15:docId w15:val="{D1E512F8-176D-464D-AF31-9E19CC5C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05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05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26056"/>
    <w:rPr>
      <w:sz w:val="18"/>
      <w:szCs w:val="18"/>
    </w:rPr>
  </w:style>
  <w:style w:type="paragraph" w:styleId="a5">
    <w:name w:val="footer"/>
    <w:basedOn w:val="a"/>
    <w:link w:val="a6"/>
    <w:uiPriority w:val="99"/>
    <w:unhideWhenUsed/>
    <w:rsid w:val="00A260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260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915494610@qq.com</dc:creator>
  <cp:keywords/>
  <dc:description/>
  <cp:lastModifiedBy>915494610@qq.com</cp:lastModifiedBy>
  <cp:revision>40</cp:revision>
  <dcterms:created xsi:type="dcterms:W3CDTF">2024-01-24T11:55:00Z</dcterms:created>
  <dcterms:modified xsi:type="dcterms:W3CDTF">2024-02-24T16:15:00Z</dcterms:modified>
</cp:coreProperties>
</file>