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6251" w14:textId="18B12281" w:rsidR="00DA35B2" w:rsidRPr="00C233EF" w:rsidRDefault="00DA35B2" w:rsidP="00DA35B2">
      <w:pPr>
        <w:spacing w:line="480" w:lineRule="auto"/>
        <w:jc w:val="center"/>
        <w:rPr>
          <w:rFonts w:ascii="Arial" w:hAnsi="Arial" w:cs="Arial"/>
          <w:b/>
          <w:bCs/>
        </w:rPr>
      </w:pPr>
      <w:r w:rsidRPr="00C233EF">
        <w:rPr>
          <w:rFonts w:ascii="Arial" w:hAnsi="Arial" w:cs="Arial"/>
          <w:b/>
          <w:bCs/>
        </w:rPr>
        <w:t>Supp</w:t>
      </w:r>
      <w:r>
        <w:rPr>
          <w:rFonts w:ascii="Arial" w:hAnsi="Arial" w:cs="Arial"/>
          <w:b/>
          <w:bCs/>
        </w:rPr>
        <w:t>lementary</w:t>
      </w:r>
      <w:r w:rsidRPr="00C233EF">
        <w:rPr>
          <w:rFonts w:ascii="Arial" w:hAnsi="Arial" w:cs="Arial"/>
          <w:b/>
          <w:bCs/>
        </w:rPr>
        <w:t xml:space="preserve"> Information</w:t>
      </w:r>
    </w:p>
    <w:p w14:paraId="029A8ECD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7E650BFC" w14:textId="77777777" w:rsidR="00DA35B2" w:rsidRPr="00C233EF" w:rsidRDefault="00DA35B2" w:rsidP="00DA35B2">
      <w:pPr>
        <w:spacing w:line="480" w:lineRule="auto"/>
        <w:rPr>
          <w:rFonts w:ascii="Arial" w:hAnsi="Arial" w:cs="Arial"/>
          <w:b/>
          <w:bCs/>
        </w:rPr>
      </w:pPr>
      <w:r w:rsidRPr="00C233EF">
        <w:rPr>
          <w:rFonts w:ascii="Arial" w:hAnsi="Arial" w:cs="Arial"/>
          <w:b/>
          <w:bCs/>
        </w:rPr>
        <w:t>S1 Appendix. ClinicalTrials.gov Search Terms for the Reference Sample.</w:t>
      </w:r>
    </w:p>
    <w:p w14:paraId="0589C7A0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11BC0019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  <w:r w:rsidRPr="00C233EF">
        <w:rPr>
          <w:rFonts w:ascii="Arial" w:hAnsi="Arial" w:cs="Arial"/>
        </w:rPr>
        <w:t>AREA[</w:t>
      </w:r>
      <w:proofErr w:type="spellStart"/>
      <w:r w:rsidRPr="00C233EF">
        <w:rPr>
          <w:rFonts w:ascii="Arial" w:hAnsi="Arial" w:cs="Arial"/>
        </w:rPr>
        <w:t>DesignPrimaryPurpose</w:t>
      </w:r>
      <w:proofErr w:type="spellEnd"/>
      <w:r w:rsidRPr="00C233EF">
        <w:rPr>
          <w:rFonts w:ascii="Arial" w:hAnsi="Arial" w:cs="Arial"/>
        </w:rPr>
        <w:t>] "Treatment" AND AREA[</w:t>
      </w:r>
      <w:proofErr w:type="spellStart"/>
      <w:r w:rsidRPr="00C233EF">
        <w:rPr>
          <w:rFonts w:ascii="Arial" w:hAnsi="Arial" w:cs="Arial"/>
        </w:rPr>
        <w:t>StudyType</w:t>
      </w:r>
      <w:proofErr w:type="spellEnd"/>
      <w:r w:rsidRPr="00C233EF">
        <w:rPr>
          <w:rFonts w:ascii="Arial" w:hAnsi="Arial" w:cs="Arial"/>
        </w:rPr>
        <w:t>] "Interventional" AND AREA[</w:t>
      </w:r>
      <w:proofErr w:type="spellStart"/>
      <w:r w:rsidRPr="00C233EF">
        <w:rPr>
          <w:rFonts w:ascii="Arial" w:hAnsi="Arial" w:cs="Arial"/>
        </w:rPr>
        <w:t>FunderTypeSearch</w:t>
      </w:r>
      <w:proofErr w:type="spellEnd"/>
      <w:r w:rsidRPr="00C233EF">
        <w:rPr>
          <w:rFonts w:ascii="Arial" w:hAnsi="Arial" w:cs="Arial"/>
        </w:rPr>
        <w:t>] ( "NIH" OR "FED" ) AND AREA[StartDate] RANGE[01/21/2019, MAX]</w:t>
      </w:r>
      <w:r w:rsidRPr="005F3220">
        <w:rPr>
          <w:rFonts w:ascii="Arial" w:hAnsi="Arial" w:cs="Arial"/>
        </w:rPr>
        <w:t xml:space="preserve"> </w:t>
      </w:r>
      <w:r w:rsidRPr="00C233EF">
        <w:rPr>
          <w:rFonts w:ascii="Arial" w:hAnsi="Arial" w:cs="Arial"/>
        </w:rPr>
        <w:t>AND AREA[</w:t>
      </w:r>
      <w:proofErr w:type="spellStart"/>
      <w:r w:rsidRPr="00C233EF">
        <w:rPr>
          <w:rFonts w:ascii="Arial" w:hAnsi="Arial" w:cs="Arial"/>
        </w:rPr>
        <w:t>StudyFirstPostDate</w:t>
      </w:r>
      <w:proofErr w:type="spellEnd"/>
      <w:r w:rsidRPr="00C233EF">
        <w:rPr>
          <w:rFonts w:ascii="Arial" w:hAnsi="Arial" w:cs="Arial"/>
        </w:rPr>
        <w:t>] RANGE[MIN, 10/01/2021]</w:t>
      </w:r>
    </w:p>
    <w:p w14:paraId="745C70AF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195BCCDB" w14:textId="73216573" w:rsidR="00DA35B2" w:rsidRPr="00C233EF" w:rsidRDefault="00DA35B2" w:rsidP="00DA35B2">
      <w:pPr>
        <w:spacing w:line="480" w:lineRule="auto"/>
        <w:rPr>
          <w:rFonts w:ascii="Arial" w:hAnsi="Arial" w:cs="Arial"/>
          <w:b/>
          <w:bCs/>
        </w:rPr>
      </w:pPr>
      <w:r w:rsidRPr="00C233EF">
        <w:rPr>
          <w:rFonts w:ascii="Arial" w:hAnsi="Arial" w:cs="Arial"/>
          <w:b/>
          <w:bCs/>
        </w:rPr>
        <w:t xml:space="preserve">S2 Appendix. ClinicalTrials.gov Search Terms for the Study Sample. </w:t>
      </w:r>
    </w:p>
    <w:p w14:paraId="71CEBAF5" w14:textId="77777777" w:rsidR="00DA35B2" w:rsidRPr="00C233EF" w:rsidRDefault="00DA35B2" w:rsidP="00DA35B2">
      <w:pPr>
        <w:spacing w:line="480" w:lineRule="auto"/>
        <w:rPr>
          <w:rFonts w:ascii="Arial" w:hAnsi="Arial" w:cs="Arial"/>
          <w:i/>
          <w:iCs/>
        </w:rPr>
      </w:pPr>
    </w:p>
    <w:p w14:paraId="22E73B32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  <w:r w:rsidRPr="00C233EF">
        <w:rPr>
          <w:rFonts w:ascii="Arial" w:hAnsi="Arial" w:cs="Arial"/>
        </w:rPr>
        <w:t>AREA[</w:t>
      </w:r>
      <w:proofErr w:type="spellStart"/>
      <w:r w:rsidRPr="00C233EF">
        <w:rPr>
          <w:rFonts w:ascii="Arial" w:hAnsi="Arial" w:cs="Arial"/>
        </w:rPr>
        <w:t>LargeDocHasICF</w:t>
      </w:r>
      <w:proofErr w:type="spellEnd"/>
      <w:r w:rsidRPr="00C233EF">
        <w:rPr>
          <w:rFonts w:ascii="Arial" w:hAnsi="Arial" w:cs="Arial"/>
        </w:rPr>
        <w:t>] "Yes" AND AREA[</w:t>
      </w:r>
      <w:proofErr w:type="spellStart"/>
      <w:r w:rsidRPr="00C233EF">
        <w:rPr>
          <w:rFonts w:ascii="Arial" w:hAnsi="Arial" w:cs="Arial"/>
        </w:rPr>
        <w:t>DesignPrimaryPurpose</w:t>
      </w:r>
      <w:proofErr w:type="spellEnd"/>
      <w:r w:rsidRPr="00C233EF">
        <w:rPr>
          <w:rFonts w:ascii="Arial" w:hAnsi="Arial" w:cs="Arial"/>
        </w:rPr>
        <w:t>] "Treatment" AND AREA[</w:t>
      </w:r>
      <w:proofErr w:type="spellStart"/>
      <w:r w:rsidRPr="00C233EF">
        <w:rPr>
          <w:rFonts w:ascii="Arial" w:hAnsi="Arial" w:cs="Arial"/>
        </w:rPr>
        <w:t>StudyType</w:t>
      </w:r>
      <w:proofErr w:type="spellEnd"/>
      <w:r w:rsidRPr="00C233EF">
        <w:rPr>
          <w:rFonts w:ascii="Arial" w:hAnsi="Arial" w:cs="Arial"/>
        </w:rPr>
        <w:t>] "Interventional" AND AREA[</w:t>
      </w:r>
      <w:proofErr w:type="spellStart"/>
      <w:r w:rsidRPr="00C233EF">
        <w:rPr>
          <w:rFonts w:ascii="Arial" w:hAnsi="Arial" w:cs="Arial"/>
        </w:rPr>
        <w:t>FunderTypeSearch</w:t>
      </w:r>
      <w:proofErr w:type="spellEnd"/>
      <w:r w:rsidRPr="00C233EF">
        <w:rPr>
          <w:rFonts w:ascii="Arial" w:hAnsi="Arial" w:cs="Arial"/>
        </w:rPr>
        <w:t>] ( "NIH" OR "FED" ) AND AREA[StartDate] RANGE[01/21/2019, MAX]</w:t>
      </w:r>
    </w:p>
    <w:p w14:paraId="1BD6C01D" w14:textId="5E857572" w:rsidR="00DA35B2" w:rsidRDefault="00DA35B2" w:rsidP="00DA35B2">
      <w:pPr>
        <w:spacing w:line="480" w:lineRule="auto"/>
        <w:rPr>
          <w:rFonts w:ascii="Arial" w:hAnsi="Arial" w:cs="Arial"/>
        </w:rPr>
      </w:pPr>
    </w:p>
    <w:p w14:paraId="40F7744D" w14:textId="7035784D" w:rsidR="00DA35B2" w:rsidRDefault="00DA35B2" w:rsidP="00DA35B2">
      <w:pPr>
        <w:spacing w:line="480" w:lineRule="auto"/>
        <w:rPr>
          <w:rFonts w:ascii="Arial" w:hAnsi="Arial" w:cs="Arial"/>
        </w:rPr>
      </w:pPr>
    </w:p>
    <w:p w14:paraId="4E550301" w14:textId="2E611FE5" w:rsidR="00DA35B2" w:rsidRDefault="00DA35B2" w:rsidP="00DA35B2">
      <w:pPr>
        <w:spacing w:line="480" w:lineRule="auto"/>
        <w:rPr>
          <w:rFonts w:ascii="Arial" w:hAnsi="Arial" w:cs="Arial"/>
        </w:rPr>
      </w:pPr>
    </w:p>
    <w:p w14:paraId="5F11688F" w14:textId="39E52405" w:rsidR="00DA35B2" w:rsidRDefault="00DA35B2" w:rsidP="00DA35B2">
      <w:pPr>
        <w:spacing w:line="480" w:lineRule="auto"/>
        <w:rPr>
          <w:rFonts w:ascii="Arial" w:hAnsi="Arial" w:cs="Arial"/>
        </w:rPr>
      </w:pPr>
    </w:p>
    <w:p w14:paraId="26A3A723" w14:textId="6F4FC2F4" w:rsidR="00DA35B2" w:rsidRDefault="00DA35B2" w:rsidP="00DA35B2">
      <w:pPr>
        <w:spacing w:line="480" w:lineRule="auto"/>
        <w:rPr>
          <w:rFonts w:ascii="Arial" w:hAnsi="Arial" w:cs="Arial"/>
        </w:rPr>
      </w:pPr>
    </w:p>
    <w:p w14:paraId="61F6F14A" w14:textId="59939E64" w:rsidR="00DA35B2" w:rsidRDefault="00DA35B2" w:rsidP="00DA35B2">
      <w:pPr>
        <w:spacing w:line="480" w:lineRule="auto"/>
        <w:rPr>
          <w:rFonts w:ascii="Arial" w:hAnsi="Arial" w:cs="Arial"/>
        </w:rPr>
      </w:pPr>
    </w:p>
    <w:p w14:paraId="0F303B7F" w14:textId="48673075" w:rsidR="00DA35B2" w:rsidRDefault="00DA35B2" w:rsidP="00DA35B2">
      <w:pPr>
        <w:spacing w:line="480" w:lineRule="auto"/>
        <w:rPr>
          <w:rFonts w:ascii="Arial" w:hAnsi="Arial" w:cs="Arial"/>
        </w:rPr>
      </w:pPr>
    </w:p>
    <w:p w14:paraId="39BAD09F" w14:textId="4EE22E9D" w:rsidR="00DA35B2" w:rsidRDefault="00DA35B2" w:rsidP="00DA35B2">
      <w:pPr>
        <w:spacing w:line="480" w:lineRule="auto"/>
        <w:rPr>
          <w:rFonts w:ascii="Arial" w:hAnsi="Arial" w:cs="Arial"/>
        </w:rPr>
      </w:pPr>
    </w:p>
    <w:p w14:paraId="5623287B" w14:textId="1DD4E2A8" w:rsidR="00DA35B2" w:rsidRDefault="00DA35B2" w:rsidP="00DA35B2">
      <w:pPr>
        <w:spacing w:line="480" w:lineRule="auto"/>
        <w:rPr>
          <w:rFonts w:ascii="Arial" w:hAnsi="Arial" w:cs="Arial"/>
        </w:rPr>
      </w:pPr>
    </w:p>
    <w:p w14:paraId="0B08170F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1894CEF0" w14:textId="77777777" w:rsidR="00DA35B2" w:rsidRPr="00C233EF" w:rsidRDefault="00DA35B2" w:rsidP="00DA35B2">
      <w:pPr>
        <w:spacing w:line="480" w:lineRule="auto"/>
        <w:rPr>
          <w:rFonts w:ascii="Arial" w:hAnsi="Arial" w:cs="Arial"/>
          <w:b/>
          <w:bCs/>
        </w:rPr>
      </w:pPr>
      <w:r w:rsidRPr="00C233EF">
        <w:rPr>
          <w:rFonts w:ascii="Arial" w:hAnsi="Arial" w:cs="Arial"/>
          <w:b/>
          <w:bCs/>
        </w:rPr>
        <w:lastRenderedPageBreak/>
        <w:t xml:space="preserve">S1 Table. Eligibility Criteria </w:t>
      </w:r>
      <w:r>
        <w:rPr>
          <w:rFonts w:ascii="Arial" w:hAnsi="Arial" w:cs="Arial"/>
          <w:b/>
          <w:bCs/>
        </w:rPr>
        <w:t xml:space="preserve">for </w:t>
      </w:r>
      <w:r w:rsidRPr="00C233EF">
        <w:rPr>
          <w:rFonts w:ascii="Arial" w:hAnsi="Arial" w:cs="Arial"/>
          <w:b/>
          <w:bCs/>
        </w:rPr>
        <w:t>Study Record</w:t>
      </w:r>
      <w:r>
        <w:rPr>
          <w:rFonts w:ascii="Arial" w:hAnsi="Arial" w:cs="Arial"/>
          <w:b/>
          <w:bCs/>
        </w:rPr>
        <w:t>s</w:t>
      </w:r>
      <w:r w:rsidRPr="00C233E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with </w:t>
      </w:r>
      <w:r w:rsidRPr="00C233EF">
        <w:rPr>
          <w:rFonts w:ascii="Arial" w:hAnsi="Arial" w:cs="Arial"/>
          <w:b/>
          <w:bCs/>
        </w:rPr>
        <w:t xml:space="preserve">Multiple Posted ICFs. </w:t>
      </w:r>
    </w:p>
    <w:p w14:paraId="1FD37BB8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  <w:r w:rsidRPr="00C233EF">
        <w:rPr>
          <w:rFonts w:ascii="Arial" w:hAnsi="Arial" w:cs="Arial"/>
        </w:rPr>
        <w:t>If multiple versions of an ICF tailored for different locations</w:t>
      </w:r>
      <w:r>
        <w:rPr>
          <w:rFonts w:ascii="Arial" w:hAnsi="Arial" w:cs="Arial"/>
        </w:rPr>
        <w:t xml:space="preserve"> were posted for a single trial</w:t>
      </w:r>
      <w:r w:rsidRPr="00C233EF">
        <w:rPr>
          <w:rFonts w:ascii="Arial" w:hAnsi="Arial" w:cs="Arial"/>
        </w:rPr>
        <w:t>, the ICF for the study location most closely associated with trial sponsor listed on ClinicalTrials.gov was selected</w:t>
      </w:r>
      <w:r>
        <w:rPr>
          <w:rFonts w:ascii="Arial" w:hAnsi="Arial" w:cs="Arial"/>
        </w:rPr>
        <w:t xml:space="preserve"> (e.g., “Bethesda, Maryland, US” for NIH)</w:t>
      </w:r>
      <w:r w:rsidRPr="00C233EF">
        <w:rPr>
          <w:rFonts w:ascii="Arial" w:hAnsi="Arial" w:cs="Arial"/>
        </w:rPr>
        <w:t>.</w:t>
      </w:r>
    </w:p>
    <w:p w14:paraId="0F3E13F8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960"/>
        <w:gridCol w:w="4320"/>
      </w:tblGrid>
      <w:tr w:rsidR="00DA35B2" w:rsidRPr="00C233EF" w14:paraId="19D5AA91" w14:textId="77777777" w:rsidTr="003E1D63">
        <w:tc>
          <w:tcPr>
            <w:tcW w:w="1795" w:type="dxa"/>
            <w:shd w:val="clear" w:color="auto" w:fill="D0CECE" w:themeFill="background2" w:themeFillShade="E6"/>
          </w:tcPr>
          <w:p w14:paraId="5B90C791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C233EF">
              <w:rPr>
                <w:rFonts w:ascii="Arial" w:hAnsi="Arial" w:cs="Arial"/>
                <w:b/>
                <w:bCs/>
              </w:rPr>
              <w:t>Type of ICF Pairs</w:t>
            </w:r>
          </w:p>
        </w:tc>
        <w:tc>
          <w:tcPr>
            <w:tcW w:w="3960" w:type="dxa"/>
            <w:shd w:val="clear" w:color="auto" w:fill="D0CECE" w:themeFill="background2" w:themeFillShade="E6"/>
          </w:tcPr>
          <w:p w14:paraId="5C44E189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C233EF">
              <w:rPr>
                <w:rFonts w:ascii="Arial" w:hAnsi="Arial" w:cs="Arial"/>
                <w:b/>
                <w:bCs/>
              </w:rPr>
              <w:t>ICF Included for Study</w:t>
            </w:r>
          </w:p>
        </w:tc>
        <w:tc>
          <w:tcPr>
            <w:tcW w:w="4320" w:type="dxa"/>
            <w:shd w:val="clear" w:color="auto" w:fill="D0CECE" w:themeFill="background2" w:themeFillShade="E6"/>
          </w:tcPr>
          <w:p w14:paraId="598D3922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C233EF">
              <w:rPr>
                <w:rFonts w:ascii="Arial" w:hAnsi="Arial" w:cs="Arial"/>
                <w:b/>
                <w:bCs/>
              </w:rPr>
              <w:t>ICF Excluded from Study</w:t>
            </w:r>
          </w:p>
        </w:tc>
      </w:tr>
      <w:tr w:rsidR="00DA35B2" w:rsidRPr="00C233EF" w14:paraId="6EEC6061" w14:textId="77777777" w:rsidTr="003E1D63">
        <w:tc>
          <w:tcPr>
            <w:tcW w:w="1795" w:type="dxa"/>
          </w:tcPr>
          <w:p w14:paraId="34FD2EA7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Donor and. Recipient</w:t>
            </w:r>
          </w:p>
        </w:tc>
        <w:tc>
          <w:tcPr>
            <w:tcW w:w="3960" w:type="dxa"/>
          </w:tcPr>
          <w:p w14:paraId="6FF39C6C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For individuals receiving the biological material</w:t>
            </w:r>
          </w:p>
        </w:tc>
        <w:tc>
          <w:tcPr>
            <w:tcW w:w="4320" w:type="dxa"/>
          </w:tcPr>
          <w:p w14:paraId="6FC4E0AE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For individuals donating biological material for use in the study</w:t>
            </w:r>
          </w:p>
        </w:tc>
      </w:tr>
      <w:tr w:rsidR="00DA35B2" w:rsidRPr="00C233EF" w14:paraId="420E187A" w14:textId="77777777" w:rsidTr="003E1D63">
        <w:tc>
          <w:tcPr>
            <w:tcW w:w="1795" w:type="dxa"/>
          </w:tcPr>
          <w:p w14:paraId="7D3A5C1A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Screening and Research</w:t>
            </w:r>
          </w:p>
        </w:tc>
        <w:tc>
          <w:tcPr>
            <w:tcW w:w="3960" w:type="dxa"/>
          </w:tcPr>
          <w:p w14:paraId="42EC3CD1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For the research part of the study</w:t>
            </w:r>
          </w:p>
        </w:tc>
        <w:tc>
          <w:tcPr>
            <w:tcW w:w="4320" w:type="dxa"/>
          </w:tcPr>
          <w:p w14:paraId="7BE60300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For the screening part of a study</w:t>
            </w:r>
          </w:p>
        </w:tc>
      </w:tr>
      <w:tr w:rsidR="00DA35B2" w:rsidRPr="00C233EF" w14:paraId="0A59796D" w14:textId="77777777" w:rsidTr="003E1D63">
        <w:tc>
          <w:tcPr>
            <w:tcW w:w="1795" w:type="dxa"/>
          </w:tcPr>
          <w:p w14:paraId="31CDD55D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Main Study and Sub-Study</w:t>
            </w:r>
          </w:p>
        </w:tc>
        <w:tc>
          <w:tcPr>
            <w:tcW w:w="3960" w:type="dxa"/>
          </w:tcPr>
          <w:p w14:paraId="407F30D8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For the main study</w:t>
            </w:r>
          </w:p>
        </w:tc>
        <w:tc>
          <w:tcPr>
            <w:tcW w:w="4320" w:type="dxa"/>
          </w:tcPr>
          <w:p w14:paraId="6A81A30F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For a sub-study</w:t>
            </w:r>
          </w:p>
        </w:tc>
      </w:tr>
      <w:tr w:rsidR="00DA35B2" w:rsidRPr="00C233EF" w14:paraId="57BA7EB0" w14:textId="77777777" w:rsidTr="003E1D63">
        <w:tc>
          <w:tcPr>
            <w:tcW w:w="1795" w:type="dxa"/>
          </w:tcPr>
          <w:p w14:paraId="2594118F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Main Study and Future Use</w:t>
            </w:r>
          </w:p>
        </w:tc>
        <w:tc>
          <w:tcPr>
            <w:tcW w:w="3960" w:type="dxa"/>
          </w:tcPr>
          <w:p w14:paraId="3C724EF3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For the main study</w:t>
            </w:r>
          </w:p>
        </w:tc>
        <w:tc>
          <w:tcPr>
            <w:tcW w:w="4320" w:type="dxa"/>
          </w:tcPr>
          <w:p w14:paraId="084B9C5E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For the future use of data and biospecimens</w:t>
            </w:r>
          </w:p>
        </w:tc>
      </w:tr>
      <w:tr w:rsidR="00DA35B2" w:rsidRPr="00C233EF" w14:paraId="6AE781F8" w14:textId="77777777" w:rsidTr="003E1D63">
        <w:tc>
          <w:tcPr>
            <w:tcW w:w="1795" w:type="dxa"/>
          </w:tcPr>
          <w:p w14:paraId="289B1D26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Main Study and Specific Intervention</w:t>
            </w:r>
          </w:p>
        </w:tc>
        <w:tc>
          <w:tcPr>
            <w:tcW w:w="3960" w:type="dxa"/>
          </w:tcPr>
          <w:p w14:paraId="61BA1444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For the main study</w:t>
            </w:r>
          </w:p>
        </w:tc>
        <w:tc>
          <w:tcPr>
            <w:tcW w:w="4320" w:type="dxa"/>
          </w:tcPr>
          <w:p w14:paraId="3AA87043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For the specific intervention</w:t>
            </w:r>
          </w:p>
        </w:tc>
      </w:tr>
      <w:tr w:rsidR="00DA35B2" w:rsidRPr="00C233EF" w14:paraId="245CC57B" w14:textId="77777777" w:rsidTr="003E1D63">
        <w:tc>
          <w:tcPr>
            <w:tcW w:w="1795" w:type="dxa"/>
          </w:tcPr>
          <w:p w14:paraId="4E71F9CF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Tailored for Study Locations</w:t>
            </w:r>
          </w:p>
        </w:tc>
        <w:tc>
          <w:tcPr>
            <w:tcW w:w="3960" w:type="dxa"/>
          </w:tcPr>
          <w:p w14:paraId="058957A4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the </w:t>
            </w:r>
            <w:r w:rsidRPr="00C233EF">
              <w:rPr>
                <w:rFonts w:ascii="Arial" w:hAnsi="Arial" w:cs="Arial"/>
              </w:rPr>
              <w:t>study location most</w:t>
            </w:r>
            <w:r>
              <w:rPr>
                <w:rFonts w:ascii="Arial" w:hAnsi="Arial" w:cs="Arial"/>
              </w:rPr>
              <w:t xml:space="preserve"> </w:t>
            </w:r>
            <w:r w:rsidRPr="00C233EF">
              <w:rPr>
                <w:rFonts w:ascii="Arial" w:hAnsi="Arial" w:cs="Arial"/>
              </w:rPr>
              <w:t xml:space="preserve">closely associated with trial sponsor listed </w:t>
            </w:r>
            <w:r w:rsidRPr="00C233EF">
              <w:rPr>
                <w:rFonts w:ascii="Arial" w:hAnsi="Arial" w:cs="Arial"/>
              </w:rPr>
              <w:lastRenderedPageBreak/>
              <w:t>on ClinicalTrials.gov</w:t>
            </w:r>
            <w:r>
              <w:rPr>
                <w:rFonts w:ascii="Arial" w:hAnsi="Arial" w:cs="Arial"/>
              </w:rPr>
              <w:t xml:space="preserve"> (e.g., “Bethesda, Maryland, US” for NIH)</w:t>
            </w:r>
          </w:p>
        </w:tc>
        <w:tc>
          <w:tcPr>
            <w:tcW w:w="4320" w:type="dxa"/>
          </w:tcPr>
          <w:p w14:paraId="00F3CF1A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 all other study locations</w:t>
            </w:r>
          </w:p>
        </w:tc>
      </w:tr>
    </w:tbl>
    <w:p w14:paraId="2F3E28E8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14D683AF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3784B865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76AEF7DA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64B3C11D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457F6F5D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64245E64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3496D063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5E3CA0E6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25087374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0EA1928F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3B50E34C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304D7165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012E37C4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4EC2E994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40626C0C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65D15E6C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6E5B084A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570F1296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1E7D94F1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4F78EA86" w14:textId="77777777" w:rsidR="00DA35B2" w:rsidRDefault="00DA35B2" w:rsidP="00DA35B2">
      <w:pPr>
        <w:spacing w:line="480" w:lineRule="auto"/>
        <w:rPr>
          <w:rFonts w:ascii="Arial" w:hAnsi="Arial" w:cs="Arial"/>
          <w:b/>
          <w:bCs/>
        </w:rPr>
      </w:pPr>
    </w:p>
    <w:p w14:paraId="7EB415EF" w14:textId="6CC9E8E0" w:rsidR="00DA35B2" w:rsidRPr="00C233EF" w:rsidRDefault="00DA35B2" w:rsidP="00DA35B2">
      <w:pPr>
        <w:spacing w:line="480" w:lineRule="auto"/>
        <w:rPr>
          <w:rFonts w:ascii="Arial" w:hAnsi="Arial" w:cs="Arial"/>
          <w:b/>
          <w:bCs/>
        </w:rPr>
      </w:pPr>
      <w:r w:rsidRPr="00C233EF">
        <w:rPr>
          <w:rFonts w:ascii="Arial" w:hAnsi="Arial" w:cs="Arial"/>
          <w:b/>
          <w:bCs/>
        </w:rPr>
        <w:lastRenderedPageBreak/>
        <w:t>S</w:t>
      </w:r>
      <w:r>
        <w:rPr>
          <w:rFonts w:ascii="Arial" w:hAnsi="Arial" w:cs="Arial"/>
          <w:b/>
          <w:bCs/>
        </w:rPr>
        <w:t>2</w:t>
      </w:r>
      <w:r w:rsidRPr="00C233EF">
        <w:rPr>
          <w:rFonts w:ascii="Arial" w:hAnsi="Arial" w:cs="Arial"/>
          <w:b/>
          <w:bCs/>
        </w:rPr>
        <w:t xml:space="preserve"> Table. KI Formatting Elements.</w:t>
      </w:r>
    </w:p>
    <w:p w14:paraId="5DBA60DE" w14:textId="77777777" w:rsidR="00DA35B2" w:rsidRPr="00C233EF" w:rsidRDefault="00DA35B2" w:rsidP="00DA35B2">
      <w:pPr>
        <w:spacing w:line="480" w:lineRule="auto"/>
        <w:rPr>
          <w:rFonts w:ascii="Arial" w:hAnsi="Arial" w:cs="Arial"/>
          <w:b/>
          <w:bCs/>
        </w:rPr>
      </w:pPr>
      <w:r w:rsidRPr="00C233EF">
        <w:rPr>
          <w:rFonts w:ascii="Arial" w:hAnsi="Arial" w:cs="Arial"/>
        </w:rPr>
        <w:t xml:space="preserve">Elements annotated with “M” were adapted from </w:t>
      </w:r>
      <w:proofErr w:type="spellStart"/>
      <w:r w:rsidRPr="00C233EF">
        <w:rPr>
          <w:rFonts w:ascii="Arial" w:hAnsi="Arial" w:cs="Arial"/>
        </w:rPr>
        <w:t>Mozersky</w:t>
      </w:r>
      <w:proofErr w:type="spellEnd"/>
      <w:r w:rsidRPr="00C233EF">
        <w:rPr>
          <w:rFonts w:ascii="Arial" w:hAnsi="Arial" w:cs="Arial"/>
        </w:rPr>
        <w:t xml:space="preserve"> and colleagues [18]. Other elements were identified by the research team </w:t>
      </w:r>
      <w:r>
        <w:rPr>
          <w:rFonts w:ascii="Arial" w:hAnsi="Arial" w:cs="Arial"/>
        </w:rPr>
        <w:t xml:space="preserve">review of </w:t>
      </w:r>
      <w:r w:rsidRPr="00C233EF">
        <w:rPr>
          <w:rFonts w:ascii="Arial" w:hAnsi="Arial" w:cs="Arial"/>
        </w:rPr>
        <w:t xml:space="preserve">ICFs </w:t>
      </w:r>
      <w:r>
        <w:rPr>
          <w:rFonts w:ascii="Arial" w:hAnsi="Arial" w:cs="Arial"/>
        </w:rPr>
        <w:t xml:space="preserve">in  the Reference Sample but </w:t>
      </w:r>
      <w:r w:rsidRPr="00C233EF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 xml:space="preserve">included </w:t>
      </w:r>
      <w:r w:rsidRPr="00C233EF">
        <w:rPr>
          <w:rFonts w:ascii="Arial" w:hAnsi="Arial" w:cs="Arial"/>
        </w:rPr>
        <w:t>in the Study Sample prior to coding.</w:t>
      </w:r>
    </w:p>
    <w:p w14:paraId="522305FB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A35B2" w:rsidRPr="00C233EF" w14:paraId="2E843052" w14:textId="77777777" w:rsidTr="003E1D63">
        <w:tc>
          <w:tcPr>
            <w:tcW w:w="2785" w:type="dxa"/>
            <w:shd w:val="clear" w:color="auto" w:fill="D0CECE" w:themeFill="background2" w:themeFillShade="E6"/>
          </w:tcPr>
          <w:p w14:paraId="24A94627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C233EF">
              <w:rPr>
                <w:rFonts w:ascii="Arial" w:hAnsi="Arial" w:cs="Arial"/>
                <w:b/>
                <w:bCs/>
              </w:rPr>
              <w:t>Formatting Element</w:t>
            </w:r>
          </w:p>
        </w:tc>
        <w:tc>
          <w:tcPr>
            <w:tcW w:w="6565" w:type="dxa"/>
            <w:shd w:val="clear" w:color="auto" w:fill="D0CECE" w:themeFill="background2" w:themeFillShade="E6"/>
          </w:tcPr>
          <w:p w14:paraId="0CF50317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C233EF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DA35B2" w:rsidRPr="00C233EF" w14:paraId="070F81E7" w14:textId="77777777" w:rsidTr="003E1D63">
        <w:tc>
          <w:tcPr>
            <w:tcW w:w="2785" w:type="dxa"/>
          </w:tcPr>
          <w:p w14:paraId="203E7EA7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Section header</w:t>
            </w:r>
          </w:p>
        </w:tc>
        <w:tc>
          <w:tcPr>
            <w:tcW w:w="6565" w:type="dxa"/>
          </w:tcPr>
          <w:p w14:paraId="188D7D60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Label to identify the KI section (e.g., “K</w:t>
            </w:r>
            <w:r>
              <w:rPr>
                <w:rFonts w:ascii="Arial" w:hAnsi="Arial" w:cs="Arial"/>
              </w:rPr>
              <w:t xml:space="preserve">ey </w:t>
            </w:r>
            <w:r w:rsidRPr="00C233E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nformation</w:t>
            </w:r>
            <w:r w:rsidRPr="00C233EF">
              <w:rPr>
                <w:rFonts w:ascii="Arial" w:hAnsi="Arial" w:cs="Arial"/>
              </w:rPr>
              <w:t>”)</w:t>
            </w:r>
          </w:p>
        </w:tc>
      </w:tr>
      <w:tr w:rsidR="00DA35B2" w:rsidRPr="00C233EF" w14:paraId="3449AF54" w14:textId="77777777" w:rsidTr="003E1D63">
        <w:tc>
          <w:tcPr>
            <w:tcW w:w="2785" w:type="dxa"/>
          </w:tcPr>
          <w:p w14:paraId="78F72CF8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Text box and/or shaded background</w:t>
            </w:r>
          </w:p>
        </w:tc>
        <w:tc>
          <w:tcPr>
            <w:tcW w:w="6565" w:type="dxa"/>
          </w:tcPr>
          <w:p w14:paraId="3D850CD2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Use of a callout box around text and/or highlighted background to highlight the KI section</w:t>
            </w:r>
          </w:p>
        </w:tc>
      </w:tr>
      <w:tr w:rsidR="00DA35B2" w:rsidRPr="00C233EF" w14:paraId="319F6D7D" w14:textId="77777777" w:rsidTr="003E1D63">
        <w:tc>
          <w:tcPr>
            <w:tcW w:w="2785" w:type="dxa"/>
          </w:tcPr>
          <w:p w14:paraId="09D7F798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Narrative summary</w:t>
            </w:r>
          </w:p>
        </w:tc>
        <w:tc>
          <w:tcPr>
            <w:tcW w:w="6565" w:type="dxa"/>
          </w:tcPr>
          <w:p w14:paraId="3D424009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Paragraph(s) or set of sentences</w:t>
            </w:r>
          </w:p>
        </w:tc>
      </w:tr>
      <w:tr w:rsidR="00DA35B2" w:rsidRPr="00C233EF" w14:paraId="18F0DBF1" w14:textId="77777777" w:rsidTr="003E1D63">
        <w:tc>
          <w:tcPr>
            <w:tcW w:w="2785" w:type="dxa"/>
          </w:tcPr>
          <w:p w14:paraId="4C38348B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C233EF">
              <w:rPr>
                <w:rFonts w:ascii="Arial" w:hAnsi="Arial" w:cs="Arial"/>
              </w:rPr>
              <w:t>Subheaders</w:t>
            </w:r>
            <w:proofErr w:type="spellEnd"/>
          </w:p>
        </w:tc>
        <w:tc>
          <w:tcPr>
            <w:tcW w:w="6565" w:type="dxa"/>
          </w:tcPr>
          <w:p w14:paraId="2344940F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Use of word or phrases to separate sentences/narrative text (e.g., “Purpose”)</w:t>
            </w:r>
          </w:p>
        </w:tc>
      </w:tr>
      <w:tr w:rsidR="00DA35B2" w:rsidRPr="00C233EF" w14:paraId="2063BA79" w14:textId="77777777" w:rsidTr="003E1D63">
        <w:tc>
          <w:tcPr>
            <w:tcW w:w="2785" w:type="dxa"/>
          </w:tcPr>
          <w:p w14:paraId="6B3273E1" w14:textId="77777777" w:rsidR="00DA35B2" w:rsidRPr="00C233EF" w:rsidRDefault="00DA35B2" w:rsidP="003E1D63">
            <w:pPr>
              <w:spacing w:line="480" w:lineRule="auto"/>
              <w:ind w:left="288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  <w:i/>
                <w:iCs/>
              </w:rPr>
              <w:t>Variation 1</w:t>
            </w:r>
            <w:r w:rsidRPr="00C233EF">
              <w:rPr>
                <w:rFonts w:ascii="Arial" w:hAnsi="Arial" w:cs="Arial"/>
              </w:rPr>
              <w:t>: Q&amp;A format</w:t>
            </w:r>
          </w:p>
        </w:tc>
        <w:tc>
          <w:tcPr>
            <w:tcW w:w="6565" w:type="dxa"/>
          </w:tcPr>
          <w:p w14:paraId="09947BF2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 xml:space="preserve">Use of questions as </w:t>
            </w:r>
            <w:proofErr w:type="spellStart"/>
            <w:r w:rsidRPr="00C233EF">
              <w:rPr>
                <w:rFonts w:ascii="Arial" w:hAnsi="Arial" w:cs="Arial"/>
              </w:rPr>
              <w:t>subheaders</w:t>
            </w:r>
            <w:proofErr w:type="spellEnd"/>
            <w:r w:rsidRPr="00C233EF">
              <w:rPr>
                <w:rFonts w:ascii="Arial" w:hAnsi="Arial" w:cs="Arial"/>
              </w:rPr>
              <w:t xml:space="preserve"> (e.g., “What is this research about?”)</w:t>
            </w:r>
          </w:p>
        </w:tc>
      </w:tr>
      <w:tr w:rsidR="00DA35B2" w:rsidRPr="00C233EF" w14:paraId="1A6D91E6" w14:textId="77777777" w:rsidTr="003E1D63">
        <w:tc>
          <w:tcPr>
            <w:tcW w:w="2785" w:type="dxa"/>
          </w:tcPr>
          <w:p w14:paraId="2CF57958" w14:textId="77777777" w:rsidR="00DA35B2" w:rsidRPr="00C233EF" w:rsidRDefault="00DA35B2" w:rsidP="003E1D63">
            <w:pPr>
              <w:spacing w:line="480" w:lineRule="auto"/>
              <w:ind w:left="288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  <w:i/>
                <w:iCs/>
              </w:rPr>
              <w:t>Variation 2</w:t>
            </w:r>
            <w:r w:rsidRPr="00C233EF">
              <w:rPr>
                <w:rFonts w:ascii="Arial" w:hAnsi="Arial" w:cs="Arial"/>
              </w:rPr>
              <w:t>: Structured data elements</w:t>
            </w:r>
          </w:p>
        </w:tc>
        <w:tc>
          <w:tcPr>
            <w:tcW w:w="6565" w:type="dxa"/>
          </w:tcPr>
          <w:p w14:paraId="603CE016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 xml:space="preserve">A </w:t>
            </w:r>
            <w:proofErr w:type="spellStart"/>
            <w:r w:rsidRPr="00C233EF">
              <w:rPr>
                <w:rFonts w:ascii="Arial" w:hAnsi="Arial" w:cs="Arial"/>
              </w:rPr>
              <w:t>subheader</w:t>
            </w:r>
            <w:proofErr w:type="spellEnd"/>
            <w:r w:rsidRPr="00C233EF">
              <w:rPr>
                <w:rFonts w:ascii="Arial" w:hAnsi="Arial" w:cs="Arial"/>
              </w:rPr>
              <w:t xml:space="preserve"> followed by data or brief phrases rather than sentences/narrative text (e.g., “</w:t>
            </w:r>
            <w:r w:rsidRPr="00C233EF">
              <w:rPr>
                <w:rFonts w:ascii="Arial" w:hAnsi="Arial" w:cs="Arial"/>
                <w:b/>
                <w:bCs/>
              </w:rPr>
              <w:t>Participation Duration</w:t>
            </w:r>
            <w:r w:rsidRPr="00C233EF">
              <w:rPr>
                <w:rFonts w:ascii="Arial" w:hAnsi="Arial" w:cs="Arial"/>
              </w:rPr>
              <w:t>: 6 months”)</w:t>
            </w:r>
          </w:p>
        </w:tc>
      </w:tr>
      <w:tr w:rsidR="00DA35B2" w:rsidRPr="00C233EF" w14:paraId="486CB18E" w14:textId="77777777" w:rsidTr="003E1D63">
        <w:tc>
          <w:tcPr>
            <w:tcW w:w="2785" w:type="dxa"/>
          </w:tcPr>
          <w:p w14:paraId="7882D93A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  <w:vertAlign w:val="superscript"/>
              </w:rPr>
            </w:pPr>
            <w:r w:rsidRPr="00C233EF">
              <w:rPr>
                <w:rFonts w:ascii="Arial" w:hAnsi="Arial" w:cs="Arial"/>
              </w:rPr>
              <w:t xml:space="preserve">Bulleted, numbered, or lettered </w:t>
            </w:r>
            <w:proofErr w:type="spellStart"/>
            <w:r w:rsidRPr="00C233EF">
              <w:rPr>
                <w:rFonts w:ascii="Arial" w:hAnsi="Arial" w:cs="Arial"/>
              </w:rPr>
              <w:t>list</w:t>
            </w:r>
            <w:r w:rsidRPr="00C233EF">
              <w:rPr>
                <w:rFonts w:ascii="Arial" w:hAnsi="Arial" w:cs="Arial"/>
                <w:vertAlign w:val="superscript"/>
              </w:rPr>
              <w:t>M</w:t>
            </w:r>
            <w:proofErr w:type="spellEnd"/>
          </w:p>
        </w:tc>
        <w:tc>
          <w:tcPr>
            <w:tcW w:w="6565" w:type="dxa"/>
          </w:tcPr>
          <w:p w14:paraId="4ED47A82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Use of bulleted, numbered, or lettered text</w:t>
            </w:r>
          </w:p>
        </w:tc>
      </w:tr>
      <w:tr w:rsidR="00DA35B2" w:rsidRPr="00C233EF" w14:paraId="6F90A351" w14:textId="77777777" w:rsidTr="003E1D63">
        <w:tc>
          <w:tcPr>
            <w:tcW w:w="2785" w:type="dxa"/>
          </w:tcPr>
          <w:p w14:paraId="0CE476BF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Color</w:t>
            </w:r>
          </w:p>
        </w:tc>
        <w:tc>
          <w:tcPr>
            <w:tcW w:w="6565" w:type="dxa"/>
          </w:tcPr>
          <w:p w14:paraId="33AC2EEA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Use of colored font(s)</w:t>
            </w:r>
          </w:p>
        </w:tc>
      </w:tr>
      <w:tr w:rsidR="00DA35B2" w:rsidRPr="00C233EF" w14:paraId="2D5E1E67" w14:textId="77777777" w:rsidTr="003E1D63">
        <w:tc>
          <w:tcPr>
            <w:tcW w:w="2785" w:type="dxa"/>
          </w:tcPr>
          <w:p w14:paraId="1AD6523D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  <w:vertAlign w:val="superscript"/>
              </w:rPr>
            </w:pPr>
            <w:r w:rsidRPr="00C233EF">
              <w:rPr>
                <w:rFonts w:ascii="Arial" w:hAnsi="Arial" w:cs="Arial"/>
              </w:rPr>
              <w:t>Text font(s)</w:t>
            </w:r>
            <w:r w:rsidRPr="00C233EF">
              <w:rPr>
                <w:rFonts w:ascii="Arial" w:hAnsi="Arial" w:cs="Arial"/>
                <w:vertAlign w:val="superscript"/>
              </w:rPr>
              <w:t>M</w:t>
            </w:r>
          </w:p>
        </w:tc>
        <w:tc>
          <w:tcPr>
            <w:tcW w:w="6565" w:type="dxa"/>
          </w:tcPr>
          <w:p w14:paraId="2B1DB2B9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 xml:space="preserve">Use of different font designs including </w:t>
            </w:r>
            <w:r w:rsidRPr="00C233EF">
              <w:rPr>
                <w:rFonts w:ascii="Arial" w:hAnsi="Arial" w:cs="Arial"/>
                <w:b/>
                <w:bCs/>
              </w:rPr>
              <w:t>bold</w:t>
            </w:r>
            <w:r w:rsidRPr="00C233EF">
              <w:rPr>
                <w:rFonts w:ascii="Arial" w:hAnsi="Arial" w:cs="Arial"/>
              </w:rPr>
              <w:t xml:space="preserve">, </w:t>
            </w:r>
            <w:r w:rsidRPr="00C233EF">
              <w:rPr>
                <w:rFonts w:ascii="Arial" w:hAnsi="Arial" w:cs="Arial"/>
                <w:i/>
                <w:iCs/>
              </w:rPr>
              <w:t>italics</w:t>
            </w:r>
            <w:r w:rsidRPr="00C233EF">
              <w:rPr>
                <w:rFonts w:ascii="Arial" w:hAnsi="Arial" w:cs="Arial"/>
              </w:rPr>
              <w:t xml:space="preserve">, ALL CAPS, </w:t>
            </w:r>
            <w:r w:rsidRPr="00C233EF">
              <w:rPr>
                <w:rFonts w:ascii="Arial" w:hAnsi="Arial" w:cs="Arial"/>
                <w:u w:val="single"/>
              </w:rPr>
              <w:t>underline</w:t>
            </w:r>
            <w:r w:rsidRPr="00C233EF">
              <w:rPr>
                <w:rFonts w:ascii="Arial" w:hAnsi="Arial" w:cs="Arial"/>
              </w:rPr>
              <w:t>, and/or larger font size than other text</w:t>
            </w:r>
          </w:p>
        </w:tc>
      </w:tr>
      <w:tr w:rsidR="00DA35B2" w:rsidRPr="00C233EF" w14:paraId="74ADA9E6" w14:textId="77777777" w:rsidTr="003E1D63">
        <w:tc>
          <w:tcPr>
            <w:tcW w:w="2785" w:type="dxa"/>
          </w:tcPr>
          <w:p w14:paraId="0EC11BEE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  <w:vertAlign w:val="superscript"/>
              </w:rPr>
            </w:pPr>
            <w:r w:rsidRPr="00C233EF">
              <w:rPr>
                <w:rFonts w:ascii="Arial" w:hAnsi="Arial" w:cs="Arial"/>
              </w:rPr>
              <w:t xml:space="preserve">Images or </w:t>
            </w:r>
            <w:proofErr w:type="spellStart"/>
            <w:r w:rsidRPr="00C233EF">
              <w:rPr>
                <w:rFonts w:ascii="Arial" w:hAnsi="Arial" w:cs="Arial"/>
              </w:rPr>
              <w:t>graphics</w:t>
            </w:r>
            <w:r w:rsidRPr="00C233EF">
              <w:rPr>
                <w:rFonts w:ascii="Arial" w:hAnsi="Arial" w:cs="Arial"/>
                <w:vertAlign w:val="superscript"/>
              </w:rPr>
              <w:t>M</w:t>
            </w:r>
            <w:proofErr w:type="spellEnd"/>
          </w:p>
        </w:tc>
        <w:tc>
          <w:tcPr>
            <w:tcW w:w="6565" w:type="dxa"/>
          </w:tcPr>
          <w:p w14:paraId="21592A04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Use of images to illustrate key concepts (e.g., infographics)</w:t>
            </w:r>
          </w:p>
        </w:tc>
      </w:tr>
      <w:tr w:rsidR="00DA35B2" w:rsidRPr="00C233EF" w14:paraId="4EBB7EFC" w14:textId="77777777" w:rsidTr="003E1D63">
        <w:tc>
          <w:tcPr>
            <w:tcW w:w="2785" w:type="dxa"/>
          </w:tcPr>
          <w:p w14:paraId="455BE393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  <w:vertAlign w:val="superscript"/>
              </w:rPr>
            </w:pPr>
            <w:proofErr w:type="spellStart"/>
            <w:r w:rsidRPr="00C233EF">
              <w:rPr>
                <w:rFonts w:ascii="Arial" w:hAnsi="Arial" w:cs="Arial"/>
              </w:rPr>
              <w:lastRenderedPageBreak/>
              <w:t>Tables</w:t>
            </w:r>
            <w:r w:rsidRPr="00C233EF">
              <w:rPr>
                <w:rFonts w:ascii="Arial" w:hAnsi="Arial" w:cs="Arial"/>
                <w:vertAlign w:val="superscript"/>
              </w:rPr>
              <w:t>M</w:t>
            </w:r>
            <w:proofErr w:type="spellEnd"/>
          </w:p>
        </w:tc>
        <w:tc>
          <w:tcPr>
            <w:tcW w:w="6565" w:type="dxa"/>
          </w:tcPr>
          <w:p w14:paraId="71366487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Use of tables to illustrate key concepts</w:t>
            </w:r>
          </w:p>
        </w:tc>
      </w:tr>
    </w:tbl>
    <w:p w14:paraId="0A0371C7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413085CE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7D8A179C" w14:textId="77777777" w:rsidR="00DA35B2" w:rsidRPr="00C233EF" w:rsidRDefault="00DA35B2" w:rsidP="00DA35B2">
      <w:pPr>
        <w:spacing w:line="480" w:lineRule="auto"/>
        <w:rPr>
          <w:rFonts w:ascii="Arial" w:hAnsi="Arial" w:cs="Arial"/>
          <w:b/>
          <w:bCs/>
        </w:rPr>
      </w:pPr>
      <w:r w:rsidRPr="00C233EF">
        <w:rPr>
          <w:rFonts w:ascii="Arial" w:hAnsi="Arial" w:cs="Arial"/>
          <w:b/>
          <w:bCs/>
        </w:rPr>
        <w:t>S1 Figure. Page Length</w:t>
      </w:r>
      <w:r>
        <w:rPr>
          <w:rFonts w:ascii="Arial" w:hAnsi="Arial" w:cs="Arial"/>
          <w:b/>
          <w:bCs/>
        </w:rPr>
        <w:t>s of</w:t>
      </w:r>
      <w:r w:rsidRPr="00C233EF">
        <w:rPr>
          <w:rFonts w:ascii="Arial" w:hAnsi="Arial" w:cs="Arial"/>
          <w:b/>
          <w:bCs/>
        </w:rPr>
        <w:t xml:space="preserve"> KI Section</w:t>
      </w:r>
      <w:r>
        <w:rPr>
          <w:rFonts w:ascii="Arial" w:hAnsi="Arial" w:cs="Arial"/>
          <w:b/>
          <w:bCs/>
        </w:rPr>
        <w:t>s</w:t>
      </w:r>
      <w:r w:rsidRPr="00C233EF">
        <w:rPr>
          <w:rFonts w:ascii="Arial" w:hAnsi="Arial" w:cs="Arial"/>
          <w:b/>
          <w:bCs/>
        </w:rPr>
        <w:t xml:space="preserve"> vs. ICF</w:t>
      </w:r>
      <w:r>
        <w:rPr>
          <w:rFonts w:ascii="Arial" w:hAnsi="Arial" w:cs="Arial"/>
          <w:b/>
          <w:bCs/>
        </w:rPr>
        <w:t>s (n=76)</w:t>
      </w:r>
      <w:r w:rsidRPr="00C233EF">
        <w:rPr>
          <w:rFonts w:ascii="Arial" w:hAnsi="Arial" w:cs="Arial"/>
          <w:b/>
          <w:bCs/>
        </w:rPr>
        <w:t>.</w:t>
      </w:r>
    </w:p>
    <w:p w14:paraId="35B8AB77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0896CE5F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  <w:r w:rsidRPr="00C233EF">
        <w:rPr>
          <w:rFonts w:ascii="Arial" w:hAnsi="Arial" w:cs="Arial"/>
          <w:noProof/>
        </w:rPr>
        <w:drawing>
          <wp:inline distT="0" distB="0" distL="0" distR="0" wp14:anchorId="3ED569E2" wp14:editId="1C4BC6D7">
            <wp:extent cx="6322979" cy="2256817"/>
            <wp:effectExtent l="0" t="0" r="14605" b="1651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889FA4E8-7335-384F-8716-DA7EE0A4EF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61F26DE" w14:textId="77777777" w:rsidR="00DA35B2" w:rsidRDefault="00DA35B2" w:rsidP="00DA35B2">
      <w:pPr>
        <w:spacing w:line="480" w:lineRule="auto"/>
        <w:rPr>
          <w:rFonts w:ascii="Arial" w:hAnsi="Arial" w:cs="Arial"/>
        </w:rPr>
      </w:pPr>
    </w:p>
    <w:p w14:paraId="5422FF4B" w14:textId="77777777" w:rsidR="00DA35B2" w:rsidRDefault="00DA35B2" w:rsidP="00DA35B2">
      <w:pPr>
        <w:spacing w:line="480" w:lineRule="auto"/>
        <w:rPr>
          <w:rFonts w:ascii="Arial" w:hAnsi="Arial" w:cs="Arial"/>
        </w:rPr>
      </w:pPr>
    </w:p>
    <w:p w14:paraId="5DA8C89F" w14:textId="77777777" w:rsidR="00DA35B2" w:rsidRPr="00C233EF" w:rsidRDefault="00DA35B2" w:rsidP="00DA35B2">
      <w:pPr>
        <w:spacing w:line="480" w:lineRule="auto"/>
        <w:rPr>
          <w:rFonts w:ascii="Arial" w:hAnsi="Arial" w:cs="Arial"/>
          <w:b/>
          <w:bCs/>
        </w:rPr>
      </w:pPr>
      <w:r w:rsidRPr="00C233EF">
        <w:rPr>
          <w:rFonts w:ascii="Arial" w:hAnsi="Arial" w:cs="Arial"/>
          <w:b/>
          <w:bCs/>
        </w:rPr>
        <w:t>S3 Appendix. Word Count Results.</w:t>
      </w:r>
    </w:p>
    <w:p w14:paraId="2F255693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467724F0" w14:textId="7E060BC8" w:rsidR="00DA35B2" w:rsidRPr="00C233EF" w:rsidRDefault="00DA35B2" w:rsidP="00DA35B2">
      <w:pPr>
        <w:spacing w:line="480" w:lineRule="auto"/>
        <w:rPr>
          <w:rFonts w:ascii="Arial" w:hAnsi="Arial" w:cs="Arial"/>
        </w:rPr>
      </w:pPr>
      <w:r w:rsidRPr="00C233EF">
        <w:rPr>
          <w:rFonts w:ascii="Arial" w:hAnsi="Arial" w:cs="Arial"/>
        </w:rPr>
        <w:t>Mean word counts of ICFs with KI sections (</w:t>
      </w:r>
      <w:r>
        <w:rPr>
          <w:rFonts w:ascii="Arial" w:hAnsi="Arial" w:cs="Arial"/>
        </w:rPr>
        <w:t xml:space="preserve">n=76; </w:t>
      </w:r>
      <w:r w:rsidRPr="00C233EF">
        <w:rPr>
          <w:rFonts w:ascii="Arial" w:hAnsi="Arial" w:cs="Arial"/>
        </w:rPr>
        <w:t>mean 5126 words, range 2189-10444 words) were longer than ICFs without KI sections (</w:t>
      </w:r>
      <w:r>
        <w:rPr>
          <w:rFonts w:ascii="Arial" w:hAnsi="Arial" w:cs="Arial"/>
        </w:rPr>
        <w:t xml:space="preserve">n=26; </w:t>
      </w:r>
      <w:r w:rsidRPr="00C233EF">
        <w:rPr>
          <w:rFonts w:ascii="Arial" w:hAnsi="Arial" w:cs="Arial"/>
        </w:rPr>
        <w:t xml:space="preserve">mean 4113 words, range 938-8563 words), with a mean difference of 841 words. The mean word count of KI sections </w:t>
      </w:r>
      <w:r>
        <w:rPr>
          <w:rFonts w:ascii="Arial" w:hAnsi="Arial" w:cs="Arial"/>
        </w:rPr>
        <w:t xml:space="preserve">(n=76) </w:t>
      </w:r>
      <w:r w:rsidRPr="00C233EF">
        <w:rPr>
          <w:rFonts w:ascii="Arial" w:hAnsi="Arial" w:cs="Arial"/>
        </w:rPr>
        <w:t xml:space="preserve">was 573 words (range 131-2170 words). On average, </w:t>
      </w:r>
      <w:r>
        <w:rPr>
          <w:rFonts w:ascii="Arial" w:hAnsi="Arial" w:cs="Arial"/>
        </w:rPr>
        <w:t xml:space="preserve">the </w:t>
      </w:r>
      <w:r w:rsidRPr="00C233EF">
        <w:rPr>
          <w:rFonts w:ascii="Arial" w:hAnsi="Arial" w:cs="Arial"/>
        </w:rPr>
        <w:t xml:space="preserve">KI sections constituted 12% of the total word count of </w:t>
      </w:r>
      <w:r w:rsidR="001F09FA">
        <w:rPr>
          <w:rFonts w:ascii="Arial" w:hAnsi="Arial" w:cs="Arial"/>
        </w:rPr>
        <w:t xml:space="preserve">those </w:t>
      </w:r>
      <w:r w:rsidRPr="00C233EF">
        <w:rPr>
          <w:rFonts w:ascii="Arial" w:hAnsi="Arial" w:cs="Arial"/>
        </w:rPr>
        <w:t xml:space="preserve">ICF documents </w:t>
      </w:r>
      <w:r w:rsidR="001F09FA">
        <w:rPr>
          <w:rFonts w:ascii="Arial" w:hAnsi="Arial" w:cs="Arial"/>
        </w:rPr>
        <w:t xml:space="preserve">that contained KIs, </w:t>
      </w:r>
      <w:r w:rsidRPr="00C233EF">
        <w:rPr>
          <w:rFonts w:ascii="Arial" w:hAnsi="Arial" w:cs="Arial"/>
        </w:rPr>
        <w:t>with a median of 10% (IQR 6.5%-14%).</w:t>
      </w:r>
    </w:p>
    <w:p w14:paraId="63D0D55D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5D964A3E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  <w:r w:rsidRPr="00C233EF">
        <w:rPr>
          <w:rFonts w:ascii="Arial" w:hAnsi="Arial" w:cs="Arial"/>
          <w:b/>
          <w:bCs/>
        </w:rPr>
        <w:lastRenderedPageBreak/>
        <w:t>S</w:t>
      </w:r>
      <w:r>
        <w:rPr>
          <w:rFonts w:ascii="Arial" w:hAnsi="Arial" w:cs="Arial"/>
          <w:b/>
          <w:bCs/>
        </w:rPr>
        <w:t>3</w:t>
      </w:r>
      <w:r w:rsidRPr="00C233EF">
        <w:rPr>
          <w:rFonts w:ascii="Arial" w:hAnsi="Arial" w:cs="Arial"/>
          <w:b/>
          <w:bCs/>
        </w:rPr>
        <w:t xml:space="preserve"> Table. SMOG Index Grade Level of KI Sections and ICFs.</w:t>
      </w:r>
    </w:p>
    <w:p w14:paraId="69AB1738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235"/>
        <w:gridCol w:w="1800"/>
        <w:gridCol w:w="2340"/>
        <w:gridCol w:w="2610"/>
      </w:tblGrid>
      <w:tr w:rsidR="00DA35B2" w:rsidRPr="00C233EF" w14:paraId="5B73F30D" w14:textId="77777777" w:rsidTr="003E1D63">
        <w:trPr>
          <w:trHeight w:val="701"/>
        </w:trPr>
        <w:tc>
          <w:tcPr>
            <w:tcW w:w="3235" w:type="dxa"/>
            <w:shd w:val="clear" w:color="auto" w:fill="E7E6E6" w:themeFill="background2"/>
          </w:tcPr>
          <w:p w14:paraId="63A6B25B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14:paraId="0D15464C" w14:textId="77777777" w:rsidR="00DA35B2" w:rsidRPr="00BE2E39" w:rsidRDefault="00DA35B2" w:rsidP="003E1D63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BE2E39">
              <w:rPr>
                <w:rFonts w:ascii="Arial" w:hAnsi="Arial" w:cs="Arial"/>
                <w:b/>
                <w:bCs/>
              </w:rPr>
              <w:t xml:space="preserve">KI Sections </w:t>
            </w:r>
            <w:r w:rsidRPr="00BE2E39">
              <w:rPr>
                <w:rFonts w:ascii="Arial" w:hAnsi="Arial" w:cs="Arial"/>
                <w:b/>
                <w:bCs/>
              </w:rPr>
              <w:br/>
              <w:t>(n=76)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0436810B" w14:textId="77777777" w:rsidR="00DA35B2" w:rsidRPr="00BE2E39" w:rsidRDefault="00DA35B2" w:rsidP="003E1D63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BE2E39">
              <w:rPr>
                <w:rFonts w:ascii="Arial" w:hAnsi="Arial" w:cs="Arial"/>
                <w:b/>
                <w:bCs/>
              </w:rPr>
              <w:t>Full ICFs With KI Sections (n=76)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3A0135A6" w14:textId="77777777" w:rsidR="00DA35B2" w:rsidRPr="00BE2E39" w:rsidRDefault="00DA35B2" w:rsidP="003E1D63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BE2E39">
              <w:rPr>
                <w:rFonts w:ascii="Arial" w:hAnsi="Arial" w:cs="Arial"/>
                <w:b/>
                <w:bCs/>
              </w:rPr>
              <w:t>Full ICFs Without KI Sections (n=26)</w:t>
            </w:r>
          </w:p>
        </w:tc>
      </w:tr>
      <w:tr w:rsidR="00DA35B2" w:rsidRPr="00C233EF" w14:paraId="412C685D" w14:textId="77777777" w:rsidTr="003E1D63">
        <w:trPr>
          <w:trHeight w:val="350"/>
        </w:trPr>
        <w:tc>
          <w:tcPr>
            <w:tcW w:w="3235" w:type="dxa"/>
          </w:tcPr>
          <w:p w14:paraId="0A401A16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Mean (Range) Grade Level</w:t>
            </w:r>
          </w:p>
        </w:tc>
        <w:tc>
          <w:tcPr>
            <w:tcW w:w="1800" w:type="dxa"/>
            <w:shd w:val="clear" w:color="auto" w:fill="auto"/>
          </w:tcPr>
          <w:p w14:paraId="583561BB" w14:textId="77777777" w:rsidR="00DA35B2" w:rsidRPr="00C233EF" w:rsidRDefault="00DA35B2" w:rsidP="003E1D6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9.6 (7.2-16.3)</w:t>
            </w:r>
          </w:p>
        </w:tc>
        <w:tc>
          <w:tcPr>
            <w:tcW w:w="2340" w:type="dxa"/>
            <w:shd w:val="clear" w:color="auto" w:fill="auto"/>
          </w:tcPr>
          <w:p w14:paraId="12F3356D" w14:textId="77777777" w:rsidR="00DA35B2" w:rsidRPr="00C233EF" w:rsidRDefault="00DA35B2" w:rsidP="003E1D6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10 (7.3-19.9)</w:t>
            </w:r>
          </w:p>
        </w:tc>
        <w:tc>
          <w:tcPr>
            <w:tcW w:w="2610" w:type="dxa"/>
            <w:shd w:val="clear" w:color="auto" w:fill="auto"/>
          </w:tcPr>
          <w:p w14:paraId="17555F0E" w14:textId="77777777" w:rsidR="00DA35B2" w:rsidRPr="00C233EF" w:rsidRDefault="00DA35B2" w:rsidP="003E1D6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9.7 (8.1-12.2)</w:t>
            </w:r>
          </w:p>
        </w:tc>
      </w:tr>
      <w:tr w:rsidR="00DA35B2" w:rsidRPr="00C233EF" w14:paraId="7DEABF37" w14:textId="77777777" w:rsidTr="003E1D63">
        <w:tc>
          <w:tcPr>
            <w:tcW w:w="3235" w:type="dxa"/>
          </w:tcPr>
          <w:p w14:paraId="5FAC8E2D" w14:textId="77777777" w:rsidR="00DA35B2" w:rsidRPr="00C233EF" w:rsidRDefault="00DA35B2" w:rsidP="003E1D63">
            <w:pPr>
              <w:spacing w:line="480" w:lineRule="auto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Median (IQR) Grade Level</w:t>
            </w:r>
          </w:p>
        </w:tc>
        <w:tc>
          <w:tcPr>
            <w:tcW w:w="1800" w:type="dxa"/>
            <w:shd w:val="clear" w:color="auto" w:fill="auto"/>
          </w:tcPr>
          <w:p w14:paraId="79D73EBE" w14:textId="77777777" w:rsidR="00DA35B2" w:rsidRPr="00C233EF" w:rsidRDefault="00DA35B2" w:rsidP="003E1D6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9.3 (8.4-10.5)</w:t>
            </w:r>
          </w:p>
        </w:tc>
        <w:tc>
          <w:tcPr>
            <w:tcW w:w="2340" w:type="dxa"/>
            <w:shd w:val="clear" w:color="auto" w:fill="auto"/>
          </w:tcPr>
          <w:p w14:paraId="518EFC87" w14:textId="77777777" w:rsidR="00DA35B2" w:rsidRPr="00C233EF" w:rsidRDefault="00DA35B2" w:rsidP="003E1D6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9.9 (9.4-10.6)</w:t>
            </w:r>
          </w:p>
        </w:tc>
        <w:tc>
          <w:tcPr>
            <w:tcW w:w="2610" w:type="dxa"/>
            <w:shd w:val="clear" w:color="auto" w:fill="auto"/>
          </w:tcPr>
          <w:p w14:paraId="757AAA78" w14:textId="77777777" w:rsidR="00DA35B2" w:rsidRPr="00C233EF" w:rsidRDefault="00DA35B2" w:rsidP="003E1D6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233EF">
              <w:rPr>
                <w:rFonts w:ascii="Arial" w:hAnsi="Arial" w:cs="Arial"/>
              </w:rPr>
              <w:t>9.8 (9.2-10)</w:t>
            </w:r>
          </w:p>
        </w:tc>
      </w:tr>
    </w:tbl>
    <w:p w14:paraId="31B6AA7A" w14:textId="77777777" w:rsidR="00DA35B2" w:rsidRPr="00BE2E39" w:rsidRDefault="00DA35B2" w:rsidP="00DA35B2">
      <w:pPr>
        <w:spacing w:line="480" w:lineRule="auto"/>
        <w:rPr>
          <w:rFonts w:ascii="Arial" w:hAnsi="Arial" w:cs="Arial"/>
        </w:rPr>
      </w:pPr>
    </w:p>
    <w:p w14:paraId="47B6C9C9" w14:textId="77777777" w:rsidR="00DA35B2" w:rsidRPr="00BE2E39" w:rsidRDefault="00DA35B2" w:rsidP="00DA35B2">
      <w:pPr>
        <w:spacing w:line="480" w:lineRule="auto"/>
        <w:rPr>
          <w:rFonts w:ascii="Arial" w:hAnsi="Arial" w:cs="Arial"/>
        </w:rPr>
      </w:pPr>
    </w:p>
    <w:p w14:paraId="4A67F817" w14:textId="77777777" w:rsidR="00DA35B2" w:rsidRPr="00BE2E39" w:rsidRDefault="00DA35B2" w:rsidP="00DA35B2">
      <w:pPr>
        <w:spacing w:line="480" w:lineRule="auto"/>
        <w:rPr>
          <w:rFonts w:ascii="Arial" w:hAnsi="Arial" w:cs="Arial"/>
        </w:rPr>
      </w:pPr>
    </w:p>
    <w:p w14:paraId="11A55C8E" w14:textId="77777777" w:rsidR="00DA35B2" w:rsidRPr="00BE2E39" w:rsidRDefault="00DA35B2" w:rsidP="00DA35B2">
      <w:pPr>
        <w:spacing w:line="480" w:lineRule="auto"/>
        <w:rPr>
          <w:rFonts w:ascii="Arial" w:hAnsi="Arial" w:cs="Arial"/>
        </w:rPr>
      </w:pPr>
    </w:p>
    <w:p w14:paraId="0FDC7108" w14:textId="77777777" w:rsidR="00DA35B2" w:rsidRPr="00BE2E39" w:rsidRDefault="00DA35B2" w:rsidP="00DA35B2">
      <w:pPr>
        <w:spacing w:line="480" w:lineRule="auto"/>
        <w:rPr>
          <w:rFonts w:ascii="Arial" w:hAnsi="Arial" w:cs="Arial"/>
        </w:rPr>
      </w:pPr>
    </w:p>
    <w:p w14:paraId="16E8F149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017D4BE6" w14:textId="77777777" w:rsidR="00DA35B2" w:rsidRPr="00C233EF" w:rsidRDefault="00DA35B2" w:rsidP="00DA35B2">
      <w:pPr>
        <w:spacing w:line="480" w:lineRule="auto"/>
        <w:rPr>
          <w:rFonts w:ascii="Arial" w:hAnsi="Arial" w:cs="Arial"/>
        </w:rPr>
      </w:pPr>
    </w:p>
    <w:p w14:paraId="3E1816CE" w14:textId="77777777" w:rsidR="007F3BB7" w:rsidRDefault="007F3BB7"/>
    <w:sectPr w:rsidR="007F3BB7" w:rsidSect="00DA35B2">
      <w:footnotePr>
        <w:numFmt w:val="lowerLetter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F0003"/>
    <w:multiLevelType w:val="hybridMultilevel"/>
    <w:tmpl w:val="BBAAEBEE"/>
    <w:lvl w:ilvl="0" w:tplc="9E409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4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lowerLetter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B2"/>
    <w:rsid w:val="00015B13"/>
    <w:rsid w:val="001E228B"/>
    <w:rsid w:val="001F09FA"/>
    <w:rsid w:val="00492C8C"/>
    <w:rsid w:val="006643A6"/>
    <w:rsid w:val="007F3BB7"/>
    <w:rsid w:val="008C7B19"/>
    <w:rsid w:val="009D7C3A"/>
    <w:rsid w:val="00D706DF"/>
    <w:rsid w:val="00DA35B2"/>
    <w:rsid w:val="00DE0E42"/>
    <w:rsid w:val="00E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6761"/>
  <w15:chartTrackingRefBased/>
  <w15:docId w15:val="{CD7AC735-50AB-479E-888E-6B72741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B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3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5B2"/>
    <w:rPr>
      <w:sz w:val="20"/>
      <w:szCs w:val="20"/>
    </w:rPr>
  </w:style>
  <w:style w:type="table" w:styleId="TableGrid">
    <w:name w:val="Table Grid"/>
    <w:basedOn w:val="TableNormal"/>
    <w:uiPriority w:val="39"/>
    <w:rsid w:val="00DA35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walkermorrell\Dropbox%20(Partners%20HealthCare)\Projects\Informed%20Consent%20Initiatives\Post-Revised%20Common%20Rule%20ICF%20analysis%20(Greenwall%20spinoff)\Analysis\2021-10-07%20Materials\Codebook\FINAL\Duplicates%20Removed\2021-12-22%20ANALYSIS%20key%20info%20analy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Key Information Section Page Length vs. ICF Page Length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'PL Histograms and Scatterplot'!$C$1</c:f>
              <c:strCache>
                <c:ptCount val="1"/>
                <c:pt idx="0">
                  <c:v>Key Information Section Page Length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'PL Histograms and Scatterplot'!$B$2:$B$80</c:f>
              <c:numCache>
                <c:formatCode>General</c:formatCode>
                <c:ptCount val="79"/>
                <c:pt idx="0">
                  <c:v>14.75</c:v>
                </c:pt>
                <c:pt idx="1">
                  <c:v>13</c:v>
                </c:pt>
                <c:pt idx="2">
                  <c:v>17</c:v>
                </c:pt>
                <c:pt idx="3">
                  <c:v>11</c:v>
                </c:pt>
                <c:pt idx="4">
                  <c:v>17</c:v>
                </c:pt>
                <c:pt idx="5">
                  <c:v>16.25</c:v>
                </c:pt>
                <c:pt idx="6">
                  <c:v>12.5</c:v>
                </c:pt>
                <c:pt idx="7">
                  <c:v>19.5</c:v>
                </c:pt>
                <c:pt idx="8">
                  <c:v>17.25</c:v>
                </c:pt>
                <c:pt idx="9">
                  <c:v>17.5</c:v>
                </c:pt>
                <c:pt idx="10">
                  <c:v>10</c:v>
                </c:pt>
                <c:pt idx="11">
                  <c:v>16</c:v>
                </c:pt>
                <c:pt idx="12">
                  <c:v>12</c:v>
                </c:pt>
                <c:pt idx="13">
                  <c:v>13.75</c:v>
                </c:pt>
                <c:pt idx="14">
                  <c:v>8</c:v>
                </c:pt>
                <c:pt idx="15">
                  <c:v>11.25</c:v>
                </c:pt>
                <c:pt idx="16">
                  <c:v>11</c:v>
                </c:pt>
                <c:pt idx="17">
                  <c:v>16.25</c:v>
                </c:pt>
                <c:pt idx="18">
                  <c:v>15</c:v>
                </c:pt>
                <c:pt idx="19">
                  <c:v>8</c:v>
                </c:pt>
                <c:pt idx="20">
                  <c:v>14.5</c:v>
                </c:pt>
                <c:pt idx="21">
                  <c:v>13</c:v>
                </c:pt>
                <c:pt idx="22">
                  <c:v>6.75</c:v>
                </c:pt>
                <c:pt idx="23">
                  <c:v>10.25</c:v>
                </c:pt>
                <c:pt idx="24">
                  <c:v>13.5</c:v>
                </c:pt>
                <c:pt idx="25">
                  <c:v>11.25</c:v>
                </c:pt>
                <c:pt idx="26">
                  <c:v>5</c:v>
                </c:pt>
                <c:pt idx="27">
                  <c:v>13.25</c:v>
                </c:pt>
                <c:pt idx="28">
                  <c:v>7.5</c:v>
                </c:pt>
                <c:pt idx="29">
                  <c:v>10</c:v>
                </c:pt>
                <c:pt idx="30">
                  <c:v>8.25</c:v>
                </c:pt>
                <c:pt idx="31">
                  <c:v>5.5</c:v>
                </c:pt>
                <c:pt idx="32">
                  <c:v>27.25</c:v>
                </c:pt>
                <c:pt idx="33">
                  <c:v>14.25</c:v>
                </c:pt>
                <c:pt idx="34">
                  <c:v>8</c:v>
                </c:pt>
                <c:pt idx="35">
                  <c:v>15</c:v>
                </c:pt>
                <c:pt idx="36">
                  <c:v>7.25</c:v>
                </c:pt>
                <c:pt idx="37">
                  <c:v>20</c:v>
                </c:pt>
                <c:pt idx="38">
                  <c:v>9</c:v>
                </c:pt>
                <c:pt idx="39">
                  <c:v>22</c:v>
                </c:pt>
                <c:pt idx="40">
                  <c:v>11.75</c:v>
                </c:pt>
                <c:pt idx="41">
                  <c:v>16.25</c:v>
                </c:pt>
                <c:pt idx="42">
                  <c:v>10</c:v>
                </c:pt>
                <c:pt idx="43">
                  <c:v>13.5</c:v>
                </c:pt>
                <c:pt idx="44">
                  <c:v>11.5</c:v>
                </c:pt>
                <c:pt idx="45">
                  <c:v>11.5</c:v>
                </c:pt>
                <c:pt idx="46">
                  <c:v>10.5</c:v>
                </c:pt>
                <c:pt idx="47">
                  <c:v>9</c:v>
                </c:pt>
                <c:pt idx="48">
                  <c:v>8</c:v>
                </c:pt>
                <c:pt idx="49">
                  <c:v>10.25</c:v>
                </c:pt>
                <c:pt idx="50">
                  <c:v>7.25</c:v>
                </c:pt>
                <c:pt idx="51">
                  <c:v>15.5</c:v>
                </c:pt>
                <c:pt idx="52">
                  <c:v>11.75</c:v>
                </c:pt>
                <c:pt idx="53">
                  <c:v>14.75</c:v>
                </c:pt>
                <c:pt idx="54">
                  <c:v>15</c:v>
                </c:pt>
                <c:pt idx="55">
                  <c:v>15.5</c:v>
                </c:pt>
                <c:pt idx="56">
                  <c:v>12.5</c:v>
                </c:pt>
                <c:pt idx="57">
                  <c:v>17.5</c:v>
                </c:pt>
                <c:pt idx="58">
                  <c:v>17.5</c:v>
                </c:pt>
                <c:pt idx="59">
                  <c:v>16.25</c:v>
                </c:pt>
                <c:pt idx="60">
                  <c:v>9.75</c:v>
                </c:pt>
                <c:pt idx="61">
                  <c:v>16.25</c:v>
                </c:pt>
                <c:pt idx="62">
                  <c:v>11.5</c:v>
                </c:pt>
                <c:pt idx="63">
                  <c:v>6</c:v>
                </c:pt>
                <c:pt idx="64">
                  <c:v>7</c:v>
                </c:pt>
                <c:pt idx="65">
                  <c:v>5.5</c:v>
                </c:pt>
                <c:pt idx="66">
                  <c:v>11.75</c:v>
                </c:pt>
                <c:pt idx="67">
                  <c:v>8</c:v>
                </c:pt>
                <c:pt idx="68">
                  <c:v>7</c:v>
                </c:pt>
                <c:pt idx="69">
                  <c:v>10</c:v>
                </c:pt>
                <c:pt idx="70">
                  <c:v>9</c:v>
                </c:pt>
                <c:pt idx="71">
                  <c:v>11</c:v>
                </c:pt>
                <c:pt idx="72">
                  <c:v>16.25</c:v>
                </c:pt>
                <c:pt idx="73">
                  <c:v>9.5</c:v>
                </c:pt>
                <c:pt idx="74">
                  <c:v>21.5</c:v>
                </c:pt>
                <c:pt idx="75">
                  <c:v>22</c:v>
                </c:pt>
                <c:pt idx="78">
                  <c:v>12.582236842105264</c:v>
                </c:pt>
              </c:numCache>
            </c:numRef>
          </c:xVal>
          <c:yVal>
            <c:numRef>
              <c:f>'PL Histograms and Scatterplot'!$C$2:$C$80</c:f>
              <c:numCache>
                <c:formatCode>General</c:formatCode>
                <c:ptCount val="79"/>
                <c:pt idx="0">
                  <c:v>1</c:v>
                </c:pt>
                <c:pt idx="1">
                  <c:v>0.75</c:v>
                </c:pt>
                <c:pt idx="2">
                  <c:v>0.5</c:v>
                </c:pt>
                <c:pt idx="3">
                  <c:v>1.25</c:v>
                </c:pt>
                <c:pt idx="4">
                  <c:v>4.5</c:v>
                </c:pt>
                <c:pt idx="5">
                  <c:v>3.5</c:v>
                </c:pt>
                <c:pt idx="6">
                  <c:v>0.5</c:v>
                </c:pt>
                <c:pt idx="7">
                  <c:v>2</c:v>
                </c:pt>
                <c:pt idx="8">
                  <c:v>1.25</c:v>
                </c:pt>
                <c:pt idx="9">
                  <c:v>2</c:v>
                </c:pt>
                <c:pt idx="10">
                  <c:v>0.75</c:v>
                </c:pt>
                <c:pt idx="11">
                  <c:v>5</c:v>
                </c:pt>
                <c:pt idx="12">
                  <c:v>0.5</c:v>
                </c:pt>
                <c:pt idx="13">
                  <c:v>1.5</c:v>
                </c:pt>
                <c:pt idx="14">
                  <c:v>1</c:v>
                </c:pt>
                <c:pt idx="15">
                  <c:v>1</c:v>
                </c:pt>
                <c:pt idx="16">
                  <c:v>0.25</c:v>
                </c:pt>
                <c:pt idx="17">
                  <c:v>3</c:v>
                </c:pt>
                <c:pt idx="18">
                  <c:v>1</c:v>
                </c:pt>
                <c:pt idx="19">
                  <c:v>0.25</c:v>
                </c:pt>
                <c:pt idx="20">
                  <c:v>0.5</c:v>
                </c:pt>
                <c:pt idx="21">
                  <c:v>1.5</c:v>
                </c:pt>
                <c:pt idx="22">
                  <c:v>0.5</c:v>
                </c:pt>
                <c:pt idx="23">
                  <c:v>0.75</c:v>
                </c:pt>
                <c:pt idx="24">
                  <c:v>0.75</c:v>
                </c:pt>
                <c:pt idx="25">
                  <c:v>1</c:v>
                </c:pt>
                <c:pt idx="26">
                  <c:v>0.5</c:v>
                </c:pt>
                <c:pt idx="27">
                  <c:v>1</c:v>
                </c:pt>
                <c:pt idx="28">
                  <c:v>0.25</c:v>
                </c:pt>
                <c:pt idx="29">
                  <c:v>2</c:v>
                </c:pt>
                <c:pt idx="30">
                  <c:v>0.75</c:v>
                </c:pt>
                <c:pt idx="31">
                  <c:v>0.75</c:v>
                </c:pt>
                <c:pt idx="32">
                  <c:v>1</c:v>
                </c:pt>
                <c:pt idx="33">
                  <c:v>1.5</c:v>
                </c:pt>
                <c:pt idx="34">
                  <c:v>0.25</c:v>
                </c:pt>
                <c:pt idx="35">
                  <c:v>0.75</c:v>
                </c:pt>
                <c:pt idx="36">
                  <c:v>0.75</c:v>
                </c:pt>
                <c:pt idx="37">
                  <c:v>2</c:v>
                </c:pt>
                <c:pt idx="38">
                  <c:v>1.25</c:v>
                </c:pt>
                <c:pt idx="39">
                  <c:v>1.75</c:v>
                </c:pt>
                <c:pt idx="40">
                  <c:v>0.75</c:v>
                </c:pt>
                <c:pt idx="41">
                  <c:v>1.5</c:v>
                </c:pt>
                <c:pt idx="42">
                  <c:v>0.75</c:v>
                </c:pt>
                <c:pt idx="43">
                  <c:v>2.75</c:v>
                </c:pt>
                <c:pt idx="44">
                  <c:v>0.75</c:v>
                </c:pt>
                <c:pt idx="45">
                  <c:v>1.25</c:v>
                </c:pt>
                <c:pt idx="46">
                  <c:v>0.5</c:v>
                </c:pt>
                <c:pt idx="47">
                  <c:v>1.25</c:v>
                </c:pt>
                <c:pt idx="48">
                  <c:v>0.5</c:v>
                </c:pt>
                <c:pt idx="49">
                  <c:v>0.75</c:v>
                </c:pt>
                <c:pt idx="50">
                  <c:v>0.75</c:v>
                </c:pt>
                <c:pt idx="51">
                  <c:v>1</c:v>
                </c:pt>
                <c:pt idx="52">
                  <c:v>5</c:v>
                </c:pt>
                <c:pt idx="53">
                  <c:v>0.5</c:v>
                </c:pt>
                <c:pt idx="54">
                  <c:v>1.25</c:v>
                </c:pt>
                <c:pt idx="55">
                  <c:v>3.75</c:v>
                </c:pt>
                <c:pt idx="56">
                  <c:v>1</c:v>
                </c:pt>
                <c:pt idx="57">
                  <c:v>4.25</c:v>
                </c:pt>
                <c:pt idx="58">
                  <c:v>2.75</c:v>
                </c:pt>
                <c:pt idx="59">
                  <c:v>1.5</c:v>
                </c:pt>
                <c:pt idx="60">
                  <c:v>2</c:v>
                </c:pt>
                <c:pt idx="61">
                  <c:v>0.75</c:v>
                </c:pt>
                <c:pt idx="62">
                  <c:v>1</c:v>
                </c:pt>
                <c:pt idx="63">
                  <c:v>0.25</c:v>
                </c:pt>
                <c:pt idx="64">
                  <c:v>0.5</c:v>
                </c:pt>
                <c:pt idx="65">
                  <c:v>0.5</c:v>
                </c:pt>
                <c:pt idx="66">
                  <c:v>1</c:v>
                </c:pt>
                <c:pt idx="67">
                  <c:v>0.75</c:v>
                </c:pt>
                <c:pt idx="68">
                  <c:v>1</c:v>
                </c:pt>
                <c:pt idx="69">
                  <c:v>2</c:v>
                </c:pt>
                <c:pt idx="70">
                  <c:v>0.75</c:v>
                </c:pt>
                <c:pt idx="71">
                  <c:v>0.75</c:v>
                </c:pt>
                <c:pt idx="72">
                  <c:v>1</c:v>
                </c:pt>
                <c:pt idx="73">
                  <c:v>1</c:v>
                </c:pt>
                <c:pt idx="74">
                  <c:v>0.75</c:v>
                </c:pt>
                <c:pt idx="75">
                  <c:v>0.75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7F1-43AB-9C0D-632844CF9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4236736"/>
        <c:axId val="1944238368"/>
      </c:scatterChart>
      <c:valAx>
        <c:axId val="1944236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ICF Page Length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4238368"/>
        <c:crosses val="autoZero"/>
        <c:crossBetween val="midCat"/>
      </c:valAx>
      <c:valAx>
        <c:axId val="194423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Key Information Section Page Length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42367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Gelinas</dc:creator>
  <cp:keywords/>
  <dc:description/>
  <cp:lastModifiedBy>Luke Gelinas</cp:lastModifiedBy>
  <cp:revision>2</cp:revision>
  <dcterms:created xsi:type="dcterms:W3CDTF">2023-06-15T16:35:00Z</dcterms:created>
  <dcterms:modified xsi:type="dcterms:W3CDTF">2023-06-15T16:35:00Z</dcterms:modified>
</cp:coreProperties>
</file>