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224A" w14:textId="77777777" w:rsidR="006B74C5" w:rsidRPr="00961EB1" w:rsidRDefault="006B74C5" w:rsidP="006B74C5">
      <w:pPr>
        <w:spacing w:after="0" w:line="480" w:lineRule="auto"/>
        <w:contextualSpacing/>
        <w:jc w:val="both"/>
        <w:outlineLvl w:val="2"/>
        <w:rPr>
          <w:rFonts w:ascii="Arial" w:eastAsia="Times New Roman" w:hAnsi="Arial" w:cs="Arial"/>
          <w:color w:val="734126"/>
          <w:spacing w:val="-2"/>
          <w:sz w:val="32"/>
          <w:szCs w:val="32"/>
        </w:rPr>
      </w:pPr>
    </w:p>
    <w:p w14:paraId="3E185EA7" w14:textId="77777777" w:rsidR="006B74C5" w:rsidRPr="00961EB1" w:rsidRDefault="006B74C5" w:rsidP="006B74C5">
      <w:pPr>
        <w:pStyle w:val="Heading1"/>
      </w:pPr>
      <w:r w:rsidRPr="00961EB1">
        <w:t>Appendix A:  eLearning Course Listing</w:t>
      </w:r>
    </w:p>
    <w:p w14:paraId="47F40A7A" w14:textId="77777777" w:rsidR="006B74C5" w:rsidRPr="00961EB1" w:rsidRDefault="006B74C5" w:rsidP="006B74C5">
      <w:pPr>
        <w:spacing w:after="0" w:line="480" w:lineRule="auto"/>
        <w:contextualSpacing/>
        <w:jc w:val="both"/>
        <w:rPr>
          <w:rFonts w:ascii="Arial" w:hAnsi="Arial" w:cs="Arial"/>
          <w:b/>
          <w:bCs/>
        </w:rPr>
      </w:pPr>
      <w:r w:rsidRPr="00961EB1">
        <w:rPr>
          <w:rFonts w:ascii="Arial" w:hAnsi="Arial" w:cs="Arial"/>
          <w:b/>
          <w:bCs/>
        </w:rPr>
        <w:t>Clinical Research Essentials</w:t>
      </w:r>
    </w:p>
    <w:p w14:paraId="7842D40B"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Informed Consent Simulation</w:t>
      </w:r>
    </w:p>
    <w:p w14:paraId="36CD8F26"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Good Clinical Practice (GCP) Simulation</w:t>
      </w:r>
    </w:p>
    <w:p w14:paraId="06F9870A"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Introduction to Clinical Trials</w:t>
      </w:r>
    </w:p>
    <w:p w14:paraId="2DBE4321"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Ethics and Human Subject Protection: A Comprehensive Introduction</w:t>
      </w:r>
    </w:p>
    <w:p w14:paraId="7722212D"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Ethics and Human Subject Protection: A Refresher Course</w:t>
      </w:r>
    </w:p>
    <w:p w14:paraId="735FB388"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Investigator Responsibilities</w:t>
      </w:r>
    </w:p>
    <w:p w14:paraId="39774FBC"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The Drug Development Process: Improving Trial Feasibility and Exploring Your Growth Potential</w:t>
      </w:r>
    </w:p>
    <w:p w14:paraId="313AA55B"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Theory to Practice: Operationalize Your Clinical Study Protocol</w:t>
      </w:r>
    </w:p>
    <w:p w14:paraId="31E66788"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Mastering the Event Reporting Cycle: Understanding Your Impact on Patient Safety</w:t>
      </w:r>
    </w:p>
    <w:p w14:paraId="6F1E8D37"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Using Metrics to Improve Subject Recruitment and Retention</w:t>
      </w:r>
    </w:p>
    <w:p w14:paraId="021C7BC2"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ICH Gap Analysis</w:t>
      </w:r>
    </w:p>
    <w:p w14:paraId="19C46FDC"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Professional Certification Exam Prep</w:t>
      </w:r>
    </w:p>
    <w:p w14:paraId="20040F1C"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b/>
          <w:bCs/>
        </w:rPr>
        <w:t>Specialized Topics</w:t>
      </w:r>
    </w:p>
    <w:p w14:paraId="56C47AE4"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Understanding Clinical Trial Protocols: Key Considerations for Effective Development and Feasibility Review</w:t>
      </w:r>
    </w:p>
    <w:p w14:paraId="4AAB4EE0"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Site Quality Management Tools: SOPs, Metrics, and Training</w:t>
      </w:r>
    </w:p>
    <w:p w14:paraId="28FDBD3F"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Risk-Based Monitoring: The Essentials</w:t>
      </w:r>
    </w:p>
    <w:p w14:paraId="2951D382"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Mastering Budgeting at Your Site: Building and Negotiating Clinical Trial Budgets that Make Sense</w:t>
      </w:r>
    </w:p>
    <w:p w14:paraId="432BEFDA"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 xml:space="preserve">Key Skills for Ensuring Quality Control through Risk-Based </w:t>
      </w:r>
      <w:r>
        <w:rPr>
          <w:rFonts w:ascii="Arial" w:hAnsi="Arial" w:cs="Arial"/>
        </w:rPr>
        <w:t>Decision-Making</w:t>
      </w:r>
    </w:p>
    <w:p w14:paraId="079D5EEE"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lastRenderedPageBreak/>
        <w:t>Trial Feasibility and Selection: Their Impact on Accrual</w:t>
      </w:r>
    </w:p>
    <w:p w14:paraId="3B4F970B"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Implementing a Patient-Centered Informed Consent Process</w:t>
      </w:r>
    </w:p>
    <w:p w14:paraId="77625EE1"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Improving Recruitment, Accrual, and Retention in Clinical Trials</w:t>
      </w:r>
    </w:p>
    <w:p w14:paraId="13DECE6F"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Form FDA 1572: Get it Right the First Time</w:t>
      </w:r>
    </w:p>
    <w:p w14:paraId="65A232FE"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Inspection Readiness: Best Practices for Managing Clinical Trial Inspections</w:t>
      </w:r>
    </w:p>
    <w:p w14:paraId="1A8B1CBB" w14:textId="77777777" w:rsidR="006B74C5" w:rsidRPr="00961EB1" w:rsidRDefault="006B74C5" w:rsidP="006B74C5">
      <w:pPr>
        <w:spacing w:after="0" w:line="480" w:lineRule="auto"/>
        <w:contextualSpacing/>
        <w:jc w:val="both"/>
        <w:rPr>
          <w:rFonts w:ascii="Arial" w:hAnsi="Arial" w:cs="Arial"/>
        </w:rPr>
      </w:pPr>
      <w:r w:rsidRPr="00961EB1">
        <w:rPr>
          <w:rFonts w:ascii="Arial" w:hAnsi="Arial" w:cs="Arial"/>
        </w:rPr>
        <w:t>Building Quality Management Systems for Sites and Sponsors: Root Cause and CAPA</w:t>
      </w:r>
    </w:p>
    <w:p w14:paraId="65D9FF55" w14:textId="77777777" w:rsidR="006B74C5" w:rsidRPr="00961EB1" w:rsidRDefault="006B74C5" w:rsidP="006B74C5">
      <w:pPr>
        <w:spacing w:after="0" w:line="480" w:lineRule="auto"/>
        <w:contextualSpacing/>
        <w:jc w:val="both"/>
        <w:rPr>
          <w:rFonts w:ascii="Arial" w:hAnsi="Arial" w:cs="Arial"/>
        </w:rPr>
      </w:pPr>
      <w:proofErr w:type="spellStart"/>
      <w:r w:rsidRPr="00961EB1">
        <w:rPr>
          <w:rFonts w:ascii="Arial" w:hAnsi="Arial" w:cs="Arial"/>
        </w:rPr>
        <w:t>eResearch</w:t>
      </w:r>
      <w:proofErr w:type="spellEnd"/>
      <w:r w:rsidRPr="00961EB1">
        <w:rPr>
          <w:rFonts w:ascii="Arial" w:hAnsi="Arial" w:cs="Arial"/>
        </w:rPr>
        <w:t>: Managing Clinical Trials in an Electronic Environment</w:t>
      </w:r>
    </w:p>
    <w:p w14:paraId="77255211" w14:textId="77777777" w:rsidR="006B74C5" w:rsidRDefault="006B74C5" w:rsidP="006B74C5">
      <w:pPr>
        <w:rPr>
          <w:rFonts w:ascii="Arial" w:hAnsi="Arial" w:cs="Arial"/>
        </w:rPr>
      </w:pPr>
      <w:r>
        <w:rPr>
          <w:rFonts w:ascii="Arial" w:hAnsi="Arial" w:cs="Arial"/>
        </w:rPr>
        <w:br w:type="page"/>
      </w:r>
    </w:p>
    <w:p w14:paraId="6DCA4F7B" w14:textId="77777777" w:rsidR="006B74C5" w:rsidRPr="00961EB1" w:rsidRDefault="006B74C5" w:rsidP="006B74C5">
      <w:pPr>
        <w:jc w:val="both"/>
        <w:rPr>
          <w:rFonts w:ascii="Arial" w:hAnsi="Arial" w:cs="Arial"/>
        </w:rPr>
        <w:sectPr w:rsidR="006B74C5" w:rsidRPr="00961EB1" w:rsidSect="007B35E9">
          <w:pgSz w:w="15840" w:h="12240" w:orient="landscape"/>
          <w:pgMar w:top="720" w:right="720" w:bottom="720" w:left="720" w:header="720" w:footer="720" w:gutter="0"/>
          <w:cols w:space="720"/>
          <w:docGrid w:linePitch="360"/>
        </w:sectPr>
      </w:pPr>
    </w:p>
    <w:p w14:paraId="055824E3" w14:textId="77777777" w:rsidR="006B74C5" w:rsidRPr="0001300E" w:rsidRDefault="006B74C5" w:rsidP="006B74C5">
      <w:pPr>
        <w:pStyle w:val="Heading1"/>
        <w:jc w:val="both"/>
        <w:rPr>
          <w:rFonts w:ascii="Arial" w:hAnsi="Arial" w:cs="Arial"/>
          <w:sz w:val="22"/>
          <w:szCs w:val="22"/>
        </w:rPr>
      </w:pPr>
      <w:r w:rsidRPr="0001300E">
        <w:rPr>
          <w:rFonts w:ascii="Arial" w:hAnsi="Arial" w:cs="Arial"/>
          <w:sz w:val="22"/>
          <w:szCs w:val="22"/>
        </w:rPr>
        <w:lastRenderedPageBreak/>
        <w:t>Appendix B: Co-Mentoring Interview guide</w:t>
      </w:r>
    </w:p>
    <w:p w14:paraId="218BCE0A" w14:textId="77777777" w:rsidR="006B74C5" w:rsidRPr="0001300E" w:rsidRDefault="006B74C5" w:rsidP="006B74C5">
      <w:pPr>
        <w:jc w:val="both"/>
        <w:rPr>
          <w:rFonts w:ascii="Arial" w:hAnsi="Arial" w:cs="Arial"/>
        </w:rPr>
      </w:pPr>
    </w:p>
    <w:p w14:paraId="0B6C2A9B" w14:textId="77777777" w:rsidR="006B74C5" w:rsidRDefault="006B74C5" w:rsidP="006B74C5">
      <w:pPr>
        <w:spacing w:beforeAutospacing="1" w:afterAutospacing="1"/>
        <w:ind w:right="60"/>
        <w:jc w:val="both"/>
        <w:rPr>
          <w:rFonts w:ascii="Arial" w:eastAsia="Times New Roman" w:hAnsi="Arial" w:cs="Arial"/>
          <w:color w:val="000000" w:themeColor="text1"/>
        </w:rPr>
      </w:pPr>
      <w:r>
        <w:rPr>
          <w:rFonts w:ascii="Arial" w:eastAsia="Times New Roman" w:hAnsi="Arial" w:cs="Arial"/>
          <w:color w:val="000000" w:themeColor="text1"/>
        </w:rPr>
        <w:t>We would like to learn</w:t>
      </w:r>
      <w:r w:rsidRPr="0001300E">
        <w:rPr>
          <w:rFonts w:ascii="Arial" w:eastAsia="Times New Roman" w:hAnsi="Arial" w:cs="Arial"/>
          <w:color w:val="000000" w:themeColor="text1"/>
        </w:rPr>
        <w:t xml:space="preserve"> about your experiences with the co-mentoring circles. </w:t>
      </w:r>
    </w:p>
    <w:p w14:paraId="4FAB2F09" w14:textId="77777777" w:rsidR="006B74C5" w:rsidRDefault="006B74C5" w:rsidP="006B74C5">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In what way has the co-mentoring circle addressed your professional needs? What aspect was the most satisfying? What about certification? Is there more need for the online to take more time or the co-mentoring to take more time? Should there be more emphasis on the online portion?</w:t>
      </w:r>
    </w:p>
    <w:p w14:paraId="753844FB" w14:textId="77777777" w:rsidR="006B74C5" w:rsidRPr="0001300E" w:rsidRDefault="006B74C5" w:rsidP="006B74C5">
      <w:pPr>
        <w:pStyle w:val="ListParagraph"/>
        <w:numPr>
          <w:ilvl w:val="1"/>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What did the circles not address? What else were you hoping to achieve through the co-mentoring circles? Anything you wish you could change about the co-mentoring circles, how they're organized with topics abroad, how much time is dedicated to them?</w:t>
      </w:r>
    </w:p>
    <w:p w14:paraId="0ABB53CA" w14:textId="77777777" w:rsidR="006B74C5" w:rsidRDefault="006B74C5" w:rsidP="006B74C5">
      <w:pPr>
        <w:pStyle w:val="ListParagraph"/>
        <w:numPr>
          <w:ilvl w:val="1"/>
          <w:numId w:val="1"/>
        </w:numPr>
        <w:spacing w:beforeAutospacing="1" w:afterAutospacing="1"/>
        <w:ind w:right="60"/>
        <w:jc w:val="both"/>
        <w:rPr>
          <w:rFonts w:ascii="Arial" w:eastAsia="Times New Roman" w:hAnsi="Arial" w:cs="Arial"/>
          <w:color w:val="000000" w:themeColor="text1"/>
        </w:rPr>
      </w:pPr>
      <w:r w:rsidRPr="00F23643">
        <w:rPr>
          <w:rFonts w:ascii="Arial" w:eastAsia="Times New Roman" w:hAnsi="Arial" w:cs="Arial"/>
          <w:color w:val="000000" w:themeColor="text1"/>
        </w:rPr>
        <w:t>How feasible is it to bring PIs into a training like this? What could be the takeaways that would support you in interacting with PI’s?</w:t>
      </w:r>
    </w:p>
    <w:p w14:paraId="4F8A1093" w14:textId="77777777" w:rsidR="006B74C5" w:rsidRPr="0001300E" w:rsidRDefault="006B74C5" w:rsidP="006B74C5">
      <w:pPr>
        <w:pStyle w:val="ListParagraph"/>
        <w:spacing w:beforeAutospacing="1" w:afterAutospacing="1"/>
        <w:ind w:left="1440" w:right="60"/>
        <w:jc w:val="both"/>
        <w:rPr>
          <w:rFonts w:ascii="Arial" w:eastAsia="Times New Roman" w:hAnsi="Arial" w:cs="Arial"/>
          <w:color w:val="000000" w:themeColor="text1"/>
        </w:rPr>
      </w:pPr>
    </w:p>
    <w:p w14:paraId="7EAAA6F9" w14:textId="77777777" w:rsidR="006B74C5" w:rsidRDefault="006B74C5" w:rsidP="006B74C5">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If you were helping us design the next iteration</w:t>
      </w:r>
      <w:r>
        <w:rPr>
          <w:rFonts w:ascii="Arial" w:eastAsia="Times New Roman" w:hAnsi="Arial" w:cs="Arial"/>
          <w:color w:val="000000" w:themeColor="text1"/>
        </w:rPr>
        <w:t>,</w:t>
      </w:r>
      <w:r w:rsidRPr="0001300E">
        <w:rPr>
          <w:rFonts w:ascii="Arial" w:eastAsia="Times New Roman" w:hAnsi="Arial" w:cs="Arial"/>
          <w:color w:val="000000" w:themeColor="text1"/>
        </w:rPr>
        <w:t xml:space="preserve"> the co-mentoring circles 2.0, what could be the curriculum?</w:t>
      </w:r>
      <w:r>
        <w:rPr>
          <w:rFonts w:ascii="Arial" w:eastAsia="Times New Roman" w:hAnsi="Arial" w:cs="Arial"/>
          <w:color w:val="000000" w:themeColor="text1"/>
        </w:rPr>
        <w:t xml:space="preserve"> </w:t>
      </w:r>
      <w:r w:rsidRPr="0001300E">
        <w:rPr>
          <w:rFonts w:ascii="Arial" w:eastAsia="Times New Roman" w:hAnsi="Arial" w:cs="Arial"/>
          <w:color w:val="000000" w:themeColor="text1"/>
        </w:rPr>
        <w:t>What might be some ideas or sort of additions to the existing curriculum that would be useful?</w:t>
      </w:r>
    </w:p>
    <w:p w14:paraId="73D49AE9" w14:textId="77777777" w:rsidR="006B74C5" w:rsidRDefault="006B74C5" w:rsidP="006B74C5">
      <w:pPr>
        <w:pStyle w:val="ListParagraph"/>
        <w:spacing w:beforeAutospacing="1" w:afterAutospacing="1"/>
        <w:ind w:left="360" w:right="60"/>
        <w:jc w:val="both"/>
        <w:rPr>
          <w:rFonts w:ascii="Arial" w:eastAsia="Times New Roman" w:hAnsi="Arial" w:cs="Arial"/>
          <w:color w:val="000000" w:themeColor="text1"/>
        </w:rPr>
      </w:pPr>
    </w:p>
    <w:p w14:paraId="3E47D19C" w14:textId="77777777" w:rsidR="006B74C5" w:rsidRPr="00F23643" w:rsidRDefault="006B74C5" w:rsidP="006B74C5">
      <w:pPr>
        <w:pStyle w:val="ListParagraph"/>
        <w:numPr>
          <w:ilvl w:val="0"/>
          <w:numId w:val="1"/>
        </w:numPr>
        <w:spacing w:beforeAutospacing="1" w:afterAutospacing="1"/>
        <w:ind w:right="60"/>
        <w:jc w:val="both"/>
        <w:rPr>
          <w:rFonts w:ascii="Arial" w:eastAsia="Times New Roman" w:hAnsi="Arial" w:cs="Arial"/>
          <w:color w:val="000000" w:themeColor="text1"/>
        </w:rPr>
      </w:pPr>
      <w:r w:rsidRPr="0001300E">
        <w:rPr>
          <w:rFonts w:ascii="Arial" w:eastAsia="Times New Roman" w:hAnsi="Arial" w:cs="Arial"/>
          <w:color w:val="000000" w:themeColor="text1"/>
        </w:rPr>
        <w:t>What aspects of the co-mentoring circles influenced your professional identity? If you think about your professional identity, what aspects of the program make it easy for you to explain, what is it that you do?</w:t>
      </w:r>
      <w:r>
        <w:rPr>
          <w:rFonts w:ascii="Arial" w:eastAsia="Times New Roman" w:hAnsi="Arial" w:cs="Arial"/>
          <w:color w:val="000000" w:themeColor="text1"/>
        </w:rPr>
        <w:t xml:space="preserve"> H</w:t>
      </w:r>
      <w:r w:rsidRPr="00F23643">
        <w:rPr>
          <w:rFonts w:ascii="Arial" w:eastAsia="Times New Roman" w:hAnsi="Arial" w:cs="Arial"/>
          <w:color w:val="000000" w:themeColor="text1"/>
        </w:rPr>
        <w:t>ow that experience translated to where you feel you're in your careers and your professional development identities</w:t>
      </w:r>
      <w:r>
        <w:rPr>
          <w:rFonts w:ascii="Arial" w:eastAsia="Times New Roman" w:hAnsi="Arial" w:cs="Arial"/>
          <w:color w:val="000000" w:themeColor="text1"/>
        </w:rPr>
        <w:t>?</w:t>
      </w:r>
    </w:p>
    <w:p w14:paraId="644115FA" w14:textId="77777777" w:rsidR="00D67AFA" w:rsidRDefault="00D67AFA"/>
    <w:sectPr w:rsidR="00D67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84FA2"/>
    <w:multiLevelType w:val="hybridMultilevel"/>
    <w:tmpl w:val="5B04FFCE"/>
    <w:lvl w:ilvl="0" w:tplc="D4428ACA">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C5"/>
    <w:rsid w:val="006B74C5"/>
    <w:rsid w:val="0075411B"/>
    <w:rsid w:val="00B61453"/>
    <w:rsid w:val="00D6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DB8E"/>
  <w15:chartTrackingRefBased/>
  <w15:docId w15:val="{FC3AA0A2-2566-4F3A-BE0F-90CDA0D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C5"/>
  </w:style>
  <w:style w:type="paragraph" w:styleId="Heading1">
    <w:name w:val="heading 1"/>
    <w:basedOn w:val="Normal"/>
    <w:next w:val="Normal"/>
    <w:link w:val="Heading1Char"/>
    <w:uiPriority w:val="9"/>
    <w:qFormat/>
    <w:rsid w:val="006B7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Nelson,July D</dc:creator>
  <cp:keywords/>
  <dc:description/>
  <cp:lastModifiedBy>Nelson,July D</cp:lastModifiedBy>
  <cp:revision>1</cp:revision>
  <dcterms:created xsi:type="dcterms:W3CDTF">2023-12-04T15:29:00Z</dcterms:created>
  <dcterms:modified xsi:type="dcterms:W3CDTF">2023-12-04T15:30:00Z</dcterms:modified>
</cp:coreProperties>
</file>