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4768" w14:textId="77777777" w:rsidR="00212A01" w:rsidRPr="00D264B7" w:rsidRDefault="00212A01" w:rsidP="00212A01">
      <w:pPr>
        <w:rPr>
          <w:rFonts w:ascii="Arial" w:hAnsi="Arial" w:cs="Arial"/>
          <w:sz w:val="22"/>
        </w:rPr>
      </w:pPr>
      <w:r>
        <w:rPr>
          <w:rFonts w:ascii="Arial" w:hAnsi="Arial" w:cs="Arial"/>
          <w:b/>
          <w:bCs/>
          <w:sz w:val="22"/>
        </w:rPr>
        <w:t>Supplementary File 2</w:t>
      </w:r>
      <w:r w:rsidRPr="00D264B7">
        <w:rPr>
          <w:rFonts w:ascii="Arial" w:hAnsi="Arial" w:cs="Arial"/>
          <w:b/>
          <w:bCs/>
          <w:sz w:val="22"/>
        </w:rPr>
        <w:t>.</w:t>
      </w:r>
      <w:r w:rsidRPr="00D264B7">
        <w:rPr>
          <w:rFonts w:ascii="Arial" w:hAnsi="Arial" w:cs="Arial"/>
          <w:sz w:val="22"/>
        </w:rPr>
        <w:t xml:space="preserve"> PRECIS-2 scores for trial domains</w:t>
      </w:r>
    </w:p>
    <w:tbl>
      <w:tblPr>
        <w:tblStyle w:val="TableGrid"/>
        <w:tblW w:w="953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50"/>
        <w:gridCol w:w="810"/>
        <w:gridCol w:w="4586"/>
        <w:gridCol w:w="89"/>
      </w:tblGrid>
      <w:tr w:rsidR="00212A01" w:rsidRPr="00D264B7" w14:paraId="6671A0DA" w14:textId="77777777" w:rsidTr="00A40476">
        <w:tc>
          <w:tcPr>
            <w:tcW w:w="4050" w:type="dxa"/>
            <w:tcBorders>
              <w:bottom w:val="single" w:sz="4" w:space="0" w:color="auto"/>
            </w:tcBorders>
          </w:tcPr>
          <w:p w14:paraId="30144975" w14:textId="77777777" w:rsidR="00212A01" w:rsidRPr="00D264B7" w:rsidRDefault="00212A01" w:rsidP="00A40476">
            <w:pPr>
              <w:rPr>
                <w:rFonts w:ascii="Arial" w:hAnsi="Arial" w:cs="Arial"/>
                <w:b/>
                <w:bCs/>
                <w:sz w:val="22"/>
              </w:rPr>
            </w:pPr>
            <w:r w:rsidRPr="00D264B7">
              <w:rPr>
                <w:rFonts w:ascii="Arial" w:hAnsi="Arial" w:cs="Arial"/>
                <w:b/>
                <w:bCs/>
                <w:sz w:val="22"/>
              </w:rPr>
              <w:t>Domain</w:t>
            </w:r>
          </w:p>
        </w:tc>
        <w:tc>
          <w:tcPr>
            <w:tcW w:w="810" w:type="dxa"/>
            <w:tcBorders>
              <w:bottom w:val="single" w:sz="4" w:space="0" w:color="auto"/>
            </w:tcBorders>
          </w:tcPr>
          <w:p w14:paraId="1552DDD4" w14:textId="77777777" w:rsidR="00212A01" w:rsidRPr="00D264B7" w:rsidRDefault="00212A01" w:rsidP="00A40476">
            <w:pPr>
              <w:ind w:left="-105"/>
              <w:rPr>
                <w:rFonts w:ascii="Arial" w:hAnsi="Arial" w:cs="Arial"/>
                <w:b/>
                <w:bCs/>
                <w:sz w:val="22"/>
              </w:rPr>
            </w:pPr>
            <w:r w:rsidRPr="00D264B7">
              <w:rPr>
                <w:rFonts w:ascii="Arial" w:hAnsi="Arial" w:cs="Arial"/>
                <w:b/>
                <w:bCs/>
                <w:sz w:val="22"/>
              </w:rPr>
              <w:t>Score</w:t>
            </w:r>
          </w:p>
        </w:tc>
        <w:tc>
          <w:tcPr>
            <w:tcW w:w="4675" w:type="dxa"/>
            <w:gridSpan w:val="2"/>
            <w:tcBorders>
              <w:bottom w:val="single" w:sz="4" w:space="0" w:color="auto"/>
            </w:tcBorders>
          </w:tcPr>
          <w:p w14:paraId="2714DD11" w14:textId="77777777" w:rsidR="00212A01" w:rsidRPr="00D264B7" w:rsidRDefault="00212A01" w:rsidP="00A40476">
            <w:pPr>
              <w:rPr>
                <w:rFonts w:ascii="Arial" w:hAnsi="Arial" w:cs="Arial"/>
                <w:b/>
                <w:bCs/>
                <w:sz w:val="22"/>
              </w:rPr>
            </w:pPr>
            <w:r w:rsidRPr="00D264B7">
              <w:rPr>
                <w:rFonts w:ascii="Arial" w:hAnsi="Arial" w:cs="Arial"/>
                <w:b/>
                <w:bCs/>
                <w:sz w:val="22"/>
              </w:rPr>
              <w:t>Rationale</w:t>
            </w:r>
          </w:p>
        </w:tc>
      </w:tr>
      <w:tr w:rsidR="00212A01" w:rsidRPr="00D264B7" w14:paraId="714CBDAD" w14:textId="77777777" w:rsidTr="00A40476">
        <w:trPr>
          <w:gridAfter w:val="1"/>
          <w:wAfter w:w="89" w:type="dxa"/>
          <w:trHeight w:val="70"/>
        </w:trPr>
        <w:tc>
          <w:tcPr>
            <w:tcW w:w="9446" w:type="dxa"/>
            <w:gridSpan w:val="3"/>
            <w:tcBorders>
              <w:bottom w:val="nil"/>
            </w:tcBorders>
          </w:tcPr>
          <w:p w14:paraId="3034B692" w14:textId="77777777" w:rsidR="00212A01" w:rsidRPr="00D264B7" w:rsidRDefault="00212A01" w:rsidP="00A40476">
            <w:pPr>
              <w:rPr>
                <w:rFonts w:ascii="Arial" w:hAnsi="Arial" w:cs="Arial"/>
                <w:b/>
                <w:bCs/>
                <w:sz w:val="22"/>
              </w:rPr>
            </w:pPr>
            <w:r w:rsidRPr="00D264B7">
              <w:rPr>
                <w:rFonts w:ascii="Arial" w:hAnsi="Arial" w:cs="Arial"/>
                <w:b/>
                <w:bCs/>
                <w:sz w:val="22"/>
              </w:rPr>
              <w:t>Recruitment of investigators and participants</w:t>
            </w:r>
          </w:p>
        </w:tc>
      </w:tr>
      <w:tr w:rsidR="00212A01" w:rsidRPr="00D264B7" w14:paraId="3828EC56" w14:textId="77777777" w:rsidTr="00A40476">
        <w:trPr>
          <w:trHeight w:val="1062"/>
        </w:trPr>
        <w:tc>
          <w:tcPr>
            <w:tcW w:w="4050" w:type="dxa"/>
            <w:tcBorders>
              <w:top w:val="nil"/>
              <w:bottom w:val="nil"/>
            </w:tcBorders>
          </w:tcPr>
          <w:p w14:paraId="2815905B" w14:textId="77777777" w:rsidR="00212A01" w:rsidRPr="00D264B7" w:rsidRDefault="00212A01" w:rsidP="00A40476">
            <w:pPr>
              <w:ind w:left="165"/>
              <w:rPr>
                <w:rFonts w:ascii="Arial" w:hAnsi="Arial" w:cs="Arial"/>
                <w:sz w:val="22"/>
              </w:rPr>
            </w:pPr>
            <w:r w:rsidRPr="00D264B7">
              <w:rPr>
                <w:rFonts w:ascii="Arial" w:hAnsi="Arial" w:cs="Arial"/>
                <w:sz w:val="22"/>
              </w:rPr>
              <w:t>Eligibility Criteria</w:t>
            </w:r>
          </w:p>
        </w:tc>
        <w:tc>
          <w:tcPr>
            <w:tcW w:w="810" w:type="dxa"/>
            <w:tcBorders>
              <w:top w:val="nil"/>
              <w:bottom w:val="nil"/>
            </w:tcBorders>
          </w:tcPr>
          <w:p w14:paraId="5E4FCC4C" w14:textId="77777777" w:rsidR="00212A01" w:rsidRPr="00D264B7" w:rsidRDefault="00212A01" w:rsidP="00A40476">
            <w:pPr>
              <w:rPr>
                <w:rFonts w:ascii="Arial" w:hAnsi="Arial" w:cs="Arial"/>
                <w:sz w:val="22"/>
              </w:rPr>
            </w:pPr>
            <w:r w:rsidRPr="00D264B7">
              <w:rPr>
                <w:rFonts w:ascii="Arial" w:hAnsi="Arial" w:cs="Arial"/>
                <w:sz w:val="22"/>
              </w:rPr>
              <w:t>4.6</w:t>
            </w:r>
          </w:p>
        </w:tc>
        <w:tc>
          <w:tcPr>
            <w:tcW w:w="4675" w:type="dxa"/>
            <w:gridSpan w:val="2"/>
            <w:tcBorders>
              <w:top w:val="nil"/>
              <w:bottom w:val="nil"/>
            </w:tcBorders>
          </w:tcPr>
          <w:p w14:paraId="365D6643" w14:textId="77777777" w:rsidR="00212A01" w:rsidRPr="00D264B7" w:rsidRDefault="00212A01" w:rsidP="00A40476">
            <w:pPr>
              <w:spacing w:after="120"/>
              <w:rPr>
                <w:rFonts w:ascii="Arial" w:hAnsi="Arial" w:cs="Arial"/>
                <w:sz w:val="22"/>
              </w:rPr>
            </w:pPr>
            <w:r w:rsidRPr="00D264B7">
              <w:rPr>
                <w:rFonts w:ascii="Arial" w:hAnsi="Arial" w:cs="Arial"/>
                <w:sz w:val="22"/>
              </w:rPr>
              <w:t>Few exclusion criteria for trial participation, identification of patients as part of the usual clinical workflow, CP screening of patients as part of usual CP workflow. Wide dissemination of trial information needed to recruit clinicians for referrals.</w:t>
            </w:r>
          </w:p>
        </w:tc>
      </w:tr>
      <w:tr w:rsidR="00212A01" w:rsidRPr="00D264B7" w14:paraId="1AF0E979" w14:textId="77777777" w:rsidTr="00A40476">
        <w:trPr>
          <w:trHeight w:val="1152"/>
        </w:trPr>
        <w:tc>
          <w:tcPr>
            <w:tcW w:w="4050" w:type="dxa"/>
            <w:tcBorders>
              <w:top w:val="nil"/>
              <w:bottom w:val="nil"/>
            </w:tcBorders>
          </w:tcPr>
          <w:p w14:paraId="14FF6A79" w14:textId="77777777" w:rsidR="00212A01" w:rsidRPr="00D264B7" w:rsidRDefault="00212A01" w:rsidP="00A40476">
            <w:pPr>
              <w:ind w:left="165"/>
              <w:rPr>
                <w:rFonts w:ascii="Arial" w:hAnsi="Arial" w:cs="Arial"/>
                <w:sz w:val="22"/>
              </w:rPr>
            </w:pPr>
            <w:r w:rsidRPr="00D264B7">
              <w:rPr>
                <w:rFonts w:ascii="Arial" w:hAnsi="Arial" w:cs="Arial"/>
                <w:sz w:val="22"/>
              </w:rPr>
              <w:t>Recruitment</w:t>
            </w:r>
          </w:p>
        </w:tc>
        <w:tc>
          <w:tcPr>
            <w:tcW w:w="810" w:type="dxa"/>
            <w:tcBorders>
              <w:top w:val="nil"/>
              <w:bottom w:val="nil"/>
            </w:tcBorders>
          </w:tcPr>
          <w:p w14:paraId="25A46585" w14:textId="77777777" w:rsidR="00212A01" w:rsidRPr="00D264B7" w:rsidRDefault="00212A01" w:rsidP="00A40476">
            <w:pPr>
              <w:rPr>
                <w:rFonts w:ascii="Arial" w:hAnsi="Arial" w:cs="Arial"/>
                <w:sz w:val="22"/>
              </w:rPr>
            </w:pPr>
            <w:r w:rsidRPr="00D264B7">
              <w:rPr>
                <w:rFonts w:ascii="Arial" w:hAnsi="Arial" w:cs="Arial"/>
                <w:sz w:val="22"/>
              </w:rPr>
              <w:t>4.3</w:t>
            </w:r>
          </w:p>
        </w:tc>
        <w:tc>
          <w:tcPr>
            <w:tcW w:w="4675" w:type="dxa"/>
            <w:gridSpan w:val="2"/>
            <w:tcBorders>
              <w:top w:val="nil"/>
              <w:bottom w:val="nil"/>
            </w:tcBorders>
          </w:tcPr>
          <w:p w14:paraId="2ED776AF" w14:textId="77777777" w:rsidR="00212A01" w:rsidRPr="00D264B7" w:rsidRDefault="00212A01" w:rsidP="00A40476">
            <w:pPr>
              <w:spacing w:after="120"/>
              <w:rPr>
                <w:rFonts w:ascii="Arial" w:hAnsi="Arial" w:cs="Arial"/>
                <w:sz w:val="22"/>
              </w:rPr>
            </w:pPr>
            <w:r w:rsidRPr="00D264B7">
              <w:rPr>
                <w:rFonts w:ascii="Arial" w:hAnsi="Arial" w:cs="Arial"/>
                <w:sz w:val="22"/>
              </w:rPr>
              <w:t>Effort to recruit patients took place in the usual care setting but did include additional study team contacts with referring services (no contact with patients).</w:t>
            </w:r>
          </w:p>
        </w:tc>
      </w:tr>
      <w:tr w:rsidR="00212A01" w:rsidRPr="00D264B7" w14:paraId="23D1DF20" w14:textId="77777777" w:rsidTr="00A40476">
        <w:tc>
          <w:tcPr>
            <w:tcW w:w="4050" w:type="dxa"/>
            <w:tcBorders>
              <w:top w:val="nil"/>
              <w:bottom w:val="nil"/>
            </w:tcBorders>
          </w:tcPr>
          <w:p w14:paraId="27398EE4" w14:textId="77777777" w:rsidR="00212A01" w:rsidRPr="00D264B7" w:rsidRDefault="00212A01" w:rsidP="00A40476">
            <w:pPr>
              <w:ind w:left="165"/>
              <w:rPr>
                <w:rFonts w:ascii="Arial" w:hAnsi="Arial" w:cs="Arial"/>
                <w:sz w:val="22"/>
              </w:rPr>
            </w:pPr>
            <w:r w:rsidRPr="00D264B7">
              <w:rPr>
                <w:rFonts w:ascii="Arial" w:hAnsi="Arial" w:cs="Arial"/>
                <w:sz w:val="22"/>
              </w:rPr>
              <w:t>Setting</w:t>
            </w:r>
          </w:p>
        </w:tc>
        <w:tc>
          <w:tcPr>
            <w:tcW w:w="810" w:type="dxa"/>
            <w:tcBorders>
              <w:top w:val="nil"/>
              <w:bottom w:val="nil"/>
            </w:tcBorders>
          </w:tcPr>
          <w:p w14:paraId="662B82B0" w14:textId="77777777" w:rsidR="00212A01" w:rsidRPr="00D264B7" w:rsidRDefault="00212A01" w:rsidP="00A40476">
            <w:pPr>
              <w:rPr>
                <w:rFonts w:ascii="Arial" w:hAnsi="Arial" w:cs="Arial"/>
                <w:sz w:val="22"/>
              </w:rPr>
            </w:pPr>
            <w:r w:rsidRPr="00D264B7">
              <w:rPr>
                <w:rFonts w:ascii="Arial" w:hAnsi="Arial" w:cs="Arial"/>
                <w:sz w:val="22"/>
              </w:rPr>
              <w:t>4.7</w:t>
            </w:r>
          </w:p>
        </w:tc>
        <w:tc>
          <w:tcPr>
            <w:tcW w:w="4675" w:type="dxa"/>
            <w:gridSpan w:val="2"/>
            <w:tcBorders>
              <w:top w:val="nil"/>
              <w:bottom w:val="nil"/>
            </w:tcBorders>
          </w:tcPr>
          <w:p w14:paraId="2E418D2E" w14:textId="77777777" w:rsidR="00212A01" w:rsidRPr="00D264B7" w:rsidRDefault="00212A01" w:rsidP="00A40476">
            <w:pPr>
              <w:rPr>
                <w:rFonts w:ascii="Arial" w:hAnsi="Arial" w:cs="Arial"/>
                <w:sz w:val="22"/>
              </w:rPr>
            </w:pPr>
            <w:r w:rsidRPr="00D264B7">
              <w:rPr>
                <w:rFonts w:ascii="Arial" w:hAnsi="Arial" w:cs="Arial"/>
                <w:sz w:val="22"/>
              </w:rPr>
              <w:t>The trial was in a single health system, but there were few restrictions on the setting, settings were heterogeneous (Rochester, Minnesota, and Northwest Wisconsin), and care referrals came from a range of primary and acute settings.</w:t>
            </w:r>
          </w:p>
        </w:tc>
      </w:tr>
      <w:tr w:rsidR="00212A01" w:rsidRPr="00D264B7" w14:paraId="7EFB2B39" w14:textId="77777777" w:rsidTr="00A40476">
        <w:trPr>
          <w:gridAfter w:val="1"/>
          <w:wAfter w:w="89" w:type="dxa"/>
        </w:trPr>
        <w:tc>
          <w:tcPr>
            <w:tcW w:w="9446" w:type="dxa"/>
            <w:gridSpan w:val="3"/>
            <w:tcBorders>
              <w:top w:val="nil"/>
              <w:bottom w:val="nil"/>
            </w:tcBorders>
          </w:tcPr>
          <w:p w14:paraId="4569980E" w14:textId="77777777" w:rsidR="00212A01" w:rsidRPr="00D264B7" w:rsidRDefault="00212A01" w:rsidP="00A40476">
            <w:pPr>
              <w:rPr>
                <w:rFonts w:ascii="Arial" w:hAnsi="Arial" w:cs="Arial"/>
                <w:sz w:val="22"/>
              </w:rPr>
            </w:pPr>
            <w:r w:rsidRPr="00D264B7">
              <w:rPr>
                <w:rFonts w:ascii="Arial" w:hAnsi="Arial" w:cs="Arial"/>
                <w:b/>
                <w:bCs/>
                <w:sz w:val="22"/>
              </w:rPr>
              <w:t>The intervention and its delivery within the trial</w:t>
            </w:r>
          </w:p>
        </w:tc>
      </w:tr>
      <w:tr w:rsidR="00212A01" w:rsidRPr="00D264B7" w14:paraId="5CD7E671" w14:textId="77777777" w:rsidTr="00A40476">
        <w:trPr>
          <w:trHeight w:val="1278"/>
        </w:trPr>
        <w:tc>
          <w:tcPr>
            <w:tcW w:w="4050" w:type="dxa"/>
            <w:tcBorders>
              <w:top w:val="nil"/>
              <w:bottom w:val="nil"/>
            </w:tcBorders>
          </w:tcPr>
          <w:p w14:paraId="04B61742" w14:textId="77777777" w:rsidR="00212A01" w:rsidRPr="00D264B7" w:rsidRDefault="00212A01" w:rsidP="00A40476">
            <w:pPr>
              <w:ind w:left="165"/>
              <w:rPr>
                <w:rFonts w:ascii="Arial" w:hAnsi="Arial" w:cs="Arial"/>
                <w:sz w:val="22"/>
              </w:rPr>
            </w:pPr>
            <w:r w:rsidRPr="00D264B7">
              <w:rPr>
                <w:rFonts w:ascii="Arial" w:hAnsi="Arial" w:cs="Arial"/>
                <w:sz w:val="22"/>
              </w:rPr>
              <w:t>Organization Intervention</w:t>
            </w:r>
          </w:p>
        </w:tc>
        <w:tc>
          <w:tcPr>
            <w:tcW w:w="810" w:type="dxa"/>
            <w:tcBorders>
              <w:top w:val="nil"/>
              <w:bottom w:val="nil"/>
            </w:tcBorders>
          </w:tcPr>
          <w:p w14:paraId="58A6E1AB" w14:textId="77777777" w:rsidR="00212A01" w:rsidRPr="00D264B7" w:rsidRDefault="00212A01" w:rsidP="00A40476">
            <w:pPr>
              <w:rPr>
                <w:rFonts w:ascii="Arial" w:hAnsi="Arial" w:cs="Arial"/>
                <w:sz w:val="22"/>
              </w:rPr>
            </w:pPr>
            <w:r w:rsidRPr="00D264B7">
              <w:rPr>
                <w:rFonts w:ascii="Arial" w:hAnsi="Arial" w:cs="Arial"/>
                <w:sz w:val="22"/>
              </w:rPr>
              <w:t>4.1</w:t>
            </w:r>
          </w:p>
        </w:tc>
        <w:tc>
          <w:tcPr>
            <w:tcW w:w="4675" w:type="dxa"/>
            <w:gridSpan w:val="2"/>
            <w:tcBorders>
              <w:top w:val="nil"/>
              <w:bottom w:val="nil"/>
            </w:tcBorders>
          </w:tcPr>
          <w:p w14:paraId="152C3AC9" w14:textId="77777777" w:rsidR="00212A01" w:rsidRPr="00D264B7" w:rsidRDefault="00212A01" w:rsidP="00A40476">
            <w:pPr>
              <w:rPr>
                <w:rFonts w:ascii="Arial" w:hAnsi="Arial" w:cs="Arial"/>
                <w:sz w:val="22"/>
              </w:rPr>
            </w:pPr>
            <w:r w:rsidRPr="00D264B7">
              <w:rPr>
                <w:rFonts w:ascii="Arial" w:hAnsi="Arial" w:cs="Arial"/>
                <w:sz w:val="22"/>
              </w:rPr>
              <w:t>While additional resources were not needed for the intervention, the organization may be more well-resourced than others and the trial had institutional support in the Rochester site.</w:t>
            </w:r>
          </w:p>
        </w:tc>
      </w:tr>
      <w:tr w:rsidR="00212A01" w:rsidRPr="00D264B7" w14:paraId="2D3AD2FA" w14:textId="77777777" w:rsidTr="00A40476">
        <w:trPr>
          <w:trHeight w:val="945"/>
        </w:trPr>
        <w:tc>
          <w:tcPr>
            <w:tcW w:w="4050" w:type="dxa"/>
            <w:tcBorders>
              <w:top w:val="nil"/>
              <w:bottom w:val="nil"/>
            </w:tcBorders>
          </w:tcPr>
          <w:p w14:paraId="61B06A72" w14:textId="77777777" w:rsidR="00212A01" w:rsidRPr="00D264B7" w:rsidRDefault="00212A01" w:rsidP="00A40476">
            <w:pPr>
              <w:ind w:left="165"/>
              <w:rPr>
                <w:rFonts w:ascii="Arial" w:hAnsi="Arial" w:cs="Arial"/>
                <w:sz w:val="22"/>
              </w:rPr>
            </w:pPr>
            <w:r w:rsidRPr="00D264B7">
              <w:rPr>
                <w:rFonts w:ascii="Arial" w:hAnsi="Arial" w:cs="Arial"/>
                <w:sz w:val="22"/>
              </w:rPr>
              <w:t>Flexibility of Experimental Intervention – Delivery</w:t>
            </w:r>
          </w:p>
        </w:tc>
        <w:tc>
          <w:tcPr>
            <w:tcW w:w="810" w:type="dxa"/>
            <w:tcBorders>
              <w:top w:val="nil"/>
              <w:bottom w:val="nil"/>
            </w:tcBorders>
          </w:tcPr>
          <w:p w14:paraId="47F078BF" w14:textId="77777777" w:rsidR="00212A01" w:rsidRPr="00D264B7" w:rsidRDefault="00212A01" w:rsidP="00A40476">
            <w:pPr>
              <w:rPr>
                <w:rFonts w:ascii="Arial" w:hAnsi="Arial" w:cs="Arial"/>
                <w:sz w:val="22"/>
              </w:rPr>
            </w:pPr>
            <w:r w:rsidRPr="00D264B7">
              <w:rPr>
                <w:rFonts w:ascii="Arial" w:hAnsi="Arial" w:cs="Arial"/>
                <w:sz w:val="22"/>
              </w:rPr>
              <w:t>4.4</w:t>
            </w:r>
          </w:p>
        </w:tc>
        <w:tc>
          <w:tcPr>
            <w:tcW w:w="4675" w:type="dxa"/>
            <w:gridSpan w:val="2"/>
            <w:tcBorders>
              <w:top w:val="nil"/>
              <w:bottom w:val="nil"/>
            </w:tcBorders>
          </w:tcPr>
          <w:p w14:paraId="6F550F5A" w14:textId="77777777" w:rsidR="00212A01" w:rsidRPr="00D264B7" w:rsidRDefault="00212A01" w:rsidP="00A40476">
            <w:pPr>
              <w:rPr>
                <w:rFonts w:ascii="Arial" w:hAnsi="Arial" w:cs="Arial"/>
                <w:sz w:val="22"/>
              </w:rPr>
            </w:pPr>
            <w:r w:rsidRPr="00D264B7">
              <w:rPr>
                <w:rFonts w:ascii="Arial" w:hAnsi="Arial" w:cs="Arial"/>
                <w:sz w:val="22"/>
              </w:rPr>
              <w:t>Protocols were flexibly delivered within the CP scope of practice, and co-delivery of other interventions was allowed.</w:t>
            </w:r>
          </w:p>
        </w:tc>
      </w:tr>
      <w:tr w:rsidR="00212A01" w:rsidRPr="00D264B7" w14:paraId="487F473E" w14:textId="77777777" w:rsidTr="00A40476">
        <w:trPr>
          <w:trHeight w:val="360"/>
        </w:trPr>
        <w:tc>
          <w:tcPr>
            <w:tcW w:w="4050" w:type="dxa"/>
            <w:tcBorders>
              <w:top w:val="nil"/>
              <w:bottom w:val="nil"/>
            </w:tcBorders>
          </w:tcPr>
          <w:p w14:paraId="44BC8E39" w14:textId="77777777" w:rsidR="00212A01" w:rsidRPr="00D264B7" w:rsidRDefault="00212A01" w:rsidP="00A40476">
            <w:pPr>
              <w:ind w:left="165"/>
              <w:rPr>
                <w:rFonts w:ascii="Arial" w:hAnsi="Arial" w:cs="Arial"/>
                <w:sz w:val="22"/>
              </w:rPr>
            </w:pPr>
            <w:r w:rsidRPr="00D264B7">
              <w:rPr>
                <w:rFonts w:ascii="Arial" w:hAnsi="Arial" w:cs="Arial"/>
                <w:sz w:val="22"/>
              </w:rPr>
              <w:t>Flexibility of Experimental Intervention – Adherence</w:t>
            </w:r>
          </w:p>
        </w:tc>
        <w:tc>
          <w:tcPr>
            <w:tcW w:w="810" w:type="dxa"/>
            <w:tcBorders>
              <w:top w:val="nil"/>
              <w:bottom w:val="nil"/>
            </w:tcBorders>
          </w:tcPr>
          <w:p w14:paraId="10A8EC8A" w14:textId="77777777" w:rsidR="00212A01" w:rsidRPr="00D264B7" w:rsidRDefault="00212A01" w:rsidP="00A40476">
            <w:pPr>
              <w:rPr>
                <w:rFonts w:ascii="Arial" w:hAnsi="Arial" w:cs="Arial"/>
                <w:sz w:val="22"/>
              </w:rPr>
            </w:pPr>
            <w:r w:rsidRPr="00D264B7">
              <w:rPr>
                <w:rFonts w:ascii="Arial" w:hAnsi="Arial" w:cs="Arial"/>
                <w:sz w:val="22"/>
              </w:rPr>
              <w:t>4.3</w:t>
            </w:r>
          </w:p>
        </w:tc>
        <w:tc>
          <w:tcPr>
            <w:tcW w:w="4675" w:type="dxa"/>
            <w:gridSpan w:val="2"/>
            <w:tcBorders>
              <w:top w:val="nil"/>
              <w:bottom w:val="nil"/>
            </w:tcBorders>
          </w:tcPr>
          <w:p w14:paraId="3B8716B7" w14:textId="77777777" w:rsidR="00212A01" w:rsidRPr="00D264B7" w:rsidRDefault="00212A01" w:rsidP="00A40476">
            <w:pPr>
              <w:rPr>
                <w:rFonts w:ascii="Arial" w:hAnsi="Arial" w:cs="Arial"/>
                <w:sz w:val="22"/>
              </w:rPr>
            </w:pPr>
            <w:r w:rsidRPr="00D264B7">
              <w:rPr>
                <w:rFonts w:ascii="Arial" w:hAnsi="Arial" w:cs="Arial"/>
                <w:sz w:val="22"/>
              </w:rPr>
              <w:t>There were minimal requirements for adherence to the intervention, but additional effort went to increasing likelihood that the first CP visit was completed.</w:t>
            </w:r>
          </w:p>
        </w:tc>
      </w:tr>
      <w:tr w:rsidR="00212A01" w:rsidRPr="00D264B7" w14:paraId="6A78E308" w14:textId="77777777" w:rsidTr="00A40476">
        <w:trPr>
          <w:gridAfter w:val="1"/>
          <w:wAfter w:w="89" w:type="dxa"/>
          <w:trHeight w:val="180"/>
        </w:trPr>
        <w:tc>
          <w:tcPr>
            <w:tcW w:w="4050" w:type="dxa"/>
            <w:tcBorders>
              <w:top w:val="nil"/>
              <w:bottom w:val="nil"/>
            </w:tcBorders>
          </w:tcPr>
          <w:p w14:paraId="55DCEA6B" w14:textId="77777777" w:rsidR="00212A01" w:rsidRPr="00D264B7" w:rsidRDefault="00212A01" w:rsidP="00A40476">
            <w:pPr>
              <w:rPr>
                <w:rFonts w:ascii="Arial" w:hAnsi="Arial" w:cs="Arial"/>
                <w:b/>
                <w:bCs/>
                <w:sz w:val="22"/>
              </w:rPr>
            </w:pPr>
            <w:r w:rsidRPr="00D264B7">
              <w:rPr>
                <w:rFonts w:ascii="Arial" w:hAnsi="Arial" w:cs="Arial"/>
                <w:b/>
                <w:bCs/>
                <w:sz w:val="22"/>
              </w:rPr>
              <w:t>The nature of follow-up</w:t>
            </w:r>
          </w:p>
        </w:tc>
        <w:tc>
          <w:tcPr>
            <w:tcW w:w="810" w:type="dxa"/>
            <w:tcBorders>
              <w:top w:val="nil"/>
              <w:bottom w:val="nil"/>
            </w:tcBorders>
          </w:tcPr>
          <w:p w14:paraId="1719DCFF" w14:textId="77777777" w:rsidR="00212A01" w:rsidRPr="00D264B7" w:rsidRDefault="00212A01" w:rsidP="00A40476">
            <w:pPr>
              <w:rPr>
                <w:rFonts w:ascii="Arial" w:hAnsi="Arial" w:cs="Arial"/>
                <w:sz w:val="22"/>
              </w:rPr>
            </w:pPr>
          </w:p>
        </w:tc>
        <w:tc>
          <w:tcPr>
            <w:tcW w:w="4586" w:type="dxa"/>
            <w:tcBorders>
              <w:top w:val="nil"/>
              <w:bottom w:val="nil"/>
            </w:tcBorders>
          </w:tcPr>
          <w:p w14:paraId="563FD91C" w14:textId="77777777" w:rsidR="00212A01" w:rsidRPr="00D264B7" w:rsidRDefault="00212A01" w:rsidP="00A40476">
            <w:pPr>
              <w:rPr>
                <w:rFonts w:ascii="Arial" w:hAnsi="Arial" w:cs="Arial"/>
                <w:sz w:val="22"/>
              </w:rPr>
            </w:pPr>
          </w:p>
        </w:tc>
      </w:tr>
      <w:tr w:rsidR="00212A01" w:rsidRPr="00D264B7" w14:paraId="4C62EE1C" w14:textId="77777777" w:rsidTr="00A40476">
        <w:tc>
          <w:tcPr>
            <w:tcW w:w="4050" w:type="dxa"/>
            <w:tcBorders>
              <w:top w:val="nil"/>
              <w:bottom w:val="nil"/>
            </w:tcBorders>
          </w:tcPr>
          <w:p w14:paraId="3AAA9E45" w14:textId="77777777" w:rsidR="00212A01" w:rsidRPr="00D264B7" w:rsidRDefault="00212A01" w:rsidP="00A40476">
            <w:pPr>
              <w:ind w:left="165"/>
              <w:rPr>
                <w:rFonts w:ascii="Arial" w:hAnsi="Arial" w:cs="Arial"/>
                <w:sz w:val="22"/>
              </w:rPr>
            </w:pPr>
            <w:r w:rsidRPr="00D264B7">
              <w:rPr>
                <w:rFonts w:ascii="Arial" w:hAnsi="Arial" w:cs="Arial"/>
                <w:sz w:val="22"/>
              </w:rPr>
              <w:t>Follow-up</w:t>
            </w:r>
          </w:p>
        </w:tc>
        <w:tc>
          <w:tcPr>
            <w:tcW w:w="810" w:type="dxa"/>
            <w:tcBorders>
              <w:top w:val="nil"/>
              <w:bottom w:val="nil"/>
            </w:tcBorders>
          </w:tcPr>
          <w:p w14:paraId="3E869A47" w14:textId="77777777" w:rsidR="00212A01" w:rsidRPr="00D264B7" w:rsidRDefault="00212A01" w:rsidP="00A40476">
            <w:pPr>
              <w:rPr>
                <w:rFonts w:ascii="Arial" w:hAnsi="Arial" w:cs="Arial"/>
                <w:sz w:val="22"/>
              </w:rPr>
            </w:pPr>
            <w:r w:rsidRPr="00D264B7">
              <w:rPr>
                <w:rFonts w:ascii="Arial" w:hAnsi="Arial" w:cs="Arial"/>
                <w:sz w:val="22"/>
              </w:rPr>
              <w:t>3.3</w:t>
            </w:r>
          </w:p>
        </w:tc>
        <w:tc>
          <w:tcPr>
            <w:tcW w:w="4675" w:type="dxa"/>
            <w:gridSpan w:val="2"/>
            <w:tcBorders>
              <w:top w:val="nil"/>
              <w:bottom w:val="nil"/>
            </w:tcBorders>
          </w:tcPr>
          <w:p w14:paraId="4CD96E22" w14:textId="77777777" w:rsidR="00212A01" w:rsidRPr="00D264B7" w:rsidRDefault="00212A01" w:rsidP="00A40476">
            <w:pPr>
              <w:rPr>
                <w:rFonts w:ascii="Arial" w:hAnsi="Arial" w:cs="Arial"/>
                <w:sz w:val="22"/>
              </w:rPr>
            </w:pPr>
            <w:r w:rsidRPr="00D264B7">
              <w:rPr>
                <w:rFonts w:ascii="Arial" w:hAnsi="Arial" w:cs="Arial"/>
                <w:sz w:val="22"/>
              </w:rPr>
              <w:t>Primary outcome assessment used the EHR, but patient surveys were administered for secondary outcomes, as well as a DSMB.</w:t>
            </w:r>
          </w:p>
        </w:tc>
      </w:tr>
      <w:tr w:rsidR="00212A01" w:rsidRPr="00D264B7" w14:paraId="0E32B5B6" w14:textId="77777777" w:rsidTr="00A40476">
        <w:trPr>
          <w:gridAfter w:val="1"/>
          <w:wAfter w:w="89" w:type="dxa"/>
        </w:trPr>
        <w:tc>
          <w:tcPr>
            <w:tcW w:w="9446" w:type="dxa"/>
            <w:gridSpan w:val="3"/>
            <w:tcBorders>
              <w:top w:val="nil"/>
              <w:bottom w:val="nil"/>
            </w:tcBorders>
          </w:tcPr>
          <w:p w14:paraId="0A558742" w14:textId="77777777" w:rsidR="00212A01" w:rsidRPr="00D264B7" w:rsidRDefault="00212A01" w:rsidP="00A40476">
            <w:pPr>
              <w:rPr>
                <w:rFonts w:ascii="Arial" w:hAnsi="Arial" w:cs="Arial"/>
                <w:sz w:val="22"/>
              </w:rPr>
            </w:pPr>
            <w:r w:rsidRPr="00D264B7">
              <w:rPr>
                <w:rFonts w:ascii="Arial" w:hAnsi="Arial" w:cs="Arial"/>
                <w:b/>
                <w:bCs/>
                <w:sz w:val="22"/>
              </w:rPr>
              <w:t>The nature, determination, and analysis of outcomes</w:t>
            </w:r>
          </w:p>
        </w:tc>
      </w:tr>
      <w:tr w:rsidR="00212A01" w:rsidRPr="00D264B7" w14:paraId="26FFD13C" w14:textId="77777777" w:rsidTr="00A40476">
        <w:trPr>
          <w:trHeight w:val="1107"/>
        </w:trPr>
        <w:tc>
          <w:tcPr>
            <w:tcW w:w="4050" w:type="dxa"/>
            <w:tcBorders>
              <w:top w:val="nil"/>
              <w:bottom w:val="nil"/>
            </w:tcBorders>
          </w:tcPr>
          <w:p w14:paraId="4A71CC93" w14:textId="77777777" w:rsidR="00212A01" w:rsidRPr="00D264B7" w:rsidRDefault="00212A01" w:rsidP="00A40476">
            <w:pPr>
              <w:ind w:left="165"/>
              <w:rPr>
                <w:rFonts w:ascii="Arial" w:hAnsi="Arial" w:cs="Arial"/>
                <w:sz w:val="22"/>
              </w:rPr>
            </w:pPr>
            <w:r w:rsidRPr="00D264B7">
              <w:rPr>
                <w:rFonts w:ascii="Arial" w:hAnsi="Arial" w:cs="Arial"/>
                <w:sz w:val="22"/>
              </w:rPr>
              <w:t>Outcome</w:t>
            </w:r>
          </w:p>
        </w:tc>
        <w:tc>
          <w:tcPr>
            <w:tcW w:w="810" w:type="dxa"/>
            <w:tcBorders>
              <w:top w:val="nil"/>
              <w:bottom w:val="nil"/>
            </w:tcBorders>
          </w:tcPr>
          <w:p w14:paraId="0AC20BDB" w14:textId="77777777" w:rsidR="00212A01" w:rsidRPr="00D264B7" w:rsidRDefault="00212A01" w:rsidP="00A40476">
            <w:pPr>
              <w:rPr>
                <w:rFonts w:ascii="Arial" w:hAnsi="Arial" w:cs="Arial"/>
                <w:sz w:val="22"/>
              </w:rPr>
            </w:pPr>
            <w:r w:rsidRPr="00D264B7">
              <w:rPr>
                <w:rFonts w:ascii="Arial" w:hAnsi="Arial" w:cs="Arial"/>
                <w:sz w:val="22"/>
              </w:rPr>
              <w:t>4.9</w:t>
            </w:r>
          </w:p>
        </w:tc>
        <w:tc>
          <w:tcPr>
            <w:tcW w:w="4675" w:type="dxa"/>
            <w:gridSpan w:val="2"/>
            <w:tcBorders>
              <w:top w:val="nil"/>
              <w:bottom w:val="nil"/>
            </w:tcBorders>
          </w:tcPr>
          <w:p w14:paraId="514D8BFA" w14:textId="77777777" w:rsidR="00212A01" w:rsidRPr="00D264B7" w:rsidRDefault="00212A01" w:rsidP="00A40476">
            <w:pPr>
              <w:rPr>
                <w:rFonts w:ascii="Arial" w:hAnsi="Arial" w:cs="Arial"/>
                <w:sz w:val="22"/>
              </w:rPr>
            </w:pPr>
            <w:r w:rsidRPr="00D264B7">
              <w:rPr>
                <w:rFonts w:ascii="Arial" w:hAnsi="Arial" w:cs="Arial"/>
                <w:sz w:val="22"/>
              </w:rPr>
              <w:t>The primary outcome (reduced hospitalizations) was very relevant to patients, care partners, and health care organizations.</w:t>
            </w:r>
          </w:p>
        </w:tc>
      </w:tr>
      <w:tr w:rsidR="00212A01" w:rsidRPr="00D264B7" w14:paraId="108B816C" w14:textId="77777777" w:rsidTr="00A40476">
        <w:trPr>
          <w:trHeight w:val="1440"/>
        </w:trPr>
        <w:tc>
          <w:tcPr>
            <w:tcW w:w="4050" w:type="dxa"/>
            <w:tcBorders>
              <w:top w:val="nil"/>
            </w:tcBorders>
          </w:tcPr>
          <w:p w14:paraId="3F0AB55A" w14:textId="77777777" w:rsidR="00212A01" w:rsidRPr="00D264B7" w:rsidRDefault="00212A01" w:rsidP="00A40476">
            <w:pPr>
              <w:ind w:left="165"/>
              <w:rPr>
                <w:rFonts w:ascii="Arial" w:hAnsi="Arial" w:cs="Arial"/>
                <w:sz w:val="22"/>
              </w:rPr>
            </w:pPr>
            <w:r w:rsidRPr="00D264B7">
              <w:rPr>
                <w:rFonts w:ascii="Arial" w:hAnsi="Arial" w:cs="Arial"/>
                <w:sz w:val="22"/>
              </w:rPr>
              <w:t>Analysis</w:t>
            </w:r>
          </w:p>
        </w:tc>
        <w:tc>
          <w:tcPr>
            <w:tcW w:w="810" w:type="dxa"/>
            <w:tcBorders>
              <w:top w:val="nil"/>
            </w:tcBorders>
          </w:tcPr>
          <w:p w14:paraId="18DC0D46" w14:textId="77777777" w:rsidR="00212A01" w:rsidRPr="00D264B7" w:rsidRDefault="00212A01" w:rsidP="00A40476">
            <w:pPr>
              <w:rPr>
                <w:rFonts w:ascii="Arial" w:hAnsi="Arial" w:cs="Arial"/>
                <w:sz w:val="22"/>
              </w:rPr>
            </w:pPr>
            <w:r w:rsidRPr="00D264B7">
              <w:rPr>
                <w:rFonts w:ascii="Arial" w:hAnsi="Arial" w:cs="Arial"/>
                <w:sz w:val="22"/>
              </w:rPr>
              <w:t>4.6</w:t>
            </w:r>
          </w:p>
        </w:tc>
        <w:tc>
          <w:tcPr>
            <w:tcW w:w="4675" w:type="dxa"/>
            <w:gridSpan w:val="2"/>
            <w:tcBorders>
              <w:top w:val="nil"/>
            </w:tcBorders>
          </w:tcPr>
          <w:p w14:paraId="4CF5E629" w14:textId="77777777" w:rsidR="00212A01" w:rsidRPr="00D264B7" w:rsidRDefault="00212A01" w:rsidP="00A40476">
            <w:pPr>
              <w:rPr>
                <w:rFonts w:ascii="Arial" w:hAnsi="Arial" w:cs="Arial"/>
                <w:sz w:val="22"/>
              </w:rPr>
            </w:pPr>
            <w:r w:rsidRPr="00D264B7">
              <w:rPr>
                <w:rFonts w:ascii="Arial" w:hAnsi="Arial" w:cs="Arial"/>
                <w:sz w:val="22"/>
              </w:rPr>
              <w:t>The main analysis was based on a modified intention-to-treat principle and included all patients who were randomized, eligible for the intervention, and completed the baseline assessment.</w:t>
            </w:r>
          </w:p>
        </w:tc>
      </w:tr>
    </w:tbl>
    <w:p w14:paraId="52F0CD7F" w14:textId="77777777" w:rsidR="00212A01" w:rsidRPr="004D4061" w:rsidRDefault="00212A01" w:rsidP="00212A01">
      <w:pPr>
        <w:rPr>
          <w:rFonts w:ascii="Arial" w:hAnsi="Arial" w:cs="Arial"/>
          <w:szCs w:val="24"/>
        </w:rPr>
      </w:pPr>
      <w:r w:rsidRPr="00D264B7">
        <w:rPr>
          <w:rFonts w:ascii="Arial" w:hAnsi="Arial" w:cs="Arial"/>
          <w:sz w:val="22"/>
        </w:rPr>
        <w:t>Abbreviations: CP=community paramedic; EHR=electronic health record; DSMB=data safety monitoring board</w:t>
      </w:r>
    </w:p>
    <w:sectPr w:rsidR="00212A01" w:rsidRPr="004D4061" w:rsidSect="00212A01">
      <w:footerReference w:type="default" r:id="rId4"/>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391436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B0862FD" w14:textId="77777777" w:rsidR="00212A01" w:rsidRPr="008A141C" w:rsidRDefault="00212A01">
            <w:pPr>
              <w:pStyle w:val="Footer"/>
              <w:jc w:val="center"/>
              <w:rPr>
                <w:sz w:val="20"/>
                <w:szCs w:val="20"/>
              </w:rPr>
            </w:pPr>
            <w:r w:rsidRPr="008A141C">
              <w:rPr>
                <w:rFonts w:ascii="Arial" w:hAnsi="Arial" w:cs="Arial"/>
                <w:sz w:val="20"/>
                <w:szCs w:val="20"/>
              </w:rPr>
              <w:t xml:space="preserve">Page </w:t>
            </w:r>
            <w:r w:rsidRPr="008A141C">
              <w:rPr>
                <w:rFonts w:ascii="Arial" w:hAnsi="Arial" w:cs="Arial"/>
                <w:sz w:val="20"/>
                <w:szCs w:val="20"/>
              </w:rPr>
              <w:fldChar w:fldCharType="begin"/>
            </w:r>
            <w:r w:rsidRPr="008A141C">
              <w:rPr>
                <w:rFonts w:ascii="Arial" w:hAnsi="Arial" w:cs="Arial"/>
                <w:sz w:val="20"/>
                <w:szCs w:val="20"/>
              </w:rPr>
              <w:instrText xml:space="preserve"> PAGE </w:instrText>
            </w:r>
            <w:r w:rsidRPr="008A141C">
              <w:rPr>
                <w:rFonts w:ascii="Arial" w:hAnsi="Arial" w:cs="Arial"/>
                <w:sz w:val="20"/>
                <w:szCs w:val="20"/>
              </w:rPr>
              <w:fldChar w:fldCharType="separate"/>
            </w:r>
            <w:r w:rsidRPr="008A141C">
              <w:rPr>
                <w:rFonts w:ascii="Arial" w:hAnsi="Arial" w:cs="Arial"/>
                <w:noProof/>
                <w:sz w:val="20"/>
                <w:szCs w:val="20"/>
              </w:rPr>
              <w:t>2</w:t>
            </w:r>
            <w:r w:rsidRPr="008A141C">
              <w:rPr>
                <w:rFonts w:ascii="Arial" w:hAnsi="Arial" w:cs="Arial"/>
                <w:sz w:val="20"/>
                <w:szCs w:val="20"/>
              </w:rPr>
              <w:fldChar w:fldCharType="end"/>
            </w:r>
            <w:r w:rsidRPr="008A141C">
              <w:rPr>
                <w:rFonts w:ascii="Arial" w:hAnsi="Arial" w:cs="Arial"/>
                <w:sz w:val="20"/>
                <w:szCs w:val="20"/>
              </w:rPr>
              <w:t xml:space="preserve"> of </w:t>
            </w:r>
            <w:r w:rsidRPr="008A141C">
              <w:rPr>
                <w:rFonts w:ascii="Arial" w:hAnsi="Arial" w:cs="Arial"/>
                <w:sz w:val="20"/>
                <w:szCs w:val="20"/>
              </w:rPr>
              <w:fldChar w:fldCharType="begin"/>
            </w:r>
            <w:r w:rsidRPr="008A141C">
              <w:rPr>
                <w:rFonts w:ascii="Arial" w:hAnsi="Arial" w:cs="Arial"/>
                <w:sz w:val="20"/>
                <w:szCs w:val="20"/>
              </w:rPr>
              <w:instrText xml:space="preserve"> NUMPAGES  </w:instrText>
            </w:r>
            <w:r w:rsidRPr="008A141C">
              <w:rPr>
                <w:rFonts w:ascii="Arial" w:hAnsi="Arial" w:cs="Arial"/>
                <w:sz w:val="20"/>
                <w:szCs w:val="20"/>
              </w:rPr>
              <w:fldChar w:fldCharType="separate"/>
            </w:r>
            <w:r w:rsidRPr="008A141C">
              <w:rPr>
                <w:rFonts w:ascii="Arial" w:hAnsi="Arial" w:cs="Arial"/>
                <w:noProof/>
                <w:sz w:val="20"/>
                <w:szCs w:val="20"/>
              </w:rPr>
              <w:t>2</w:t>
            </w:r>
            <w:r w:rsidRPr="008A141C">
              <w:rPr>
                <w:rFonts w:ascii="Arial" w:hAnsi="Arial" w:cs="Arial"/>
                <w:sz w:val="20"/>
                <w:szCs w:val="20"/>
              </w:rPr>
              <w:fldChar w:fldCharType="end"/>
            </w:r>
          </w:p>
        </w:sdtContent>
      </w:sdt>
    </w:sdtContent>
  </w:sdt>
  <w:p w14:paraId="0BCA8CA8" w14:textId="77777777" w:rsidR="00212A01" w:rsidRDefault="00212A0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01"/>
    <w:rsid w:val="00024EB7"/>
    <w:rsid w:val="0003181B"/>
    <w:rsid w:val="00032CDA"/>
    <w:rsid w:val="0004536D"/>
    <w:rsid w:val="00063E24"/>
    <w:rsid w:val="000B5D23"/>
    <w:rsid w:val="000C3BFC"/>
    <w:rsid w:val="000F2E7B"/>
    <w:rsid w:val="000F6F76"/>
    <w:rsid w:val="00101323"/>
    <w:rsid w:val="001409F9"/>
    <w:rsid w:val="00172C87"/>
    <w:rsid w:val="001843EB"/>
    <w:rsid w:val="00192AF8"/>
    <w:rsid w:val="001B5B86"/>
    <w:rsid w:val="001B7C6B"/>
    <w:rsid w:val="00205E16"/>
    <w:rsid w:val="00212A01"/>
    <w:rsid w:val="002312DD"/>
    <w:rsid w:val="00255A27"/>
    <w:rsid w:val="00283A1E"/>
    <w:rsid w:val="002C4571"/>
    <w:rsid w:val="002C4A7F"/>
    <w:rsid w:val="003075D5"/>
    <w:rsid w:val="00331D49"/>
    <w:rsid w:val="00346375"/>
    <w:rsid w:val="003D0C1A"/>
    <w:rsid w:val="003F6703"/>
    <w:rsid w:val="00403AA5"/>
    <w:rsid w:val="00421A2B"/>
    <w:rsid w:val="0043398C"/>
    <w:rsid w:val="0044282B"/>
    <w:rsid w:val="00456C31"/>
    <w:rsid w:val="0047494E"/>
    <w:rsid w:val="004A0202"/>
    <w:rsid w:val="004A282E"/>
    <w:rsid w:val="004F0F17"/>
    <w:rsid w:val="00507F15"/>
    <w:rsid w:val="00530378"/>
    <w:rsid w:val="005440D5"/>
    <w:rsid w:val="005573A7"/>
    <w:rsid w:val="005734B3"/>
    <w:rsid w:val="005B64B1"/>
    <w:rsid w:val="005F19A0"/>
    <w:rsid w:val="006632A9"/>
    <w:rsid w:val="006B47BE"/>
    <w:rsid w:val="006B591D"/>
    <w:rsid w:val="007330C4"/>
    <w:rsid w:val="0074735D"/>
    <w:rsid w:val="007477ED"/>
    <w:rsid w:val="00753A6C"/>
    <w:rsid w:val="00761E4E"/>
    <w:rsid w:val="007D7C76"/>
    <w:rsid w:val="008342B9"/>
    <w:rsid w:val="00866DB4"/>
    <w:rsid w:val="0088215C"/>
    <w:rsid w:val="008B08C4"/>
    <w:rsid w:val="008B105D"/>
    <w:rsid w:val="009008B1"/>
    <w:rsid w:val="00914242"/>
    <w:rsid w:val="00914DC7"/>
    <w:rsid w:val="00942FCA"/>
    <w:rsid w:val="009441D9"/>
    <w:rsid w:val="00951D87"/>
    <w:rsid w:val="0099745F"/>
    <w:rsid w:val="009A50E3"/>
    <w:rsid w:val="009A5DB5"/>
    <w:rsid w:val="009B02B1"/>
    <w:rsid w:val="009C3F31"/>
    <w:rsid w:val="009C5CE0"/>
    <w:rsid w:val="009D1FCC"/>
    <w:rsid w:val="009D349E"/>
    <w:rsid w:val="009E225E"/>
    <w:rsid w:val="00A06B0A"/>
    <w:rsid w:val="00A17C09"/>
    <w:rsid w:val="00A20B63"/>
    <w:rsid w:val="00A21949"/>
    <w:rsid w:val="00A27FE1"/>
    <w:rsid w:val="00A34120"/>
    <w:rsid w:val="00A83094"/>
    <w:rsid w:val="00AE7311"/>
    <w:rsid w:val="00B04B88"/>
    <w:rsid w:val="00B32AB1"/>
    <w:rsid w:val="00B84517"/>
    <w:rsid w:val="00BA0150"/>
    <w:rsid w:val="00C20A20"/>
    <w:rsid w:val="00C2369B"/>
    <w:rsid w:val="00C35B2F"/>
    <w:rsid w:val="00C47FF6"/>
    <w:rsid w:val="00C61836"/>
    <w:rsid w:val="00C6425B"/>
    <w:rsid w:val="00C96407"/>
    <w:rsid w:val="00D533CC"/>
    <w:rsid w:val="00D56D0F"/>
    <w:rsid w:val="00D9769C"/>
    <w:rsid w:val="00E23B98"/>
    <w:rsid w:val="00E252EA"/>
    <w:rsid w:val="00E25CCA"/>
    <w:rsid w:val="00E47C83"/>
    <w:rsid w:val="00E53292"/>
    <w:rsid w:val="00E622A8"/>
    <w:rsid w:val="00E80D97"/>
    <w:rsid w:val="00E861BC"/>
    <w:rsid w:val="00E94997"/>
    <w:rsid w:val="00EA6BAC"/>
    <w:rsid w:val="00EA7ABE"/>
    <w:rsid w:val="00EB3D69"/>
    <w:rsid w:val="00EC1A3F"/>
    <w:rsid w:val="00F06E28"/>
    <w:rsid w:val="00F24FB7"/>
    <w:rsid w:val="00F67B55"/>
    <w:rsid w:val="00F707A8"/>
    <w:rsid w:val="00FA3B43"/>
    <w:rsid w:val="00FB7617"/>
    <w:rsid w:val="00FE3A49"/>
    <w:rsid w:val="00FE7AA2"/>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C873"/>
  <w15:chartTrackingRefBased/>
  <w15:docId w15:val="{91E31437-800C-4E77-8614-7EEF13BB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01"/>
    <w:rPr>
      <w:rFonts w:ascii="Times New Roman" w:eastAsiaTheme="minorHAnsi" w:hAnsi="Times New Roman" w:cstheme="minorBidi"/>
      <w:kern w:val="0"/>
      <w:szCs w:val="22"/>
      <w14:ligatures w14:val="none"/>
    </w:rPr>
  </w:style>
  <w:style w:type="paragraph" w:styleId="Heading1">
    <w:name w:val="heading 1"/>
    <w:basedOn w:val="Normal"/>
    <w:next w:val="Normal"/>
    <w:link w:val="Heading1Char"/>
    <w:uiPriority w:val="9"/>
    <w:qFormat/>
    <w:rsid w:val="00C35B2F"/>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uiPriority w:val="9"/>
    <w:unhideWhenUsed/>
    <w:qFormat/>
    <w:rsid w:val="00C35B2F"/>
    <w:pPr>
      <w:keepNext/>
      <w:spacing w:before="240" w:after="60"/>
      <w:outlineLvl w:val="1"/>
    </w:pPr>
    <w:rPr>
      <w:rFonts w:eastAsia="Times New Roman" w:cs="Times New Roman"/>
      <w:b/>
      <w:bCs/>
      <w:i/>
      <w:iCs/>
      <w:sz w:val="28"/>
      <w:szCs w:val="28"/>
    </w:rPr>
  </w:style>
  <w:style w:type="paragraph" w:styleId="Heading3">
    <w:name w:val="heading 3"/>
    <w:basedOn w:val="Normal"/>
    <w:next w:val="Normal"/>
    <w:link w:val="Heading3Char"/>
    <w:uiPriority w:val="9"/>
    <w:unhideWhenUsed/>
    <w:qFormat/>
    <w:rsid w:val="000F2E7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0F2E7B"/>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12A0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12A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2A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2A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2A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B2F"/>
    <w:rPr>
      <w:rFonts w:eastAsia="Times New Roman" w:cs="Times New Roman"/>
      <w:b/>
      <w:bCs/>
      <w:kern w:val="32"/>
      <w:sz w:val="32"/>
      <w:szCs w:val="32"/>
    </w:rPr>
  </w:style>
  <w:style w:type="character" w:customStyle="1" w:styleId="Heading2Char">
    <w:name w:val="Heading 2 Char"/>
    <w:link w:val="Heading2"/>
    <w:uiPriority w:val="9"/>
    <w:rsid w:val="00C35B2F"/>
    <w:rPr>
      <w:rFonts w:eastAsia="Times New Roman" w:cs="Times New Roman"/>
      <w:b/>
      <w:bCs/>
      <w:i/>
      <w:iCs/>
      <w:sz w:val="28"/>
      <w:szCs w:val="28"/>
    </w:rPr>
  </w:style>
  <w:style w:type="paragraph" w:styleId="Title">
    <w:name w:val="Title"/>
    <w:basedOn w:val="Normal"/>
    <w:next w:val="Normal"/>
    <w:link w:val="TitleChar"/>
    <w:autoRedefine/>
    <w:uiPriority w:val="10"/>
    <w:qFormat/>
    <w:rsid w:val="00024EB7"/>
    <w:pPr>
      <w:spacing w:before="240" w:after="60" w:line="276" w:lineRule="auto"/>
      <w:jc w:val="center"/>
      <w:outlineLvl w:val="0"/>
    </w:pPr>
    <w:rPr>
      <w:rFonts w:eastAsia="Times New Roman" w:cs="Times New Roman"/>
      <w:b/>
      <w:bCs/>
      <w:kern w:val="28"/>
      <w:sz w:val="32"/>
      <w:szCs w:val="32"/>
      <w:lang w:val="x-none" w:eastAsia="x-none"/>
    </w:rPr>
  </w:style>
  <w:style w:type="character" w:customStyle="1" w:styleId="TitleChar">
    <w:name w:val="Title Char"/>
    <w:link w:val="Title"/>
    <w:uiPriority w:val="10"/>
    <w:rsid w:val="00024EB7"/>
    <w:rPr>
      <w:rFonts w:eastAsia="Times New Roman"/>
      <w:b/>
      <w:bCs/>
      <w:kern w:val="28"/>
      <w:sz w:val="32"/>
      <w:szCs w:val="32"/>
      <w:lang w:val="x-none" w:eastAsia="x-none"/>
    </w:rPr>
  </w:style>
  <w:style w:type="paragraph" w:styleId="Subtitle">
    <w:name w:val="Subtitle"/>
    <w:basedOn w:val="Normal"/>
    <w:next w:val="Normal"/>
    <w:link w:val="SubtitleChar"/>
    <w:autoRedefine/>
    <w:uiPriority w:val="11"/>
    <w:qFormat/>
    <w:rsid w:val="00C20A20"/>
    <w:pPr>
      <w:numPr>
        <w:ilvl w:val="1"/>
      </w:numPr>
      <w:jc w:val="center"/>
    </w:pPr>
    <w:rPr>
      <w:rFonts w:eastAsia="Times New Roman" w:cs="Times New Roman"/>
      <w:iCs/>
      <w:spacing w:val="15"/>
    </w:rPr>
  </w:style>
  <w:style w:type="character" w:customStyle="1" w:styleId="SubtitleChar">
    <w:name w:val="Subtitle Char"/>
    <w:link w:val="Subtitle"/>
    <w:uiPriority w:val="11"/>
    <w:rsid w:val="00C20A20"/>
    <w:rPr>
      <w:rFonts w:eastAsia="Times New Roman" w:cs="Times New Roman"/>
      <w:iCs/>
      <w:spacing w:val="15"/>
      <w:sz w:val="24"/>
      <w:szCs w:val="24"/>
    </w:rPr>
  </w:style>
  <w:style w:type="character" w:styleId="Hyperlink">
    <w:name w:val="Hyperlink"/>
    <w:rsid w:val="000F6F76"/>
    <w:rPr>
      <w:color w:val="0000FF"/>
      <w:u w:val="single"/>
    </w:rPr>
  </w:style>
  <w:style w:type="table" w:styleId="TableGrid">
    <w:name w:val="Table Grid"/>
    <w:basedOn w:val="TableNormal"/>
    <w:uiPriority w:val="39"/>
    <w:rsid w:val="000F6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2E7B"/>
  </w:style>
  <w:style w:type="character" w:customStyle="1" w:styleId="Heading3Char">
    <w:name w:val="Heading 3 Char"/>
    <w:link w:val="Heading3"/>
    <w:uiPriority w:val="9"/>
    <w:rsid w:val="000F2E7B"/>
    <w:rPr>
      <w:rFonts w:ascii="Cambria" w:eastAsia="Times New Roman" w:hAnsi="Cambria" w:cs="Times New Roman"/>
      <w:b/>
      <w:bCs/>
      <w:sz w:val="26"/>
      <w:szCs w:val="26"/>
    </w:rPr>
  </w:style>
  <w:style w:type="character" w:customStyle="1" w:styleId="Heading4Char">
    <w:name w:val="Heading 4 Char"/>
    <w:link w:val="Heading4"/>
    <w:uiPriority w:val="9"/>
    <w:rsid w:val="000F2E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12A01"/>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12A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A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A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A01"/>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212A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A01"/>
    <w:rPr>
      <w:i/>
      <w:iCs/>
      <w:color w:val="404040" w:themeColor="text1" w:themeTint="BF"/>
    </w:rPr>
  </w:style>
  <w:style w:type="paragraph" w:styleId="ListParagraph">
    <w:name w:val="List Paragraph"/>
    <w:basedOn w:val="Normal"/>
    <w:uiPriority w:val="34"/>
    <w:qFormat/>
    <w:rsid w:val="00212A01"/>
    <w:pPr>
      <w:ind w:left="720"/>
      <w:contextualSpacing/>
    </w:pPr>
  </w:style>
  <w:style w:type="character" w:styleId="IntenseEmphasis">
    <w:name w:val="Intense Emphasis"/>
    <w:basedOn w:val="DefaultParagraphFont"/>
    <w:uiPriority w:val="21"/>
    <w:qFormat/>
    <w:rsid w:val="00212A01"/>
    <w:rPr>
      <w:i/>
      <w:iCs/>
      <w:color w:val="365F91" w:themeColor="accent1" w:themeShade="BF"/>
    </w:rPr>
  </w:style>
  <w:style w:type="paragraph" w:styleId="IntenseQuote">
    <w:name w:val="Intense Quote"/>
    <w:basedOn w:val="Normal"/>
    <w:next w:val="Normal"/>
    <w:link w:val="IntenseQuoteChar"/>
    <w:uiPriority w:val="30"/>
    <w:qFormat/>
    <w:rsid w:val="00212A0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2A01"/>
    <w:rPr>
      <w:i/>
      <w:iCs/>
      <w:color w:val="365F91" w:themeColor="accent1" w:themeShade="BF"/>
    </w:rPr>
  </w:style>
  <w:style w:type="character" w:styleId="IntenseReference">
    <w:name w:val="Intense Reference"/>
    <w:basedOn w:val="DefaultParagraphFont"/>
    <w:uiPriority w:val="32"/>
    <w:qFormat/>
    <w:rsid w:val="00212A01"/>
    <w:rPr>
      <w:b/>
      <w:bCs/>
      <w:smallCaps/>
      <w:color w:val="365F91" w:themeColor="accent1" w:themeShade="BF"/>
      <w:spacing w:val="5"/>
    </w:rPr>
  </w:style>
  <w:style w:type="paragraph" w:styleId="Footer">
    <w:name w:val="footer"/>
    <w:basedOn w:val="Normal"/>
    <w:link w:val="FooterChar"/>
    <w:uiPriority w:val="99"/>
    <w:unhideWhenUsed/>
    <w:rsid w:val="00212A01"/>
    <w:pPr>
      <w:tabs>
        <w:tab w:val="center" w:pos="4680"/>
        <w:tab w:val="right" w:pos="9360"/>
      </w:tabs>
    </w:pPr>
  </w:style>
  <w:style w:type="character" w:customStyle="1" w:styleId="FooterChar">
    <w:name w:val="Footer Char"/>
    <w:basedOn w:val="DefaultParagraphFont"/>
    <w:link w:val="Footer"/>
    <w:uiPriority w:val="99"/>
    <w:rsid w:val="00212A01"/>
    <w:rPr>
      <w:rFonts w:ascii="Times New Roman" w:eastAsiaTheme="minorHAnsi" w:hAnsi="Times New Roman" w:cstheme="minorBidi"/>
      <w:kern w:val="0"/>
      <w:szCs w:val="22"/>
      <w14:ligatures w14:val="none"/>
    </w:rPr>
  </w:style>
  <w:style w:type="character" w:styleId="LineNumber">
    <w:name w:val="line number"/>
    <w:basedOn w:val="DefaultParagraphFont"/>
    <w:uiPriority w:val="99"/>
    <w:semiHidden/>
    <w:unhideWhenUsed/>
    <w:rsid w:val="0021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Dee P.</dc:creator>
  <cp:keywords/>
  <dc:description/>
  <cp:lastModifiedBy>Chase, Dee P.</cp:lastModifiedBy>
  <cp:revision>1</cp:revision>
  <dcterms:created xsi:type="dcterms:W3CDTF">2024-09-05T18:47:00Z</dcterms:created>
  <dcterms:modified xsi:type="dcterms:W3CDTF">2024-09-05T18:50:00Z</dcterms:modified>
</cp:coreProperties>
</file>