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C0" w:rsidRDefault="003B78C0" w:rsidP="003B78C0">
      <w:pPr>
        <w:pStyle w:val="Heading1"/>
        <w:numPr>
          <w:ilvl w:val="0"/>
          <w:numId w:val="0"/>
        </w:numPr>
        <w:ind w:left="720"/>
      </w:pPr>
      <w:bookmarkStart w:id="0" w:name="_Toc57905078"/>
      <w:r>
        <w:t>Appendix</w:t>
      </w:r>
      <w:bookmarkEnd w:id="0"/>
    </w:p>
    <w:p w:rsidR="003B78C0" w:rsidRDefault="003B78C0" w:rsidP="003B78C0">
      <w:pPr>
        <w:spacing w:after="0" w:line="240" w:lineRule="auto"/>
      </w:pPr>
      <w:r>
        <w:t>Table A1 The reviewed studies by research domain, target behavior, type of control and treatment group, sub-studies, study type and country</w:t>
      </w:r>
    </w:p>
    <w:tbl>
      <w:tblPr>
        <w:tblStyle w:val="PlainTable1"/>
        <w:tblW w:w="5012" w:type="pct"/>
        <w:tblLayout w:type="fixed"/>
        <w:tblLook w:val="04A0" w:firstRow="1" w:lastRow="0" w:firstColumn="1" w:lastColumn="0" w:noHBand="0" w:noVBand="1"/>
      </w:tblPr>
      <w:tblGrid>
        <w:gridCol w:w="441"/>
        <w:gridCol w:w="3526"/>
        <w:gridCol w:w="993"/>
        <w:gridCol w:w="3684"/>
        <w:gridCol w:w="1277"/>
        <w:gridCol w:w="990"/>
        <w:gridCol w:w="707"/>
        <w:gridCol w:w="1680"/>
        <w:gridCol w:w="1013"/>
      </w:tblGrid>
      <w:tr w:rsidR="003B78C0" w:rsidRPr="00A60825" w:rsidTr="00D6567C">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rPr>
                <w:rFonts w:ascii="Arial" w:eastAsia="Times New Roman" w:hAnsi="Arial" w:cs="Arial"/>
                <w:sz w:val="20"/>
                <w:szCs w:val="20"/>
                <w:lang w:eastAsia="de-DE"/>
              </w:rPr>
            </w:pPr>
            <w:r w:rsidRPr="00A60825">
              <w:rPr>
                <w:rFonts w:ascii="Arial" w:eastAsia="Times New Roman" w:hAnsi="Arial" w:cs="Arial"/>
                <w:sz w:val="20"/>
                <w:szCs w:val="20"/>
                <w:lang w:eastAsia="de-DE"/>
              </w:rPr>
              <w:t>ID</w:t>
            </w:r>
          </w:p>
        </w:tc>
        <w:tc>
          <w:tcPr>
            <w:tcW w:w="1232" w:type="pct"/>
            <w:noWrap/>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Author</w:t>
            </w:r>
          </w:p>
        </w:tc>
        <w:tc>
          <w:tcPr>
            <w:tcW w:w="347" w:type="pct"/>
            <w:noWrap/>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Domain</w:t>
            </w:r>
          </w:p>
        </w:tc>
        <w:tc>
          <w:tcPr>
            <w:tcW w:w="1287" w:type="pct"/>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Target behavior</w:t>
            </w:r>
          </w:p>
        </w:tc>
        <w:tc>
          <w:tcPr>
            <w:tcW w:w="446" w:type="pct"/>
            <w:noWrap/>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Treatment</w:t>
            </w:r>
          </w:p>
        </w:tc>
        <w:tc>
          <w:tcPr>
            <w:tcW w:w="346" w:type="pct"/>
            <w:noWrap/>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Control</w:t>
            </w:r>
          </w:p>
        </w:tc>
        <w:tc>
          <w:tcPr>
            <w:tcW w:w="247" w:type="pct"/>
            <w:noWrap/>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Sub</w:t>
            </w:r>
          </w:p>
        </w:tc>
        <w:tc>
          <w:tcPr>
            <w:tcW w:w="587" w:type="pct"/>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Study-type</w:t>
            </w:r>
          </w:p>
        </w:tc>
        <w:tc>
          <w:tcPr>
            <w:tcW w:w="354" w:type="pct"/>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Country</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{"citationID":"Nyb6mcEh","properties":{"formattedCitation":"(Bruns et al., 2018)","plainCitation":"(Bruns et al., 2018)","noteIndex":0},"citationItems":[{"id":287,"uris":["http://zotero.org/users/2145664/items/TQQGRSS3"],"uri":["http://zotero.org/users/2145664/items/TQQGRSS3"],"itemData":{"id":287,"type":"article-journal","abstract":"Nudges receive growing attention as an effective concept to alter\npeople’s decisions without significantly changing economic incentives or\nlimiting options. However, being often very subtle and covert, nudges\nare also criticized as unethical. By not being transparent about the\nintention to influence individual choice they might be perceived as\nlimiting freedom of autonomous actions and decisions. So far, empirical\nresearch on this issue is scarce. In this study, we investigate whether\nnudges can be made transparent without limiting their effectiveness. For\nthis purpose we conduct a laboratory experiment where we nudge\ncontributions to carbon emission reduction by introducing a default\nvalue. We test how different types of transparency (i.e. knowledge of\nthe potential influence of the default, its purpose, or both) influence\nthe effect of the default. Our findings demonstrate that the default\nincreases contributions, and information on the potential influence, its\npurpose, or both combined do not significantly influence the default\neffect. Furthermore, we do not find evidence that psychological\nreactance interacts with the influence of transparency. Findings support\nthe policy-relevant claim that nudges (in the form of defaults) can be\ntransparent and yet effective.","container-title":"JOURNAL OF ECONOMIC PSYCHOLOGY","language":"English","note":"ISBN: 0167-4870\ntype: 10.1016/j.joep.2018.02.002","page":"41–59","title":"Can nudges be transparent and yet effective?","volume":"65","author":[{"family":"Bruns","given":"Hendrik"},{"family":"Kantorowicz-Reznichenko","given":"Elena"},{"family":"Klement","given":"Katharina"},{"family":"Jonsson","given":"Marijane Luistro"},{"family":"Rahali","given":"Bilel"}],"issued":{"date-parts":[["2018"]]}}}],"schema":"https://github.com/citation-style-language/schema/raw/master/csl-citation.json"}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(Bruns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4</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NL and GER</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{"citationID":"LbtOhBxD","properties":{"formattedCitation":"(Briscese, 2019)","plainCitation":"(Briscese, 2019)","noteIndex":0},"citationItems":[{"id":283,"uris":["http://zotero.org/users/2145664/items/FHBPAYYM"],"uri":["http://zotero.org/users/2145664/items/FHBPAYYM"],"itemData":{"id":283,"type":"article-journal","abstract":"Defaults can influence behaviour in many contexts, from savings to organ\ndonations registrations, but can also reduce an individual’s perception\nof control if they don’t take into account individual preferences. This\npaper examines defaults in a charitable giving setting where a\npreference for control might limit the role of the default option. We\nrun a field experiment with an NGO hosting an online peer-to-peer\nmicro-lending platform. Lenders, who had their microloans fully repaid\nbut had taken no action for over one year, were invited to use their\nmoney in one of four ways: withdraw, lend to a new borrower, donate to\nthe NGO, or leave idle. In the control condition, there was no default.\nIn the ‘default loan’ and ‘default donation’ treatments, lenders were\ntold that if they did not take any action their money would\nautomatically be re-lent to a new borrower or donated to the WOO\nrespectively. We find that both defaults increase the proportion of\nindividuals giving and the amount given, compared to the control, and\nthat the increase was largest in the ‘default loan’ treatment. This\nsuggests that aligning defaults with past behavior can increase their\neffectiveness.","container-title":"JOURNAL OF ECONOMIC PSYCHOLOGY","language":"English","note":"ISBN: 0167-4870\ntype: 10.1016/j.joep.2019.06.010","title":"Generous by default: A field experiment on designing defaults that align  with past behaviour on charitable giving","volume":"74","author":[{"family":"Briscese","given":"Guglielmo"}],"issued":{"date-parts":[["2019"]]}}}],"schema":"https://github.com/citation-style-language/schema/raw/master/csl-citation.json"}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(Briscese,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charitable re-lending</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AUS</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{"citationID":"L4nbg2Hl","properties":{"formattedCitation":"(Crow et al., 2019)","plainCitation":"(Crow et al., 2019)","noteIndex":0},"citationItems":[{"id":295,"uris":["http://zotero.org/users/2145664/items/IHT69GKG"],"uri":["http://zotero.org/users/2145664/items/IHT69GKG"],"itemData":{"id":295,"type":"article-journal","abstract":"As retailers seek to enhance their fundraising capabilities at the\ncheckout, many are debating whether to pair their donation appeals with\ndefault options. However, research on the effectiveness of defaults\nremains conflicted and individual differences among consumers are\nlargely ignored. Addressing this, an experiment was conducted to\ndemonstrate that individual differences in locomotion, a motivation for\ncontrol in decision-making, impacts the acceptance of defaults, and thus\nactual donations. Low locomotion was found to increase donations in the\npresence of defaults. This finding allows marketers to better target\ncustomers with defaults in donation appeals and achieve greater\nfundraising success.","container-title":"JOURNAL OF RETAILING AND CONSUMER SERVICES","language":"English","note":"ISBN: 0969-6989\ntype: 10.1016/j.jretconser.2018.12.015","page":"1–6","title":"Got a dollar? Locomotion orientation decreases the effect of defaults on  charitable giving","volume":"48","author":[{"family":"Crow","given":"Kellie"},{"family":"Mathmann","given":"Frank"},{"family":"Greer","given":"Dominique"}],"issued":{"date-parts":[["2019"]]}}}],"schema":"https://github.com/citation-style-language/schema/raw/master/csl-citation.json"}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(Crow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(at checkout counter)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{"citationID":"xVcwsvRl","properties":{"formattedCitation":"(Fosgaard and Piovesan, 2015)","plainCitation":"(Fosgaard and Piovesan, 2015)","noteIndex":0},"citationItems":[{"id":309,"uris":["http://zotero.org/users/2145664/items/C3EXXV74"],"uri":["http://zotero.org/users/2145664/items/C3EXXV74"],"itemData":{"id":309,"type":"article-journal","abstract":"In this paper we test the effect of non-binding defaults on the level of\ncontribution to a public good. We manipulate the default numbers\nappearing on the decision screen to nudge subjects toward a free-rider\nstrategy or a perfect conditional cooperator strategy. Our results show\nthat the vast majority of our subjects did not adopt the default\nnumbers, but their stated strategy was affected by the default.\nMoreover, we find that our manipulation spilled over to a subsequent\nrepeated public goods game where default was not manipulated. Here we\nfound that subjects who previously saw the free rider default were\nsignificantly less cooperative than those who saw the perfect\nconditional cooperator default.","container-title":"PLOS ONE","issue":"12","language":"English","note":"ISBN: 1932-6203\ntype: 10.1371/journal.pone.0145488","title":"Nudge for (the Public) Good: How Defaults Can Affect Cooperation","volume":"10","author":[{"family":"Fosgaard","given":"Toke R."},{"family":"Piovesan","given":"Marco"}],"issued":{"date-parts":[["2015"]]}}}],"schema":"https://github.com/citation-style-language/schema/raw/master/csl-citation.json"}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(Fosgaard and Piovesan,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(public good game)</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DK</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{"citationID":"omqWKNt5","properties":{"formattedCitation":"(Ghesla et al., 2020)","plainCitation":"(Ghesla et al., 2020)","noteIndex":0},"citationItems":[{"id":407,"uris":["http://zotero.org/users/2145664/items/86QWIJW2"],"uri":["http://zotero.org/users/2145664/items/86QWIJW2"],"itemData":{"id":407,"type":"article-journal","container-title":"Energy Economics","ISSN":"0140-9883","journalAbbreviation":"Energy Economics","note":"publisher: Elsevier","page":"104616","title":"Nudging the poor and the rich–A field study on the distributional effects of green electricity defaults","volume":"86","author":[{"family":"Ghesla","given":"Claus"},{"family":"Grieder","given":"Manuel"},{"family":"Schubert","given":"Renate"}],"issued":{"date-parts":[["2020"]]}}}],"schema":"https://github.com/citation-style-language/schema/raw/master/csl-citation.json"}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(Ghesla et al., 2020)</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SWI</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{"citationID":"4GSmi8L8","properties":{"formattedCitation":"(Zarghamee et al., 2017)","plainCitation":"(Zarghamee et al., 2017)","noteIndex":0},"citationItems":[{"id":389,"uris":["http://zotero.org/users/2145664/items/XTADYDMM"],"uri":["http://zotero.org/users/2145664/items/XTADYDMM"],"itemData":{"id":389,"type":"article-journal","abstract":"We present three field experiments that probe the influence of choice\narchitecture on the contributions of a total of 328 participants to real\ncharities. In the first experiment, framing a one-time donation\nopportunity as an opt-out as opposed to opt-in decision significantly\nincreases donations to an environmental non-profit. In the second\nexperiment, an automatic donation mechanism is provided that allows\nsubjects to self-select into an opt-out framing; when combined with\nincentive-neutral, social-norm supporting activities (cheap talk and\nvoting), automatic donations sustain increased contributions over a\nten-month study period to an HIV/AIDS-related charity. In the third\nexperiment, we study the extent to which the mention of HIV/AIDS in the\ncharity’s informational material impacts the emotions and donations of\npotential donors. In this case the connection to HIV/AIDS does not\nelicit stigma, but we do find that changes in mood from exposure to the\ncharity’s informational material predict increased donations, and that\ndonors experience an improved mood from donating. (C) 2016 Published by\nElsevier Inc.","container-title":"Journal of Behavioral and Experimental Economics","issue":"SI","language":"English","note":"ISBN: 2214-8043\ntype: 10.1016/j.socec.2016.04.008","page":"137–149","title":"Nudging charitable giving: Three field experiments","volume":"66","author":[{"family":"Zarghamee","given":"Homa S."},{"family":"Messer","given":"Kent D."},{"family":"Fooks","given":"Jacob R."},{"family":"Schulze","given":"William D."},{"family":"Wu","given":"Shang"},{"family":"Yan","given":"Jubo"}],"issued":{"date-parts":[["2017"]]}}}],"schema":"https://github.com/citation-style-language/schema/raw/master/csl-citation.json"}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(Zarghamee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framed 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{"citationID":"ALqoZtvX","properties":{"formattedCitation":"(Schulz et al., 2018)","plainCitation":"(Schulz et al., 2018)","noteIndex":0},"citationItems":[{"id":370,"uris":["http://zotero.org/users/2145664/items/IWV8U97X"],"uri":["http://zotero.org/users/2145664/items/IWV8U97X"],"itemData":{"id":370,"type":"article-journal","abstract":"In an experimental setup we investigate the effect of two different\nchoice architectures on donation decisions. In the treatment group,\nsubjects can either specify a charity of their choice, or select one\nfrom a list of five well-known charities; in the control group we do not\nprovide a list. In a sample of 869 subjects we find a large treatment\neffect: Offering a list of default charities doubles the fraction of\ndonors, as well as the revenue for charities. We find that the treatment\nintervention particularly affects subjects who tend to make intuitive\nchoices.","container-title":"Journal of Behavioral and Experimental Economics","language":"English","note":"ISBN: 2214-8043\ntype: 10.1016/j.socec.2018.04.001","page":"139–145","title":"Nudging generosity: Choice architecture and cognitive factors in  charitable giving","volume":"74","author":[{"family":"Schulz","given":"Jonathan F."},{"family":"Thiemann","given":"Petra"},{"family":"Thoni","given":"Christian"}],"issued":{"date-parts":[["2018"]]}}}],"schema":"https://github.com/citation-style-language/schema/raw/master/csl-citation.json"}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(Schulz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Framed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SWI</w:t>
            </w:r>
          </w:p>
        </w:tc>
      </w:tr>
      <w:tr w:rsidR="003B78C0" w:rsidRPr="001F562A"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{"citationID":"jiberjOt","properties":{"formattedCitation":"(Nelson et al., 2019)","plainCitation":"(Nelson et al., 2019)","noteIndex":0},"citationItems":[{"id":352,"uris":["http://zotero.org/users/2145664/items/CY9ZTUC2"],"uri":["http://zotero.org/users/2145664/items/CY9ZTUC2"],"itemData":{"id":352,"type":"article-journal","abstract":"This research examines the donation behavior of tourists who are asked\nto donate to coastal conservation aimed at addressing a bundled mix of\nland and sea issues. Historically, the governance and financing of land\nand sea conservation have been separated; yet coastal tourism directly\ninvolves a mix of activities and development challenges which link land\nand sea together on the coast. Marine parks, and numerous studies\nexamining their funding schemes, have typically focused on mandatory\nuser fees targeting specific types of activities. For example, many\nstudies focus only on scuba divers’ willingness to pay (WTP) for marine\nconservation. Alternative funding mechanisms, such as voluntary\ncontributions, may be preferred, or even necessary, to traditional\ngovernment imposed fees, but much less is known about effective\nimplementation. Relatively few studies focus on bundled cross-boundary\nconservation activities (i.e., land and sea conservation) from all\nvisitors of a marine park (i.e., beachgoers, surfers, boaters,\nsnorkelers) and its encompassing coastal area. In this study we target\ntourists visiting a popular island and employ field experimental methods\nto explore the optimal donation request mechanism and pricing levels\nthat influence real voluntary payments for conservation. The field\nexperiment examines voluntary payments under the treatment conditions:\nopen-ended, a set of several suggested donation amounts, and default\nopt-in and opt-out at two price levels. The field experiment was\nconducted with tourists on the island of Gili Trawangan, Indonesia.\nResults reveal that tourists are willing to donate to bundled land-sea\nconservation issues and that there is a significantly higher propensity\nto donate in all treatment conditions compared to the open-ended\ncondition. The default opt-out conditions garnered the highest rate of\ndonations at 75% and 62% respectively for the lower and higher set\namounts. The mean donation amount was largest in the higher default\nopt-out condition. Our results suggest that the optimal method of\nrequesting voluntary donations is a set default amount requiring users\nto opt-out if they do not wish to donate. Implementing a default opt-out\neco-donation targeting all types of visitors represents a significant\nsource of funding and illustrates the potential for donations to finance\nland and sea conservation efforts, an important avenue for future\ninvestigation in many interconnected systems that have been historically\ngoverned and financed separately.","container-title":"JOURNAL OF ENVIRONMENTAL MANAGEMENT","language":"English","note":"ISBN: 0301-4797\ntype: 10.1016/j.jenvman.2019.02.003","page":"30–43","title":"Nudging tourists to donate for conservation: Experimental evidence on  soliciting voluntary contributions for coastal management","volume":"237","author":[{"family":"Nelson","given":"Katherine M."},{"family":"Partelow","given":"Stefan"},{"family":"Schlueter","given":"Achim"}],"issued":{"date-parts":[["2019"]]}}}],"schema":"https://github.com/citation-style-language/schema/raw/master/csl-citation.json"}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(Nelson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(on-site, for coastal and marine conservation)</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3</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IDN</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{"citationID":"lS1o9mBi","properties":{"formattedCitation":"(d\\uc0\\u8217{}Adda et al., 2017)","plainCitation":"(d’Adda et al., 2017)","noteIndex":0},"citationItems":[{"id":297,"uris":["http://zotero.org/users/2145664/items/ZYKBSAG3"],"uri":["http://zotero.org/users/2145664/items/ZYKBSAG3"],"itemData":{"id":297,"type":"article-journal","abstract":"Policy interventions are generally evaluated for their direct\neffectiveness. Little is known about their ability to persist over time\nand spill across contexts. These latter aspects can reinforce or offset\nthe direct impacts depending on the policy instrument choice. Through an\nonline experiment with 1486 subjects, we compare four widely used policy\ninstruments in terms of their ability to enforce a norm of fairness in\nthe Dictator Game, and to persist over time (i.e., to a subsequent\nuntreated Dictator Game) or spill over to a norm of cooperation (i.e.,\nto a subsequent Prisoner’s Dilemma). As specific policy interventions,\nwe employed two instances of nudges: defaults and social information;\nand two instances of push measures: rebates and a minimum donation rule.\nOur results show that (i) rebates, the minimum donation rule and social\ninformation have a positive direct effect on fairness, although the\neffect of social information is only marginally significant, and that\n(ii) the effect of rebates and the minimum donation rule persists in the\nsecond game, but only within the same game type. These findings\ndemonstrate that, within our specific design, push measures are more\neffective than nudges in promoting fairness. (C) 2017 Elsevier B.V. All\nrights reserved.","container-title":"ECONOMICS LETTERS","language":"English","note":"ISBN: 0165-1765\ntype: 10.1016/j.econlet.2017.02.029","page":"92–95","title":"Push, don’t nudge: Behavioral spillovers and policy instruments","volume":"154","author":[{"family":"Adda","given":"Giovanna","non-dropping-particle":"d’"},{"family":"Capraro","given":"Valerio"},{"family":"Tavoni","given":"Massimo"}],"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szCs w:val="24"/>
              </w:rPr>
              <w:t>(d’Adda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(dictator game and PD)</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{"citationID":"4g20CZl2","properties":{"formattedCitation":"(Goswami and Urminsky, 2016)","plainCitation":"(Goswami and Urminsky, 2016)","noteIndex":0},"citationItems":[{"id":318,"uris":["http://zotero.org/users/2145664/items/X2UP5D6J"],"uri":["http://zotero.org/users/2145664/items/X2UP5D6J"],"itemData":{"id":318,"type":"article-journal","abstract":"How does setting a donation option as the default in a charitable appeal\naffect people’s decisions? In eight studies, comprising 11,508\nparticipants making 2,423 donation decisions in both experimental\nsettings and a largescale natural field experiment, the authors\ninvestigate the effect of “choiceoption” defaults on the donation\nrate, average donation amount, and the resulting revenue. They find (1)\na “scale-back” effect, in which low defaults reduce average donation\namounts; (2) a “lower-bar” effect, in which defaulting a low amount\nincreases donation rate; and (3) a “default-distraction” effect, in\nwhich introducing any defaults reduces the effect of other cues, such as\npositive charity information. Contrary to the view that setting defaults\nwill backfire, defaults increased revenue in the field study. However,\nthe findings suggest that defaults can sometimes be a\n“self-canceling” intervention, with countervailing effects of\ndefault option magnitude on decisions and resulting in no net effect on\nrevenue. The authors discuss the implications of the findings for\nresearch on fundraising specifically, for choice architecture and\nbehavioral interventions more generally, and for the use of “nudges”\nin policy decisions.","container-title":"JOURNAL OF MARKETING RESEARCH","issue":"5","language":"English","note":"ISBN: 0022-2437\ntype: 10.1509/jmr.15.0001","page":"829–846","title":"When Should the Ask Be a Nudge? The Effect of Default Amounts on  Charitable Donations","volume":"53","author":[{"family":"Goswami","given":"Indranil"},{"family":"Urminsky","given":"Oleg"}],"issued":{"date-parts":[["2016"]]}}}],"schema":"https://github.com/citation-style-language/schema/raw/master/csl-citation.json"}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(Goswami and Urminsky,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Charitable giving (donating &gt; 0)</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27</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online and 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{"citationID":"FSq4ODPR","properties":{"formattedCitation":"(Schneider et al., 2019)","plainCitation":"(Schneider et al., 2019)","noteIndex":0},"citationItems":[{"id":368,"uris":["http://zotero.org/users/2145664/items/TQT7DKE5"],"uri":["http://zotero.org/users/2145664/items/TQT7DKE5"],"itemData":{"id":368,"type":"article-journal","abstract":"With the ubiquity and prevalence of advanced technologies in society,\ntransactions have become increasingly digital, requiring new user\nidentity verification mechanisms. Electronic identification (eID)\nenables user identity authorization in online environments. Although eID\nplays a central role in government initiatives worldwide to digitalize\ncitizen transactions, eID adoption remains surprisingly low. Drawing on\ndigital nudging theory and e-government literature, we examine how eID\nadoption can be increased by changing the decision environment in which\nusers choose eID. In a controlled experiment with 161 participants, we\ninvestigate the effect of default options (eID vs. offline ID as\ndefault) and popularity signals (presence vs. absence of social proof)\non users’ eID adoption behavior. Both nudges increase eID adoption, but\ndefault options are a double-edged sword as they simultaneously fuel\nprivacy concerns towards the government, attenuating the effect of\ndefault option on eID adoption. These concerns can be mitigated by\nadding social proof cues.","container-title":"ELECTRONIC MARKETS","language":"English","note":"ISBN: 1019-6781\ntype: 10.1007/s12525-019-00373-8","title":"Nudging users into digital service solutions","author":[{"family":"Schneider","given":"David"},{"family":"Klumpe","given":"Johannes"},{"family":"Adam","given":"Martin"},{"family":"Benlian","given":"Alexander"}],"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(Schneider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A60825">
              <w:rPr>
                <w:rFonts w:ascii="Arial" w:eastAsia="Times New Roman" w:hAnsi="Arial" w:cs="Arial"/>
                <w:sz w:val="18"/>
                <w:szCs w:val="18"/>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Selecting the eID</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{"citationID":"xSY6z1Rd","properties":{"formattedCitation":"(Dogruel et al., 2017)","plainCitation":"(Dogruel et al., 2017)","noteIndex":0},"citationItems":[{"id":299,"uris":["http://zotero.org/users/2145664/items/66KTHGVT"],"uri":["http://zotero.org/users/2145664/items/66KTHGVT"],"itemData":{"id":299,"type":"article-journal","abstract":"This study examines the impact of privacy defaults and expert\nrecommendations on smartphone users’ willingness to pay for\n“privacy-enhanced” features on paid applications using a 2 (privacy\npremium default/no privacy premium default) x 2 (privacy expert\nrecommendation/non-privacy expert recommendation) experimental design.","container-title":"COMPUTERS IN HUMAN BEHAVIOR","language":"English","note":"ISBN: 0747-5632\ntype: 10.1016/j.chb.2017.08.035","page":"230–239","title":"The valuation of privacy premium features for smartphone apps: The  influence of defaults and expert recommendations","volume":"77","author":[{"family":"Dogruel","given":"Leyla"},{"family":"Joeckel","given":"Sven"},{"family":"Vitak","given":"Jessica"}],"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(Dogruel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A60825">
              <w:rPr>
                <w:rFonts w:ascii="Arial" w:eastAsia="Times New Roman" w:hAnsi="Arial" w:cs="Arial"/>
                <w:sz w:val="18"/>
                <w:szCs w:val="18"/>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use of privacy settings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{"citationID":"zBlWTWG6","properties":{"formattedCitation":"(Dranseika and Piasecki, 2020)","plainCitation":"(Dranseika and Piasecki, 2020)","noteIndex":0},"citationItems":[{"id":301,"uris":["http://zotero.org/users/2145664/items/ENULNNZA"],"uri":["http://zotero.org/users/2145664/items/ENULNNZA"],"itemData":{"id":301,"type":"article-journal","abstract":"We report a preregistered study that was designed to answer three\nquestions about using transparent defaults to increase participation in\na hypothetical learning health care system. Do default options influence\nconsent to participate in learning activities within a learning health\ncare system? Does transparency about default options decrease the effect\nof the defaults? Do people reconsider their choice of participation once\nthey are informed about the defaults applied? In our study, application\nof the defaults did not have influence on rates of consent, nor did\ntransparency about defaults have an effect on the rates of consent.\nParticipants were also not likely to change their choice after being\ninformed that defaults were applied to their previous choice. In\ngeneral, our study raises doubts that defaults (both covert and\ntransparent) can be used as an effective means in significantly\nincreasing participation in learning health care systems.","container-title":"JOURNAL OF EMPIRICAL RESEARCH ON HUMAN RESEARCH ETHICS","language":"English","note":"ISBN: 1556-2646\ntype: 10.1177/1556264620904272","title":"Transparent Defaults and Consent for Participation in a Learning Health  Care System: An Empirical Study","author":[{"family":"Dranseika","given":"Vilius"},{"family":"Piasecki","given":"Jan"}],"issued":{"date-parts":[["2020"]]}}}],"schema":"https://github.com/citation-style-language/schema/raw/master/csl-citation.json"}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(Dranseika and Piasecki, 2020)</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A60825">
              <w:rPr>
                <w:rFonts w:ascii="Arial" w:eastAsia="Times New Roman" w:hAnsi="Arial" w:cs="Arial"/>
                <w:sz w:val="18"/>
                <w:szCs w:val="18"/>
                <w:lang w:eastAsia="de-DE"/>
              </w:rPr>
              <w:t>@+</w:t>
            </w: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consent to participate in learning health care system</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{"citationID":"lp1ODMqP","properties":{"formattedCitation":"(Theotokis and Manganari, 2015)","plainCitation":"(Theotokis and Manganari, 2015)","noteIndex":0},"citationItems":[{"id":380,"uris":["http://zotero.org/users/2145664/items/TF4W776I"],"uri":["http://zotero.org/users/2145664/items/TF4W776I"],"itemData":{"id":380,"type":"article-journal","abstract":"Companies often encourage consumers to engage in sustainable behaviors\nusing their services in a more environmentally friendly or green way,\nsuch as reusing the towels in a hotel or replacing paper bank statements\nby electronic statements. Sometimes, the option of green service is\nimplied as the default and consumers can opt-out, while in other cases\nconsumers need to explicitly ask (opt-in) for switching to a green\nservice. This research examines the effectiveness of choice architecture\nand particularly the different default policies-i.e., the alternative\nthe consumer receives if he/she does not explicitly request otherwise-in\nengaging consumer green behavior. In four experiments, we show that the\nopt-out default policy is more effective than the opt-in, because it\nincreases anticipated guilt. This effect is stronger for consumers who\nare less conscious for the environment (Study 1).We also show that a\nforced choice policy, in which the consumer is not automatically\nassigned to any condition and is forced to choose between the green and\nthe non-green service option, is more effective than the opt-in policy\nand not significantly more effective than the opt-out policy (Study 2).\nFinally, we show that the role of defaults is weakened (enhanced), if a\nnegotiated (reciprocal) cooperation strategy is used (Study 3). The\narticle contributes to the literature of defaults and provides\nmanagerial and public policy implications for the design of green\nservices.","container-title":"JOURNAL OF BUSINESS ETHICS","issue":"2","language":"English","note":"ISBN: 0167-4544\ntype: 10.1007/s10551-014-2287-4","page":"423–437","title":"The Impact of Choice Architecture on Sustainable Consumer Behavior: The  Role of Guilt","volume":"131","author":[{"family":"Theotokis","given":"Aristeidis"},{"family":"Manganari","given":"Emmanouela"}],"issued":{"date-parts":[["2015"]]}}}],"schema":"https://github.com/citation-style-language/schema/raw/master/csl-citation.json"}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(Theotokis and Manganari,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A60825">
              <w:rPr>
                <w:rFonts w:ascii="Arial" w:eastAsia="Times New Roman" w:hAnsi="Arial" w:cs="Arial"/>
                <w:sz w:val="18"/>
                <w:szCs w:val="18"/>
                <w:lang w:eastAsia="de-DE"/>
              </w:rPr>
              <w:t>@+</w:t>
            </w:r>
            <w:r w:rsidRPr="00A60825">
              <w:rPr>
                <w:rFonts w:ascii="Segoe UI Emoji" w:eastAsia="Times New Roman" w:hAnsi="Segoe UI Emoji" w:cs="Segoe UI Emoji"/>
                <w:lang w:eastAsia="de-DE"/>
              </w:rPr>
              <w:t>✈</w:t>
            </w: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Participation in e-statement service, Participation in e-bills, Increase towel reuse in hotels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4</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and 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{"citationID":"fbP4C9sj","properties":{"formattedCitation":"(Ang and Alexandrov, 2017)","plainCitation":"(Ang and Alexandrov, 2017)","noteIndex":0},"citationItems":[{"id":275,"uris":["http://zotero.org/users/2145664/items/VXQFFN78"],"uri":["http://zotero.org/users/2145664/items/VXQFFN78"],"itemData":{"id":275,"type":"article-journal","abstract":"We show that changes in choice architecture have a large effect on\nstudent loan decisions while we do not find significant effects of\nsizeable interest rate changes. We evaluate the effect of two polices\nimplemented in 2010 by the U.S. Department of Education: (1) the\nrequirement that all applicants for private student loans fill out a\nSelf-Certification Form, which includes various disclosures about\nfederal student aid, and (2) the prohibition of presenting a private\nstudent loan as a default option on a financial aid offer without\ndisclosure of the relationship between the school and the creditor.\nUsing difference-in-difference and matching techniques on a proprietary\ndataset of private student loan originations from the Consumer Financial\nProtection Bureau and survey and administrative data from the Department\nof Education, we show that these changes decreased private student loan\noriginations. In contrast, we find no consumer response when analyzing a\n60 basis point decrease in the price of federal Parental PLUS Loans at\nsome schools, using the same datasets and similar estimation techniques.","container-title":"JOURNAL OF EMPIRICAL LEGAL STUDIES","issue":"4","language":"English","note":"ISBN: 1740-1453\ntype: 10.1111/jels.12164","page":"762–812","title":"Choice Architecture Versus Price: Comparing the Effects of Changes in  the US Student Loan Market","volume":"14","author":[{"family":"Ang","given":"Xiaoling"},{"family":"Alexandrov","given":"Alexei"}],"issued":{"date-parts":[["2017"]]}}}],"schema":"https://github.com/citation-style-language/schema/raw/master/csl-citation.json"}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(Ang and Alexandrov,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Uptake of federal student loans as opposed to private</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{"citationID":"wXkCbn8y","properties":{"formattedCitation":"(Hoffmann et al., 2019)","plainCitation":"(Hoffmann et al., 2019)","noteIndex":0},"citationItems":[{"id":329,"uris":["http://zotero.org/users/2145664/items/3P2TNYFD"],"uri":["http://zotero.org/users/2145664/items/3P2TNYFD"],"itemData":{"id":329,"type":"article-journal","abstract":"We report results from a framed field experiment with a realistic\nretirement savings simulation to examine two factors in socially\nresponsible investment (SRI) decisions: characteristics of investors and\nthe investment choice architecture. We find that default options, age\nand values are significant explanators while infographics, gender,\neducation and income are not. Further, repeated decisions affect SRI\nnegatively through donor fatigue and positively through windfall gains.\nOur results suggest SRI is significantly limited by the non-ethical\ndefault options pension providers commonly set. Conversely there is\nscope for nudging pension savers towards socially responsible\ninvestments using defaults.","container-title":"Journal of Behavioral and Experimental Economics","language":"English","note":"ISBN: 2214-8043\ntype: 10.1016/j.socec.2019.04.005","page":"219–230","title":"Deciding to invest responsibly: Choice architecture and demographics in  an incentivised retirement savings experiment","volume":"80","author":[{"family":"Hoffmann","given":"Robert"},{"family":"Cam","given":"Marie-Anne"},{"family":"Camilleri","given":"Adrian R."}],"issued":{"date-parts":[["2019"]]}}}],"schema":"https://github.com/citation-style-language/schema/raw/master/csl-citation.json"}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(Hoffmann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socially responsible investment (SRI)</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AUS</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lastRenderedPageBreak/>
              <w:t>17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{"citationID":"BDgeJVM7","properties":{"formattedCitation":"(Fonseca and Grimshaw, 2017)","plainCitation":"(Fonseca and Grimshaw, 2017)","noteIndex":0},"citationItems":[{"id":307,"uris":["http://zotero.org/users/2145664/items/95MYL7AY"],"uri":["http://zotero.org/users/2145664/items/95MYL7AY"],"itemData":{"id":307,"type":"article-journal","abstract":"Defaults, in the form of prepopulated fields within the tax form, have\nbeen identified as potential mechanisms that tax authorities can use to\nreduce noncompliance. They achieve this by simplifying the process of\nfiling taxes, thus reducing the scope for errors. However, defaults may\nincrease the scope for evasion if set incorrectly. The authors report\nexperimental data on the effect of correct and incorrect defaults. They\nfind that prepopulating tax returns is a worthwhile policy only if it is\ndone with highly reliable information. Setting default levels that\nunderestimate taxpayers’ true tax liability leads to significant drops\nin compliance and tax revenue. The authors also study whether nudges\nthat contain messages with descriptive norms about compliance can\nmitigate the adverse effect of prepopulated returns with incorrect\nvalues. Nudges that react to inputs from the taxpayer effectively raise\ncompliance, whereas static nudges do not. This result demonstrates the\nlimits to the applicability of nudges in a public policy sphere as well\nas possible adverse effects resulting from poor implementation.","container-title":"JOURNAL OF PUBLIC POLICY &amp; MARKETING","issue":"2","language":"English","note":"ISBN: 0743-9156\ntype: 10.1509/jppm.15.128","page":"213–226","title":"Do Behavioral Nudges in Prepopulated Tax Forms Affect Compliance?  Experimental Evidence with Real Taxpayers","volume":"36","author":[{"family":"Fonseca","given":"Miguel A."},{"family":"Grimshaw","given":"Shaun B."}],"issued":{"date-parts":[["2017"]]}}}],"schema":"https://github.com/citation-style-language/schema/raw/master/csl-citation.json"}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(Fonseca and Grimshaw,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decrease tax non-compliance</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3</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{"citationID":"FGntoiJT","properties":{"formattedCitation":"(Feltz, 2016)","plainCitation":"(Feltz, 2016)","noteIndex":0},"citationItems":[{"id":305,"uris":["http://zotero.org/users/2145664/items/ZS2M535X"],"uri":["http://zotero.org/users/2145664/items/ZS2M535X"],"itemData":{"id":305,"type":"article-journal","abstract":"An estimated 1 in 4 elderly Americans need a surrogate to make decisions\nat least once in their lives. With an aging population, that number is\nalmost certainly going to increase. This paper focuses on financial\nsurrogate decision making. To illustrate some of the empirical and moral\nimplications associated with financial surrogate decision making, two\nexperiments suggest that default choice settings can predictably\ninfluence some surrogate financial decision making. Experiment 1\nsuggested that when making hypothetical financial decisions, surrogates","container-title":"SPANISH JOURNAL OF PSYCHOLOGY","language":"English","note":"ISBN: 1138-7416\ntype: 10.1017/sjp.2016.54","title":"Financial Surrogate Decision Making: Lessons from Applied Experimental  Philosophy","volume":"19","author":[{"family":"Feltz","given":"Adam"}],"issued":{"date-parts":[["2016"]]}}}],"schema":"https://github.com/citation-style-language/schema/raw/master/csl-citation.json"}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(Feltz,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Improve surrogate financial decisions (payment partially invested in index fund, annual payment)</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19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{"citationID":"p6Ln8yHF","properties":{"formattedCitation":"(Camilleri et al., 2019)","plainCitation":"(Camilleri et al., 2019)","noteIndex":0},"citationItems":[{"id":289,"uris":["http://zotero.org/users/2145664/items/7WXV8BPC"],"uri":["http://zotero.org/users/2145664/items/7WXV8BPC"],"itemData":{"id":289,"type":"article-journal","abstract":"The authors tested two interventions to improve retirement savings\ninvestment decisions. In an incentive-compatible experiment, 459\nparticipants engaged in a task simulating their working life.\nPeriodically during the simulation, participants chose between different\ninvestment options. The authors examined the effectiveness of a\n“nudge” by manipulating the default option and the effectiveness of\na “signpost” by manipulating the display of a pictograph summarizing\nthe expected return of each option. Participants often followed the\ndefault option, particularly when it was “smart” (i.e., became more\nconservative as retirement approached) and when presented together with\ndynamic pictographs (i.e., updated each year assuming the investment was\nheld until retirement). Those most likely to make optimal choices (i.e.,\nconsistent with the life cycle model) were presented with a smart\ndefault or dynamic pictographs. These findings reveal how different\nchoice architecture interventions can be used to positively influence\nbehavior. Retirement funds and regulators can support retirement savings\ndecisions by the provision of smart defaults and better risk information\nin the form of pictographs.","container-title":"JOURNAL OF BEHAVIORAL DECISION MAKING","issue":"4","language":"English","note":"ISBN: 0894-3257\ntype: 10.1002/bdm.2122","page":"431–449","title":"Nudges and signposts: The effect of smart defaults and pictographic risk  information on retirement saving investment choices","volume":"32","author":[{"family":"Camilleri","given":"Adrian R."},{"family":"Cam","given":"Marie-Anne"},{"family":"Hoffmann","given":"Robert"}],"issued":{"date-parts":[["2019"]]}}}],"schema":"https://github.com/citation-style-language/schema/raw/master/csl-citation.json"}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(Camilleri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Better retirement investments choices (by "life cycle model")</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AUS</w:t>
            </w:r>
          </w:p>
        </w:tc>
      </w:tr>
      <w:tr w:rsidR="003B78C0" w:rsidRPr="00A60825" w:rsidTr="00D6567C">
        <w:trPr>
          <w:trHeight w:val="792"/>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{"citationID":"paMELvSp","properties":{"formattedCitation":"(Brune et al., 2017)","plainCitation":"(Brune et al., 2017)","noteIndex":0},"citationItems":[{"id":285,"uris":["http://zotero.org/users/2145664/items/BWV5WBVP"],"uri":["http://zotero.org/users/2145664/items/BWV5WBVP"],"itemData":{"id":285,"type":"article-journal","abstract":"Financial products and transfer schemes are typically designed to\nimprove welfare by helping individuals follow through on their\nintertemporal plans. We implement an artefactual field experiment in\nMalawi to test the ability of households to manage a cash windfall by\nvarying whether 474 households receive a payment in cash or through\ndirect deposit into pre-established accounts at a local bank. Payments\nare made immediately, with one day delay, or with eight days delay.\nDefaulting the payments into savings accounts leads to higher net\ndeposits into bank accounts, an effect that persists for a number of\nweeks afterwards. However, neither savings defaults nor payment delays\naffect the amount or composition of spending, suggesting that households\nmanage cash effectively without the use of formal financial products.","container-title":"JOURNAL OF DEVELOPMENT ECONOMICS","language":"English","note":"ISBN: 0304-3878\ntype: 10.1016/j.jdeveco.2017.06.001","page":"1–13","title":"Savings defaults and payment delays for cash transfers: Field  experimental evidence from Malawi","volume":"129","author":[{"family":"Brune","given":"Lasse"},{"family":"Gine","given":"Xavier"},{"family":"Goldberg","given":"Jessica"},{"family":"Yang","given":"Dean"}],"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(Brune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w:t>
            </w:r>
            <w:r>
              <w:rPr>
                <w:rFonts w:ascii="Arial" w:eastAsia="Times New Roman" w:hAnsi="Arial" w:cs="Arial"/>
                <w:sz w:val="20"/>
                <w:szCs w:val="20"/>
                <w:lang w:eastAsia="de-DE"/>
              </w:rPr>
              <w:t>a</w:t>
            </w:r>
            <w:r w:rsidRPr="00A60825">
              <w:rPr>
                <w:rFonts w:ascii="Arial" w:eastAsia="Times New Roman" w:hAnsi="Arial" w:cs="Arial"/>
                <w:sz w:val="20"/>
                <w:szCs w:val="20"/>
                <w:lang w:eastAsia="de-DE"/>
              </w:rPr>
              <w:t>se savings and reduce (temptation) spending</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MAL and ZIM</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{"citationID":"zt3EvcEc","properties":{"formattedCitation":"(Haan and Linde, 2018)","plainCitation":"(Haan and Linde, 2018)","noteIndex":0},"citationItems":[{"id":322,"uris":["http://zotero.org/users/2145664/items/MVQB8SPZ"],"uri":["http://zotero.org/users/2145664/items/MVQB8SPZ"],"itemData":{"id":322,"type":"article-journal","abstract":"Because people disproportionally follow defaults, both libertarian\npaternalists and marketers try to present options they want to promote\nas the default. However, setting certain defaults and thereby\ninfluencing current decisions, may also affect choices in later, similar\ndecisions. In this article, we explore experimentally whether the\ndefault bias can be reinforced by providing good defaults. We show that\npeople who faced better defaults in the past are more likely to follow\ndefaults than people who faced random defaults, hurting their later\nperformance. This malleability of the default bias explains certain\nmarketing practices and serves as an insight for libertarian\npaternalists.","container-title":"ECONOMIC JOURNAL","issue":"610","language":"English","note":"ISBN: 0013-0133\ntype: 10.1111/ecoj.12440","page":"1180–1206","title":"‘GOOD NUDGE LULLABY’: CHOICE ARCHITECTURE AND DEFAULT BIAS REINFORCEMENT","volume":"128","author":[{"family":"Haan","given":"Thomas","dropping-particle":"de"},{"family":"Linde","given":"Jona"}],"issued":{"date-parts":[["2018"]]}}}],"schema":"https://github.com/citation-style-language/schema/raw/master/csl-citation.json"}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(Haan and Linde,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Better investment decisions (maximizing payout)</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NL</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{"citationID":"V6F9cdFc","properties":{"formattedCitation":"(Loeb et al., 2018)","plainCitation":"(Loeb et al., 2018)","noteIndex":0},"citationItems":[{"id":650,"uris":["http://zotero.org/users/2145664/items/YIQIWES3"],"uri":["http://zotero.org/users/2145664/items/YIQIWES3"],"itemData":{"id":650,"type":"article-journal","abstract":"BACKGROUND: In this study, we applied behavioral economics to optimize elementary  school lunch choices via parent-driven decisions. Specifically, this experiment  tested an optimal defaults paradigm, examining whether strategically manipulating  the health value of a default menu could be co-opted to improve school-based lunch  selections. METHODS: The design was a randomized comparison of optimal versus  suboptimal (standard) default lunch menus for all first-graders in a school district  for a period of 1 week. We hypothesized that making the default lunch option  healthier, while providing parents the opportunity to access and choose from the  standard school menu for their child, would yield more frequent selection of  healthier items than when the default option was suboptimal. RESULTS: Overall, 127  (93%) first-grade children's families participated. Among those families randomized  to receive the nutritionally optimized default menu, all but one remained with these  options; of those parents randomized to the standard menu (suboptimal default), all  parents remained with these options (Χ(2) = 123.06, df = 1, p &lt; .001). CONCLUSIONS:  The mere positioning of choices, without restricting options, significantly affected  which menu items the children received during the test period. Results are proof of  concept for a strategy to increase health-promoting school lunch content,  procedures, and policies.","container-title":"The Journal of school health","DOI":"10.1111/josh.12611","ISSN":"1746-1561 0022-4391","issue":"4","journalAbbreviation":"J Sch Health","language":"eng","note":"publisher-place: United States\nPMID: 29498061","page":"265-271","title":"The Application of Optimal Defaults to Improve Elementary School Lunch Selections:  Proof of Concept.","volume":"88","author":[{"family":"Loeb","given":"Katharine L."},{"family":"Radnitz","given":"Cynthia"},{"family":"Keller","given":"Kathleen L."},{"family":"Schwartz","given":"Marlene B."},{"family":"Zucker","given":"Nancy"},{"family":"Marcus","given":"Sue"},{"family":"Pierson","given":"Richard N."},{"family":"Shannon","given":"Michael"},{"family":"DeLaurentis","given":"Danielle"}],"issued":{"date-parts":[["2018",4]]}}}],"schema":"https://github.com/citation-style-language/schema/raw/master/csl-citation.json"}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(Loeb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healthier lunch menu</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1F562A"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{"citationID":"uuyoXKTL","properties":{"formattedCitation":"(Friis et al., 2017)","plainCitation":"(Friis et al., 2017)","noteIndex":0},"citationItems":[{"id":311,"uris":["http://zotero.org/users/2145664/items/GCZZQSKE"],"uri":["http://zotero.org/users/2145664/items/GCZZQSKE"],"itemData":{"id":311,"type":"article-journal","abstract":"Background\nDietary choices in out-of-home eating are key for individual as well as\nfor public health. These dietary choices are caused by a wide array of\ndeterminants, one of which is automatic decision-making. Nudging is\nattracting considerable interest due to its understanding and\napplication of heuristic biases among consumers. The aim of this study\nis to test and compare three nudges in promoting vegetable consumption\namong test persons in a food lab based experiment.\nMethods\nThe initial sample consisted of 88 participants recruited in Copenhagen,\nDenmark. Each study participant was randomly assigned to one of the\nthree experiments: priming, default and perceived variety. The priming\narm of the experiment consisted of creating a leafy environment with\ngreen plants and an odour of herbs. In the default arm of the\nexperiment, the salad was pre-portioned into a bowl containing 200g of\nvegetables. The third experiment divided the pre-mixed salad into each\nof its components, to increase the visual variety of vegetables, yet not\nproviding an actual increase in items. Each individual was partaking\ntwice thus serving as her/his own control, randomly assigned to start\nwith control or experimental setting.\nResults\nThe default experiment successfully increased the energy intake from\nvegetables among the study participants (124 kcal vs. 90 kcal in\ncontrol, p&lt;0.01). Both the priming condition and perceived variety\nreduced the total energy intake among the study participants (169 kcal,\np&lt;0.01 and 124 kcal, p&lt;0.01, respectively), mainly through a decrease in\nthe meat based meal component.\nConclusions\nConsiderable progress has been made with regard to understanding the use\nof nudging in promoting a healthier meal composition, including\nincreasing vegetable intake. This study suggests that the nature of a\nnudge-based intervention can have different effects, whether it is\nincreasing intake of healthy components, or limiting intake of unhealthy\nmeal components. This work has demonstrated that consumer behaviour can\nbe influenced without restricting or providing incentives for behaviour\nchange. The present findings have promising application to the\nfoodservice sector.","container-title":"PLOS ONE","issue":"5","language":"English","note":"ISBN: 1932-6203\ntype: 10.1371/journal.pone.0176028","title":"Comparison of three nudge interventions (priming, default option, and  perceived variety) to promote vegetable consumption in a self-service  buffet setting","volume":"12","author":[{"family":"Friis","given":"Rasmus"},{"family":"Skov","given":"Laurits Rohden"},{"family":"Olsen","given":"Annemarie"},{"family":"Appleton","given":"Katherine Marie"},{"family":"Saulais","given":"Laure"},{"family":"Dinnella","given":"Caterina"},{"family":"Hartwell","given":"Heather"},{"family":"Depezay","given":"Laurence"},{"family":"Monteleone","given":"Erminio"},{"family":"Giboreau","given":"Agnes"},{"family":"Perez-Cueto","given":"Federico J. A."}],"issued":{"date-parts":[["2017"]]}}}],"schema":"https://github.com/citation-style-language/schema/raw/master/csl-citation.json"}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(Friis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vegetable intake (healthier)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DK</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{"citationID":"A0Fvl57O","properties":{"formattedCitation":"(Broers et al., 2017)","plainCitation":"(Broers et al., 2017)","noteIndex":0},"citationItems":[{"id":250,"uris":["http://zotero.org/users/2145664/items/YRJ7M3CR"],"uri":["http://zotero.org/users/2145664/items/YRJ7M3CR"],"itemData":{"id":250,"type":"article-journal","abstract":"Nudging refers to interventions that organize the choice architecture in order to alter people’s behaviour in a predictable way without forbidding any options or significantly changing their economic incentives. As a strategy to encourage healthy behaviour, nudging can serve as a complement to health education. However, the empirical evidence regarding the effectiveness of nudging as a way to influence food choice remains contradictory. To address this issue, a systematic review and meta-analysis was conducted to test the effects of nudging to encourage people to select more fruit and vegetables.A systematic literature search was performed on PubMed, Medline, PsycInfo, Cochrane library, Scopus and Google Scholar. After quality assessment, 20 articles (23 studies) were retained for narrative synthesis. Twelve articles (14 studies) contained enough information to calculate effect-sizes for meta-analysis using Comprehensive Meta-analysis software.The meta-analysis shows that nudging interventions that aim to increase fruit and/or vegetable choice/sales/servings have a moderately significant effect (d = 0.30), with the largest effect for altering placement (d = 0.39) and combined nudges (d = 0.28).The results of this review provide an indication of the effectiveness of nudging on fruit and vegetable choice in terms of actual effect-sizes, while also highlighting the problems that must be addressed before more definitive conclusions can be drawn.","container-title":"European Journal of Public Health","issue":"5","note":"ISBN: 1101-1262\ntype: 10.1093/eurpub/ckx085","page":"912–920","title":"A systematic review and meta-analysis of the effectiveness of nudging to increase fruit and vegetable choice","volume":"27","author":[{"family":"Broers","given":"Valérie J. V."},{"family":"Breucker","given":"Céline","dropping-particle":"de"},{"family":"Broucke","given":"Stephan","non-dropping-particle":"van den"},{"family":"Luminet","given":"Olivier"}],"issued":{"date-parts":[["2017"]]}}}],"schema":"https://github.com/citation-style-language/schema/raw/master/csl-citation.json"}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(Broers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Salsify soup purchase</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BEL</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{"citationID":"ZKwSQGe7","properties":{"formattedCitation":"(Mikkelsen and Quinto Romani, 2017)","plainCitation":"(Mikkelsen and Quinto Romani, 2017)","noteIndex":0},"citationItems":[{"id":412,"uris":["http://zotero.org/users/2145664/items/KXQJXY3Y"],"uri":["http://zotero.org/users/2145664/items/KXQJXY3Y"],"itemData":{"id":412,"type":"article-journal","container-title":"Journal of Foodservice Business Research","ISSN":"1537-8020","issue":"4","journalAbbreviation":"Journal of Foodservice Business Research","note":"publisher: Taylor &amp; Francis","page":"489-496","title":"Does buffet choice architecture affect intake? The effect of relocating butter at a breakfast buffet on food intake","volume":"20","author":[{"family":"Mikkelsen","given":"Bent Egberg"},{"family":"Quinto Romani","given":"Annette"}],"issued":{"date-parts":[["2017"]]}}}],"schema":"https://github.com/citation-style-language/schema/raw/master/csl-citation.json"}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(Mikkelsen and Quinto Romani,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butter consumption</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DK</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{"citationID":"qC91pT8r","properties":{"formattedCitation":"(Campbell-Arvai et al., 2012)","plainCitation":"(Campbell-Arvai et al., 2012)","noteIndex":0},"citationItems":[{"id":291,"uris":["http://zotero.org/users/2145664/items/S3F3RQ3F"],"uri":["http://zotero.org/users/2145664/items/S3F3RQ3F"],"itemData":{"id":291,"type":"article-journal","abstract":"Small, everyday changes in people?s behavior can have significant positive environmental impacts. To this end, the research reported here focused on the role of an asymmetric intervention (a ?nudge?) in motivating choices with positive environmental outcomes. The context of this research was motivating proenvironmental food choice in campus dining halls. An experiment was conducted in which a default menu, presenting only appealing or unappealing meat-free meal options, was compared with more conventional menu configurations. The use of a default menu increased the probability that study participants would choose a meat-free meal option, and this probability increased when appealing default meal options were provided. Neither the provision of information on the menus nor the proenvironmental value orientation and worldview of participants contributed to the logistic model. These results suggest that default-based interventions can be important tools in motivating proenvironmental behavior and can serve to complement information and education efforts over the long term.","container-title":"Environment and Behavior","issue":"4","note":"ISBN: 0013-9165\ntype: 10.1177/0013916512469099","page":"453–475","title":"Motivating Sustainable Food Choices: The Role of Nudges, Value Orientation, and Information Provision","volume":"46","author":[{"family":"Campbell-Arvai","given":"Victoria"},{"family":"Arvai","given":"Joseph"},{"family":"Kalof","given":"Linda"}],"issued":{"date-parts":[["2012"]]}}}],"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(Campbell-Arvai et al., 2012)</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meat free meal</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{"citationID":"BinDoT5J","properties":{"formattedCitation":"(van Kleef et al., 2018)","plainCitation":"(van Kleef et al., 2018)","noteIndex":0},"citationItems":[{"id":382,"uris":["http://zotero.org/users/2145664/items/CNYK59J9"],"uri":["http://zotero.org/users/2145664/items/CNYK59J9"],"itemData":{"id":382,"type":"article-journal","abstract":"Consumer choices are often influenced by the default option presented.\nThis study examines the effect of whole wheat bread as a default option\nin a sandwich choice situation. Whole wheat bread consists of 100%\nwhole grain and is healthier than other bread types that are commonly","container-title":"APPETITE","language":"English","note":"ISBN: 0195-6663\ntype: 10.1016/j.appet.2017.11.091","page":"179–185","title":"The effect of a default-based nudge on the choice of whole wheat bread","volume":"121","author":[{"family":"Kleef","given":"Ellen","non-dropping-particle":"van"},{"family":"Seijdell","given":"Karen"},{"family":"Vingerhoeds","given":"Monique H."},{"family":"Wijk","given":"Rene A.","dropping-particle":"de"},{"family":"Trijp","given":"Hans C. M.","non-dropping-particle":"van"}],"issued":{"date-parts":[["2018"]]}}}],"schema":"https://github.com/citation-style-language/schema/raw/master/csl-citation.json"}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(van Kleef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whole bread sandwich instead of white bread (healthier)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NL</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{"citationID":"cyN6TuUM","properties":{"formattedCitation":"(Bergeron et al., 2019)","plainCitation":"(Bergeron et al., 2019)","noteIndex":0},"citationItems":[{"id":277,"uris":["http://zotero.org/users/2145664/items/7Z48AFWD"],"uri":["http://zotero.org/users/2145664/items/7Z48AFWD"],"itemData":{"id":277,"type":"article-journal","abstract":"Using a controlled experiment in a restaurant with naturally occurring\nclients, this study investigates how nudging can be used to design menus\nthat guide consumers to make healthier choices. It examines the use of\ndefault options, focusing specifically on two types of defaults that can\nbe found when ordering food in a restaurant: automatic and standard\ndefaults. Both types of defaults significantly affected choices, but did\nnot adversely impact the satisfaction of individual choices. The results\nsuggest that menu design could effectively use non-informational\nstrategies such as nudging to promote healthier individual choices\nwithout restricting the offer or reducing satisfaction.","container-title":"FOOD QUALITY AND PREFERENCE","language":"English","note":"ISBN: 0950-3293\ntype: 10.1016/j.foodqual.2018.12.001","page":"56–64","title":"Using insights from behavioral economics to nudge individuals towards  healthier choices when eating out: A restaurant experiment","volume":"73","author":[{"family":"Bergeron","given":"Stephane"},{"family":"Doyon","given":"Maurice"},{"family":"Saulais","given":"Laure"},{"family":"Labrecque","given":"JoAnne"}],"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(Bergeron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lighter dessert (healthier)</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FR</w:t>
            </w:r>
          </w:p>
        </w:tc>
      </w:tr>
      <w:tr w:rsidR="003B78C0" w:rsidRPr="001F562A"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29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{"citationID":"BQwna3Jr","properties":{"formattedCitation":"(Saulais et al., 2019)","plainCitation":"(Saulais et al., 2019)","noteIndex":0},"citationItems":[{"id":366,"uris":["http://zotero.org/users/2145664/items/5ZCJ4JAY"],"uri":["http://zotero.org/users/2145664/items/5ZCJ4JAY"],"itemData":{"id":366,"type":"article-journal","abstract":"Previous research has suggested that featuring vegetable-rich dishes as\n“Dish of the day” (DoD) could be an operationally feasible and\nstraightforward strategy to promote healthier food choices in\nrestaurants. However, the available evidence regarding the effect of DoD\non food choices is limited, and little is known about the conditions of\nits effectiveness in the field. This study investigates the effect of\nintroducing DoD options in a real self-service restaurant setting on the\nselection of vegetable-rich options. The objectives are to (1) replicate\nand measure the DoD effect in this situation; and (2) investigate the\nmoderating role of two features of the choice set: (i) the type of\noption set as DoD and (ii) the number of alternatives options to choose\nfrom. In a living lab experiment, 294 consumers came for lunch to a\nself-service restaurant and chose between a target vegetable-based dish\n(vg1) and respectively one, or two, alternatives: a meat-based dish\n(nvg) and another vegetable dish (vg2). Five choice task conditions were\ntested, in a between-subjects design: three conditions examined dish\nchoices when two options were available (vg1 versus nvg): no DoD (T1-0);\nvgl as DoD (T1a); or nvg as DoD (T1b). Two further conditions used three\noptions (vg1 versus nvg versus vg2): no nudge (T2-0), or vgl as DoD\n(T2a). In neutral conditions T1-0 and T2-0 respectively, 34.4% and\n23.3% of consumers chose vg1. The DoD effect was observed in all\nconditions: choices in favour of vg1 increased by 25.2% when in was DoD\nby 25.2% in T1a vs. T1-0 and by 30% in T2a vs T2-0; while 7.6% more\nconsumers chose nvg in T1b vs T1-0. Regarding the conditions of DoD\neffectiveness, the size of the DoD effect was larger for the initially\nless popular dish vg1 (T1a) compared with nvg (T1b). Introducing more\noptions also increased the relative effect of DoD in favour of vg1, from\n73% (T1a) to 129% (T2a). There were no effects of the condition on\nconsumer satisfaction with the dish chosen, nor on the amount of food\nwasted. This research gives insight into the elements of the choice task\nto consider when setting up nudges, and could help choice architect to\nbetter design efficient and acceptable nudges in foodservice settings.","container-title":"FOOD POLICY","language":"English","note":"ISBN: 0306-9192\ntype: 10.1016/j.foodpol.2019.04.003","page":"15–27","title":"When are “Dish of the Day” nudges most effective to increase  vegetable selection?","volume":"85","author":[{"family":"Saulais","given":"Laure"},{"family":"Massey","given":"Camille"},{"family":"Perez-Cueto","given":"Federico J. A."},{"family":"Appleton","given":"Katherine M."},{"family":"Dinnella","given":"Caterina"},{"family":"Monteleone","given":"Erminio"},{"family":"Depezay","given":"Laurence"},{"family":"Hartwell","given":"Heather"},{"family":"Giboreau","given":"Agnes"}],"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(Saulais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vegetable burger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FR</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{"citationID":"WScUvyq8","properties":{"formattedCitation":"(Loeb et al., 2017)","plainCitation":"(Loeb et al., 2017)","noteIndex":0},"citationItems":[{"id":341,"uris":["http://zotero.org/users/2145664/items/EVYY4FY6"],"uri":["http://zotero.org/users/2145664/items/EVYY4FY6"],"itemData":{"id":341,"type":"article-journal","abstract":"Optimal defaults is a compelling model from behavioral economics and the\npsychology of human decision-making, designed to shape or “nudge”\nchoices in a positive direction without fundamentally restricting\noptions. The current study aimed to test the effectiveness of optimal\n(less obesogenic) defaults and parent empowerment priming on\nhealth-based decisions with parent-child (ages 3-8) dyads in a\ncommunity-based setting. Two proof-of-concept experiments (one on\nbreakfast food selections and one on activity choice) were conducted\ncomparing the main and interactive effects of optimal versus suboptimal\ndefaults, and parent empowerment priming versus neutral priming, on\nparents’ health-related choices for their children. We hypothesized that\nin each experiment, making the default option more optimal will lead to\nmore frequent health-oriented choices, and that priming parents to be\nthe ultimate decision-makers on behalf of their child’s health will\npotentiate this effect. Results show that in both studies, default\ncondition, but not priming condition or the interaction between default\nand priming, significantly predicted choice (healthier vs. less healthy\noption). There was also a significant main effect for default condition\n(and no effect for priming condition or the interaction term) on the\nquantity of healthier food children consumed in the breakfast\nexperiment. These pilot studies demonstrate that optimal defaults can be\npracticably implemented to improve parents’ food and activity choices\nfor young children. Results can inform policies and practices pertaining\nto obesogenic environmental factors in school, restaurant, and home\nenvironments. (C) 2017 Elsevier Ltd. All rights reserved.","container-title":"APPETITE","language":"English","note":"ISBN: 0195-6663\ntype: 10.1016/j.appet.2017.02.039","page":"368–375","title":"The application of defaults to optimize parents’ health-based choices  for children","volume":"113","author":[{"family":"Loeb","given":"Katharine L."},{"family":"Radnitz","given":"Cynthia"},{"family":"Keller","given":"Kathleen"},{"family":"Schwartz","given":"Marlene B."},{"family":"Marcus","given":"Sue"},{"family":"Pierson","given":"Richard N."},{"family":"Shannon","given":"Michael"},{"family":"DeLaurentis","given":"Danielle"}],"issued":{"date-parts":[["2017"]]}}}],"schema":"https://github.com/citation-style-language/schema/raw/master/csl-citation.json"}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(Loeb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healthier breakfast menu, increase fitness level of child</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{"citationID":"XaWYdziZ","properties":{"formattedCitation":"(Shealy et al., 2018)","plainCitation":"(Shealy et al., 2018)","noteIndex":0},"citationItems":[{"id":372,"uris":["http://zotero.org/users/2145664/items/FI9Y8I6I"],"uri":["http://zotero.org/users/2145664/items/FI9Y8I6I"],"itemData":{"id":372,"type":"article-journal","abstract":"Engineering design decisions can produce more sustainable civil\ninfrastructure systems, but cognitive barriers to innovative thinking\noften inhibit such outcomes. Existing research shows how descriptive\nnorms that provide decision-makers with information about how others\ndecide in a given context, can encourage more sustainable choices among\nusers. Research described in this article shows that descriptive norms\ncan encourage more sustainable choices among designers of civil\ninfrastructure. We asked research participants to complete a simulated\ndesign exercise after randomly assigning them to either a modified\nversion of the Envision rating system for sustainable infrastructure\n(with a positive descriptive norm reflecting high sustainability\nperformance among other designers) or the current version of Envision\n(with no descriptive norm). Participants exposed to the positive\ndescriptive norm set goals that resulted on average in 28% more\nsustainability points than a control group. A positive descriptive norm,\nin addition to being effective by itself, also added to the effect of\nother choice architecture interventions (defaults and role model\nproject) known to increase sustainability goals. These results show a\nspecific example and the potential for widespread use of descriptive\nnorms in choice architecture interventions to support design for greater\nsustainability in civil infrastructure.","container-title":"SUSTAINABLE CITIES AND SOCIETY","language":"English","note":"ISBN: 2210-6707\ntype: 10.1016/j.scs.2018.04.017","page":"182–188","title":"Providing descriptive norms during engineering design can encourage more  sustainable infrastructure","volume":"40","author":[{"family":"Shealy","given":"Tripp"},{"family":"Johnson","given":"Eric"},{"family":"Weber","given":"Elke"},{"family":"Klotz","given":"Leidy"},{"family":"Applegate","given":"Sydney"},{"family":"Ismael","given":"Dalya"},{"family":"Bell","given":"Ruth Greenspan"}],"issued":{"date-parts":[["2018"]]}}}],"schema":"https://github.com/citation-style-language/schema/raw/master/csl-citation.json"}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(Shealy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Cambria Math" w:eastAsia="Times New Roman" w:hAnsi="Cambria Math" w:cs="Cambria Math"/>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Increased intended Envision score</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{"citationID":"RhFcULwz","properties":{"formattedCitation":"(Shealy and Klotz, 2015)","plainCitation":"(Shealy and Klotz, 2015)","noteIndex":0},"citationItems":[{"id":374,"uris":["http://zotero.org/users/2145664/items/5CQNAEVB"],"uri":["http://zotero.org/users/2145664/items/5CQNAEVB"],"itemData":{"id":374,"type":"article-journal","abstract":"Rating systems are often used as design/decision tools to evaluate,\ngrade, and reward infrastructure projects that meet sustainability\ncriteria such as reductions in greenhouse gas emissions, preservation of\nwildlife habitat, and accessibility to community cultural resources.\nEmbedded within any such rating system is choice architecture, which\nrefers to the way information is presented to a decision maker. This\nresearch examines the impact on design choices of changes to defaults in\nthe choice architecture of the Envision rating system for sustainable\ninfrastructure. Currently, the default score in each category of\nEnvision is zero points. Points are earned by improving upon industry\nnorms. To test the impact of changing these defaults, participants\n(senior-level and graduate students) randomly received either the\ncurrent Envision version or a modified version with a higher default\nscore, endowing participants with points in sustainability. All\nparticipants used their randomly assigned rating system to design an\noutdoor community center and stream restoration brownfield site. Simply\nmodifying the default, by endowing points, led to setting significantly\nhigher design goals. There were no significant differences in other\nvariables measured, including student motivation or perceptions about\nEnvision or sustainability. These findings suggest that how choices are\npresented to engineers influences their decision-making process and can\nlead to higher sustainability goals. The construction engineering and\nmanagement community can use this understanding to encourage more\ndesired infrastructure outcomes. (C) 2015 American Society of Civil\nEngineers.","container-title":"JOURNAL OF CONSTRUCTION ENGINEERING AND MANAGEMENT","issue":"10","language":"English","note":"ISBN: 0733-9364\ntype: 10.1061/(ASCE)CO.1943-7862.0001009","title":"Well-Endowed Rating Systems: How Modified Defaults Can Lead to More  Sustainable Performance","volume":"141","author":[{"family":"Shealy","given":"Tripp"},{"family":"Klotz","given":"Leidy"}],"issued":{"date-parts":[["2015"]]}}}],"schema":"https://github.com/citation-style-language/schema/raw/master/csl-citation.json"}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(Shealy and Klotz,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Cambria Math" w:eastAsia="Times New Roman" w:hAnsi="Cambria Math" w:cs="Cambria Math"/>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Increased intended Envision score</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Framed 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{"citationID":"yDQQsLnY","properties":{"formattedCitation":"(Ghesla, 2017)","plainCitation":"(Ghesla, 2017)","noteIndex":0},"citationItems":[{"id":313,"uris":["http://zotero.org/users/2145664/items/57UPHTHH"],"uri":["http://zotero.org/users/2145664/items/57UPHTHH"],"itemData":{"id":313,"type":"article-journal","abstract":"Green electricity defaults should steer individual choices to\nenvironmentally friendly alternatives and provide a match with\nindividuals’ preferences for an electricity mix. It is debatable whether\ngreen electricity defaults conform to this latter intention. Using two\ndesign elements from existing electricity markets, costly opt-out of\ncontracts and green electricity certificates, preferences for an\nelectricity mix are elicited in an incentivized laboratory experiment.\nThis study then assesses whether preferences in the absence of default\noptions match with preferences in the presence of default options. It\nturns out that the alignment of default intentions and preferences\ndepends on the relative price for green electricity. Green electricity\ndefaults at low price premia, as currently applied in several\nelectricity markets, do not match subjects’ preferences. The findings\nare relevant for the design of green electricity defaults.","container-title":"JOURNAL OF THE ASSOCIATION OF ENVIRONMENTAL AND RESOURCE ECONOMISTS","issue":"2, 1","language":"English","note":"ISBN: 2333-5955\ntype: 10.1086/691977","page":"S37-S84","title":"Defaults in Green Electricity Markets: Preference Match Not Guaranteed","volume":"4","author":[{"family":"Ghesla","given":"Claus"}],"issued":{"date-parts":[["2017"]]}}}],"schema":"https://github.com/citation-style-language/schema/raw/master/csl-citation.json"}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(Ghesla,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100</w:t>
            </w:r>
            <w:r>
              <w:rPr>
                <w:rFonts w:ascii="Arial" w:eastAsia="Times New Roman" w:hAnsi="Arial" w:cs="Arial"/>
                <w:sz w:val="20"/>
                <w:szCs w:val="20"/>
                <w:lang w:eastAsia="de-DE"/>
              </w:rPr>
              <w:t>%</w:t>
            </w:r>
            <w:r w:rsidRPr="00A60825">
              <w:rPr>
                <w:rFonts w:ascii="Arial" w:eastAsia="Times New Roman" w:hAnsi="Arial" w:cs="Arial"/>
                <w:sz w:val="20"/>
                <w:szCs w:val="20"/>
                <w:lang w:eastAsia="de-DE"/>
              </w:rPr>
              <w:t xml:space="preserve"> green energy contract</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5</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SWI</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{"citationID":"reCQR04C","properties":{"formattedCitation":"(Ebeling and Lotz, 2015)","plainCitation":"(Ebeling and Lotz, 2015)","noteIndex":0},"citationItems":[{"id":303,"uris":["http://zotero.org/users/2145664/items/PN9ZN4SC"],"uri":["http://zotero.org/users/2145664/items/PN9ZN4SC"],"itemData":{"id":303,"type":"article-journal","abstract":"Motivating individuals to choose energy from sustainable sources over\nconventionally produced power constitutes one of the biggest policy\nchallenges for societies(1,2). Here we present the results of a\nrandomized controlled trial in Germany that tested the impact of default\nrules (that is, a type of ‘nudging’) on voluntary purchases of ‘green’\nenergy contracts that entirely stem from renewable resources. Setting\nthe default choice to more expensive ‘green’ energy (that is, where\nconsumers have to actively opt out if they do not want it) increased\npurchases of such nearly tenfold. Furthermore, county-level political\npreference for the green party uniquely predicted behaviour in the\nabsence of the nudge, suggesting that default setting potentially\noverrules motivational aspects of green energy purchases. In follow-up\nexperiments, we provide further evidence that the effect does not seem\nto be driven by unawareness. Summarizing, the present research provides\nan example of using behavioural science(3-9) for climate change\nmitigation and shows alternatives to the use of subsidies or other\neconomic incentives.","container-title":"Nature Climate Change","issue":"9","language":"English","note":"ISBN: 1758-6798\ntype: 10.1038/NCLIMATE2681","page":"868+","title":"Domestic uptake of green energy promoted by opt-out tariffs","volume":"5","author":[{"family":"Ebeling","given":"Felix"},{"family":"Lotz","given":"Sebastian"}],"issued":{"date-parts":[["2015"]]}}}],"schema":"https://github.com/citation-style-language/schema/raw/master/csl-citation.json"}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(Ebeling and Lotz,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100</w:t>
            </w:r>
            <w:r>
              <w:rPr>
                <w:rFonts w:ascii="Arial" w:eastAsia="Times New Roman" w:hAnsi="Arial" w:cs="Arial"/>
                <w:sz w:val="20"/>
                <w:szCs w:val="20"/>
                <w:lang w:eastAsia="de-DE"/>
              </w:rPr>
              <w:t>%</w:t>
            </w:r>
            <w:r w:rsidRPr="00A60825">
              <w:rPr>
                <w:rFonts w:ascii="Arial" w:eastAsia="Times New Roman" w:hAnsi="Arial" w:cs="Arial"/>
                <w:sz w:val="20"/>
                <w:szCs w:val="20"/>
                <w:lang w:eastAsia="de-DE"/>
              </w:rPr>
              <w:t xml:space="preserve"> green energy contract</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lastRenderedPageBreak/>
              <w:t>35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{"citationID":"tE9Csdnq","properties":{"formattedCitation":"(Momsen and Stoerk, 2014)","plainCitation":"(Momsen and Stoerk, 2014)","noteIndex":0},"citationItems":[{"id":266,"uris":["http://zotero.org/users/2145664/items/5QDM5Q2S"],"uri":["http://zotero.org/users/2145664/items/5QDM5Q2S"],"itemData":{"id":266,"type":"article-journal","abstract":"In energy consumption, individuals feature a gap between intention and action. Survey data from the US, the UK, and other European countries show that 50–90% of respondents favour energy from renewable sources, even at a small premium. Yet less than 3% actually buy renewable energy. We investigate how nudges – a slight change in the information set that an individual faces when taking a decision – can help individuals align behaviour with intention. We present evidence from an original survey experiment on which nudges affect the choice whether to contract renewable energy or conventional energy. We find that only a default nudge has a significant effect, while all other nudges prove ineffective. In our setting, a default nudge increases the share of individuals who choose renewable energy by 44.6%.","container-title":"Energy Policy","note":"ISBN: 0301-4215\ntype: 10.1016/j.enpol.2014.07.008","page":"376–382","title":"From intention to action: Can nudges help consumers to choose renewable energy?","volume":"74","author":[{"family":"Momsen","given":"Katharina"},{"family":"Stoerk","given":"Thomas"}],"issued":{"date-parts":[["2014"]]}}}],"schema":"https://github.com/citation-style-language/schema/raw/master/csl-citation.json"}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(Momsen and Stoerk, 2014)</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50</w:t>
            </w:r>
            <w:r>
              <w:rPr>
                <w:rFonts w:ascii="Arial" w:eastAsia="Times New Roman" w:hAnsi="Arial" w:cs="Arial"/>
                <w:sz w:val="20"/>
                <w:szCs w:val="20"/>
                <w:lang w:eastAsia="de-DE"/>
              </w:rPr>
              <w:t>%</w:t>
            </w:r>
            <w:r w:rsidRPr="00A60825">
              <w:rPr>
                <w:rFonts w:ascii="Arial" w:eastAsia="Times New Roman" w:hAnsi="Arial" w:cs="Arial"/>
                <w:sz w:val="20"/>
                <w:szCs w:val="20"/>
                <w:lang w:eastAsia="de-DE"/>
              </w:rPr>
              <w:t xml:space="preserve"> green energy contract</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{"citationID":"b0WbR5Z9","properties":{"formattedCitation":"(\\uc0\\u214{}lander and Th\\uc0\\u248{}gersen, 2014)","plainCitation":"(Ölander and Thøgersen, 2014)","noteIndex":0},"citationItems":[{"id":683,"uris":["http://zotero.org/users/2145664/items/MQD4RLPG"],"uri":["http://zotero.org/users/2145664/items/MQD4RLPG"],"itemData":{"id":683,"type":"article-journal","container-title":"Journal of Consumer Policy","issue":"3","note":"ISBN: 0168-7034\npublisher: Springer","page":"341-356","title":"Informing versus nudging in environmental policy","volume":"37","author":[{"family":"Ölander","given":"Folke"},{"family":"Thøgersen","given":"John"}],"issued":{"date-parts":[["2014"]]}}}],"schema":"https://github.com/citation-style-language/schema/raw/master/csl-citation.json"}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szCs w:val="24"/>
              </w:rPr>
              <w:t>(Ölander and Thøgersen, 2014)</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authorizing smart grid tech</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Experimental study</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DK</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{"citationID":"7nhWXO4d","properties":{"formattedCitation":"(Vetter and Kutzner, 2016)","plainCitation":"(Vetter and Kutzner, 2016)","noteIndex":0},"citationItems":[{"id":413,"uris":["http://zotero.org/users/2145664/items/JU3A7XNV"],"uri":["http://zotero.org/users/2145664/items/JU3A7XNV"],"itemData":{"id":413,"type":"article-journal","container-title":"Comprehensive Results in Social Psychology","ISSN":"2374-3603","issue":"1-3","journalAbbreviation":"Comprehensive Results in Social Psychology","note":"publisher: Taylor &amp; Francis","page":"8-34","title":"Nudge me if you can-how defaults and attitude strength interact to change behavior","volume":"1","author":[{"family":"Vetter","given":"Max"},{"family":"Kutzner","given":"Florian"}],"issued":{"date-parts":[["2016"]]}}}],"schema":"https://github.com/citation-style-language/schema/raw/master/csl-citation.json"}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(Vetter and Kutzner,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choosing green electricity provider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{"citationID":"kL9U2UgF","properties":{"formattedCitation":"(Ghesla et al., 2020)","plainCitation":"(Ghesla et al., 2020)","noteIndex":0},"citationItems":[{"id":407,"uris":["http://zotero.org/users/2145664/items/86QWIJW2"],"uri":["http://zotero.org/users/2145664/items/86QWIJW2"],"itemData":{"id":407,"type":"article-journal","container-title":"Energy Economics","ISSN":"0140-9883","journalAbbreviation":"Energy Economics","note":"publisher: Elsevier","page":"104616","title":"Nudging the poor and the rich–A field study on the distributional effects of green electricity defaults","volume":"86","author":[{"family":"Ghesla","given":"Claus"},{"family":"Grieder","given":"Manuel"},{"family":"Schubert","given":"Renate"}],"issued":{"date-parts":[["2020"]]}}}],"schema":"https://github.com/citation-style-language/schema/raw/master/csl-citation.json"}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(Ghesla et al., 2020)</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choose more environmentally friendly electricity contract</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 and online study</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SWI</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39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{"citationID":"wnSJcocU","properties":{"formattedCitation":"(Chung and Rimal, 2015)","plainCitation":"(Chung and Rimal, 2015)","noteIndex":0},"citationItems":[{"id":293,"uris":["http://zotero.org/users/2145664/items/BALT5Y7Y"],"uri":["http://zotero.org/users/2145664/items/BALT5Y7Y"],"itemData":{"id":293,"type":"article-journal","abstract":"Improvements spearheaded by the World Health Organization in antenatal\nHIV counseling in sub-Saharan Africa from 2004 to 2011 have seen a\nparallel increase in HIV testing. We sought to determine the extent to\nwhich the use of choice architecture principles (one that introduces an\nopt-out option as the default) affect uptake of HIV testing, above and\nbeyond individual-level attitudes and cognitions. Demographic and Health","container-title":"AIDS EDUCATION AND PREVENTION","issue":"4","language":"English","note":"ISBN: 0899-9546\ntype: 10.1521/aeap.2015.27.4.362","page":"362–372","title":"Applying choice architecture principles to understand HIV testing: findings from Malawi and Zimbabwe","volume":"27","author":[{"family":"Chung","given":"Adrienne H."},{"family":"Rimal","given":"Rajiv N."}],"issued":{"date-parts":[["2015"]]}}}],"schema":"https://github.com/citation-style-language/schema/raw/master/csl-citation.json"}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(Chung and Rimal,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uptake of HIV testing</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MAL and ZIM</w:t>
            </w:r>
          </w:p>
        </w:tc>
      </w:tr>
      <w:tr w:rsidR="003B78C0" w:rsidRPr="00A60825"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{"citationID":"3qyii3ai","properties":{"formattedCitation":"(Beshears et al., 2019)","plainCitation":"(Beshears et al., 2019)","noteIndex":0},"citationItems":[{"id":409,"uris":["http://zotero.org/users/2145664/items/JY7FGNPC"],"uri":["http://zotero.org/users/2145664/items/JY7FGNPC"],"itemData":{"id":409,"type":"article-journal","container-title":"Organizational Behavior and Human Decision Processes","ISSN":"0749-5978","journalAbbreviation":"Organizational Behavior and Human Decision Processes","note":"publisher: Elsevier","title":"Active choice, implicit defaults, and the incentive to choose","author":[{"family":"Beshears","given":"John"},{"family":"Choi","given":"James J"},{"family":"Laibson","given":"David"},{"family":"Madrian","given":"Brigitte C"}],"issued":{"date-parts":[["2019"]]}}}],"schema":"https://github.com/citation-style-language/schema/raw/master/csl-citation.json"}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(Beshears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encourage home delivery for long-term prescription medications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{"citationID":"zQEcvCTF","properties":{"formattedCitation":"(Arvanitis et al., 2019)","plainCitation":"(Arvanitis et al., 2019)","noteIndex":0},"citationItems":[{"id":411,"uris":["http://zotero.org/users/2145664/items/SXKYZ4DE"],"uri":["http://zotero.org/users/2145664/items/SXKYZ4DE"],"itemData":{"id":411,"type":"article-journal","container-title":"The Social Science Journal","ISSN":"0362-3319","journalAbbreviation":"The Social Science Journal","note":"publisher: Elsevier","title":"Are defaults supportive of autonomy? An examination of nudges under the lens of Self-Determination Theory","author":[{"family":"Arvanitis","given":"Alexios"},{"family":"Kalliris","given":"Konstantinos"},{"family":"Kaminiotis","given":"Konstantinos"}],"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(Arvanitis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Enrollment to a specific Health Insurance plan</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Experimental study</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GRE</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{"citationID":"ArrDqgDx","properties":{"formattedCitation":"(Montoy et al., 2020)","plainCitation":"(Montoy et al., 2020)","noteIndex":0},"citationItems":[{"id":405,"uris":["http://zotero.org/users/2145664/items/QRQQYD4K"],"uri":["http://zotero.org/users/2145664/items/QRQQYD4K"],"itemData":{"id":405,"type":"article-journal","container-title":"JAMA Internal Medicine","ISSN":"2168-6106","issue":"4","journalAbbreviation":"JAMA Internal Medicine","note":"publisher: American Medical Association","page":"487-493","title":"Association of Default Electronic Medical Record Settings With Health Care Professional Patterns of Opioid Prescribing in Emergency Departments: A Randomized Quality Improvement Study","volume":"180","author":[{"family":"Montoy","given":"Juan Carlos C"},{"family":"Coralic","given":"Zlatan"},{"family":"Herring","given":"Andrew A"},{"family":"Clattenburg","given":"Eben J"},{"family":"Raven","given":"Maria C"}],"issued":{"date-parts":[["2020"]]}}}],"schema":"https://github.com/citation-style-language/schema/raw/master/csl-citation.json"}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(Montoy et al., 2020)</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Opioids prescriptions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5</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{"citationID":"EI2U0ZjY","properties":{"formattedCitation":"(Lehmann et al., 2016)","plainCitation":"(Lehmann et al., 2016)","noteIndex":0},"citationItems":[{"id":337,"uris":["http://zotero.org/users/2145664/items/Y475VA46"],"uri":["http://zotero.org/users/2145664/items/Y475VA46"],"itemData":{"id":337,"type":"article-journal","abstract":"Background: The prevention of health care acquired infections is an\nimportant objective for patient safety and infection control in all\nhealth care settings. Influenza vaccination uptake among health care\nworkers (HCWs) is the most effective method to prevent transmission to\npatients, but vaccination coverage rates are low among HCWs. Several\neducational campaigns have been developed to increase the influenza\nvaccination coverage rates of HCWs, but showed only small effects. The\naim of this study was to test an opt-out strategy in promoting uptake\namong HCWs in a tertiary care center for patients with complex chronic\norgan failure.\nMethods: HCWs were randomly assigned to one of two conditions. In the","container-title":"VACCINE","issue":"11","language":"English","note":"ISBN: 0264-410X\ntype: 10.1016/j.vaccine.2016.01.046","page":"1389–1392","title":"Changing the default to promote influenza vaccination among health care  workers","volume":"34","author":[{"family":"Lehmann","given":"Birthe A."},{"family":"Chapman","given":"Gretchen B."},{"family":"Franssen","given":"Frits M. E."},{"family":"Kok","given":"Gerjo"},{"family":"Ruiter","given":"Robert A. C."}],"issued":{"date-parts":[["2016"]]}}}],"schema":"https://github.com/citation-style-language/schema/raw/master/csl-citation.json"}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(Lehmann et al.,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uptake of influenza vaccination (among health care workers)</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NL</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{"citationID":"UrVgfnrM","properties":{"formattedCitation":"(Soon et al., 2019)","plainCitation":"(Soon et al., 2019)","noteIndex":0},"citationItems":[{"id":376,"uris":["http://zotero.org/users/2145664/items/I96Y5NH5"],"uri":["http://zotero.org/users/2145664/items/I96Y5NH5"],"itemData":{"id":376,"type":"article-journal","abstract":"Objective ‘Nudges’ are subtle cognitive cues thought to influence\nbehaviour. We investigated whether embedding nudges in a general\npractitioner (GP) clinical decision support display can reduce low-value\nmanagement decisions . Methods Australian GPs completed four clinical\nvignettes of patients with low back pain. Participants chose from three\nguideline-concordant and three guideline-discordant (low-value)\nmanagement options for each vignette, on a computer screen. A 2x2\nfactorial design randomised participants to two possible nudge\ninterventions: ‘partition display’ nudge (low-value options presented\nhorizontally, high-value options listed vertically) or ‘default option’\nnudge (high-value options presented as the default, low-value options\npresented only after clicking for more). The primary outcome was the\nproportion of scenarios where practitioners chose at least one of the\nlow-value care options. Results 120 GPs (72% male, 28% female)","container-title":"BMJ QUALITY &amp; SAFETY","issue":"7","language":"English","note":"ISBN: 2044-5415\ntype: 10.1136/bmjqs-2018-008659","page":"547–555","title":"Effect of two behavioural ‘nudging’ interventions on management  decisions for low back pain: a randomised vignette-based study in  general practitioners","volume":"28","author":[{"family":"Soon","given":"Jason"},{"family":"Traeger","given":"Adrian C."},{"family":"Elshaug","given":"Adam G."},{"family":"Cvejic","given":"Erin"},{"family":"Maher","given":"Chris G."},{"family":"Doust","given":"Jenny A."},{"family":"Mathieson","given":"Stephanie"},{"family":"McCaffery","given":"Kirsten"},{"family":"Bonner","given":"Carissa"}],"issued":{"date-parts":[["2019"]]}}}],"schema":"https://github.com/citation-style-language/schema/raw/master/csl-citation.json"}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(Soon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Decrease practitioner’s choice for low value care options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AUS</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{"citationID":"w0O6u9kk","properties":{"formattedCitation":"(Malhotra et al., 2016)","plainCitation":"(Malhotra et al., 2016)","noteIndex":0},"citationItems":[{"id":344,"uris":["http://zotero.org/users/2145664/items/59SDE9SK"],"uri":["http://zotero.org/users/2145664/items/59SDE9SK"],"itemData":{"id":344,"type":"article-journal","abstract":"Objective Increasing the use of generic medications could help control\nmedical costs. However, educational interventions have limited impact on\nprescriber behavior, and e-prescribing alerts are associated with high\noverride rates and alert fatigue. Our objective was to evaluate the\neffect of a less intrusive intervention, a redesign of an e-prescribing\ninterface that provides default options intended to “nudge”\nprescribers towards prescribing generic drugs.\nMethods This retrospective cohort study in an academic ambulatory\nmultispecialty practice assessed the effects of customizing an\ne-prescribing interface to substitute generic equivalents for brand-name\nmedications during order entry and allow a one-click override to order\nthe brand-name medication.\nResults Among drugs with generic equivalents, the proportion of generic\ndrugs prescribed more than doubled after the interface redesign, rising\nabruptly from 39.7% to 95.9% (a 56.2% increase; 95% confidence\ninterval, 56.0-56.4%; P &lt; .001). Before the redesign, generic drug\nprescribing rates varied by therapeutic class, with rates as low as\n8.6% for genitourinary products and 15.7% for neuromuscular drugs.\nAfter the redesign, generic drug prescribing rates for all but four\ntherapeutic classes were above 90%: endocrine drugs, neuromuscular\ndrugs, nutritional products, and miscellaneous products.\nDiscussion Changing the default option in an e-prescribing interface in\nan ambulatory care setting was followed by large and sustained increases\nin the proportion of generic drugs prescribed at the practice.\nConclusions Default options in health information technology exert a\npowerful effect on user behavior, an effect that can be leveraged to\noptimize decision making.","container-title":"JOURNAL OF THE AMERICAN MEDICAL INFORMATICS ASSOCIATION","issue":"5","language":"English","note":"ISBN: 1067-5027\ntype: 10.1093/jamia/ocv192","page":"891–898","title":"Effects of an e-Prescribing interface redesign on rates of generic drug  prescribing: exploiting default options","volume":"23","author":[{"family":"Malhotra","given":"Sameer"},{"family":"Cheriff","given":"Adam D."},{"family":"Gossey","given":"J. Travis"},{"family":"Cole","given":"Curtis L."},{"family":"Kaushal","given":"Rainu"},{"family":"Ancker","given":"Jessica S."}],"issued":{"date-parts":[["2016"]]}}}],"schema":"https://github.com/citation-style-language/schema/raw/master/csl-citation.json"}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(Malhotra et al.,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use of generic (non-branded) medication</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{"citationID":"ZlsPOzi6","properties":{"formattedCitation":"(Hsu et al., 2019)","plainCitation":"(Hsu et al., 2019)","noteIndex":0},"citationItems":[{"id":331,"uris":["http://zotero.org/users/2145664/items/ND689WL3"],"uri":["http://zotero.org/users/2145664/items/ND689WL3"],"itemData":{"id":331,"type":"article-journal","abstract":"Background/Purpose: Overcrowding of hospital emergency departments (ED)\nis a worldwide health problem. The Taiwan Joint Commission on Hospital\nAccreditation has stressed the importance of finding solutions to\novercrowding, including, reducing the number of patients with &gt;48 h stay\nin the ED. Moreover, the Ministry of Health and Welfare aims at\ntransferring non-critical patients to district or regional hospitals. We\nreport the results of our Quality Improvement Project (QIP) on ED\novercrowding, especially focusing on reducing length of stay (LOS) in\nED.\nMethods: For QIP, the following 3 action plans were initiated: 1)\nChanging the choice architecture of patients’ willingness to transfer\nfrom opt-in to opt-out; 2) increasing the turnover rate of beds and\ndaily monitoring of the number of free beds for boarding ED patients; 3)\nreevaluation of patients with a LOS of &gt;32 h after the morning shift.\nResults: Transfer rates increased minimally after implementation of this\nproject, but the sample size was too small to achieve statistical\nsignificance. No significant increase was observed in the number of free\nmedical beds, but discharge rates after 12 pm decreased significantly (p\n&lt; 0.001). The proportion of over 48 h LOSs decreased from 4.9% to 3.7%\nbefore and after QIP implementation, respectively (p &lt; 0.001).\nConclusion: Patients with LOS of &gt;32 h were reevaluated first. After\nQIP, the proportion of LOSs of &gt;48 h dropped significantly. Changing the\nchoice architecture may require further systemic effort and a longer\nobservation duration. Higher-level administrators will need to formulate\na more comprehensive bed management plan to speed up the turnover rate\nof free inpatient beds. Copyright (C) 2018, Formosan Medical\nAssociation. Published by Elsevier Taiwan LLC.","container-title":"JOURNAL OF THE FORMOSAN MEDICAL ASSOCIATION","issue":"1, 1","language":"English","note":"ISBN: 0929-6646\ntype: 10.1016/j.jfma.2018.03.008","page":"186–193","title":"Emergency department overcrowding: Quality improvement in a Taiwan  Medical Center","volume":"118","author":[{"family":"Hsu","given":"Chen-Mei"},{"family":"Liang","given":"Li-Lin"},{"family":"Chang","given":"Yun-Te"},{"family":"Juang","given":"Wang-Chuan"}],"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(Hsu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clinic transfer rates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TWN</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{"citationID":"JWPEXy9Y","properties":{"formattedCitation":"(Venema et al., 2018)","plainCitation":"(Venema et al., 2018)","noteIndex":0},"citationItems":[{"id":273,"uris":["http://zotero.org/users/2145664/items/DXN4S8A4"],"uri":["http://zotero.org/users/2145664/items/DXN4S8A4"],"itemData":{"id":273,"type":"article-journal","abstract":"OBJECTIVE: This study assessed the effect of a default nudge to reduce sedentary behaviour at work over time. DESIGN AND MAIN OUTCOME MEASURES: A field study was conducted at a governmental organisation. In the present study, the default setting of sit-stand desks (SSDs) was changed from sitting to standing height during a two-week intervention. Stand-up working rates were calculated based on observations that were done prior to, during, two weeks after and two months after the intervention. Additionally, a pre-measure survey (n = 606) and post-measure survey (n = 354) were completed. Intention and social norms concerning stand-up working were compared for the 183 employees who completed both pre- and post-assessments (45.4% female, Mage = 44.21). RESULTS: Stand-up working rates raised from 1.82% in the baseline to 13.13% during the intervention. After the nudge was removed the percentage was 10.01% after two weeks and 7.78% after two months. A multilevel analysis indicated a significant increase in both intention and social norms after the nudge intervention. CONCLUSIONS: This study shows that a default nudge can increase stand-up working rates in offices with SSDs at least until two months after the nudge intervention.","container-title":"Psychology &amp; health","issue":"5","language":"eng","note":"ISBN: 0887-0446\ntype: 10.1080/08870446.2017.1385786","page":"669–681","title":"I'm still standing: A longitudinal study on the effect of a default nudge","volume":"33","author":[{"family":"Venema","given":"Tina A. G."},{"family":"Kroese","given":"Floor M."},{"family":"De Ridder","given":"Denise T. D."}],"issued":{"date-parts":[["2018"]]}}}],"schema":"https://github.com/citation-style-language/schema/raw/master/csl-citation.json"}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(Venema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standing time at work</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NL</w:t>
            </w:r>
          </w:p>
        </w:tc>
      </w:tr>
      <w:tr w:rsidR="003B78C0" w:rsidRPr="001F562A"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{"citationID":"VXN4qbKF","properties":{"formattedCitation":"(Bourdeaux et al., 2016)","plainCitation":"(Bourdeaux et al., 2016)","noteIndex":0},"citationItems":[{"id":281,"uris":["http://zotero.org/users/2145664/items/LG86UEA6"],"uri":["http://zotero.org/users/2145664/items/LG86UEA6"],"itemData":{"id":281,"type":"article-journal","abstract":"Objectives Low tidal volume (TVe) ventilation improves outcomes for\nventilated patients, and the majority of clinicians state they implement\nit. Unfortunately, most patients never receive low TVes. Nudges’\ninfluence decision-making with subtle cognitive mechanisms and are\neffective in many contexts. There have been few studies examining their\nimpact on clinical decision-making. We investigated the impact of 2\ninterventions designed using principles from behavioural science on the\ndeployment of low TVe ventilation in the intensive care unit (ICU).\nSetting University Hospitals Bristol, a tertiary, mixed medical and\nsurgical ICU with 20 beds, admitting over 1300 patients per year.\nParticipants Data were collected from 2144 consecutive patients\nreceiving controlled mechanical ventilation for more than 1hour between\nOctober 2010 and September 2014. Patients on controlled mechanical\nventilation for more than 20hours were included in the final analysis.\nInterventions (1) Default ventilator settings were adjusted to comply\nwith low TVe targets from the initiation of ventilation unless actively\nchanged by a clinician. (2) A large dashboard was deployed displaying\nTVes in the format mL/kg ideal body weight (IBW) with alerts when TVes\nwere excessive.\nPrimary outcome measure TVe in mL/kg IBW.\nFindings TVe was significantly lower in the defaults group. In the\ndashboard intervention, TVe fell more quickly and by a greater amount\nafter a TVe of 8mL/kg IBW was breached when compared with controls. This\neffect improved in each subsequent year for 3years.\nConclusions This study has demonstrated that adjustment of default\nventilator settings and a dashboard with alerts for excessive TVe can\nsignificantly influence clinical decision-making. This offers a\npromising strategy to improve compliance with low TVe ventilation, and\nsuggests that using insights from behavioural science has potential to\nimprove the translation of evidence into practice.","container-title":"BMJ OPEN","issue":"5","language":"English","note":"ISBN: 2044-6055\ntype: 10.1136/bmjopen-2015-010129","title":"Increasing compliance with low tidal volume ventilation in the ICU with  two nudge-based interventions: evaluation through intervention  time-series analyses","volume":"6","author":[{"family":"Bourdeaux","given":"Christopher P."},{"family":"Thomas","given":"Matthew J. C."},{"family":"Gould","given":"Timothy H."},{"family":"Malhotra","given":"Gaurav"},{"family":"Jarvstad","given":"Andreas"},{"family":"Jones","given":"Timothy"},{"family":"Gilchrist","given":"Iain D."}],"issued":{"date-parts":[["2016"]]}}}],"schema":"https://github.com/citation-style-language/schema/raw/master/csl-citation.json"}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(Bourdeaux et al.,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improve medical ventilation settings (low tidal volume (Tve) standard)</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49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{"citationID":"Y7Ktb8HG","properties":{"formattedCitation":"(Moseley and Stoker, 2015)","plainCitation":"(Moseley and Stoker, 2015)","noteIndex":0},"citationItems":[{"id":350,"uris":["http://zotero.org/users/2145664/items/Y9TKT4C6"],"uri":["http://zotero.org/users/2145664/items/Y9TKT4C6"],"itemData":{"id":350,"type":"article-journal","abstract":"There is growing interest within public management in using governance\ntools to influence citizens’ behavior, including changing “choice\narchitecture” by manipulating defaults. This article reports a survey\nexperiment with 4,005 British adults which examined the impact of\ndifferent defaults on people’s propensity to visit, and register on, the\norgan donor register. There were significant effects of the different\ndefaults on visits to the registration page but not on actual\nregistrations. A default where people were automatically assumed to be\ndonors but could opt out, and a neutral default where people had to\nanswer either “yes” or “no,” both yielded significantly more\norgan donor register visits than a default where people were not assumed\nto be donors but could opt in. Attitudinal data collected suggested a\npreference for a neutral default. The results indicate that changing to\na neutral default for organ donation would be socially acceptable and\ncould potentially generate more donors.","container-title":"INTERNATIONAL PUBLIC MANAGEMENT JOURNAL","issue":"2, SI","language":"English","note":"ISBN: 1096-7494\ntype: 10.1080/10967494.2015.1012574","page":"246–264","title":"Putting Public Policy Defaults to the Test: The Case of Organ Donor  Registration","volume":"18","author":[{"family":"Moseley","given":"Alice"},{"family":"Stoker","given":"Gerry"}],"issued":{"date-parts":[["2015"]]}}}],"schema":"https://github.com/citation-style-language/schema/raw/master/csl-citation.json"}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(Moseley and Stoker,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willingness to donate organs</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{"citationID":"UXA1GEYJ","properties":{"formattedCitation":"(Probst et al., 2013)","plainCitation":"(Probst et al., 2013)","noteIndex":0},"citationItems":[{"id":358,"uris":["http://zotero.org/users/2145664/items/IEYBWGI4"],"uri":["http://zotero.org/users/2145664/items/IEYBWGI4"],"itemData":{"id":358,"type":"article-journal","abstract":"Objective: Defaults have been shown to impact decision making in a\nvariety of domains. However, no research has applied defaults to medical\ncare decisions utilizing an Electronic Health Record (EHR). This\nresearch was designed to examine how providers’ inpatient laboratory\nordering practices were influenced by default selections in EHR order\nsets. Method: Providers were asked to complete inpatient admission\norders for six fictitious pediatric patients using three EHR interface\ndesigns: opt-in (no laboratory tests preselected), opt-out (all\nlaboratory tests preselected), or recommended (only laboratory tests\nrecommended by pediatric experts preselected). EHR design was\nmanipulated within subjects. Seventy-two providers from a Midwestern\npediatric hospital reviewed the six cases and completed admission orders\nfor all cases, entering two cases with each EHR design. Order of the\ncases and EHR designs were counterbalanced across participants. Results:\nWhen all laboratory tests were preselected, providers ordered\nsignificantly more tests and increased the cost of admission by more\nthan 70 when compared with the opt-in, p &lt; .01, and recommended EHR\ndesigns, p &lt; .01. Furthermore, providers ordered more tests recommended\nby the pediatric experts when using the recommended design than when","container-title":"HEALTH PSYCHOLOGY","issue":"9, SI","language":"English","note":"ISBN: 0278-6133\ntype: 10.1037/a0032925","page":"995–1002","title":"The Effect of Defaults in an Electronic Health Record on Laboratory Test  Ordering Practices for Pediatric Patients","volume":"32","author":[{"family":"Probst","given":"C. Adam"},{"family":"Shaffer","given":"Victoria A."},{"family":"Chan","given":"Y. Raymond"}],"issued":{"date-parts":[["2013"]]}}}],"schema":"https://github.com/citation-style-language/schema/raw/master/csl-citation.json"}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(Probst et al., 2013)</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number of relevant laboratory tests ordered (decrease irrelevant tests)</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lastRenderedPageBreak/>
              <w:t>51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{"citationID":"T0hsMxb2","properties":{"formattedCitation":"(Howard-Anderson et al., 2020)","plainCitation":"(Howard-Anderson et al., 2020)","noteIndex":0},"citationItems":[{"id":406,"uris":["http://zotero.org/users/2145664/items/A54CXN27"],"uri":["http://zotero.org/users/2145664/items/A54CXN27"],"itemData":{"id":406,"type":"article-journal","container-title":"Infection Control &amp; Hospital Epidemiology","ISSN":"0899-823X","issue":"4","journalAbbreviation":"Infection Control &amp; Hospital Epidemiology","note":"publisher: Cambridge University Press","page":"411-417","title":"The impact of an electronic medical record nudge on reducing testing for hospital-onset Clostridioides difficile infection","volume":"41","author":[{"family":"Howard-Anderson","given":"Jessica R"},{"family":"Sexton","given":"Mary Elizabeth"},{"family":"Robichaux","given":"Chad"},{"family":"Wiley","given":"Zanthia"},{"family":"Varkey","given":"Jay B"},{"family":"Suchindran","given":"Sujit"},{"family":"Albrecht","given":"Benjamin"},{"family":"Jones","given":"K Ashley"},{"family":"Fridkin","given":"Scott K"},{"family":"Jacob","given":"Jesse T"}],"issued":{"date-parts":[["2020"]]}}}],"schema":"https://github.com/citation-style-language/schema/raw/master/csl-citation.json"}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(Howard-Anderson et al., 2020)</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inappropriate (and total) tests for Clostridioides difficile infection</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study</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1F562A"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52</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{"citationID":"svXtrduh","properties":{"formattedCitation":"(Patel et al., 2017)","plainCitation":"(Patel et al., 2017)","noteIndex":0},"citationItems":[{"id":679,"uris":["http://zotero.org/users/2145664/items/2BWHRMAL"],"uri":["http://zotero.org/users/2145664/items/2BWHRMAL"],"itemData":{"id":679,"type":"article-journal","abstract":"BACKGROUND: Despite the benefits of influenza vaccination, each year more than half  of adults in the United States do not receive it. OBJECTIVE: To evaluate the  association between an active choice intervention in the electronic health record  (EHR) and changes in influenza vaccination rates. DESIGN: Observational study.  PATIENTS: Adults eligible for influenza vaccination with a clinic visit at one of  three internal medicine practices at the University of Pennsylvania Health System  between September 2010 and March 2013. INTERVENTION: The EHR confirmed patient  eligibility during the clinic visit and, upon accessing the patient chart, prompted  the physician and their medical assistant to actively choose to \"accept\" or \"cancel\"  an order for the influenza vaccine. MAIN MEASURES: Change in influenza vaccination  order rates at the intervention practice compared to two control practices for the  2012-2013 flu season, comparing trends during the prior two flu seasons adjusting  for time trends and patient and clinic visit characteristics. KEY RESULTS: The  sample (n = 45,926 patients) was 62.9% female, 35.9% white, and 54.4% black, with a  mean age of 50.2 years. Trends were similar between practices during the 2 years in  the pre-intervention period. Vaccination rates increased in both groups in the  post-intervention year, but the intervention practice using active choice had a  significantly greater increase than the control (adjusted difference-in-difference:  6.6 percentage points; 95% CI, 5.1-8.1; P &lt; 0.001), representing a 37.3% relative  increase compared to the pre-intervention period. More than 99.9% (9938/9941) of  orders placed during the study period resulted in vaccination. CONCLUSIONS: Active  choice through the EHR was associated with a significant increase in influenza  vaccination rates.","container-title":"Journal of general internal medicine","DOI":"10.1007/s11606-017-4046-6","ISSN":"1525-1497 0884-8734 0884-8734","issue":"7","journalAbbreviation":"J Gen Intern Med","language":"eng","note":"PMID: 28337690 \nPMCID: PMC5481246","page":"790-795","title":"Using Active Choice Within the Electronic Health Record to Increase Influenza  Vaccination Rates.","volume":"32","author":[{"family":"Patel","given":"Mitesh S."},{"family":"Volpp","given":"Kevin G."},{"family":"Small","given":"Dylan S."},{"family":"Wynne","given":"Craig"},{"family":"Zhu","given":"Jingsan"},{"family":"Yang","given":"Lin"},{"family":"Honeywell","given":"Steven Jr"},{"family":"Day","given":"Susan C."}],"issued":{"date-parts":[["2017",7]]}}}],"schema":"https://github.com/citation-style-language/schema/raw/master/csl-citation.json"}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(Patel et al., 2017)</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influenza vaccination rate</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53</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{"citationID":"dZ2MhC8U","properties":{"formattedCitation":"(Patel et al., 2016)","plainCitation":"(Patel et al., 2016)","noteIndex":0},"citationItems":[{"id":682,"uris":["http://zotero.org/users/2145664/items/I7JUDC2N"],"uri":["http://zotero.org/users/2145664/items/I7JUDC2N"],"itemData":{"id":682,"type":"article-journal","abstract":"BACKGROUND: High value screening tests such as colonoscopy and mammography can  improve early cancer detection but are often underutilized. METHODS: We evaluated an  active choice intervention using the electronic health record (EHR) to confirm  patient eligibility for colonoscopy or mammography during the patient's clinic visit  and prompt the physician and his/her medical assistant to actively choose to  \"accept\" or \"cancel\" an order for it. We fit multivariate logistic regression models  using a difference-in-differences approach to evaluate changes in physician ordering  and patient completion of colonoscopy and mammography at the intervention practice  compared to two control practices, adjusting for time trends, patient and clinic  visit characteristics. RESULTS: The sample comprised 7560 patients due for  colonoscopy and 8337 patients due for mammography. Pre-intervention trends between  practices did not differ. In the adjusted models, compared to the control group over  time, the intervention practice had a significant increase in ordering of  colonoscopy (11.8% points, 95% CI: 8.0-15.6, P&lt;0.001) and mammography (12.4% points,  95% CI: 8.7-16.2, P&lt;0.001). There was a significant increase in patient completion  of colonoscopy (3.5% points, 95% CI: 1.1-5.9, P&lt;0.01), but no change in mammography  (2.2% points, 95% CI: -1.0 to 5.5, P=0.18). CONCLUSIONS: Active choice through the  EHR was associated with an increase in physician ordering of colonoscopy and  mammography. The intervention was also associated with an increase in patient  completion of colonoscopy but no change in patient completion of mammography.","container-title":"Healthcare (Amsterdam, Netherlands)","DOI":"10.1016/j.hjdsi.2016.04.005","ISSN":"2213-0772 2213-0764 2213-0764","issue":"4","journalAbbreviation":"Healthc (Amst)","language":"eng","note":"PMID: 28007228 \nPMCID: PMC7240802","page":"340-345","title":"Using active choice within the electronic health record to increase physician  ordering and patient completion of high-value cancer screening tests.","volume":"4","author":[{"family":"Patel","given":"Mitesh S."},{"family":"Volpp","given":"Kevin G."},{"family":"Small","given":"Dylan S."},{"family":"Wynn","given":"Craig"},{"family":"Zhu","given":"Jingsan"},{"family":"Yang","given":"Lin"},{"family":"Honeywell","given":"Steven Jr"},{"family":"Day","given":"Susan C."}],"issued":{"date-parts":[["2016",12]]}}}],"schema":"https://github.com/citation-style-language/schema/raw/master/csl-citation.json"}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(Patel et al., 2016)</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in physician ordering of mammography and colonoscopy</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54</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{"citationID":"Shg2SGFo","properties":{"formattedCitation":"(Bourdeaux et al., 2014)","plainCitation":"(Bourdeaux et al., 2014)","noteIndex":0},"citationItems":[{"id":279,"uris":["http://zotero.org/users/2145664/items/V8CRP8TT"],"uri":["http://zotero.org/users/2145664/items/V8CRP8TT"],"itemData":{"id":279,"type":"article-journal","abstract":"Objective Computerised order sets have the potential to reduce clinical\nvariation and improve patient safety but the effect is variable. We\nsought to evaluate the impact of changes to the design of an order set\non the delivery of chlorhexidine mouthwash and hydroxyethyl starch (HES)\nto patients in the intensive care unit.\nMethods The study was conducted at University Hospitals Bristol NHS\nFoundation Trust, UK. Our intensive care unit uses a clinical\ninformation system (CIS). All drugs and fluids are prescribed with the\nCIS and drug and fluid charts are stored within a database.\nChlorhexidine mouthwash was added as a default prescription to the\nprescribing template in January 2010. HES was removed from the\nprescribing template in April 2009. Both interventions were available to\nprescribe manually throughout the study period. We conducted a database\nreview of all patients eligible for each intervention before and after\nchanges to the configuration of choices within the prescribing system.\nResults 2231 ventilated patients were identified as appropriate for\ntreatment with chlorhexidine, 591 before the intervention and 1640\nafter. 55.3% were prescribed chlorhexidine before the change and 90.4%\nafter (p&lt;0.001). 6199 patients were considered in the HES intervention,\n2177 before the intervention and 4022 after. The mean volume of HES\ninfused per patient fell from 630mL to 20mL after the change (p&lt;0.001)\nand the percentage of patients receiving HES fell from 54.1% to 3.1%\n(p&lt;0.001). These results were well sustained with time.\nConclusions The presentation of choices within an electronic prescribing\nsystem influenced the delivery of evidence-based interventions in a\npredictable way and the effect was well sustained. This approach has the\npotential to enhance the effectiveness of computerised order sets.","container-title":"BMJ QUALITY &amp; SAFETY","issue":"5","language":"English","note":"ISBN: 2044-5415\ntype: 10.1136/bmjqs-2013-002395","page":"382–388","title":"Using ‘nudge’ principles for order set design: a before and after  evaluation of an electronic prescribing template in critical care","volume":"23","author":[{"family":"Bourdeaux","given":"Christopher P."},{"family":"Davies","given":"Keith J."},{"family":"Thomas","given":"Matthew J. C."},{"family":"Bewley","given":"Jeremy S."},{"family":"Gould","given":"Timothy H."}],"issued":{"date-parts":[["2014"]]}}}],"schema":"https://github.com/citation-style-language/schema/raw/master/csl-citation.json"}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(Bourdeaux et al., 2014)</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use of Hydrox</w:t>
            </w:r>
            <w:r>
              <w:rPr>
                <w:rFonts w:ascii="Arial" w:eastAsia="Times New Roman" w:hAnsi="Arial" w:cs="Arial"/>
                <w:sz w:val="20"/>
                <w:szCs w:val="20"/>
                <w:lang w:eastAsia="de-DE"/>
              </w:rPr>
              <w:t>y</w:t>
            </w:r>
            <w:r w:rsidRPr="00A60825">
              <w:rPr>
                <w:rFonts w:ascii="Arial" w:eastAsia="Times New Roman" w:hAnsi="Arial" w:cs="Arial"/>
                <w:sz w:val="20"/>
                <w:szCs w:val="20"/>
                <w:lang w:eastAsia="de-DE"/>
              </w:rPr>
              <w:t>ethyl starch, and increase use of chlorhexidine mouthwash</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55</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{"citationID":"xlagUCeT","properties":{"formattedCitation":"(O\\uc0\\u8217{}Reilly-Shah et al., 2018)","plainCitation":"(O’Reilly-Shah et al., 2018)","noteIndex":0},"citationItems":[{"id":354,"uris":["http://zotero.org/users/2145664/items/D8CLTXQ4"],"uri":["http://zotero.org/users/2145664/items/D8CLTXQ4"],"itemData":{"id":354,"type":"article-journal","abstract":"Background Identifying mechanisms to improve provider compliance with\nquality metrics is a common goal across medical disciplines. Nudge\ninterventions are minimally invasive strategies that can influence\nbehavioural changes and are increasingly used within healthcare\nsettings. We hypothesised that nudge interventions may improve provider\ncompliance with lung-protective ventilation (LPV) strategies during\ngeneral anaesthesia. Methods We developed an audit and feedback\ndashboard that included information on both provider-level and\ndepartment-level compliance with LPV strategies in two academic\nhospitals, two non-academic hospitals and two academic surgery centres\naffiliated with a single healthcare system. Dashboards were emailed to\nproviders four times over the course of the 9-month study. Additionally,\nthe default setting on anaesthesia machines for tidal volume was\ndecreased from 700 mL to 400 mL. Data on surgical cases performed\nbetween 1 September 2016 and 31 May 2017 were examined for compliance\nwith LPV. The impact of the interventions was assessed via pairwise\nlogistic regression analysis corrected for multiple comparisons. Results\nA total of 14 793 anaesthesia records were analysed. Absolute compliance\nrates increased from 59.3% to 87.8%preintervention to\npostintervention. Introduction of attending physician dashboards\nresulted in a 41% increase in the odds of compliance (OR 1.41, 95% CI","container-title":"BMJ QUALITY &amp; SAFETY","issue":"12","language":"English","note":"ISBN: 2044-5415\ntype: 10.1136/bmjqs-2017-007684","page":"1008–1018","title":"Variable effectiveness of stepwise implementation of nudge-type  interventions to improve provider compliance with intraoperative low  tidal volume ventilation","volume":"27","author":[{"family":"O’Reilly-Shah","given":"Vikas N."},{"family":"Easton","given":"George S."},{"family":"Jabaley","given":"Craig S."},{"family":"Lynde","given":"Grant C."}],"issued":{"date-parts":[["2018"]]}}}],"schema":"https://github.com/citation-style-language/schema/raw/master/csl-citation.json"}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szCs w:val="24"/>
              </w:rPr>
              <w:t>(O’Reilly-Shah et al., 2018)</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Symbol" w:eastAsia="Times New Roman" w:hAnsi="Segoe UI Symbol" w:cs="Segoe UI Symbo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increase lung-protective ventilation (LPV) strategies during anesthesia</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2</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USA</w:t>
            </w:r>
          </w:p>
        </w:tc>
      </w:tr>
      <w:tr w:rsidR="003B78C0" w:rsidRPr="00A60825" w:rsidTr="00D6567C">
        <w:trPr>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56</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{"citationID":"fospeKwC","properties":{"formattedCitation":"(Liebig and Rommel, 2014)","plainCitation":"(Liebig and Rommel, 2014)","noteIndex":0},"citationItems":[{"id":415,"uris":["http://zotero.org/users/2145664/items/WTGNWXXX"],"uri":["http://zotero.org/users/2145664/items/WTGNWXXX"],"itemData":{"id":415,"type":"article-journal","container-title":"Journal of Consumer Policy","ISSN":"0168-7034","issue":"3","journalAbbreviation":"Journal of Consumer Policy","note":"publisher: Springer","page":"423-435","title":"Active and forced choice for overcoming status quo bias: a field experiment on the adoption of “no junk mail” stickers in Berlin, Germany","volume":"37","author":[{"family":"Liebig","given":"Georg"},{"family":"Rommel","given":"Jens"}],"issued":{"date-parts":[["2014"]]}}}],"schema":"https://github.com/citation-style-language/schema/raw/master/csl-citation.json"}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(Liebig and Rommel, 2014)</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Other</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attach a sticker on the mailbox</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57</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{"citationID":"FqPKBTuE","properties":{"formattedCitation":"(Mazar and Hawkins, 2015)","plainCitation":"(Mazar and Hawkins, 2015)","noteIndex":0},"citationItems":[{"id":346,"uris":["http://zotero.org/users/2145664/items/ATF8TBTV"],"uri":["http://zotero.org/users/2145664/items/ATF8TBTV"],"itemData":{"id":346,"type":"article-journal","abstract":"Default options significantly influence individuals’ tendencies to\ncomply with public policy goals such as organ donation. We extend that\nnotion and explore the role defaults can play in encouraging (im)moral\nconduct in two studies. Building on previous research into omission and\ncommission we show that individuals cheat most when it requires\npassively accepting a default, incorrect answer (Omission). More\nimportantly, despite equivalent physical effort, individuals cheat less\nwhen it requires overriding a default, correct answer (Super-commission)\nthan when simply giving an incorrect answer (Commission) because the\nformer is psychologically harder. Furthermore, while people expect\nphysical and psychological costs to influence cheating, they do not\nbelieve that it takes a fundamentally different moral character to\novercome either cost. Our findings support a more nuanced perspective on\nthe implication of the different types of costs associated with default\noptions and offer practical insights for policy, such as taxation, to\nnudge honesty. (c) 2015 Elsevier Inc. All rights reserved.","container-title":"JOURNAL OF EXPERIMENTAL SOCIAL PSYCHOLOGY","language":"English","note":"ISBN: 0022-1031\ntype: 10.1016/j.jesp.2015.04.004","page":"113–117","title":"Choice architecture in conflicts of interest: Defaults as physical and  psychological barriers to (dis)honesty","volume":"59","author":[{"family":"Mazar","given":"Nina"},{"family":"Hawkins","given":"Scott A."}],"issued":{"date-parts":[["2015"]]}}}],"schema":"https://github.com/citation-style-language/schema/raw/master/csl-citation.json"}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(Mazar and Hawkins, 2015)</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Other</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systematic cheating</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 + 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Lab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CAN</w:t>
            </w:r>
          </w:p>
        </w:tc>
      </w:tr>
      <w:tr w:rsidR="003B78C0" w:rsidRPr="00A60825" w:rsidTr="00D6567C">
        <w:trPr>
          <w:trHeight w:val="264"/>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58</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{"citationID":"ZLD29h0G","properties":{"formattedCitation":"(Paunov et al., 2019)","plainCitation":"(Paunov et al., 2019)","noteIndex":0},"citationItems":[{"id":356,"uris":["http://zotero.org/users/2145664/items/HR8DJMRH"],"uri":["http://zotero.org/users/2145664/items/HR8DJMRH"],"itemData":{"id":356,"type":"article-journal","container-title":"Social Influence","issue":"3-4","note":"ISBN: 1553-4510\ntype: 10.1080/15534510.2019.1675755","page":"104–116","title":"Ethical defaults: which transparency components can increase the effectiveness of default nudges?","volume":"14","author":[{"family":"Paunov","given":"Yavor"},{"family":"Wänke","given":"Michaela"},{"family":"Vogel","given":"Tobias"}],"issued":{"date-parts":[["2019"]]}}}],"schema":"https://github.com/citation-style-language/schema/raw/master/csl-citation.json"}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(Paunov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Other</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selecting a longer survey than paid for</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4</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UK</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59</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{"citationID":"VigAVQqU","properties":{"formattedCitation":"(Stryja and Satzger, 2019)","plainCitation":"(Stryja and Satzger, 2019)","noteIndex":0},"citationItems":[{"id":378,"uris":["http://zotero.org/users/2145664/items/9IP9PZPF"],"uri":["http://zotero.org/users/2145664/items/9IP9PZPF"],"itemData":{"id":378,"type":"article-journal","container-title":"The Service Industries Journal","issue":"15-16","note":"ISBN: 0264-2069\ntype: 10.1080/02642069.2018.1534960","page":"1123–1139","title":"Digital nudging to overcome cognitive resistance in innovation adoption decisions","volume":"39","author":[{"family":"Stryja","given":"Carola"},{"family":"Satzger","given":"Gerhard"}],"issued":{"date-parts":[["2019"]]}}}],"schema":"https://github.com/citation-style-language/schema/raw/master/csl-citation.json"}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(Stryja and Satzger,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Emoji" w:eastAsia="Times New Roman" w:hAnsi="Segoe UI Emoji" w:cs="Segoe UI Emoji"/>
                <w:lang w:eastAsia="de-DE"/>
              </w:rPr>
              <w:t>✈</w:t>
            </w: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Switch  to an e-car after initially choosing petroleum car</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Online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60</w:t>
            </w:r>
          </w:p>
        </w:tc>
        <w:tc>
          <w:tcPr>
            <w:tcW w:w="1232"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{"citationID":"I3NlFGYc","properties":{"formattedCitation":"(Kesternich et al., 2019)","plainCitation":"(Kesternich et al., 2019)","noteIndex":0},"citationItems":[{"id":333,"uris":["http://zotero.org/users/2145664/items/CKST56DM"],"uri":["http://zotero.org/users/2145664/items/CKST56DM"],"itemData":{"id":333,"type":"article-journal","abstract":"We investigate how the introduction of an Active Choice requirement\ninfluences subject proclivity to contribute to an impure public good in\none time and repeated interactions. In a large-scale field experiment,\nwe analyze more than 10000 contribution decisions to a carbon offsetting\nprogram in the context of online ticket sales for long-distance buses.\nWe find that the simple requirement of an Active Choice-which\ncircumvents the ethical issues posed by an opt-out design-not only\nincreases participation rates by almost 50% in a first booking\ndecision, but also boosts participation in subsequent bookings. At the\nsame time, the introduction of Active Choice does not induce a\nsubstantial decline in returning customer rates. Our data support the\ntheoretical assumption that anticipated guilt is a causal mechanism by\nwhich Active Choice induces higher contribution rates, as the\nopportunity for “choice avoidance” that is inherent to opt-in\nsettings may help subjects circumvent feelings of guilt that would\notherwise result from explicit free-riding. (C) 2019 Elsevier B.V. All\nrights reserved.","container-title":"EUROPEAN ECONOMIC REVIEW","language":"English","note":"ISBN: 0014-2921\ntype: 10.1016/j.euroecorev.2019.02.001","page":"76–91","title":"The power of active choice: Field experimental evidence on repeated  contribution decisions to a carbon offsetting program","volume":"114","author":[{"family":"Kesternich","given":"Martin"},{"family":"Roemer","given":"Daniel"},{"family":"Flues","given":"Florens"}],"issued":{"date-parts":[["2019"]]}}}],"schema":"https://github.com/citation-style-language/schema/raw/master/csl-citation.json"}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(Kesternich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de-DE"/>
              </w:rPr>
            </w:pPr>
            <w:r w:rsidRPr="00A60825">
              <w:rPr>
                <w:rFonts w:ascii="Segoe UI Emoji" w:eastAsia="Times New Roman" w:hAnsi="Segoe UI Emoji" w:cs="Segoe UI Emoji"/>
                <w:lang w:eastAsia="de-DE"/>
              </w:rPr>
              <w:t>✈</w:t>
            </w: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offset CO2 emissions for travel</w:t>
            </w:r>
          </w:p>
        </w:tc>
        <w:tc>
          <w:tcPr>
            <w:tcW w:w="4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ACC</w:t>
            </w:r>
          </w:p>
        </w:tc>
        <w:tc>
          <w:tcPr>
            <w:tcW w:w="346" w:type="pct"/>
            <w:noWrap/>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GER</w:t>
            </w:r>
          </w:p>
        </w:tc>
      </w:tr>
      <w:tr w:rsidR="003B78C0" w:rsidRPr="00A60825" w:rsidTr="00D656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 w:type="pct"/>
            <w:noWrap/>
            <w:hideMark/>
          </w:tcPr>
          <w:p w:rsidR="003B78C0" w:rsidRPr="00A60825" w:rsidRDefault="003B78C0" w:rsidP="00D6567C">
            <w:pPr>
              <w:spacing w:after="0" w:line="240" w:lineRule="auto"/>
              <w:jc w:val="right"/>
              <w:rPr>
                <w:rFonts w:ascii="Arial" w:eastAsia="Times New Roman" w:hAnsi="Arial" w:cs="Arial"/>
                <w:sz w:val="20"/>
                <w:szCs w:val="20"/>
                <w:lang w:eastAsia="de-DE"/>
              </w:rPr>
            </w:pPr>
            <w:r w:rsidRPr="00A60825">
              <w:rPr>
                <w:rFonts w:ascii="Arial" w:eastAsia="Times New Roman" w:hAnsi="Arial" w:cs="Arial"/>
                <w:sz w:val="20"/>
                <w:szCs w:val="20"/>
                <w:lang w:eastAsia="de-DE"/>
              </w:rPr>
              <w:t>61</w:t>
            </w:r>
          </w:p>
        </w:tc>
        <w:tc>
          <w:tcPr>
            <w:tcW w:w="1232"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fldChar w:fldCharType="begin"/>
            </w:r>
            <w:r>
              <w:rPr>
                <w:rFonts w:ascii="Arial" w:eastAsia="Times New Roman" w:hAnsi="Arial" w:cs="Arial"/>
                <w:sz w:val="20"/>
                <w:szCs w:val="20"/>
                <w:lang w:eastAsia="de-DE"/>
              </w:rPr>
              <w:instrText xml:space="preserve"> ADDIN ZOTERO_ITEM CSL_CITATION {"citationID":"Qdx3ujUa","properties":{"formattedCitation":"(Knezevic Cvelbar et al., 2019)","plainCitation":"(Knezevic Cvelbar et al., 2019)","noteIndex":0},"citationItems":[{"id":408,"uris":["http://zotero.org/users/2145664/items/T9LNANCI"],"uri":["http://zotero.org/users/2145664/items/T9LNANCI"],"itemData":{"id":408,"type":"article-journal","container-title":"Journal of Travel Research","ISSN":"0047-2875","journalAbbreviation":"Journal of Travel Research","note":"publisher: Sage Publications Sage CA: Los Angeles, CA","page":"0047287519879779","title":"“To clean or not to clean?” Reducing daily routine hotel room cleaning by letting tourists answer this question for themselves","author":[{"family":"Knezevic Cvelbar","given":"Ljubica"},{"family":"Grün","given":"Bettina"},{"family":"Dolnicar","given":"Sara"}],"issued":{"date-parts":[["2019"]]}}}],"schema":"https://github.com/citation-style-language/schema/raw/master/csl-citation.json"} </w:instrText>
            </w:r>
            <w:r w:rsidRPr="00A60825">
              <w:rPr>
                <w:rFonts w:ascii="Arial" w:eastAsia="Times New Roman" w:hAnsi="Arial" w:cs="Arial"/>
                <w:sz w:val="20"/>
                <w:szCs w:val="20"/>
                <w:lang w:eastAsia="de-DE"/>
              </w:rPr>
              <w:fldChar w:fldCharType="separate"/>
            </w:r>
            <w:r w:rsidRPr="00862300">
              <w:rPr>
                <w:rFonts w:ascii="Arial" w:hAnsi="Arial" w:cs="Arial"/>
                <w:sz w:val="20"/>
              </w:rPr>
              <w:t>(Knezevic Cvelbar et al., 2019)</w:t>
            </w:r>
            <w:r w:rsidRPr="00A60825">
              <w:rPr>
                <w:rFonts w:ascii="Arial" w:eastAsia="Times New Roman" w:hAnsi="Arial" w:cs="Arial"/>
                <w:sz w:val="20"/>
                <w:szCs w:val="20"/>
                <w:lang w:eastAsia="de-DE"/>
              </w:rPr>
              <w:fldChar w:fldCharType="end"/>
            </w:r>
          </w:p>
        </w:tc>
        <w:tc>
          <w:tcPr>
            <w:tcW w:w="347"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de-DE"/>
              </w:rPr>
            </w:pPr>
            <w:r w:rsidRPr="00A60825">
              <w:rPr>
                <w:rFonts w:ascii="Segoe UI Emoji" w:eastAsia="Times New Roman" w:hAnsi="Segoe UI Emoji" w:cs="Segoe UI Emoji"/>
                <w:lang w:eastAsia="de-DE"/>
              </w:rPr>
              <w:t>✈</w:t>
            </w:r>
            <w:r w:rsidRPr="00A60825">
              <w:rPr>
                <w:rFonts w:ascii="Arial" w:eastAsia="Times New Roman" w:hAnsi="Arial" w:cs="Arial"/>
                <w:lang w:eastAsia="de-DE"/>
              </w:rPr>
              <w:t>︎</w:t>
            </w:r>
          </w:p>
        </w:tc>
        <w:tc>
          <w:tcPr>
            <w:tcW w:w="12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reduce requests for room cleaning in hotels</w:t>
            </w:r>
          </w:p>
        </w:tc>
        <w:tc>
          <w:tcPr>
            <w:tcW w:w="4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DDC</w:t>
            </w:r>
          </w:p>
        </w:tc>
        <w:tc>
          <w:tcPr>
            <w:tcW w:w="346" w:type="pct"/>
            <w:noWrap/>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UDC</w:t>
            </w:r>
          </w:p>
        </w:tc>
        <w:tc>
          <w:tcPr>
            <w:tcW w:w="247" w:type="pct"/>
            <w:noWrap/>
            <w:hideMark/>
          </w:tcPr>
          <w:p w:rsidR="003B78C0" w:rsidRPr="00A60825" w:rsidRDefault="003B78C0" w:rsidP="00D6567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1</w:t>
            </w:r>
          </w:p>
        </w:tc>
        <w:tc>
          <w:tcPr>
            <w:tcW w:w="587"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Field experiment</w:t>
            </w:r>
          </w:p>
        </w:tc>
        <w:tc>
          <w:tcPr>
            <w:tcW w:w="354" w:type="pct"/>
            <w:hideMark/>
          </w:tcPr>
          <w:p w:rsidR="003B78C0" w:rsidRPr="00A60825" w:rsidRDefault="003B78C0" w:rsidP="00D6567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A60825">
              <w:rPr>
                <w:rFonts w:ascii="Arial" w:eastAsia="Times New Roman" w:hAnsi="Arial" w:cs="Arial"/>
                <w:sz w:val="20"/>
                <w:szCs w:val="20"/>
                <w:lang w:eastAsia="de-DE"/>
              </w:rPr>
              <w:t>SVN</w:t>
            </w:r>
          </w:p>
        </w:tc>
      </w:tr>
    </w:tbl>
    <w:p w:rsidR="003B78C0" w:rsidRPr="001F0C4D" w:rsidRDefault="003B78C0" w:rsidP="003B78C0">
      <w:pPr>
        <w:spacing w:after="0" w:line="240" w:lineRule="auto"/>
        <w:jc w:val="both"/>
        <w:rPr>
          <w:sz w:val="20"/>
        </w:rPr>
      </w:pPr>
      <w:r w:rsidRPr="001F0C4D">
        <w:rPr>
          <w:rFonts w:ascii="Segoe UI Symbol" w:hAnsi="Segoe UI Symbol" w:cs="Segoe UI Symbol"/>
          <w:sz w:val="20"/>
        </w:rPr>
        <w:t>♡</w:t>
      </w:r>
      <w:r w:rsidRPr="001F0C4D">
        <w:rPr>
          <w:sz w:val="20"/>
        </w:rPr>
        <w:t xml:space="preserve">=Charity, @=Digitalization and Privacy Concerns, $=Finance, </w:t>
      </w:r>
      <w:r w:rsidRPr="001F0C4D">
        <w:rPr>
          <w:rFonts w:ascii="Segoe UI Symbol" w:hAnsi="Segoe UI Symbol" w:cs="Segoe UI Symbol"/>
          <w:sz w:val="20"/>
        </w:rPr>
        <w:t>⚘</w:t>
      </w:r>
      <w:r w:rsidRPr="001F0C4D">
        <w:rPr>
          <w:sz w:val="20"/>
        </w:rPr>
        <w:t xml:space="preserve">=Food Choices, </w:t>
      </w:r>
      <w:r w:rsidRPr="001F0C4D">
        <w:rPr>
          <w:rFonts w:ascii="Cambria Math" w:hAnsi="Cambria Math" w:cs="Cambria Math"/>
          <w:sz w:val="20"/>
        </w:rPr>
        <w:t>⟰</w:t>
      </w:r>
      <w:r w:rsidRPr="001F0C4D">
        <w:rPr>
          <w:sz w:val="20"/>
        </w:rPr>
        <w:t xml:space="preserve">= Green Architecture, ☼=Green Energy, </w:t>
      </w:r>
      <w:r w:rsidRPr="001F0C4D">
        <w:rPr>
          <w:rFonts w:ascii="Segoe UI Symbol" w:hAnsi="Segoe UI Symbol" w:cs="Segoe UI Symbol"/>
          <w:sz w:val="20"/>
        </w:rPr>
        <w:t>✙</w:t>
      </w:r>
      <w:r w:rsidRPr="001F0C4D">
        <w:rPr>
          <w:sz w:val="20"/>
        </w:rPr>
        <w:t xml:space="preserve">=Health Care, </w:t>
      </w:r>
      <w:r w:rsidRPr="001F0C4D">
        <w:rPr>
          <w:rFonts w:ascii="Segoe UI Emoji" w:hAnsi="Segoe UI Emoji" w:cs="Segoe UI Emoji"/>
          <w:sz w:val="20"/>
        </w:rPr>
        <w:t>✈</w:t>
      </w:r>
      <w:r w:rsidRPr="001F0C4D">
        <w:rPr>
          <w:sz w:val="20"/>
        </w:rPr>
        <w:t>︎=Travel, DDC=desirable default condition, ACC=active choice condition, UDC=undesirable default condition, Sub= number of sub-studies (many studies had more than one intervention but not necessarily a second default type intervention. Sub-studies list only default interventions)</w:t>
      </w:r>
    </w:p>
    <w:p w:rsidR="003B78C0" w:rsidRDefault="003B78C0" w:rsidP="003B78C0">
      <w:pPr>
        <w:spacing w:after="0" w:line="240" w:lineRule="auto"/>
        <w:sectPr w:rsidR="003B78C0" w:rsidSect="002A73CD">
          <w:pgSz w:w="16838" w:h="11906" w:orient="landscape"/>
          <w:pgMar w:top="1417" w:right="1417" w:bottom="1417" w:left="1134" w:header="708" w:footer="708" w:gutter="0"/>
          <w:cols w:space="708"/>
          <w:docGrid w:linePitch="360"/>
        </w:sectPr>
      </w:pPr>
    </w:p>
    <w:p w:rsidR="003B78C0" w:rsidRDefault="003B78C0" w:rsidP="003B78C0">
      <w:pPr>
        <w:spacing w:after="0" w:line="240" w:lineRule="auto"/>
      </w:pPr>
      <w:r>
        <w:lastRenderedPageBreak/>
        <w:t>Table A2 Nudge success for studies with UDC, ACC and DDC</w:t>
      </w:r>
    </w:p>
    <w:tbl>
      <w:tblPr>
        <w:tblStyle w:val="GridTable1Light"/>
        <w:tblW w:w="0" w:type="auto"/>
        <w:tblLook w:val="04A0" w:firstRow="1" w:lastRow="0" w:firstColumn="1" w:lastColumn="0" w:noHBand="0" w:noVBand="1"/>
      </w:tblPr>
      <w:tblGrid>
        <w:gridCol w:w="483"/>
        <w:gridCol w:w="5481"/>
        <w:gridCol w:w="756"/>
        <w:gridCol w:w="756"/>
        <w:gridCol w:w="756"/>
        <w:gridCol w:w="830"/>
      </w:tblGrid>
      <w:tr w:rsidR="003B78C0" w:rsidRPr="00A60825" w:rsidTr="00D65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ID</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Target Behavior</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UDC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ACC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DDCs</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charitable giving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Charitable re-lending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.96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8</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Charitable giving (on-site, for coastal and marine conservation)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w:t>
            </w:r>
            <w:r>
              <w:rPr>
                <w:rFonts w:eastAsia="Times New Roman" w:cs="Times New Roman"/>
                <w:szCs w:val="24"/>
                <w:lang w:eastAsia="de-DE"/>
              </w:rPr>
              <w:t>2</w:t>
            </w:r>
          </w:p>
        </w:tc>
        <w:tc>
          <w:tcPr>
            <w:tcW w:w="0" w:type="auto"/>
            <w:vAlign w:val="center"/>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increase use of privacy settings [up to 4 priv. settings]</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1.89</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1.69</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2.64</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w:t>
            </w:r>
            <w:r>
              <w:rPr>
                <w:rFonts w:eastAsia="Times New Roman" w:cs="Times New Roman"/>
                <w:szCs w:val="24"/>
                <w:lang w:eastAsia="de-DE"/>
              </w:rPr>
              <w:t>2</w:t>
            </w:r>
          </w:p>
        </w:tc>
        <w:tc>
          <w:tcPr>
            <w:tcW w:w="0" w:type="auto"/>
            <w:vAlign w:val="center"/>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increase use of privacy settings [up to 4 priv. settings]</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1.6</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1.69</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2.4</w:t>
            </w:r>
          </w:p>
        </w:tc>
        <w:tc>
          <w:tcPr>
            <w:tcW w:w="0" w:type="auto"/>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w:t>
            </w:r>
            <w:r>
              <w:rPr>
                <w:rFonts w:eastAsia="Times New Roman" w:cs="Times New Roman"/>
                <w:szCs w:val="24"/>
                <w:lang w:eastAsia="de-DE"/>
              </w:rPr>
              <w:t>4</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Participation in e-statement service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w:t>
            </w:r>
            <w:r>
              <w:rPr>
                <w:rFonts w:eastAsia="Times New Roman" w:cs="Times New Roman"/>
                <w:szCs w:val="24"/>
                <w:lang w:eastAsia="de-DE"/>
              </w:rPr>
              <w:t>4</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Participation in e-bills [Likert 1-7]</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19</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Better retirement investments choices (by "life cycle model")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.3325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.625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28</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choose lighter dessert (healthier)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29</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choose vegetable burger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.273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.344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33</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100</w:t>
            </w:r>
            <w:r>
              <w:t>%</w:t>
            </w:r>
            <w:r w:rsidRPr="00A60825">
              <w:t xml:space="preserve"> green energy contract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.37</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33</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100</w:t>
            </w:r>
            <w:r>
              <w:t>%</w:t>
            </w:r>
            <w:r w:rsidRPr="00A60825">
              <w:t xml:space="preserve"> green energy contract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.83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33</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100</w:t>
            </w:r>
            <w:r>
              <w:t>%</w:t>
            </w:r>
            <w:r w:rsidRPr="00A60825">
              <w:t xml:space="preserve"> green energy contract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.17</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33</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100</w:t>
            </w:r>
            <w:r>
              <w:t>%</w:t>
            </w:r>
            <w:r w:rsidRPr="00A60825">
              <w:t xml:space="preserve"> green energy contract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33</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100</w:t>
            </w:r>
            <w:r>
              <w:t>%</w:t>
            </w:r>
            <w:r w:rsidRPr="00A60825">
              <w:t xml:space="preserve"> green energy contract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rPr>
          <w:trHeight w:val="70"/>
        </w:trPr>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57</w:t>
            </w:r>
          </w:p>
        </w:tc>
        <w:tc>
          <w:tcPr>
            <w:tcW w:w="0" w:type="auto"/>
            <w:vAlign w:val="center"/>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pPr>
            <w:r w:rsidRPr="00A60825">
              <w:t>reduce systematic cheating [</w:t>
            </w:r>
            <w:r>
              <w:t>%</w:t>
            </w:r>
            <w:r w:rsidRPr="00A60825">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.4544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.2386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.0818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bl>
    <w:p w:rsidR="003B78C0" w:rsidRPr="001F0C4D" w:rsidRDefault="003B78C0" w:rsidP="003B78C0">
      <w:pPr>
        <w:spacing w:after="0" w:line="240" w:lineRule="auto"/>
        <w:rPr>
          <w:sz w:val="20"/>
        </w:rPr>
      </w:pPr>
      <w:r w:rsidRPr="001F0C4D">
        <w:rPr>
          <w:sz w:val="20"/>
        </w:rPr>
        <w:t xml:space="preserve">**=p&lt;0.01, ***=p&lt;0.001, DDCs= significance level DDC vs. UDC, sub-studies may differ with respect to the tested default or target behavior, DDC=desirable default condition, ACC=active choice condition, UDC=undesirable default condition </w:t>
      </w:r>
    </w:p>
    <w:p w:rsidR="003B78C0" w:rsidRDefault="003B78C0" w:rsidP="003B78C0">
      <w:pPr>
        <w:spacing w:after="0" w:line="240" w:lineRule="auto"/>
      </w:pPr>
      <w:r>
        <w:br w:type="page"/>
      </w:r>
    </w:p>
    <w:p w:rsidR="003B78C0" w:rsidRDefault="003B78C0" w:rsidP="003B78C0">
      <w:pPr>
        <w:spacing w:after="0" w:line="240" w:lineRule="auto"/>
      </w:pPr>
      <w:r>
        <w:lastRenderedPageBreak/>
        <w:t>Table A3 Nudge success for studies with variations in invasiveness</w:t>
      </w:r>
    </w:p>
    <w:tbl>
      <w:tblPr>
        <w:tblStyle w:val="GridTable1Light"/>
        <w:tblW w:w="0" w:type="auto"/>
        <w:tblLook w:val="04A0" w:firstRow="1" w:lastRow="0" w:firstColumn="1" w:lastColumn="0" w:noHBand="0" w:noVBand="1"/>
      </w:tblPr>
      <w:tblGrid>
        <w:gridCol w:w="483"/>
        <w:gridCol w:w="3907"/>
        <w:gridCol w:w="1594"/>
        <w:gridCol w:w="736"/>
        <w:gridCol w:w="756"/>
        <w:gridCol w:w="756"/>
        <w:gridCol w:w="830"/>
      </w:tblGrid>
      <w:tr w:rsidR="003B78C0" w:rsidRPr="00A60825" w:rsidTr="00D65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ID</w:t>
            </w:r>
          </w:p>
        </w:tc>
        <w:tc>
          <w:tcPr>
            <w:tcW w:w="3907"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Target behavior</w:t>
            </w:r>
          </w:p>
        </w:tc>
        <w:tc>
          <w:tcPr>
            <w:tcW w:w="1594"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invasiveness</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UDC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ACC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w:t>
            </w:r>
          </w:p>
        </w:tc>
        <w:tc>
          <w:tcPr>
            <w:tcW w:w="0" w:type="auto"/>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DDCs</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.274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.3426</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costly</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.274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(on-site, for coastal and marine conservation)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.48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(on-site, for coastal and marine conservation)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(on-site, for coastal and marine conservation)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9</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(dictator game and PD) [USD-cents]</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.2669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.3229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9</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charitable giving (dictator game and PD) [USD-cents]</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.2669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.2821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n.s.</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Improve surrogate financial decisions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.85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18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Improve surrogate financial decisions (choose annual payment)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.91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choose lighter dessert (healthier)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28</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choose lighter dessert (healthier)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.38</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.79</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54</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reduce use of Hydrox</w:t>
            </w:r>
            <w:r>
              <w:rPr>
                <w:rFonts w:eastAsia="Times New Roman" w:cs="Times New Roman"/>
                <w:szCs w:val="24"/>
                <w:lang w:eastAsia="de-DE"/>
              </w:rPr>
              <w:t>y</w:t>
            </w:r>
            <w:r w:rsidRPr="00A60825">
              <w:rPr>
                <w:rFonts w:eastAsia="Times New Roman" w:cs="Times New Roman"/>
                <w:szCs w:val="24"/>
                <w:lang w:eastAsia="de-DE"/>
              </w:rPr>
              <w:t>ethyl starch (can cause renal failure)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Active choice no 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.541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.031</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54</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use of chlorhexidine mouthwash (reduces ventilator associated pneumonia)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.553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.904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55</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lung-protective ventilation (LPV) strategies during an</w:t>
            </w:r>
            <w:r>
              <w:rPr>
                <w:rFonts w:eastAsia="Times New Roman" w:cs="Times New Roman"/>
                <w:szCs w:val="24"/>
                <w:lang w:eastAsia="de-DE"/>
              </w:rPr>
              <w:t>e</w:t>
            </w:r>
            <w:r w:rsidRPr="00A60825">
              <w:rPr>
                <w:rFonts w:eastAsia="Times New Roman" w:cs="Times New Roman"/>
                <w:szCs w:val="24"/>
                <w:lang w:eastAsia="de-DE"/>
              </w:rPr>
              <w:t>sthesia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costless</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.54</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n.s.</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0" w:type="auto"/>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55</w:t>
            </w:r>
          </w:p>
        </w:tc>
        <w:tc>
          <w:tcPr>
            <w:tcW w:w="390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lung-protective ventilation (LPV) strategies during an</w:t>
            </w:r>
            <w:r>
              <w:rPr>
                <w:rFonts w:eastAsia="Times New Roman" w:cs="Times New Roman"/>
                <w:szCs w:val="24"/>
                <w:lang w:eastAsia="de-DE"/>
              </w:rPr>
              <w:t>e</w:t>
            </w:r>
            <w:r w:rsidRPr="00A60825">
              <w:rPr>
                <w:rFonts w:eastAsia="Times New Roman" w:cs="Times New Roman"/>
                <w:szCs w:val="24"/>
                <w:lang w:eastAsia="de-DE"/>
              </w:rPr>
              <w:t>sthesia [</w:t>
            </w:r>
            <w:r>
              <w:rPr>
                <w:rFonts w:eastAsia="Times New Roman" w:cs="Times New Roman"/>
                <w:szCs w:val="24"/>
                <w:lang w:eastAsia="de-DE"/>
              </w:rPr>
              <w:t>%</w:t>
            </w:r>
            <w:r w:rsidRPr="00A60825">
              <w:rPr>
                <w:rFonts w:eastAsia="Times New Roman" w:cs="Times New Roman"/>
                <w:szCs w:val="24"/>
                <w:lang w:eastAsia="de-DE"/>
              </w:rPr>
              <w:t>]</w:t>
            </w:r>
          </w:p>
        </w:tc>
        <w:tc>
          <w:tcPr>
            <w:tcW w:w="1594"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framing</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.593</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.755</w:t>
            </w:r>
          </w:p>
        </w:tc>
        <w:tc>
          <w:tcPr>
            <w:tcW w:w="0" w:type="auto"/>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r>
    </w:tbl>
    <w:p w:rsidR="003B78C0" w:rsidRPr="001F0C4D" w:rsidRDefault="003B78C0" w:rsidP="003B78C0">
      <w:pPr>
        <w:spacing w:after="0" w:line="240" w:lineRule="auto"/>
        <w:rPr>
          <w:sz w:val="20"/>
        </w:rPr>
      </w:pPr>
      <w:r w:rsidRPr="001F0C4D">
        <w:rPr>
          <w:sz w:val="20"/>
        </w:rPr>
        <w:t xml:space="preserve">**=p&lt;0.01, ***=p&lt;0.001, DDCs= significance level DDC vs. UDC, sub-studies may differ with respect to the tested default or target behavior, DDC=desirable default condition, ACC=active choice condition, UDC=undesirable default condition, study #10 neglected for convenient display   </w:t>
      </w:r>
    </w:p>
    <w:p w:rsidR="003B78C0" w:rsidRPr="00405930" w:rsidRDefault="003B78C0" w:rsidP="003B78C0">
      <w:pPr>
        <w:spacing w:after="0" w:line="240" w:lineRule="auto"/>
      </w:pPr>
    </w:p>
    <w:p w:rsidR="003B78C0" w:rsidRDefault="003B78C0" w:rsidP="003B78C0">
      <w:pPr>
        <w:spacing w:after="0" w:line="240" w:lineRule="auto"/>
      </w:pPr>
      <w:r>
        <w:br w:type="page"/>
      </w:r>
    </w:p>
    <w:p w:rsidR="003B78C0" w:rsidRDefault="003B78C0" w:rsidP="003B78C0">
      <w:pPr>
        <w:spacing w:after="0" w:line="240" w:lineRule="auto"/>
      </w:pPr>
      <w:r>
        <w:lastRenderedPageBreak/>
        <w:t>Table A4 Nudge success for environmentally integrated defaults</w:t>
      </w:r>
    </w:p>
    <w:tbl>
      <w:tblPr>
        <w:tblStyle w:val="GridTable1Light"/>
        <w:tblW w:w="0" w:type="auto"/>
        <w:tblLook w:val="04A0" w:firstRow="1" w:lastRow="0" w:firstColumn="1" w:lastColumn="0" w:noHBand="0" w:noVBand="1"/>
      </w:tblPr>
      <w:tblGrid>
        <w:gridCol w:w="497"/>
        <w:gridCol w:w="3587"/>
        <w:gridCol w:w="876"/>
        <w:gridCol w:w="882"/>
        <w:gridCol w:w="876"/>
        <w:gridCol w:w="830"/>
        <w:gridCol w:w="1456"/>
      </w:tblGrid>
      <w:tr w:rsidR="003B78C0" w:rsidRPr="00A60825" w:rsidTr="00D65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ID</w:t>
            </w:r>
          </w:p>
        </w:tc>
        <w:tc>
          <w:tcPr>
            <w:tcW w:w="3587"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Target behavior</w:t>
            </w:r>
          </w:p>
        </w:tc>
        <w:tc>
          <w:tcPr>
            <w:tcW w:w="876"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UDC</w:t>
            </w:r>
          </w:p>
        </w:tc>
        <w:tc>
          <w:tcPr>
            <w:tcW w:w="882"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ACC</w:t>
            </w:r>
          </w:p>
        </w:tc>
        <w:tc>
          <w:tcPr>
            <w:tcW w:w="876"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w:t>
            </w:r>
          </w:p>
        </w:tc>
        <w:tc>
          <w:tcPr>
            <w:tcW w:w="830" w:type="dxa"/>
            <w:hideMark/>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DDCs</w:t>
            </w:r>
          </w:p>
        </w:tc>
        <w:tc>
          <w:tcPr>
            <w:tcW w:w="1456" w:type="dxa"/>
          </w:tcPr>
          <w:p w:rsidR="003B78C0" w:rsidRPr="00A60825" w:rsidRDefault="003B78C0" w:rsidP="00D656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Freq</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20</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w:t>
            </w:r>
            <w:r>
              <w:rPr>
                <w:rFonts w:eastAsia="Times New Roman" w:cs="Times New Roman"/>
                <w:szCs w:val="24"/>
                <w:lang w:eastAsia="de-DE"/>
              </w:rPr>
              <w:t>a</w:t>
            </w:r>
            <w:r w:rsidRPr="00A60825">
              <w:rPr>
                <w:rFonts w:eastAsia="Times New Roman" w:cs="Times New Roman"/>
                <w:szCs w:val="24"/>
                <w:lang w:eastAsia="de-DE"/>
              </w:rPr>
              <w:t>se savings and reduce (temptation) spending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.065</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.283</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23</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vegetable intake (healthier) [</w:t>
            </w:r>
            <w:r>
              <w:rPr>
                <w:rFonts w:eastAsia="Times New Roman" w:cs="Times New Roman"/>
                <w:szCs w:val="24"/>
                <w:lang w:eastAsia="de-DE"/>
              </w:rPr>
              <w:t>G</w:t>
            </w:r>
            <w:r w:rsidRPr="00A60825">
              <w:rPr>
                <w:rFonts w:eastAsia="Times New Roman" w:cs="Times New Roman"/>
                <w:szCs w:val="24"/>
                <w:lang w:eastAsia="de-DE"/>
              </w:rPr>
              <w:t>ramm]</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193.67</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238.88</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25</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reduce butter consumption [butter packages p.p.]</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.3</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31</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Increased intended Envision score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.56</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.79</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several times a year</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32</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Increased intended Envision score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.44</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.62</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several times a year</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47</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standing time at work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.018</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.1313</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n.r.</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48</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improve medical ventilation settings [low tidal volume (T</w:t>
            </w:r>
            <w:r>
              <w:rPr>
                <w:rFonts w:eastAsia="Times New Roman" w:cs="Times New Roman"/>
                <w:szCs w:val="24"/>
                <w:lang w:eastAsia="de-DE"/>
              </w:rPr>
              <w:t>VE</w:t>
            </w:r>
            <w:r w:rsidRPr="00A60825">
              <w:rPr>
                <w:rFonts w:eastAsia="Times New Roman" w:cs="Times New Roman"/>
                <w:szCs w:val="24"/>
                <w:lang w:eastAsia="de-DE"/>
              </w:rPr>
              <w:t xml:space="preserve">) standard] </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6.47</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6.1</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n.r.</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55</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lung-protective ventilation (LPV) strategies during anesthesia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.593</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.54</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n.s.</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daily/weekly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55</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increase lung-protective ventilation (LPV) strategies during anesthesia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.593</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.755</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daily/weekly</w:t>
            </w:r>
          </w:p>
        </w:tc>
      </w:tr>
      <w:tr w:rsidR="003B78C0" w:rsidRPr="00A60825" w:rsidTr="00D6567C">
        <w:tc>
          <w:tcPr>
            <w:cnfStyle w:val="001000000000" w:firstRow="0" w:lastRow="0" w:firstColumn="1" w:lastColumn="0" w:oddVBand="0" w:evenVBand="0" w:oddHBand="0" w:evenHBand="0" w:firstRowFirstColumn="0" w:firstRowLastColumn="0" w:lastRowFirstColumn="0" w:lastRowLastColumn="0"/>
            <w:tcW w:w="497" w:type="dxa"/>
            <w:hideMark/>
          </w:tcPr>
          <w:p w:rsidR="003B78C0" w:rsidRPr="00A60825" w:rsidRDefault="003B78C0" w:rsidP="00D6567C">
            <w:pPr>
              <w:spacing w:after="0" w:line="240" w:lineRule="auto"/>
              <w:rPr>
                <w:rFonts w:eastAsia="Times New Roman" w:cs="Times New Roman"/>
                <w:szCs w:val="24"/>
                <w:lang w:eastAsia="de-DE"/>
              </w:rPr>
            </w:pPr>
            <w:r w:rsidRPr="00A60825">
              <w:rPr>
                <w:rFonts w:eastAsia="Times New Roman" w:cs="Times New Roman"/>
                <w:szCs w:val="24"/>
                <w:lang w:eastAsia="de-DE"/>
              </w:rPr>
              <w:t>56</w:t>
            </w:r>
          </w:p>
        </w:tc>
        <w:tc>
          <w:tcPr>
            <w:tcW w:w="3587"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attach a sticker on the mailbox [</w:t>
            </w:r>
            <w:r>
              <w:rPr>
                <w:rFonts w:eastAsia="Times New Roman" w:cs="Times New Roman"/>
                <w:szCs w:val="24"/>
                <w:lang w:eastAsia="de-DE"/>
              </w:rPr>
              <w:t>%</w:t>
            </w:r>
            <w:r w:rsidRPr="00A60825">
              <w:rPr>
                <w:rFonts w:eastAsia="Times New Roman" w:cs="Times New Roman"/>
                <w:szCs w:val="24"/>
                <w:lang w:eastAsia="de-DE"/>
              </w:rPr>
              <w:t>]</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882"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.1598</w:t>
            </w:r>
          </w:p>
        </w:tc>
        <w:tc>
          <w:tcPr>
            <w:tcW w:w="876"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.2166</w:t>
            </w:r>
          </w:p>
        </w:tc>
        <w:tc>
          <w:tcPr>
            <w:tcW w:w="830" w:type="dxa"/>
            <w:hideMark/>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w:t>
            </w:r>
          </w:p>
        </w:tc>
        <w:tc>
          <w:tcPr>
            <w:tcW w:w="1456" w:type="dxa"/>
          </w:tcPr>
          <w:p w:rsidR="003B78C0" w:rsidRPr="00A60825" w:rsidRDefault="003B78C0" w:rsidP="00D656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de-DE"/>
              </w:rPr>
            </w:pPr>
            <w:r w:rsidRPr="00A60825">
              <w:rPr>
                <w:rFonts w:eastAsia="Times New Roman" w:cs="Times New Roman"/>
                <w:szCs w:val="24"/>
                <w:lang w:eastAsia="de-DE"/>
              </w:rPr>
              <w:t>daily/weekly</w:t>
            </w:r>
          </w:p>
        </w:tc>
      </w:tr>
    </w:tbl>
    <w:p w:rsidR="003B78C0" w:rsidRPr="00F40D90" w:rsidRDefault="003B78C0" w:rsidP="003B78C0">
      <w:pPr>
        <w:spacing w:after="0" w:line="240" w:lineRule="auto"/>
        <w:rPr>
          <w:sz w:val="20"/>
        </w:rPr>
      </w:pPr>
      <w:r w:rsidRPr="001F0C4D">
        <w:rPr>
          <w:sz w:val="20"/>
        </w:rPr>
        <w:t>**=p&lt;0.01, ***=p&lt;0.001, n.s.= not significant, n.r.=not reported, DDCs= significance level DDC vs. UDC, sub-studies may differ with respect to the tested default or target behavior, DDC=desirable default condition, ACC=active choice condition, UDC=undesirable default condition, Freq= expected frequency of choice</w:t>
      </w:r>
    </w:p>
    <w:p w:rsidR="003B78C0" w:rsidRPr="00C1757B" w:rsidRDefault="003B78C0" w:rsidP="003B78C0"/>
    <w:p w:rsidR="00DB4F50" w:rsidRDefault="00DB4F50">
      <w:bookmarkStart w:id="1" w:name="_GoBack"/>
      <w:bookmarkEnd w:id="1"/>
    </w:p>
    <w:sectPr w:rsidR="00DB4F50" w:rsidSect="00021C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vantGarde Bk BT">
    <w:altName w:val="Century Gothic"/>
    <w:charset w:val="00"/>
    <w:family w:val="swiss"/>
    <w:pitch w:val="variable"/>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A4BE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DADF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EC9C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C2ED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420C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9C3B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0F4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217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C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0A79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705A5"/>
    <w:multiLevelType w:val="hybridMultilevel"/>
    <w:tmpl w:val="48E4DD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56058A7"/>
    <w:multiLevelType w:val="hybridMultilevel"/>
    <w:tmpl w:val="85081D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D9B316A"/>
    <w:multiLevelType w:val="hybridMultilevel"/>
    <w:tmpl w:val="FC641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D17B3A"/>
    <w:multiLevelType w:val="hybridMultilevel"/>
    <w:tmpl w:val="6C02E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32382B"/>
    <w:multiLevelType w:val="hybridMultilevel"/>
    <w:tmpl w:val="B38A4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805B3D"/>
    <w:multiLevelType w:val="hybridMultilevel"/>
    <w:tmpl w:val="D660D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AC40F2"/>
    <w:multiLevelType w:val="hybridMultilevel"/>
    <w:tmpl w:val="7390F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A132FA"/>
    <w:multiLevelType w:val="hybridMultilevel"/>
    <w:tmpl w:val="A01600D0"/>
    <w:lvl w:ilvl="0" w:tplc="D270D144">
      <w:start w:val="1"/>
      <w:numFmt w:val="decimal"/>
      <w:pStyle w:val="Heading2"/>
      <w:lvlText w:val="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0A5FFA"/>
    <w:multiLevelType w:val="hybridMultilevel"/>
    <w:tmpl w:val="9C7E08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3D57E93"/>
    <w:multiLevelType w:val="hybridMultilevel"/>
    <w:tmpl w:val="66A2EE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A64653"/>
    <w:multiLevelType w:val="hybridMultilevel"/>
    <w:tmpl w:val="DAA80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112A12"/>
    <w:multiLevelType w:val="hybridMultilevel"/>
    <w:tmpl w:val="AD18F948"/>
    <w:lvl w:ilvl="0" w:tplc="C8D89AFA">
      <w:start w:val="1"/>
      <w:numFmt w:val="bullet"/>
      <w:pStyle w:val="CitaviBibliographySubheading8"/>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882E44"/>
    <w:multiLevelType w:val="hybridMultilevel"/>
    <w:tmpl w:val="3E2817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F265D97"/>
    <w:multiLevelType w:val="hybridMultilevel"/>
    <w:tmpl w:val="50D098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28945E3"/>
    <w:multiLevelType w:val="hybridMultilevel"/>
    <w:tmpl w:val="A00463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B2F0630"/>
    <w:multiLevelType w:val="hybridMultilevel"/>
    <w:tmpl w:val="CF86D4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EA6002"/>
    <w:multiLevelType w:val="hybridMultilevel"/>
    <w:tmpl w:val="58F88B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D980C9A"/>
    <w:multiLevelType w:val="hybridMultilevel"/>
    <w:tmpl w:val="264200D6"/>
    <w:lvl w:ilvl="0" w:tplc="D5BE5654">
      <w:start w:val="1"/>
      <w:numFmt w:val="decimal"/>
      <w:pStyle w:val="Heading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5"/>
  </w:num>
  <w:num w:numId="13">
    <w:abstractNumId w:val="27"/>
  </w:num>
  <w:num w:numId="14">
    <w:abstractNumId w:val="17"/>
  </w:num>
  <w:num w:numId="15">
    <w:abstractNumId w:val="11"/>
  </w:num>
  <w:num w:numId="16">
    <w:abstractNumId w:val="22"/>
  </w:num>
  <w:num w:numId="17">
    <w:abstractNumId w:val="19"/>
  </w:num>
  <w:num w:numId="18">
    <w:abstractNumId w:val="23"/>
  </w:num>
  <w:num w:numId="19">
    <w:abstractNumId w:val="26"/>
  </w:num>
  <w:num w:numId="20">
    <w:abstractNumId w:val="18"/>
  </w:num>
  <w:num w:numId="21">
    <w:abstractNumId w:val="12"/>
  </w:num>
  <w:num w:numId="22">
    <w:abstractNumId w:val="13"/>
  </w:num>
  <w:num w:numId="23">
    <w:abstractNumId w:val="24"/>
  </w:num>
  <w:num w:numId="24">
    <w:abstractNumId w:val="15"/>
  </w:num>
  <w:num w:numId="25">
    <w:abstractNumId w:val="20"/>
  </w:num>
  <w:num w:numId="26">
    <w:abstractNumId w:val="14"/>
  </w:num>
  <w:num w:numId="27">
    <w:abstractNumId w:val="10"/>
  </w:num>
  <w:num w:numId="28">
    <w:abstractNumId w:val="16"/>
  </w:num>
  <w:num w:numId="29">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C0"/>
    <w:rsid w:val="003B78C0"/>
    <w:rsid w:val="00DB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2349B-4433-48A6-83CD-072C045B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C0"/>
    <w:pPr>
      <w:spacing w:after="120"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3B78C0"/>
    <w:pPr>
      <w:keepNext/>
      <w:keepLines/>
      <w:numPr>
        <w:numId w:val="13"/>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B78C0"/>
    <w:pPr>
      <w:keepNext/>
      <w:keepLines/>
      <w:numPr>
        <w:numId w:val="14"/>
      </w:numPr>
      <w:spacing w:before="40" w:after="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3B78C0"/>
    <w:pPr>
      <w:keepNext/>
      <w:keepLines/>
      <w:spacing w:before="40" w:after="0"/>
      <w:outlineLvl w:val="2"/>
    </w:pPr>
    <w:rPr>
      <w:rFonts w:ascii="Calibri" w:eastAsiaTheme="majorEastAsia" w:hAnsi="Calibri" w:cstheme="majorBidi"/>
      <w:i/>
      <w:szCs w:val="24"/>
    </w:rPr>
  </w:style>
  <w:style w:type="paragraph" w:styleId="Heading4">
    <w:name w:val="heading 4"/>
    <w:basedOn w:val="Normal"/>
    <w:next w:val="Normal"/>
    <w:link w:val="Heading4Char"/>
    <w:uiPriority w:val="9"/>
    <w:semiHidden/>
    <w:unhideWhenUsed/>
    <w:qFormat/>
    <w:rsid w:val="003B78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B78C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B78C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B78C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B78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78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C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3B78C0"/>
    <w:rPr>
      <w:rFonts w:ascii="Times New Roman" w:eastAsiaTheme="majorEastAsia" w:hAnsi="Times New Roman" w:cstheme="majorBidi"/>
      <w:i/>
      <w:color w:val="000000" w:themeColor="text1"/>
      <w:sz w:val="24"/>
      <w:szCs w:val="26"/>
      <w:lang w:val="en-US"/>
    </w:rPr>
  </w:style>
  <w:style w:type="character" w:customStyle="1" w:styleId="Heading3Char">
    <w:name w:val="Heading 3 Char"/>
    <w:basedOn w:val="DefaultParagraphFont"/>
    <w:link w:val="Heading3"/>
    <w:uiPriority w:val="9"/>
    <w:rsid w:val="003B78C0"/>
    <w:rPr>
      <w:rFonts w:ascii="Calibri" w:eastAsiaTheme="majorEastAsia" w:hAnsi="Calibri" w:cstheme="majorBidi"/>
      <w:i/>
      <w:sz w:val="24"/>
      <w:szCs w:val="24"/>
      <w:lang w:val="en-US"/>
    </w:rPr>
  </w:style>
  <w:style w:type="character" w:customStyle="1" w:styleId="Heading4Char">
    <w:name w:val="Heading 4 Char"/>
    <w:basedOn w:val="DefaultParagraphFont"/>
    <w:link w:val="Heading4"/>
    <w:uiPriority w:val="9"/>
    <w:semiHidden/>
    <w:rsid w:val="003B78C0"/>
    <w:rPr>
      <w:rFonts w:asciiTheme="majorHAnsi" w:eastAsiaTheme="majorEastAsia" w:hAnsiTheme="majorHAnsi" w:cstheme="majorBidi"/>
      <w:i/>
      <w:iCs/>
      <w:color w:val="2E74B5" w:themeColor="accent1" w:themeShade="BF"/>
      <w:sz w:val="24"/>
      <w:lang w:val="en-US"/>
    </w:rPr>
  </w:style>
  <w:style w:type="character" w:customStyle="1" w:styleId="Heading5Char">
    <w:name w:val="Heading 5 Char"/>
    <w:basedOn w:val="DefaultParagraphFont"/>
    <w:link w:val="Heading5"/>
    <w:uiPriority w:val="9"/>
    <w:semiHidden/>
    <w:rsid w:val="003B78C0"/>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semiHidden/>
    <w:rsid w:val="003B78C0"/>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semiHidden/>
    <w:rsid w:val="003B78C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3B78C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B78C0"/>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rsid w:val="003B78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B78C0"/>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3B78C0"/>
    <w:pPr>
      <w:ind w:left="720"/>
      <w:contextualSpacing/>
    </w:pPr>
  </w:style>
  <w:style w:type="character" w:customStyle="1" w:styleId="ListParagraphChar">
    <w:name w:val="List Paragraph Char"/>
    <w:basedOn w:val="DefaultParagraphFont"/>
    <w:link w:val="ListParagraph"/>
    <w:uiPriority w:val="34"/>
    <w:rsid w:val="003B78C0"/>
    <w:rPr>
      <w:rFonts w:ascii="Times New Roman" w:hAnsi="Times New Roman"/>
      <w:sz w:val="24"/>
      <w:lang w:val="en-US"/>
    </w:rPr>
  </w:style>
  <w:style w:type="character" w:styleId="PlaceholderText">
    <w:name w:val="Placeholder Text"/>
    <w:basedOn w:val="DefaultParagraphFont"/>
    <w:uiPriority w:val="99"/>
    <w:semiHidden/>
    <w:rsid w:val="003B78C0"/>
    <w:rPr>
      <w:color w:val="808080"/>
    </w:rPr>
  </w:style>
  <w:style w:type="paragraph" w:customStyle="1" w:styleId="CitaviBibliographyEntry">
    <w:name w:val="Citavi Bibliography Entry"/>
    <w:basedOn w:val="Normal"/>
    <w:link w:val="CitaviBibliographyEntryZchn"/>
    <w:rsid w:val="003B78C0"/>
  </w:style>
  <w:style w:type="character" w:customStyle="1" w:styleId="CitaviBibliographyEntryZchn">
    <w:name w:val="Citavi Bibliography Entry Zchn"/>
    <w:basedOn w:val="ListParagraphChar"/>
    <w:link w:val="CitaviBibliographyEntry"/>
    <w:rsid w:val="003B78C0"/>
    <w:rPr>
      <w:rFonts w:ascii="Times New Roman" w:hAnsi="Times New Roman"/>
      <w:sz w:val="24"/>
      <w:lang w:val="en-US"/>
    </w:rPr>
  </w:style>
  <w:style w:type="paragraph" w:customStyle="1" w:styleId="CitaviBibliographyHeading">
    <w:name w:val="Citavi Bibliography Heading"/>
    <w:basedOn w:val="Heading1"/>
    <w:link w:val="CitaviBibliographyHeadingZchn"/>
    <w:rsid w:val="003B78C0"/>
  </w:style>
  <w:style w:type="character" w:customStyle="1" w:styleId="CitaviBibliographyHeadingZchn">
    <w:name w:val="Citavi Bibliography Heading Zchn"/>
    <w:basedOn w:val="ListParagraphChar"/>
    <w:link w:val="CitaviBibliographyHeading"/>
    <w:rsid w:val="003B78C0"/>
    <w:rPr>
      <w:rFonts w:ascii="Times New Roman" w:eastAsiaTheme="majorEastAsia" w:hAnsi="Times New Roman" w:cstheme="majorBidi"/>
      <w:b/>
      <w:sz w:val="24"/>
      <w:szCs w:val="32"/>
      <w:lang w:val="en-US"/>
    </w:rPr>
  </w:style>
  <w:style w:type="paragraph" w:customStyle="1" w:styleId="CitaviBibliographySubheading1">
    <w:name w:val="Citavi Bibliography Subheading 1"/>
    <w:basedOn w:val="Heading2"/>
    <w:link w:val="CitaviBibliographySubheading1Zchn"/>
    <w:rsid w:val="003B78C0"/>
    <w:pPr>
      <w:outlineLvl w:val="9"/>
    </w:pPr>
  </w:style>
  <w:style w:type="character" w:customStyle="1" w:styleId="CitaviBibliographySubheading1Zchn">
    <w:name w:val="Citavi Bibliography Subheading 1 Zchn"/>
    <w:basedOn w:val="ListParagraphChar"/>
    <w:link w:val="CitaviBibliographySubheading1"/>
    <w:rsid w:val="003B78C0"/>
    <w:rPr>
      <w:rFonts w:ascii="Times New Roman" w:eastAsiaTheme="majorEastAsia" w:hAnsi="Times New Roman" w:cstheme="majorBidi"/>
      <w:i/>
      <w:color w:val="000000" w:themeColor="text1"/>
      <w:sz w:val="24"/>
      <w:szCs w:val="26"/>
      <w:lang w:val="en-US"/>
    </w:rPr>
  </w:style>
  <w:style w:type="paragraph" w:customStyle="1" w:styleId="CitaviBibliographySubheading2">
    <w:name w:val="Citavi Bibliography Subheading 2"/>
    <w:basedOn w:val="Heading3"/>
    <w:link w:val="CitaviBibliographySubheading2Zchn"/>
    <w:rsid w:val="003B78C0"/>
    <w:pPr>
      <w:ind w:left="720" w:hanging="360"/>
      <w:outlineLvl w:val="9"/>
    </w:pPr>
  </w:style>
  <w:style w:type="character" w:customStyle="1" w:styleId="CitaviBibliographySubheading2Zchn">
    <w:name w:val="Citavi Bibliography Subheading 2 Zchn"/>
    <w:basedOn w:val="ListParagraphChar"/>
    <w:link w:val="CitaviBibliographySubheading2"/>
    <w:rsid w:val="003B78C0"/>
    <w:rPr>
      <w:rFonts w:ascii="Calibri" w:eastAsiaTheme="majorEastAsia" w:hAnsi="Calibri" w:cstheme="majorBidi"/>
      <w:i/>
      <w:sz w:val="24"/>
      <w:szCs w:val="24"/>
      <w:lang w:val="en-US"/>
    </w:rPr>
  </w:style>
  <w:style w:type="paragraph" w:customStyle="1" w:styleId="CitaviBibliographySubheading3">
    <w:name w:val="Citavi Bibliography Subheading 3"/>
    <w:basedOn w:val="Heading4"/>
    <w:link w:val="CitaviBibliographySubheading3Zchn"/>
    <w:rsid w:val="003B78C0"/>
    <w:pPr>
      <w:ind w:left="720" w:hanging="360"/>
      <w:outlineLvl w:val="9"/>
    </w:pPr>
  </w:style>
  <w:style w:type="character" w:customStyle="1" w:styleId="CitaviBibliographySubheading3Zchn">
    <w:name w:val="Citavi Bibliography Subheading 3 Zchn"/>
    <w:basedOn w:val="ListParagraphChar"/>
    <w:link w:val="CitaviBibliographySubheading3"/>
    <w:rsid w:val="003B78C0"/>
    <w:rPr>
      <w:rFonts w:asciiTheme="majorHAnsi" w:eastAsiaTheme="majorEastAsia" w:hAnsiTheme="majorHAnsi" w:cstheme="majorBidi"/>
      <w:i/>
      <w:iCs/>
      <w:color w:val="2E74B5" w:themeColor="accent1" w:themeShade="BF"/>
      <w:sz w:val="24"/>
      <w:lang w:val="en-US"/>
    </w:rPr>
  </w:style>
  <w:style w:type="paragraph" w:customStyle="1" w:styleId="CitaviBibliographySubheading4">
    <w:name w:val="Citavi Bibliography Subheading 4"/>
    <w:basedOn w:val="Heading5"/>
    <w:link w:val="CitaviBibliographySubheading4Zchn"/>
    <w:rsid w:val="003B78C0"/>
    <w:pPr>
      <w:ind w:left="720" w:hanging="360"/>
      <w:outlineLvl w:val="9"/>
    </w:pPr>
  </w:style>
  <w:style w:type="character" w:customStyle="1" w:styleId="CitaviBibliographySubheading4Zchn">
    <w:name w:val="Citavi Bibliography Subheading 4 Zchn"/>
    <w:basedOn w:val="ListParagraphChar"/>
    <w:link w:val="CitaviBibliographySubheading4"/>
    <w:rsid w:val="003B78C0"/>
    <w:rPr>
      <w:rFonts w:asciiTheme="majorHAnsi" w:eastAsiaTheme="majorEastAsia" w:hAnsiTheme="majorHAnsi" w:cstheme="majorBidi"/>
      <w:color w:val="2E74B5" w:themeColor="accent1" w:themeShade="BF"/>
      <w:sz w:val="24"/>
      <w:lang w:val="en-US"/>
    </w:rPr>
  </w:style>
  <w:style w:type="paragraph" w:customStyle="1" w:styleId="CitaviBibliographySubheading5">
    <w:name w:val="Citavi Bibliography Subheading 5"/>
    <w:basedOn w:val="Heading6"/>
    <w:link w:val="CitaviBibliographySubheading5Zchn"/>
    <w:rsid w:val="003B78C0"/>
    <w:pPr>
      <w:ind w:left="720" w:hanging="360"/>
      <w:outlineLvl w:val="9"/>
    </w:pPr>
  </w:style>
  <w:style w:type="character" w:customStyle="1" w:styleId="CitaviBibliographySubheading5Zchn">
    <w:name w:val="Citavi Bibliography Subheading 5 Zchn"/>
    <w:basedOn w:val="ListParagraphChar"/>
    <w:link w:val="CitaviBibliographySubheading5"/>
    <w:rsid w:val="003B78C0"/>
    <w:rPr>
      <w:rFonts w:asciiTheme="majorHAnsi" w:eastAsiaTheme="majorEastAsia" w:hAnsiTheme="majorHAnsi" w:cstheme="majorBidi"/>
      <w:color w:val="1F4D78" w:themeColor="accent1" w:themeShade="7F"/>
      <w:sz w:val="24"/>
      <w:lang w:val="en-US"/>
    </w:rPr>
  </w:style>
  <w:style w:type="paragraph" w:customStyle="1" w:styleId="CitaviBibliographySubheading6">
    <w:name w:val="Citavi Bibliography Subheading 6"/>
    <w:basedOn w:val="Heading7"/>
    <w:link w:val="CitaviBibliographySubheading6Zchn"/>
    <w:rsid w:val="003B78C0"/>
    <w:pPr>
      <w:ind w:left="720" w:hanging="360"/>
      <w:outlineLvl w:val="9"/>
    </w:pPr>
  </w:style>
  <w:style w:type="character" w:customStyle="1" w:styleId="CitaviBibliographySubheading6Zchn">
    <w:name w:val="Citavi Bibliography Subheading 6 Zchn"/>
    <w:basedOn w:val="ListParagraphChar"/>
    <w:link w:val="CitaviBibliographySubheading6"/>
    <w:rsid w:val="003B78C0"/>
    <w:rPr>
      <w:rFonts w:asciiTheme="majorHAnsi" w:eastAsiaTheme="majorEastAsia" w:hAnsiTheme="majorHAnsi" w:cstheme="majorBidi"/>
      <w:i/>
      <w:iCs/>
      <w:color w:val="1F4D78" w:themeColor="accent1" w:themeShade="7F"/>
      <w:sz w:val="24"/>
      <w:lang w:val="en-US"/>
    </w:rPr>
  </w:style>
  <w:style w:type="paragraph" w:customStyle="1" w:styleId="CitaviBibliographySubheading7">
    <w:name w:val="Citavi Bibliography Subheading 7"/>
    <w:basedOn w:val="Heading8"/>
    <w:link w:val="CitaviBibliographySubheading7Zchn"/>
    <w:rsid w:val="003B78C0"/>
    <w:pPr>
      <w:ind w:left="720" w:hanging="360"/>
      <w:outlineLvl w:val="9"/>
    </w:pPr>
  </w:style>
  <w:style w:type="character" w:customStyle="1" w:styleId="CitaviBibliographySubheading7Zchn">
    <w:name w:val="Citavi Bibliography Subheading 7 Zchn"/>
    <w:basedOn w:val="ListParagraphChar"/>
    <w:link w:val="CitaviBibliographySubheading7"/>
    <w:rsid w:val="003B78C0"/>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Heading9"/>
    <w:link w:val="CitaviBibliographySubheading8Zchn"/>
    <w:rsid w:val="003B78C0"/>
    <w:pPr>
      <w:numPr>
        <w:numId w:val="1"/>
      </w:numPr>
      <w:outlineLvl w:val="9"/>
    </w:pPr>
  </w:style>
  <w:style w:type="character" w:customStyle="1" w:styleId="CitaviBibliographySubheading8Zchn">
    <w:name w:val="Citavi Bibliography Subheading 8 Zchn"/>
    <w:basedOn w:val="ListParagraphChar"/>
    <w:link w:val="CitaviBibliographySubheading8"/>
    <w:rsid w:val="003B78C0"/>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3B78C0"/>
    <w:pPr>
      <w:outlineLvl w:val="9"/>
    </w:pPr>
  </w:style>
  <w:style w:type="paragraph" w:styleId="Bibliography">
    <w:name w:val="Bibliography"/>
    <w:basedOn w:val="Normal"/>
    <w:next w:val="Normal"/>
    <w:uiPriority w:val="37"/>
    <w:unhideWhenUsed/>
    <w:rsid w:val="003B78C0"/>
    <w:pPr>
      <w:spacing w:after="240" w:line="240" w:lineRule="auto"/>
      <w:ind w:left="720" w:hanging="720"/>
    </w:pPr>
  </w:style>
  <w:style w:type="character" w:styleId="BookTitle">
    <w:name w:val="Book Title"/>
    <w:basedOn w:val="DefaultParagraphFont"/>
    <w:uiPriority w:val="33"/>
    <w:qFormat/>
    <w:rsid w:val="003B78C0"/>
    <w:rPr>
      <w:b/>
      <w:bCs/>
      <w:i/>
      <w:iCs/>
      <w:spacing w:val="5"/>
    </w:rPr>
  </w:style>
  <w:style w:type="character" w:styleId="IntenseReference">
    <w:name w:val="Intense Reference"/>
    <w:basedOn w:val="DefaultParagraphFont"/>
    <w:uiPriority w:val="32"/>
    <w:qFormat/>
    <w:rsid w:val="003B78C0"/>
    <w:rPr>
      <w:b/>
      <w:bCs/>
      <w:smallCaps/>
      <w:color w:val="5B9BD5" w:themeColor="accent1"/>
      <w:spacing w:val="5"/>
    </w:rPr>
  </w:style>
  <w:style w:type="character" w:styleId="SubtleReference">
    <w:name w:val="Subtle Reference"/>
    <w:basedOn w:val="DefaultParagraphFont"/>
    <w:uiPriority w:val="31"/>
    <w:qFormat/>
    <w:rsid w:val="003B78C0"/>
    <w:rPr>
      <w:smallCaps/>
      <w:color w:val="5A5A5A" w:themeColor="text1" w:themeTint="A5"/>
    </w:rPr>
  </w:style>
  <w:style w:type="character" w:styleId="IntenseEmphasis">
    <w:name w:val="Intense Emphasis"/>
    <w:basedOn w:val="DefaultParagraphFont"/>
    <w:uiPriority w:val="21"/>
    <w:qFormat/>
    <w:rsid w:val="003B78C0"/>
    <w:rPr>
      <w:i/>
      <w:iCs/>
      <w:color w:val="5B9BD5" w:themeColor="accent1"/>
    </w:rPr>
  </w:style>
  <w:style w:type="character" w:styleId="SubtleEmphasis">
    <w:name w:val="Subtle Emphasis"/>
    <w:basedOn w:val="DefaultParagraphFont"/>
    <w:uiPriority w:val="19"/>
    <w:qFormat/>
    <w:rsid w:val="003B78C0"/>
    <w:rPr>
      <w:i/>
      <w:iCs/>
      <w:color w:val="404040" w:themeColor="text1" w:themeTint="BF"/>
    </w:rPr>
  </w:style>
  <w:style w:type="paragraph" w:styleId="IntenseQuote">
    <w:name w:val="Intense Quote"/>
    <w:basedOn w:val="Normal"/>
    <w:next w:val="Normal"/>
    <w:link w:val="IntenseQuoteChar"/>
    <w:uiPriority w:val="30"/>
    <w:qFormat/>
    <w:rsid w:val="003B78C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78C0"/>
    <w:rPr>
      <w:rFonts w:ascii="Times New Roman" w:hAnsi="Times New Roman"/>
      <w:i/>
      <w:iCs/>
      <w:color w:val="5B9BD5" w:themeColor="accent1"/>
      <w:sz w:val="24"/>
      <w:lang w:val="en-US"/>
    </w:rPr>
  </w:style>
  <w:style w:type="paragraph" w:styleId="Quote">
    <w:name w:val="Quote"/>
    <w:basedOn w:val="Normal"/>
    <w:next w:val="Normal"/>
    <w:link w:val="QuoteChar"/>
    <w:uiPriority w:val="29"/>
    <w:qFormat/>
    <w:rsid w:val="003B78C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78C0"/>
    <w:rPr>
      <w:rFonts w:ascii="Times New Roman" w:hAnsi="Times New Roman"/>
      <w:i/>
      <w:iCs/>
      <w:color w:val="404040" w:themeColor="text1" w:themeTint="BF"/>
      <w:sz w:val="24"/>
      <w:lang w:val="en-US"/>
    </w:rPr>
  </w:style>
  <w:style w:type="table" w:styleId="MediumList1-Accent1">
    <w:name w:val="Medium List 1 Accent 1"/>
    <w:basedOn w:val="TableNormal"/>
    <w:uiPriority w:val="65"/>
    <w:semiHidden/>
    <w:unhideWhenUsed/>
    <w:rsid w:val="003B78C0"/>
    <w:pPr>
      <w:spacing w:after="0" w:line="240" w:lineRule="auto"/>
    </w:pPr>
    <w:rPr>
      <w:color w:val="000000" w:themeColor="text1"/>
      <w:lang w:val="de-DE"/>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3B78C0"/>
    <w:pPr>
      <w:spacing w:after="0" w:line="240" w:lineRule="auto"/>
    </w:pPr>
    <w:rPr>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3B78C0"/>
    <w:pPr>
      <w:spacing w:after="0" w:line="240" w:lineRule="auto"/>
    </w:pPr>
    <w:rPr>
      <w:lang w:val="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B78C0"/>
    <w:pPr>
      <w:spacing w:after="0" w:line="240" w:lineRule="auto"/>
    </w:pPr>
    <w:rPr>
      <w:lang w:val="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3B78C0"/>
    <w:pPr>
      <w:spacing w:after="0" w:line="240" w:lineRule="auto"/>
    </w:pPr>
    <w:rPr>
      <w:lang w:val="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3B78C0"/>
    <w:pPr>
      <w:spacing w:after="0" w:line="240" w:lineRule="auto"/>
    </w:pPr>
    <w:rPr>
      <w:color w:val="2E74B5" w:themeColor="accent1" w:themeShade="BF"/>
      <w:lang w:val="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3B78C0"/>
    <w:pPr>
      <w:spacing w:after="0" w:line="240" w:lineRule="auto"/>
    </w:pPr>
    <w:rPr>
      <w:color w:val="000000" w:themeColor="text1"/>
      <w:lang w:val="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B78C0"/>
    <w:pPr>
      <w:spacing w:after="0" w:line="240" w:lineRule="auto"/>
    </w:pPr>
    <w:rPr>
      <w:color w:val="000000" w:themeColor="text1"/>
      <w:lang w:val="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B78C0"/>
    <w:pPr>
      <w:spacing w:after="0" w:line="240" w:lineRule="auto"/>
    </w:pPr>
    <w:rPr>
      <w:color w:val="000000" w:themeColor="text1"/>
      <w:lang w:val="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78C0"/>
    <w:pPr>
      <w:spacing w:after="0" w:line="240" w:lineRule="auto"/>
    </w:pPr>
    <w:rPr>
      <w:color w:val="FFFFFF" w:themeColor="background1"/>
      <w:lang w:val="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B78C0"/>
    <w:pPr>
      <w:spacing w:after="0" w:line="240" w:lineRule="auto"/>
    </w:pPr>
    <w:rPr>
      <w:lang w:val="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B78C0"/>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B78C0"/>
    <w:pPr>
      <w:spacing w:after="0" w:line="240" w:lineRule="auto"/>
    </w:pPr>
    <w:rPr>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B78C0"/>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B78C0"/>
    <w:pPr>
      <w:spacing w:after="0" w:line="240" w:lineRule="auto"/>
    </w:pPr>
    <w:rPr>
      <w:color w:val="000000" w:themeColor="text1"/>
      <w:lang w:val="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B78C0"/>
    <w:pPr>
      <w:spacing w:after="0" w:line="240" w:lineRule="auto"/>
    </w:pPr>
    <w:rPr>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3B78C0"/>
    <w:pPr>
      <w:spacing w:after="0" w:line="240" w:lineRule="auto"/>
    </w:pPr>
    <w:rPr>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B78C0"/>
    <w:pPr>
      <w:spacing w:after="0" w:line="240" w:lineRule="auto"/>
    </w:pPr>
    <w:rPr>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B78C0"/>
    <w:pPr>
      <w:spacing w:after="0" w:line="240" w:lineRule="auto"/>
    </w:pPr>
    <w:rPr>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B78C0"/>
    <w:pPr>
      <w:spacing w:after="0" w:line="240" w:lineRule="auto"/>
    </w:pPr>
    <w:rPr>
      <w:color w:val="000000" w:themeColor="text1" w:themeShade="BF"/>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B78C0"/>
    <w:pPr>
      <w:spacing w:after="0" w:line="240" w:lineRule="auto"/>
    </w:pPr>
    <w:rPr>
      <w:lang w:val="de-DE"/>
    </w:rPr>
  </w:style>
  <w:style w:type="character" w:styleId="HTMLVariable">
    <w:name w:val="HTML Variable"/>
    <w:basedOn w:val="DefaultParagraphFont"/>
    <w:uiPriority w:val="99"/>
    <w:semiHidden/>
    <w:unhideWhenUsed/>
    <w:rsid w:val="003B78C0"/>
    <w:rPr>
      <w:i/>
      <w:iCs/>
    </w:rPr>
  </w:style>
  <w:style w:type="character" w:styleId="HTMLTypewriter">
    <w:name w:val="HTML Typewriter"/>
    <w:basedOn w:val="DefaultParagraphFont"/>
    <w:uiPriority w:val="99"/>
    <w:semiHidden/>
    <w:unhideWhenUsed/>
    <w:rsid w:val="003B78C0"/>
    <w:rPr>
      <w:rFonts w:ascii="Consolas" w:hAnsi="Consolas"/>
      <w:sz w:val="20"/>
      <w:szCs w:val="20"/>
    </w:rPr>
  </w:style>
  <w:style w:type="character" w:styleId="HTMLSample">
    <w:name w:val="HTML Sample"/>
    <w:basedOn w:val="DefaultParagraphFont"/>
    <w:uiPriority w:val="99"/>
    <w:semiHidden/>
    <w:unhideWhenUsed/>
    <w:rsid w:val="003B78C0"/>
    <w:rPr>
      <w:rFonts w:ascii="Consolas" w:hAnsi="Consolas"/>
      <w:sz w:val="24"/>
      <w:szCs w:val="24"/>
    </w:rPr>
  </w:style>
  <w:style w:type="paragraph" w:styleId="HTMLPreformatted">
    <w:name w:val="HTML Preformatted"/>
    <w:basedOn w:val="Normal"/>
    <w:link w:val="HTMLPreformattedChar"/>
    <w:uiPriority w:val="99"/>
    <w:semiHidden/>
    <w:unhideWhenUsed/>
    <w:rsid w:val="003B78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78C0"/>
    <w:rPr>
      <w:rFonts w:ascii="Consolas" w:hAnsi="Consolas"/>
      <w:sz w:val="20"/>
      <w:szCs w:val="20"/>
      <w:lang w:val="en-US"/>
    </w:rPr>
  </w:style>
  <w:style w:type="character" w:styleId="HTMLKeyboard">
    <w:name w:val="HTML Keyboard"/>
    <w:basedOn w:val="DefaultParagraphFont"/>
    <w:uiPriority w:val="99"/>
    <w:semiHidden/>
    <w:unhideWhenUsed/>
    <w:rsid w:val="003B78C0"/>
    <w:rPr>
      <w:rFonts w:ascii="Consolas" w:hAnsi="Consolas"/>
      <w:sz w:val="20"/>
      <w:szCs w:val="20"/>
    </w:rPr>
  </w:style>
  <w:style w:type="character" w:styleId="HTMLDefinition">
    <w:name w:val="HTML Definition"/>
    <w:basedOn w:val="DefaultParagraphFont"/>
    <w:uiPriority w:val="99"/>
    <w:semiHidden/>
    <w:unhideWhenUsed/>
    <w:rsid w:val="003B78C0"/>
    <w:rPr>
      <w:i/>
      <w:iCs/>
    </w:rPr>
  </w:style>
  <w:style w:type="character" w:styleId="HTMLCode">
    <w:name w:val="HTML Code"/>
    <w:basedOn w:val="DefaultParagraphFont"/>
    <w:uiPriority w:val="99"/>
    <w:semiHidden/>
    <w:unhideWhenUsed/>
    <w:rsid w:val="003B78C0"/>
    <w:rPr>
      <w:rFonts w:ascii="Consolas" w:hAnsi="Consolas"/>
      <w:sz w:val="20"/>
      <w:szCs w:val="20"/>
    </w:rPr>
  </w:style>
  <w:style w:type="character" w:styleId="HTMLCite">
    <w:name w:val="HTML Cite"/>
    <w:basedOn w:val="DefaultParagraphFont"/>
    <w:uiPriority w:val="99"/>
    <w:semiHidden/>
    <w:unhideWhenUsed/>
    <w:rsid w:val="003B78C0"/>
    <w:rPr>
      <w:i/>
      <w:iCs/>
    </w:rPr>
  </w:style>
  <w:style w:type="paragraph" w:styleId="HTMLAddress">
    <w:name w:val="HTML Address"/>
    <w:basedOn w:val="Normal"/>
    <w:link w:val="HTMLAddressChar"/>
    <w:uiPriority w:val="99"/>
    <w:semiHidden/>
    <w:unhideWhenUsed/>
    <w:rsid w:val="003B78C0"/>
    <w:pPr>
      <w:spacing w:after="0" w:line="240" w:lineRule="auto"/>
    </w:pPr>
    <w:rPr>
      <w:i/>
      <w:iCs/>
    </w:rPr>
  </w:style>
  <w:style w:type="character" w:customStyle="1" w:styleId="HTMLAddressChar">
    <w:name w:val="HTML Address Char"/>
    <w:basedOn w:val="DefaultParagraphFont"/>
    <w:link w:val="HTMLAddress"/>
    <w:uiPriority w:val="99"/>
    <w:semiHidden/>
    <w:rsid w:val="003B78C0"/>
    <w:rPr>
      <w:rFonts w:ascii="Times New Roman" w:hAnsi="Times New Roman"/>
      <w:i/>
      <w:iCs/>
      <w:sz w:val="24"/>
      <w:lang w:val="en-US"/>
    </w:rPr>
  </w:style>
  <w:style w:type="character" w:styleId="HTMLAcronym">
    <w:name w:val="HTML Acronym"/>
    <w:basedOn w:val="DefaultParagraphFont"/>
    <w:uiPriority w:val="99"/>
    <w:semiHidden/>
    <w:unhideWhenUsed/>
    <w:rsid w:val="003B78C0"/>
  </w:style>
  <w:style w:type="paragraph" w:styleId="NormalWeb">
    <w:name w:val="Normal (Web)"/>
    <w:basedOn w:val="Normal"/>
    <w:uiPriority w:val="99"/>
    <w:unhideWhenUsed/>
    <w:rsid w:val="003B78C0"/>
    <w:rPr>
      <w:rFonts w:cs="Times New Roman"/>
      <w:szCs w:val="24"/>
    </w:rPr>
  </w:style>
  <w:style w:type="paragraph" w:styleId="PlainText">
    <w:name w:val="Plain Text"/>
    <w:basedOn w:val="Normal"/>
    <w:link w:val="PlainTextChar"/>
    <w:uiPriority w:val="99"/>
    <w:semiHidden/>
    <w:unhideWhenUsed/>
    <w:rsid w:val="003B78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78C0"/>
    <w:rPr>
      <w:rFonts w:ascii="Consolas" w:hAnsi="Consolas"/>
      <w:sz w:val="21"/>
      <w:szCs w:val="21"/>
      <w:lang w:val="en-US"/>
    </w:rPr>
  </w:style>
  <w:style w:type="paragraph" w:styleId="DocumentMap">
    <w:name w:val="Document Map"/>
    <w:basedOn w:val="Normal"/>
    <w:link w:val="DocumentMapChar"/>
    <w:uiPriority w:val="99"/>
    <w:semiHidden/>
    <w:unhideWhenUsed/>
    <w:rsid w:val="003B78C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78C0"/>
    <w:rPr>
      <w:rFonts w:ascii="Segoe UI" w:hAnsi="Segoe UI" w:cs="Segoe UI"/>
      <w:sz w:val="16"/>
      <w:szCs w:val="16"/>
      <w:lang w:val="en-US"/>
    </w:rPr>
  </w:style>
  <w:style w:type="character" w:styleId="Emphasis">
    <w:name w:val="Emphasis"/>
    <w:basedOn w:val="DefaultParagraphFont"/>
    <w:uiPriority w:val="20"/>
    <w:qFormat/>
    <w:rsid w:val="003B78C0"/>
    <w:rPr>
      <w:i/>
      <w:iCs/>
    </w:rPr>
  </w:style>
  <w:style w:type="character" w:styleId="Strong">
    <w:name w:val="Strong"/>
    <w:basedOn w:val="DefaultParagraphFont"/>
    <w:uiPriority w:val="22"/>
    <w:qFormat/>
    <w:rsid w:val="003B78C0"/>
    <w:rPr>
      <w:b/>
      <w:bCs/>
    </w:rPr>
  </w:style>
  <w:style w:type="character" w:styleId="FollowedHyperlink">
    <w:name w:val="FollowedHyperlink"/>
    <w:basedOn w:val="DefaultParagraphFont"/>
    <w:uiPriority w:val="99"/>
    <w:semiHidden/>
    <w:unhideWhenUsed/>
    <w:rsid w:val="003B78C0"/>
    <w:rPr>
      <w:color w:val="954F72" w:themeColor="followedHyperlink"/>
      <w:u w:val="single"/>
    </w:rPr>
  </w:style>
  <w:style w:type="character" w:styleId="Hyperlink">
    <w:name w:val="Hyperlink"/>
    <w:basedOn w:val="DefaultParagraphFont"/>
    <w:uiPriority w:val="99"/>
    <w:unhideWhenUsed/>
    <w:rsid w:val="003B78C0"/>
    <w:rPr>
      <w:color w:val="0563C1" w:themeColor="hyperlink"/>
      <w:u w:val="single"/>
    </w:rPr>
  </w:style>
  <w:style w:type="paragraph" w:styleId="BlockText">
    <w:name w:val="Block Text"/>
    <w:basedOn w:val="Normal"/>
    <w:uiPriority w:val="99"/>
    <w:semiHidden/>
    <w:unhideWhenUsed/>
    <w:rsid w:val="003B78C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Indent3">
    <w:name w:val="Body Text Indent 3"/>
    <w:basedOn w:val="Normal"/>
    <w:link w:val="BodyTextIndent3Char"/>
    <w:uiPriority w:val="99"/>
    <w:semiHidden/>
    <w:unhideWhenUsed/>
    <w:rsid w:val="003B78C0"/>
    <w:pPr>
      <w:ind w:left="283"/>
    </w:pPr>
    <w:rPr>
      <w:sz w:val="16"/>
      <w:szCs w:val="16"/>
    </w:rPr>
  </w:style>
  <w:style w:type="character" w:customStyle="1" w:styleId="BodyTextIndent3Char">
    <w:name w:val="Body Text Indent 3 Char"/>
    <w:basedOn w:val="DefaultParagraphFont"/>
    <w:link w:val="BodyTextIndent3"/>
    <w:uiPriority w:val="99"/>
    <w:semiHidden/>
    <w:rsid w:val="003B78C0"/>
    <w:rPr>
      <w:rFonts w:ascii="Times New Roman" w:hAnsi="Times New Roman"/>
      <w:sz w:val="16"/>
      <w:szCs w:val="16"/>
      <w:lang w:val="en-US"/>
    </w:rPr>
  </w:style>
  <w:style w:type="paragraph" w:styleId="BodyTextIndent2">
    <w:name w:val="Body Text Indent 2"/>
    <w:basedOn w:val="Normal"/>
    <w:link w:val="BodyTextIndent2Char"/>
    <w:uiPriority w:val="99"/>
    <w:semiHidden/>
    <w:unhideWhenUsed/>
    <w:rsid w:val="003B78C0"/>
    <w:pPr>
      <w:ind w:left="283"/>
    </w:pPr>
  </w:style>
  <w:style w:type="character" w:customStyle="1" w:styleId="BodyTextIndent2Char">
    <w:name w:val="Body Text Indent 2 Char"/>
    <w:basedOn w:val="DefaultParagraphFont"/>
    <w:link w:val="BodyTextIndent2"/>
    <w:uiPriority w:val="99"/>
    <w:semiHidden/>
    <w:rsid w:val="003B78C0"/>
    <w:rPr>
      <w:rFonts w:ascii="Times New Roman" w:hAnsi="Times New Roman"/>
      <w:sz w:val="24"/>
      <w:lang w:val="en-US"/>
    </w:rPr>
  </w:style>
  <w:style w:type="paragraph" w:styleId="BodyText3">
    <w:name w:val="Body Text 3"/>
    <w:basedOn w:val="Normal"/>
    <w:link w:val="BodyText3Char"/>
    <w:uiPriority w:val="99"/>
    <w:semiHidden/>
    <w:unhideWhenUsed/>
    <w:rsid w:val="003B78C0"/>
    <w:rPr>
      <w:sz w:val="16"/>
      <w:szCs w:val="16"/>
    </w:rPr>
  </w:style>
  <w:style w:type="character" w:customStyle="1" w:styleId="BodyText3Char">
    <w:name w:val="Body Text 3 Char"/>
    <w:basedOn w:val="DefaultParagraphFont"/>
    <w:link w:val="BodyText3"/>
    <w:uiPriority w:val="99"/>
    <w:semiHidden/>
    <w:rsid w:val="003B78C0"/>
    <w:rPr>
      <w:rFonts w:ascii="Times New Roman" w:hAnsi="Times New Roman"/>
      <w:sz w:val="16"/>
      <w:szCs w:val="16"/>
      <w:lang w:val="en-US"/>
    </w:rPr>
  </w:style>
  <w:style w:type="paragraph" w:styleId="BodyText2">
    <w:name w:val="Body Text 2"/>
    <w:basedOn w:val="Normal"/>
    <w:link w:val="BodyText2Char"/>
    <w:uiPriority w:val="99"/>
    <w:semiHidden/>
    <w:unhideWhenUsed/>
    <w:rsid w:val="003B78C0"/>
  </w:style>
  <w:style w:type="character" w:customStyle="1" w:styleId="BodyText2Char">
    <w:name w:val="Body Text 2 Char"/>
    <w:basedOn w:val="DefaultParagraphFont"/>
    <w:link w:val="BodyText2"/>
    <w:uiPriority w:val="99"/>
    <w:semiHidden/>
    <w:rsid w:val="003B78C0"/>
    <w:rPr>
      <w:rFonts w:ascii="Times New Roman" w:hAnsi="Times New Roman"/>
      <w:sz w:val="24"/>
      <w:lang w:val="en-US"/>
    </w:rPr>
  </w:style>
  <w:style w:type="paragraph" w:styleId="NoteHeading">
    <w:name w:val="Note Heading"/>
    <w:basedOn w:val="Normal"/>
    <w:next w:val="Normal"/>
    <w:link w:val="NoteHeadingChar"/>
    <w:uiPriority w:val="99"/>
    <w:semiHidden/>
    <w:unhideWhenUsed/>
    <w:rsid w:val="003B78C0"/>
    <w:pPr>
      <w:spacing w:after="0" w:line="240" w:lineRule="auto"/>
    </w:pPr>
  </w:style>
  <w:style w:type="character" w:customStyle="1" w:styleId="NoteHeadingChar">
    <w:name w:val="Note Heading Char"/>
    <w:basedOn w:val="DefaultParagraphFont"/>
    <w:link w:val="NoteHeading"/>
    <w:uiPriority w:val="99"/>
    <w:semiHidden/>
    <w:rsid w:val="003B78C0"/>
    <w:rPr>
      <w:rFonts w:ascii="Times New Roman" w:hAnsi="Times New Roman"/>
      <w:sz w:val="24"/>
      <w:lang w:val="en-US"/>
    </w:rPr>
  </w:style>
  <w:style w:type="paragraph" w:styleId="BodyTextIndent">
    <w:name w:val="Body Text Indent"/>
    <w:basedOn w:val="Normal"/>
    <w:link w:val="BodyTextIndentChar"/>
    <w:uiPriority w:val="99"/>
    <w:semiHidden/>
    <w:unhideWhenUsed/>
    <w:rsid w:val="003B78C0"/>
    <w:pPr>
      <w:ind w:left="283"/>
    </w:pPr>
  </w:style>
  <w:style w:type="character" w:customStyle="1" w:styleId="BodyTextIndentChar">
    <w:name w:val="Body Text Indent Char"/>
    <w:basedOn w:val="DefaultParagraphFont"/>
    <w:link w:val="BodyTextIndent"/>
    <w:uiPriority w:val="99"/>
    <w:semiHidden/>
    <w:rsid w:val="003B78C0"/>
    <w:rPr>
      <w:rFonts w:ascii="Times New Roman" w:hAnsi="Times New Roman"/>
      <w:sz w:val="24"/>
      <w:lang w:val="en-US"/>
    </w:rPr>
  </w:style>
  <w:style w:type="paragraph" w:styleId="BodyTextFirstIndent2">
    <w:name w:val="Body Text First Indent 2"/>
    <w:basedOn w:val="BodyTextIndent"/>
    <w:link w:val="BodyTextFirstIndent2Char"/>
    <w:uiPriority w:val="99"/>
    <w:semiHidden/>
    <w:unhideWhenUsed/>
    <w:rsid w:val="003B78C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B78C0"/>
    <w:rPr>
      <w:rFonts w:ascii="Times New Roman" w:hAnsi="Times New Roman"/>
      <w:sz w:val="24"/>
      <w:lang w:val="en-US"/>
    </w:rPr>
  </w:style>
  <w:style w:type="paragraph" w:styleId="BodyText">
    <w:name w:val="Body Text"/>
    <w:basedOn w:val="Normal"/>
    <w:link w:val="BodyTextChar"/>
    <w:uiPriority w:val="99"/>
    <w:semiHidden/>
    <w:unhideWhenUsed/>
    <w:rsid w:val="003B78C0"/>
  </w:style>
  <w:style w:type="character" w:customStyle="1" w:styleId="BodyTextChar">
    <w:name w:val="Body Text Char"/>
    <w:basedOn w:val="DefaultParagraphFont"/>
    <w:link w:val="BodyText"/>
    <w:uiPriority w:val="99"/>
    <w:semiHidden/>
    <w:rsid w:val="003B78C0"/>
    <w:rPr>
      <w:rFonts w:ascii="Times New Roman" w:hAnsi="Times New Roman"/>
      <w:sz w:val="24"/>
      <w:lang w:val="en-US"/>
    </w:rPr>
  </w:style>
  <w:style w:type="paragraph" w:styleId="BodyTextFirstIndent">
    <w:name w:val="Body Text First Indent"/>
    <w:basedOn w:val="BodyText"/>
    <w:link w:val="BodyTextFirstIndentChar"/>
    <w:uiPriority w:val="99"/>
    <w:semiHidden/>
    <w:unhideWhenUsed/>
    <w:rsid w:val="003B78C0"/>
    <w:pPr>
      <w:spacing w:after="160"/>
      <w:ind w:firstLine="360"/>
    </w:pPr>
  </w:style>
  <w:style w:type="character" w:customStyle="1" w:styleId="BodyTextFirstIndentChar">
    <w:name w:val="Body Text First Indent Char"/>
    <w:basedOn w:val="BodyTextChar"/>
    <w:link w:val="BodyTextFirstIndent"/>
    <w:uiPriority w:val="99"/>
    <w:semiHidden/>
    <w:rsid w:val="003B78C0"/>
    <w:rPr>
      <w:rFonts w:ascii="Times New Roman" w:hAnsi="Times New Roman"/>
      <w:sz w:val="24"/>
      <w:lang w:val="en-US"/>
    </w:rPr>
  </w:style>
  <w:style w:type="paragraph" w:styleId="Date">
    <w:name w:val="Date"/>
    <w:basedOn w:val="Normal"/>
    <w:next w:val="Normal"/>
    <w:link w:val="DateChar"/>
    <w:uiPriority w:val="99"/>
    <w:semiHidden/>
    <w:unhideWhenUsed/>
    <w:rsid w:val="003B78C0"/>
  </w:style>
  <w:style w:type="character" w:customStyle="1" w:styleId="DateChar">
    <w:name w:val="Date Char"/>
    <w:basedOn w:val="DefaultParagraphFont"/>
    <w:link w:val="Date"/>
    <w:uiPriority w:val="99"/>
    <w:semiHidden/>
    <w:rsid w:val="003B78C0"/>
    <w:rPr>
      <w:rFonts w:ascii="Times New Roman" w:hAnsi="Times New Roman"/>
      <w:sz w:val="24"/>
      <w:lang w:val="en-US"/>
    </w:rPr>
  </w:style>
  <w:style w:type="paragraph" w:styleId="Salutation">
    <w:name w:val="Salutation"/>
    <w:basedOn w:val="Normal"/>
    <w:next w:val="Normal"/>
    <w:link w:val="SalutationChar"/>
    <w:uiPriority w:val="99"/>
    <w:semiHidden/>
    <w:unhideWhenUsed/>
    <w:rsid w:val="003B78C0"/>
  </w:style>
  <w:style w:type="character" w:customStyle="1" w:styleId="SalutationChar">
    <w:name w:val="Salutation Char"/>
    <w:basedOn w:val="DefaultParagraphFont"/>
    <w:link w:val="Salutation"/>
    <w:uiPriority w:val="99"/>
    <w:semiHidden/>
    <w:rsid w:val="003B78C0"/>
    <w:rPr>
      <w:rFonts w:ascii="Times New Roman" w:hAnsi="Times New Roman"/>
      <w:sz w:val="24"/>
      <w:lang w:val="en-US"/>
    </w:rPr>
  </w:style>
  <w:style w:type="paragraph" w:styleId="Subtitle">
    <w:name w:val="Subtitle"/>
    <w:basedOn w:val="Normal"/>
    <w:next w:val="Normal"/>
    <w:link w:val="SubtitleChar"/>
    <w:uiPriority w:val="11"/>
    <w:qFormat/>
    <w:rsid w:val="003B78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78C0"/>
    <w:rPr>
      <w:rFonts w:ascii="Times New Roman" w:eastAsiaTheme="minorEastAsia" w:hAnsi="Times New Roman"/>
      <w:color w:val="5A5A5A" w:themeColor="text1" w:themeTint="A5"/>
      <w:spacing w:val="15"/>
      <w:sz w:val="24"/>
      <w:lang w:val="en-US"/>
    </w:rPr>
  </w:style>
  <w:style w:type="paragraph" w:styleId="MessageHeader">
    <w:name w:val="Message Header"/>
    <w:basedOn w:val="Normal"/>
    <w:link w:val="MessageHeaderChar"/>
    <w:uiPriority w:val="99"/>
    <w:semiHidden/>
    <w:unhideWhenUsed/>
    <w:rsid w:val="003B78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B78C0"/>
    <w:rPr>
      <w:rFonts w:asciiTheme="majorHAnsi" w:eastAsiaTheme="majorEastAsia" w:hAnsiTheme="majorHAnsi" w:cstheme="majorBidi"/>
      <w:sz w:val="24"/>
      <w:szCs w:val="24"/>
      <w:shd w:val="pct20" w:color="auto" w:fill="auto"/>
      <w:lang w:val="en-US"/>
    </w:rPr>
  </w:style>
  <w:style w:type="paragraph" w:styleId="ListContinue5">
    <w:name w:val="List Continue 5"/>
    <w:basedOn w:val="Normal"/>
    <w:uiPriority w:val="99"/>
    <w:semiHidden/>
    <w:unhideWhenUsed/>
    <w:rsid w:val="003B78C0"/>
    <w:pPr>
      <w:ind w:left="1415"/>
      <w:contextualSpacing/>
    </w:pPr>
  </w:style>
  <w:style w:type="paragraph" w:styleId="ListContinue4">
    <w:name w:val="List Continue 4"/>
    <w:basedOn w:val="Normal"/>
    <w:uiPriority w:val="99"/>
    <w:semiHidden/>
    <w:unhideWhenUsed/>
    <w:rsid w:val="003B78C0"/>
    <w:pPr>
      <w:ind w:left="1132"/>
      <w:contextualSpacing/>
    </w:pPr>
  </w:style>
  <w:style w:type="paragraph" w:styleId="ListContinue3">
    <w:name w:val="List Continue 3"/>
    <w:basedOn w:val="Normal"/>
    <w:uiPriority w:val="99"/>
    <w:semiHidden/>
    <w:unhideWhenUsed/>
    <w:rsid w:val="003B78C0"/>
    <w:pPr>
      <w:ind w:left="849"/>
      <w:contextualSpacing/>
    </w:pPr>
  </w:style>
  <w:style w:type="paragraph" w:styleId="ListContinue2">
    <w:name w:val="List Continue 2"/>
    <w:basedOn w:val="Normal"/>
    <w:uiPriority w:val="99"/>
    <w:semiHidden/>
    <w:unhideWhenUsed/>
    <w:rsid w:val="003B78C0"/>
    <w:pPr>
      <w:ind w:left="566"/>
      <w:contextualSpacing/>
    </w:pPr>
  </w:style>
  <w:style w:type="paragraph" w:styleId="ListContinue">
    <w:name w:val="List Continue"/>
    <w:basedOn w:val="Normal"/>
    <w:uiPriority w:val="99"/>
    <w:semiHidden/>
    <w:unhideWhenUsed/>
    <w:rsid w:val="003B78C0"/>
    <w:pPr>
      <w:ind w:left="283"/>
      <w:contextualSpacing/>
    </w:pPr>
  </w:style>
  <w:style w:type="paragraph" w:styleId="Signature">
    <w:name w:val="Signature"/>
    <w:basedOn w:val="Normal"/>
    <w:link w:val="SignatureChar"/>
    <w:uiPriority w:val="99"/>
    <w:semiHidden/>
    <w:unhideWhenUsed/>
    <w:rsid w:val="003B78C0"/>
    <w:pPr>
      <w:spacing w:after="0" w:line="240" w:lineRule="auto"/>
      <w:ind w:left="4252"/>
    </w:pPr>
  </w:style>
  <w:style w:type="character" w:customStyle="1" w:styleId="SignatureChar">
    <w:name w:val="Signature Char"/>
    <w:basedOn w:val="DefaultParagraphFont"/>
    <w:link w:val="Signature"/>
    <w:uiPriority w:val="99"/>
    <w:semiHidden/>
    <w:rsid w:val="003B78C0"/>
    <w:rPr>
      <w:rFonts w:ascii="Times New Roman" w:hAnsi="Times New Roman"/>
      <w:sz w:val="24"/>
      <w:lang w:val="en-US"/>
    </w:rPr>
  </w:style>
  <w:style w:type="paragraph" w:styleId="Closing">
    <w:name w:val="Closing"/>
    <w:basedOn w:val="Normal"/>
    <w:link w:val="ClosingChar"/>
    <w:uiPriority w:val="99"/>
    <w:semiHidden/>
    <w:unhideWhenUsed/>
    <w:rsid w:val="003B78C0"/>
    <w:pPr>
      <w:spacing w:after="0" w:line="240" w:lineRule="auto"/>
      <w:ind w:left="4252"/>
    </w:pPr>
  </w:style>
  <w:style w:type="character" w:customStyle="1" w:styleId="ClosingChar">
    <w:name w:val="Closing Char"/>
    <w:basedOn w:val="DefaultParagraphFont"/>
    <w:link w:val="Closing"/>
    <w:uiPriority w:val="99"/>
    <w:semiHidden/>
    <w:rsid w:val="003B78C0"/>
    <w:rPr>
      <w:rFonts w:ascii="Times New Roman" w:hAnsi="Times New Roman"/>
      <w:sz w:val="24"/>
      <w:lang w:val="en-US"/>
    </w:rPr>
  </w:style>
  <w:style w:type="paragraph" w:styleId="ListNumber5">
    <w:name w:val="List Number 5"/>
    <w:basedOn w:val="Normal"/>
    <w:uiPriority w:val="99"/>
    <w:semiHidden/>
    <w:unhideWhenUsed/>
    <w:rsid w:val="003B78C0"/>
    <w:pPr>
      <w:numPr>
        <w:numId w:val="2"/>
      </w:numPr>
      <w:contextualSpacing/>
    </w:pPr>
  </w:style>
  <w:style w:type="paragraph" w:styleId="ListNumber4">
    <w:name w:val="List Number 4"/>
    <w:basedOn w:val="Normal"/>
    <w:uiPriority w:val="99"/>
    <w:semiHidden/>
    <w:unhideWhenUsed/>
    <w:rsid w:val="003B78C0"/>
    <w:pPr>
      <w:numPr>
        <w:numId w:val="3"/>
      </w:numPr>
      <w:contextualSpacing/>
    </w:pPr>
  </w:style>
  <w:style w:type="paragraph" w:styleId="ListNumber3">
    <w:name w:val="List Number 3"/>
    <w:basedOn w:val="Normal"/>
    <w:uiPriority w:val="99"/>
    <w:semiHidden/>
    <w:unhideWhenUsed/>
    <w:rsid w:val="003B78C0"/>
    <w:pPr>
      <w:numPr>
        <w:numId w:val="4"/>
      </w:numPr>
      <w:contextualSpacing/>
    </w:pPr>
  </w:style>
  <w:style w:type="paragraph" w:styleId="ListNumber2">
    <w:name w:val="List Number 2"/>
    <w:basedOn w:val="Normal"/>
    <w:uiPriority w:val="99"/>
    <w:semiHidden/>
    <w:unhideWhenUsed/>
    <w:rsid w:val="003B78C0"/>
    <w:pPr>
      <w:numPr>
        <w:numId w:val="5"/>
      </w:numPr>
      <w:contextualSpacing/>
    </w:pPr>
  </w:style>
  <w:style w:type="paragraph" w:styleId="ListBullet5">
    <w:name w:val="List Bullet 5"/>
    <w:basedOn w:val="Normal"/>
    <w:uiPriority w:val="99"/>
    <w:semiHidden/>
    <w:unhideWhenUsed/>
    <w:rsid w:val="003B78C0"/>
    <w:pPr>
      <w:numPr>
        <w:numId w:val="6"/>
      </w:numPr>
      <w:contextualSpacing/>
    </w:pPr>
  </w:style>
  <w:style w:type="paragraph" w:styleId="ListBullet4">
    <w:name w:val="List Bullet 4"/>
    <w:basedOn w:val="Normal"/>
    <w:uiPriority w:val="99"/>
    <w:semiHidden/>
    <w:unhideWhenUsed/>
    <w:rsid w:val="003B78C0"/>
    <w:pPr>
      <w:numPr>
        <w:numId w:val="7"/>
      </w:numPr>
      <w:contextualSpacing/>
    </w:pPr>
  </w:style>
  <w:style w:type="paragraph" w:styleId="ListBullet3">
    <w:name w:val="List Bullet 3"/>
    <w:basedOn w:val="Normal"/>
    <w:uiPriority w:val="99"/>
    <w:semiHidden/>
    <w:unhideWhenUsed/>
    <w:rsid w:val="003B78C0"/>
    <w:pPr>
      <w:numPr>
        <w:numId w:val="8"/>
      </w:numPr>
      <w:contextualSpacing/>
    </w:pPr>
  </w:style>
  <w:style w:type="paragraph" w:styleId="ListBullet2">
    <w:name w:val="List Bullet 2"/>
    <w:basedOn w:val="Normal"/>
    <w:uiPriority w:val="99"/>
    <w:semiHidden/>
    <w:unhideWhenUsed/>
    <w:rsid w:val="003B78C0"/>
    <w:pPr>
      <w:numPr>
        <w:numId w:val="9"/>
      </w:numPr>
      <w:contextualSpacing/>
    </w:pPr>
  </w:style>
  <w:style w:type="paragraph" w:styleId="List5">
    <w:name w:val="List 5"/>
    <w:basedOn w:val="Normal"/>
    <w:uiPriority w:val="99"/>
    <w:semiHidden/>
    <w:unhideWhenUsed/>
    <w:rsid w:val="003B78C0"/>
    <w:pPr>
      <w:ind w:left="1415" w:hanging="283"/>
      <w:contextualSpacing/>
    </w:pPr>
  </w:style>
  <w:style w:type="paragraph" w:styleId="List4">
    <w:name w:val="List 4"/>
    <w:basedOn w:val="Normal"/>
    <w:uiPriority w:val="99"/>
    <w:semiHidden/>
    <w:unhideWhenUsed/>
    <w:rsid w:val="003B78C0"/>
    <w:pPr>
      <w:ind w:left="1132" w:hanging="283"/>
      <w:contextualSpacing/>
    </w:pPr>
  </w:style>
  <w:style w:type="paragraph" w:styleId="List3">
    <w:name w:val="List 3"/>
    <w:basedOn w:val="Normal"/>
    <w:uiPriority w:val="99"/>
    <w:semiHidden/>
    <w:unhideWhenUsed/>
    <w:rsid w:val="003B78C0"/>
    <w:pPr>
      <w:ind w:left="849" w:hanging="283"/>
      <w:contextualSpacing/>
    </w:pPr>
  </w:style>
  <w:style w:type="paragraph" w:styleId="List2">
    <w:name w:val="List 2"/>
    <w:basedOn w:val="Normal"/>
    <w:uiPriority w:val="99"/>
    <w:semiHidden/>
    <w:unhideWhenUsed/>
    <w:rsid w:val="003B78C0"/>
    <w:pPr>
      <w:ind w:left="566" w:hanging="283"/>
      <w:contextualSpacing/>
    </w:pPr>
  </w:style>
  <w:style w:type="paragraph" w:styleId="ListNumber">
    <w:name w:val="List Number"/>
    <w:basedOn w:val="Normal"/>
    <w:uiPriority w:val="99"/>
    <w:semiHidden/>
    <w:unhideWhenUsed/>
    <w:rsid w:val="003B78C0"/>
    <w:pPr>
      <w:numPr>
        <w:numId w:val="10"/>
      </w:numPr>
      <w:contextualSpacing/>
    </w:pPr>
  </w:style>
  <w:style w:type="paragraph" w:styleId="ListBullet">
    <w:name w:val="List Bullet"/>
    <w:basedOn w:val="Normal"/>
    <w:uiPriority w:val="99"/>
    <w:semiHidden/>
    <w:unhideWhenUsed/>
    <w:rsid w:val="003B78C0"/>
    <w:pPr>
      <w:numPr>
        <w:numId w:val="11"/>
      </w:numPr>
      <w:contextualSpacing/>
    </w:pPr>
  </w:style>
  <w:style w:type="paragraph" w:styleId="List">
    <w:name w:val="List"/>
    <w:basedOn w:val="Normal"/>
    <w:uiPriority w:val="99"/>
    <w:semiHidden/>
    <w:unhideWhenUsed/>
    <w:rsid w:val="003B78C0"/>
    <w:pPr>
      <w:ind w:left="283" w:hanging="283"/>
      <w:contextualSpacing/>
    </w:pPr>
  </w:style>
  <w:style w:type="paragraph" w:styleId="TOAHeading">
    <w:name w:val="toa heading"/>
    <w:basedOn w:val="Normal"/>
    <w:next w:val="Normal"/>
    <w:uiPriority w:val="99"/>
    <w:semiHidden/>
    <w:unhideWhenUsed/>
    <w:rsid w:val="003B78C0"/>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3B78C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de-DE"/>
    </w:rPr>
  </w:style>
  <w:style w:type="character" w:customStyle="1" w:styleId="MacroTextChar">
    <w:name w:val="Macro Text Char"/>
    <w:basedOn w:val="DefaultParagraphFont"/>
    <w:link w:val="MacroText"/>
    <w:uiPriority w:val="99"/>
    <w:semiHidden/>
    <w:rsid w:val="003B78C0"/>
    <w:rPr>
      <w:rFonts w:ascii="Consolas" w:hAnsi="Consolas"/>
      <w:sz w:val="20"/>
      <w:szCs w:val="20"/>
      <w:lang w:val="de-DE"/>
    </w:rPr>
  </w:style>
  <w:style w:type="paragraph" w:styleId="TableofAuthorities">
    <w:name w:val="table of authorities"/>
    <w:basedOn w:val="Normal"/>
    <w:next w:val="Normal"/>
    <w:uiPriority w:val="99"/>
    <w:semiHidden/>
    <w:unhideWhenUsed/>
    <w:rsid w:val="003B78C0"/>
    <w:pPr>
      <w:spacing w:after="0"/>
      <w:ind w:left="220" w:hanging="220"/>
    </w:pPr>
  </w:style>
  <w:style w:type="paragraph" w:styleId="EndnoteText">
    <w:name w:val="endnote text"/>
    <w:basedOn w:val="Normal"/>
    <w:link w:val="EndnoteTextChar"/>
    <w:uiPriority w:val="99"/>
    <w:semiHidden/>
    <w:unhideWhenUsed/>
    <w:rsid w:val="003B78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8C0"/>
    <w:rPr>
      <w:rFonts w:ascii="Times New Roman" w:hAnsi="Times New Roman"/>
      <w:sz w:val="20"/>
      <w:szCs w:val="20"/>
      <w:lang w:val="en-US"/>
    </w:rPr>
  </w:style>
  <w:style w:type="character" w:styleId="EndnoteReference">
    <w:name w:val="endnote reference"/>
    <w:basedOn w:val="DefaultParagraphFont"/>
    <w:uiPriority w:val="99"/>
    <w:semiHidden/>
    <w:unhideWhenUsed/>
    <w:rsid w:val="003B78C0"/>
    <w:rPr>
      <w:vertAlign w:val="superscript"/>
    </w:rPr>
  </w:style>
  <w:style w:type="character" w:styleId="PageNumber">
    <w:name w:val="page number"/>
    <w:basedOn w:val="DefaultParagraphFont"/>
    <w:uiPriority w:val="99"/>
    <w:semiHidden/>
    <w:unhideWhenUsed/>
    <w:rsid w:val="003B78C0"/>
  </w:style>
  <w:style w:type="character" w:styleId="LineNumber">
    <w:name w:val="line number"/>
    <w:basedOn w:val="DefaultParagraphFont"/>
    <w:uiPriority w:val="99"/>
    <w:semiHidden/>
    <w:unhideWhenUsed/>
    <w:rsid w:val="003B78C0"/>
  </w:style>
  <w:style w:type="character" w:styleId="CommentReference">
    <w:name w:val="annotation reference"/>
    <w:basedOn w:val="DefaultParagraphFont"/>
    <w:uiPriority w:val="99"/>
    <w:semiHidden/>
    <w:unhideWhenUsed/>
    <w:rsid w:val="003B78C0"/>
    <w:rPr>
      <w:sz w:val="16"/>
      <w:szCs w:val="16"/>
    </w:rPr>
  </w:style>
  <w:style w:type="character" w:styleId="FootnoteReference">
    <w:name w:val="footnote reference"/>
    <w:basedOn w:val="DefaultParagraphFont"/>
    <w:uiPriority w:val="99"/>
    <w:semiHidden/>
    <w:unhideWhenUsed/>
    <w:rsid w:val="003B78C0"/>
    <w:rPr>
      <w:vertAlign w:val="superscript"/>
    </w:rPr>
  </w:style>
  <w:style w:type="paragraph" w:styleId="EnvelopeReturn">
    <w:name w:val="envelope return"/>
    <w:basedOn w:val="Normal"/>
    <w:uiPriority w:val="99"/>
    <w:semiHidden/>
    <w:unhideWhenUsed/>
    <w:rsid w:val="003B78C0"/>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B78C0"/>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3B78C0"/>
    <w:pPr>
      <w:spacing w:after="0"/>
    </w:pPr>
  </w:style>
  <w:style w:type="paragraph" w:styleId="Caption">
    <w:name w:val="caption"/>
    <w:basedOn w:val="Normal"/>
    <w:next w:val="Normal"/>
    <w:uiPriority w:val="35"/>
    <w:unhideWhenUsed/>
    <w:qFormat/>
    <w:rsid w:val="003B78C0"/>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3B78C0"/>
    <w:pPr>
      <w:spacing w:after="0" w:line="240" w:lineRule="auto"/>
      <w:ind w:left="220" w:hanging="220"/>
    </w:pPr>
  </w:style>
  <w:style w:type="paragraph" w:styleId="IndexHeading">
    <w:name w:val="index heading"/>
    <w:basedOn w:val="Normal"/>
    <w:next w:val="Index1"/>
    <w:uiPriority w:val="99"/>
    <w:semiHidden/>
    <w:unhideWhenUsed/>
    <w:rsid w:val="003B78C0"/>
    <w:rPr>
      <w:rFonts w:asciiTheme="majorHAnsi" w:eastAsiaTheme="majorEastAsia" w:hAnsiTheme="majorHAnsi" w:cstheme="majorBidi"/>
      <w:b/>
      <w:bCs/>
    </w:rPr>
  </w:style>
  <w:style w:type="paragraph" w:styleId="Footer">
    <w:name w:val="footer"/>
    <w:basedOn w:val="Normal"/>
    <w:link w:val="FooterChar"/>
    <w:uiPriority w:val="99"/>
    <w:unhideWhenUsed/>
    <w:rsid w:val="003B78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78C0"/>
    <w:rPr>
      <w:rFonts w:ascii="Times New Roman" w:hAnsi="Times New Roman"/>
      <w:sz w:val="24"/>
      <w:lang w:val="en-US"/>
    </w:rPr>
  </w:style>
  <w:style w:type="paragraph" w:styleId="Header">
    <w:name w:val="header"/>
    <w:basedOn w:val="Normal"/>
    <w:link w:val="HeaderChar"/>
    <w:uiPriority w:val="99"/>
    <w:unhideWhenUsed/>
    <w:rsid w:val="003B78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78C0"/>
    <w:rPr>
      <w:rFonts w:ascii="Times New Roman" w:hAnsi="Times New Roman"/>
      <w:sz w:val="24"/>
      <w:lang w:val="en-US"/>
    </w:rPr>
  </w:style>
  <w:style w:type="paragraph" w:styleId="CommentText">
    <w:name w:val="annotation text"/>
    <w:basedOn w:val="Normal"/>
    <w:link w:val="CommentTextChar"/>
    <w:uiPriority w:val="99"/>
    <w:unhideWhenUsed/>
    <w:rsid w:val="003B78C0"/>
    <w:pPr>
      <w:spacing w:line="240" w:lineRule="auto"/>
    </w:pPr>
    <w:rPr>
      <w:sz w:val="20"/>
      <w:szCs w:val="20"/>
    </w:rPr>
  </w:style>
  <w:style w:type="character" w:customStyle="1" w:styleId="CommentTextChar">
    <w:name w:val="Comment Text Char"/>
    <w:basedOn w:val="DefaultParagraphFont"/>
    <w:link w:val="CommentText"/>
    <w:uiPriority w:val="99"/>
    <w:rsid w:val="003B78C0"/>
    <w:rPr>
      <w:rFonts w:ascii="Times New Roman" w:hAnsi="Times New Roman"/>
      <w:sz w:val="20"/>
      <w:szCs w:val="20"/>
      <w:lang w:val="en-US"/>
    </w:rPr>
  </w:style>
  <w:style w:type="paragraph" w:styleId="FootnoteText">
    <w:name w:val="footnote text"/>
    <w:basedOn w:val="Normal"/>
    <w:link w:val="FootnoteTextChar"/>
    <w:uiPriority w:val="99"/>
    <w:semiHidden/>
    <w:unhideWhenUsed/>
    <w:rsid w:val="003B78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8C0"/>
    <w:rPr>
      <w:rFonts w:ascii="Times New Roman" w:hAnsi="Times New Roman"/>
      <w:sz w:val="20"/>
      <w:szCs w:val="20"/>
      <w:lang w:val="en-US"/>
    </w:rPr>
  </w:style>
  <w:style w:type="paragraph" w:styleId="NormalIndent">
    <w:name w:val="Normal Indent"/>
    <w:basedOn w:val="Normal"/>
    <w:uiPriority w:val="99"/>
    <w:semiHidden/>
    <w:unhideWhenUsed/>
    <w:rsid w:val="003B78C0"/>
    <w:pPr>
      <w:ind w:left="708"/>
    </w:pPr>
  </w:style>
  <w:style w:type="paragraph" w:styleId="TOC9">
    <w:name w:val="toc 9"/>
    <w:basedOn w:val="Normal"/>
    <w:next w:val="Normal"/>
    <w:autoRedefine/>
    <w:uiPriority w:val="39"/>
    <w:semiHidden/>
    <w:unhideWhenUsed/>
    <w:rsid w:val="003B78C0"/>
    <w:pPr>
      <w:spacing w:after="100"/>
      <w:ind w:left="1760"/>
    </w:pPr>
  </w:style>
  <w:style w:type="paragraph" w:styleId="TOC8">
    <w:name w:val="toc 8"/>
    <w:basedOn w:val="Normal"/>
    <w:next w:val="Normal"/>
    <w:autoRedefine/>
    <w:uiPriority w:val="39"/>
    <w:semiHidden/>
    <w:unhideWhenUsed/>
    <w:rsid w:val="003B78C0"/>
    <w:pPr>
      <w:spacing w:after="100"/>
      <w:ind w:left="1540"/>
    </w:pPr>
  </w:style>
  <w:style w:type="paragraph" w:styleId="TOC7">
    <w:name w:val="toc 7"/>
    <w:basedOn w:val="Normal"/>
    <w:next w:val="Normal"/>
    <w:autoRedefine/>
    <w:uiPriority w:val="39"/>
    <w:semiHidden/>
    <w:unhideWhenUsed/>
    <w:rsid w:val="003B78C0"/>
    <w:pPr>
      <w:spacing w:after="100"/>
      <w:ind w:left="1320"/>
    </w:pPr>
  </w:style>
  <w:style w:type="paragraph" w:styleId="TOC6">
    <w:name w:val="toc 6"/>
    <w:basedOn w:val="Normal"/>
    <w:next w:val="Normal"/>
    <w:autoRedefine/>
    <w:uiPriority w:val="39"/>
    <w:semiHidden/>
    <w:unhideWhenUsed/>
    <w:rsid w:val="003B78C0"/>
    <w:pPr>
      <w:spacing w:after="100"/>
      <w:ind w:left="1100"/>
    </w:pPr>
  </w:style>
  <w:style w:type="paragraph" w:styleId="TOC5">
    <w:name w:val="toc 5"/>
    <w:basedOn w:val="Normal"/>
    <w:next w:val="Normal"/>
    <w:autoRedefine/>
    <w:uiPriority w:val="39"/>
    <w:semiHidden/>
    <w:unhideWhenUsed/>
    <w:rsid w:val="003B78C0"/>
    <w:pPr>
      <w:spacing w:after="100"/>
      <w:ind w:left="880"/>
    </w:pPr>
  </w:style>
  <w:style w:type="paragraph" w:styleId="TOC4">
    <w:name w:val="toc 4"/>
    <w:basedOn w:val="Normal"/>
    <w:next w:val="Normal"/>
    <w:autoRedefine/>
    <w:uiPriority w:val="39"/>
    <w:semiHidden/>
    <w:unhideWhenUsed/>
    <w:rsid w:val="003B78C0"/>
    <w:pPr>
      <w:spacing w:after="100"/>
      <w:ind w:left="660"/>
    </w:pPr>
  </w:style>
  <w:style w:type="paragraph" w:styleId="TOC3">
    <w:name w:val="toc 3"/>
    <w:basedOn w:val="Normal"/>
    <w:next w:val="Normal"/>
    <w:autoRedefine/>
    <w:uiPriority w:val="39"/>
    <w:semiHidden/>
    <w:unhideWhenUsed/>
    <w:rsid w:val="003B78C0"/>
    <w:pPr>
      <w:spacing w:after="100"/>
      <w:ind w:left="440"/>
    </w:pPr>
  </w:style>
  <w:style w:type="paragraph" w:styleId="TOC2">
    <w:name w:val="toc 2"/>
    <w:basedOn w:val="Normal"/>
    <w:next w:val="Normal"/>
    <w:autoRedefine/>
    <w:uiPriority w:val="39"/>
    <w:unhideWhenUsed/>
    <w:rsid w:val="003B78C0"/>
    <w:pPr>
      <w:spacing w:after="100"/>
      <w:ind w:left="220"/>
    </w:pPr>
  </w:style>
  <w:style w:type="paragraph" w:styleId="TOC1">
    <w:name w:val="toc 1"/>
    <w:basedOn w:val="Normal"/>
    <w:next w:val="Normal"/>
    <w:autoRedefine/>
    <w:uiPriority w:val="39"/>
    <w:unhideWhenUsed/>
    <w:rsid w:val="003B78C0"/>
    <w:pPr>
      <w:spacing w:after="100"/>
    </w:pPr>
  </w:style>
  <w:style w:type="paragraph" w:styleId="Index9">
    <w:name w:val="index 9"/>
    <w:basedOn w:val="Normal"/>
    <w:next w:val="Normal"/>
    <w:autoRedefine/>
    <w:uiPriority w:val="99"/>
    <w:semiHidden/>
    <w:unhideWhenUsed/>
    <w:rsid w:val="003B78C0"/>
    <w:pPr>
      <w:spacing w:after="0" w:line="240" w:lineRule="auto"/>
      <w:ind w:left="1980" w:hanging="220"/>
    </w:pPr>
  </w:style>
  <w:style w:type="paragraph" w:styleId="Index8">
    <w:name w:val="index 8"/>
    <w:basedOn w:val="Normal"/>
    <w:next w:val="Normal"/>
    <w:autoRedefine/>
    <w:uiPriority w:val="99"/>
    <w:semiHidden/>
    <w:unhideWhenUsed/>
    <w:rsid w:val="003B78C0"/>
    <w:pPr>
      <w:spacing w:after="0" w:line="240" w:lineRule="auto"/>
      <w:ind w:left="1760" w:hanging="220"/>
    </w:pPr>
  </w:style>
  <w:style w:type="paragraph" w:styleId="Index7">
    <w:name w:val="index 7"/>
    <w:basedOn w:val="Normal"/>
    <w:next w:val="Normal"/>
    <w:autoRedefine/>
    <w:uiPriority w:val="99"/>
    <w:semiHidden/>
    <w:unhideWhenUsed/>
    <w:rsid w:val="003B78C0"/>
    <w:pPr>
      <w:spacing w:after="0" w:line="240" w:lineRule="auto"/>
      <w:ind w:left="1540" w:hanging="220"/>
    </w:pPr>
  </w:style>
  <w:style w:type="paragraph" w:styleId="Index6">
    <w:name w:val="index 6"/>
    <w:basedOn w:val="Normal"/>
    <w:next w:val="Normal"/>
    <w:autoRedefine/>
    <w:uiPriority w:val="99"/>
    <w:semiHidden/>
    <w:unhideWhenUsed/>
    <w:rsid w:val="003B78C0"/>
    <w:pPr>
      <w:spacing w:after="0" w:line="240" w:lineRule="auto"/>
      <w:ind w:left="1320" w:hanging="220"/>
    </w:pPr>
  </w:style>
  <w:style w:type="paragraph" w:styleId="Index5">
    <w:name w:val="index 5"/>
    <w:basedOn w:val="Normal"/>
    <w:next w:val="Normal"/>
    <w:autoRedefine/>
    <w:uiPriority w:val="99"/>
    <w:semiHidden/>
    <w:unhideWhenUsed/>
    <w:rsid w:val="003B78C0"/>
    <w:pPr>
      <w:spacing w:after="0" w:line="240" w:lineRule="auto"/>
      <w:ind w:left="1100" w:hanging="220"/>
    </w:pPr>
  </w:style>
  <w:style w:type="paragraph" w:styleId="Index4">
    <w:name w:val="index 4"/>
    <w:basedOn w:val="Normal"/>
    <w:next w:val="Normal"/>
    <w:autoRedefine/>
    <w:uiPriority w:val="99"/>
    <w:semiHidden/>
    <w:unhideWhenUsed/>
    <w:rsid w:val="003B78C0"/>
    <w:pPr>
      <w:spacing w:after="0" w:line="240" w:lineRule="auto"/>
      <w:ind w:left="880" w:hanging="220"/>
    </w:pPr>
  </w:style>
  <w:style w:type="paragraph" w:styleId="Index3">
    <w:name w:val="index 3"/>
    <w:basedOn w:val="Normal"/>
    <w:next w:val="Normal"/>
    <w:autoRedefine/>
    <w:uiPriority w:val="99"/>
    <w:semiHidden/>
    <w:unhideWhenUsed/>
    <w:rsid w:val="003B78C0"/>
    <w:pPr>
      <w:spacing w:after="0" w:line="240" w:lineRule="auto"/>
      <w:ind w:left="660" w:hanging="220"/>
    </w:pPr>
  </w:style>
  <w:style w:type="paragraph" w:styleId="Index2">
    <w:name w:val="index 2"/>
    <w:basedOn w:val="Normal"/>
    <w:next w:val="Normal"/>
    <w:autoRedefine/>
    <w:uiPriority w:val="99"/>
    <w:semiHidden/>
    <w:unhideWhenUsed/>
    <w:rsid w:val="003B78C0"/>
    <w:pPr>
      <w:spacing w:after="0" w:line="240" w:lineRule="auto"/>
      <w:ind w:left="440" w:hanging="220"/>
    </w:pPr>
  </w:style>
  <w:style w:type="character" w:customStyle="1" w:styleId="UnresolvedMention">
    <w:name w:val="Unresolved Mention"/>
    <w:basedOn w:val="DefaultParagraphFont"/>
    <w:uiPriority w:val="99"/>
    <w:semiHidden/>
    <w:unhideWhenUsed/>
    <w:rsid w:val="003B78C0"/>
    <w:rPr>
      <w:color w:val="605E5C"/>
      <w:shd w:val="clear" w:color="auto" w:fill="E1DFDD"/>
    </w:rPr>
  </w:style>
  <w:style w:type="table" w:styleId="TableGrid">
    <w:name w:val="Table Grid"/>
    <w:basedOn w:val="TableNormal"/>
    <w:uiPriority w:val="39"/>
    <w:rsid w:val="003B78C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B78C0"/>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78C0"/>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B78C0"/>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3B78C0"/>
    <w:pPr>
      <w:spacing w:before="100" w:beforeAutospacing="1" w:after="100" w:afterAutospacing="1" w:line="240" w:lineRule="auto"/>
    </w:pPr>
    <w:rPr>
      <w:rFonts w:eastAsia="Times New Roman" w:cs="Times New Roman"/>
      <w:szCs w:val="24"/>
      <w:lang w:eastAsia="de-DE"/>
    </w:rPr>
  </w:style>
  <w:style w:type="paragraph" w:customStyle="1" w:styleId="xl63">
    <w:name w:val="xl63"/>
    <w:basedOn w:val="Normal"/>
    <w:rsid w:val="003B78C0"/>
    <w:pPr>
      <w:spacing w:before="100" w:beforeAutospacing="1" w:after="100" w:afterAutospacing="1" w:line="240" w:lineRule="auto"/>
    </w:pPr>
    <w:rPr>
      <w:rFonts w:ascii="Arial" w:eastAsia="Times New Roman" w:hAnsi="Arial" w:cs="Arial"/>
      <w:szCs w:val="24"/>
      <w:lang w:eastAsia="de-DE"/>
    </w:rPr>
  </w:style>
  <w:style w:type="paragraph" w:customStyle="1" w:styleId="xl64">
    <w:name w:val="xl64"/>
    <w:basedOn w:val="Normal"/>
    <w:rsid w:val="003B78C0"/>
    <w:pPr>
      <w:spacing w:before="100" w:beforeAutospacing="1" w:after="100" w:afterAutospacing="1" w:line="240" w:lineRule="auto"/>
    </w:pPr>
    <w:rPr>
      <w:rFonts w:eastAsia="Times New Roman" w:cs="Times New Roman"/>
      <w:szCs w:val="24"/>
      <w:lang w:eastAsia="de-DE"/>
    </w:rPr>
  </w:style>
  <w:style w:type="paragraph" w:customStyle="1" w:styleId="xl65">
    <w:name w:val="xl65"/>
    <w:basedOn w:val="Normal"/>
    <w:rsid w:val="003B78C0"/>
    <w:pPr>
      <w:spacing w:before="100" w:beforeAutospacing="1" w:after="100" w:afterAutospacing="1" w:line="240" w:lineRule="auto"/>
    </w:pPr>
    <w:rPr>
      <w:rFonts w:ascii="Arial" w:eastAsia="Times New Roman" w:hAnsi="Arial" w:cs="Arial"/>
      <w:szCs w:val="24"/>
      <w:lang w:eastAsia="de-DE"/>
    </w:rPr>
  </w:style>
  <w:style w:type="paragraph" w:customStyle="1" w:styleId="xl66">
    <w:name w:val="xl66"/>
    <w:basedOn w:val="Normal"/>
    <w:rsid w:val="003B78C0"/>
    <w:pPr>
      <w:spacing w:before="100" w:beforeAutospacing="1" w:after="100" w:afterAutospacing="1" w:line="240" w:lineRule="auto"/>
    </w:pPr>
    <w:rPr>
      <w:rFonts w:ascii="Arial" w:eastAsia="Times New Roman" w:hAnsi="Arial" w:cs="Arial"/>
      <w:lang w:eastAsia="de-DE"/>
    </w:rPr>
  </w:style>
  <w:style w:type="paragraph" w:customStyle="1" w:styleId="xl67">
    <w:name w:val="xl67"/>
    <w:basedOn w:val="Normal"/>
    <w:rsid w:val="003B78C0"/>
    <w:pPr>
      <w:spacing w:before="100" w:beforeAutospacing="1" w:after="100" w:afterAutospacing="1" w:line="240" w:lineRule="auto"/>
      <w:textAlignment w:val="top"/>
    </w:pPr>
    <w:rPr>
      <w:rFonts w:ascii="Arial" w:eastAsia="Times New Roman" w:hAnsi="Arial" w:cs="Arial"/>
      <w:lang w:eastAsia="de-DE"/>
    </w:rPr>
  </w:style>
  <w:style w:type="paragraph" w:customStyle="1" w:styleId="xl68">
    <w:name w:val="xl68"/>
    <w:basedOn w:val="Normal"/>
    <w:rsid w:val="003B78C0"/>
    <w:pPr>
      <w:spacing w:before="100" w:beforeAutospacing="1" w:after="100" w:afterAutospacing="1" w:line="240" w:lineRule="auto"/>
    </w:pPr>
    <w:rPr>
      <w:rFonts w:ascii="Arial" w:eastAsia="Times New Roman" w:hAnsi="Arial" w:cs="Arial"/>
      <w:sz w:val="18"/>
      <w:szCs w:val="18"/>
      <w:lang w:eastAsia="de-DE"/>
    </w:rPr>
  </w:style>
  <w:style w:type="paragraph" w:styleId="BalloonText">
    <w:name w:val="Balloon Text"/>
    <w:basedOn w:val="Normal"/>
    <w:link w:val="BalloonTextChar"/>
    <w:uiPriority w:val="99"/>
    <w:semiHidden/>
    <w:unhideWhenUsed/>
    <w:rsid w:val="003B78C0"/>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B78C0"/>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3B78C0"/>
    <w:rPr>
      <w:b/>
      <w:bCs/>
    </w:rPr>
  </w:style>
  <w:style w:type="character" w:customStyle="1" w:styleId="CommentSubjectChar">
    <w:name w:val="Comment Subject Char"/>
    <w:basedOn w:val="CommentTextChar"/>
    <w:link w:val="CommentSubject"/>
    <w:uiPriority w:val="99"/>
    <w:semiHidden/>
    <w:rsid w:val="003B78C0"/>
    <w:rPr>
      <w:rFonts w:ascii="Times New Roman" w:hAnsi="Times New Roman"/>
      <w:b/>
      <w:bCs/>
      <w:sz w:val="20"/>
      <w:szCs w:val="20"/>
      <w:lang w:val="en-US"/>
    </w:rPr>
  </w:style>
  <w:style w:type="paragraph" w:customStyle="1" w:styleId="Headline">
    <w:name w:val="Headline"/>
    <w:basedOn w:val="Normal"/>
    <w:next w:val="BlockText"/>
    <w:uiPriority w:val="99"/>
    <w:rsid w:val="003B78C0"/>
    <w:pPr>
      <w:spacing w:after="0" w:line="240" w:lineRule="auto"/>
    </w:pPr>
    <w:rPr>
      <w:rFonts w:ascii="AvantGarde Bk BT" w:eastAsia="Times New Roman" w:hAnsi="AvantGarde Bk BT" w:cs="Times New Roman"/>
      <w:szCs w:val="24"/>
      <w:lang w:eastAsia="de-DE"/>
    </w:rPr>
  </w:style>
  <w:style w:type="paragraph" w:styleId="Revision">
    <w:name w:val="Revision"/>
    <w:hidden/>
    <w:uiPriority w:val="99"/>
    <w:semiHidden/>
    <w:rsid w:val="003B78C0"/>
    <w:pPr>
      <w:spacing w:after="0" w:line="240" w:lineRule="auto"/>
    </w:pPr>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19116</Words>
  <Characters>108966</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Miles Lambert</cp:lastModifiedBy>
  <cp:revision>1</cp:revision>
  <dcterms:created xsi:type="dcterms:W3CDTF">2021-10-12T08:57:00Z</dcterms:created>
  <dcterms:modified xsi:type="dcterms:W3CDTF">2021-10-12T08:57:00Z</dcterms:modified>
</cp:coreProperties>
</file>