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DEB" w:rsidRPr="002012BC" w:rsidRDefault="00E53DEB" w:rsidP="00E53DEB">
      <w:pPr>
        <w:spacing w:after="96"/>
        <w:rPr>
          <w:rFonts w:ascii="Times New Roman" w:hAnsi="Times New Roman" w:cs="Times New Roman"/>
          <w:color w:val="auto"/>
        </w:rPr>
      </w:pPr>
      <w:r w:rsidRPr="002012BC">
        <w:rPr>
          <w:rFonts w:ascii="Times New Roman" w:hAnsi="Times New Roman" w:cs="Times New Roman"/>
          <w:b/>
          <w:color w:val="auto"/>
          <w:sz w:val="20"/>
        </w:rPr>
        <w:t>9. Supplementary Material</w:t>
      </w:r>
    </w:p>
    <w:p w:rsidR="00E53DEB" w:rsidRPr="002012BC" w:rsidRDefault="00E53DEB" w:rsidP="00E53DEB">
      <w:pPr>
        <w:pStyle w:val="Heading2"/>
        <w:ind w:left="-5"/>
        <w:rPr>
          <w:rFonts w:ascii="Times New Roman" w:hAnsi="Times New Roman" w:cs="Times New Roman"/>
          <w:color w:val="auto"/>
        </w:rPr>
      </w:pPr>
      <w:r w:rsidRPr="002012BC">
        <w:rPr>
          <w:rFonts w:ascii="Times New Roman" w:hAnsi="Times New Roman" w:cs="Times New Roman"/>
          <w:color w:val="auto"/>
        </w:rPr>
        <w:t>9.1. Literature Review</w:t>
      </w:r>
    </w:p>
    <w:p w:rsidR="00E53DEB" w:rsidRPr="002012BC" w:rsidRDefault="00E53DEB" w:rsidP="00E53DEB">
      <w:pPr>
        <w:spacing w:after="5" w:line="248" w:lineRule="auto"/>
        <w:ind w:right="-15" w:hanging="10"/>
        <w:jc w:val="both"/>
        <w:rPr>
          <w:rFonts w:ascii="Times New Roman" w:hAnsi="Times New Roman" w:cs="Times New Roman"/>
          <w:color w:val="auto"/>
        </w:rPr>
      </w:pPr>
      <w:r w:rsidRPr="002012BC">
        <w:rPr>
          <w:rFonts w:ascii="Times New Roman" w:hAnsi="Times New Roman" w:cs="Times New Roman"/>
          <w:color w:val="auto"/>
          <w:sz w:val="20"/>
        </w:rPr>
        <w:t xml:space="preserve">This literature review explores existing research to understand compliance theories, identify their limitations, and inform the theoretical framework of this study. Etienne (2010) defines compliance as the "acquiescence to expectations that can take a range of forms: rules, standards, proposals, entreaties, orders, [and] suggestions." Most notably, Kagan and </w:t>
      </w:r>
      <w:proofErr w:type="spellStart"/>
      <w:r w:rsidRPr="002012BC">
        <w:rPr>
          <w:rFonts w:ascii="Times New Roman" w:hAnsi="Times New Roman" w:cs="Times New Roman"/>
          <w:color w:val="auto"/>
          <w:sz w:val="20"/>
        </w:rPr>
        <w:t>Scholz</w:t>
      </w:r>
      <w:proofErr w:type="spellEnd"/>
      <w:r w:rsidRPr="002012BC">
        <w:rPr>
          <w:rFonts w:ascii="Times New Roman" w:hAnsi="Times New Roman" w:cs="Times New Roman"/>
          <w:color w:val="auto"/>
          <w:sz w:val="20"/>
        </w:rPr>
        <w:t xml:space="preserve"> (1980) present three basic typologies of compliance: 1) The amoral calculator, 2) The political citizen, and 3) The incompetent. The amoral calculator, driven by economic utility, weighs the benefits of illegal actions against their costs. Political citizens, motivated by social norms and duty, adhere to laws they perceive as morally right. Incompetent </w:t>
      </w:r>
      <w:proofErr w:type="spellStart"/>
      <w:r w:rsidRPr="002012BC">
        <w:rPr>
          <w:rFonts w:ascii="Times New Roman" w:hAnsi="Times New Roman" w:cs="Times New Roman"/>
          <w:color w:val="auto"/>
          <w:sz w:val="20"/>
        </w:rPr>
        <w:t>inspectees</w:t>
      </w:r>
      <w:proofErr w:type="spellEnd"/>
      <w:r w:rsidRPr="002012BC">
        <w:rPr>
          <w:rFonts w:ascii="Times New Roman" w:hAnsi="Times New Roman" w:cs="Times New Roman"/>
          <w:color w:val="auto"/>
          <w:sz w:val="20"/>
        </w:rPr>
        <w:t xml:space="preserve"> lack the capacity to recognize legal violations due to organizational ineptitude or conflicting goals within their organizations.</w:t>
      </w:r>
    </w:p>
    <w:p w:rsidR="00E53DEB" w:rsidRPr="002012BC" w:rsidRDefault="00E53DEB" w:rsidP="00E53DEB">
      <w:pPr>
        <w:spacing w:after="5" w:line="248" w:lineRule="auto"/>
        <w:ind w:left="-10" w:right="-15" w:firstLine="239"/>
        <w:jc w:val="both"/>
        <w:rPr>
          <w:rFonts w:ascii="Times New Roman" w:hAnsi="Times New Roman" w:cs="Times New Roman"/>
          <w:color w:val="auto"/>
        </w:rPr>
      </w:pPr>
      <w:r w:rsidRPr="002012BC">
        <w:rPr>
          <w:rFonts w:ascii="Times New Roman" w:hAnsi="Times New Roman" w:cs="Times New Roman"/>
          <w:color w:val="auto"/>
          <w:sz w:val="20"/>
        </w:rPr>
        <w:t xml:space="preserve">The essence of these three typologies </w:t>
      </w:r>
      <w:proofErr w:type="gramStart"/>
      <w:r w:rsidRPr="002012BC">
        <w:rPr>
          <w:rFonts w:ascii="Times New Roman" w:hAnsi="Times New Roman" w:cs="Times New Roman"/>
          <w:color w:val="auto"/>
          <w:sz w:val="20"/>
        </w:rPr>
        <w:t>is cited and discussed extensively in other research</w:t>
      </w:r>
      <w:proofErr w:type="gramEnd"/>
      <w:r w:rsidRPr="002012BC">
        <w:rPr>
          <w:rFonts w:ascii="Times New Roman" w:hAnsi="Times New Roman" w:cs="Times New Roman"/>
          <w:color w:val="auto"/>
          <w:sz w:val="20"/>
        </w:rPr>
        <w:t xml:space="preserve">. To illustrate, Becker (1968) examines a utilitarian, </w:t>
      </w:r>
      <w:proofErr w:type="gramStart"/>
      <w:r w:rsidRPr="002012BC">
        <w:rPr>
          <w:rFonts w:ascii="Times New Roman" w:hAnsi="Times New Roman" w:cs="Times New Roman"/>
          <w:color w:val="auto"/>
          <w:sz w:val="20"/>
        </w:rPr>
        <w:t>economically-driven</w:t>
      </w:r>
      <w:proofErr w:type="gramEnd"/>
      <w:r w:rsidRPr="002012BC">
        <w:rPr>
          <w:rFonts w:ascii="Times New Roman" w:hAnsi="Times New Roman" w:cs="Times New Roman"/>
          <w:color w:val="auto"/>
          <w:sz w:val="20"/>
        </w:rPr>
        <w:t xml:space="preserve"> theory of </w:t>
      </w:r>
      <w:proofErr w:type="spellStart"/>
      <w:r w:rsidRPr="002012BC">
        <w:rPr>
          <w:rFonts w:ascii="Times New Roman" w:hAnsi="Times New Roman" w:cs="Times New Roman"/>
          <w:color w:val="auto"/>
          <w:sz w:val="20"/>
        </w:rPr>
        <w:t>inspectees</w:t>
      </w:r>
      <w:proofErr w:type="spellEnd"/>
      <w:r w:rsidRPr="002012BC">
        <w:rPr>
          <w:rFonts w:ascii="Times New Roman" w:hAnsi="Times New Roman" w:cs="Times New Roman"/>
          <w:color w:val="auto"/>
          <w:sz w:val="20"/>
        </w:rPr>
        <w:t xml:space="preserve">’ motivation, proposing that economically driven </w:t>
      </w:r>
      <w:proofErr w:type="spellStart"/>
      <w:r w:rsidRPr="002012BC">
        <w:rPr>
          <w:rFonts w:ascii="Times New Roman" w:hAnsi="Times New Roman" w:cs="Times New Roman"/>
          <w:color w:val="auto"/>
          <w:sz w:val="20"/>
        </w:rPr>
        <w:t>inspectees</w:t>
      </w:r>
      <w:proofErr w:type="spellEnd"/>
      <w:r w:rsidRPr="002012BC">
        <w:rPr>
          <w:rFonts w:ascii="Times New Roman" w:hAnsi="Times New Roman" w:cs="Times New Roman"/>
          <w:color w:val="auto"/>
          <w:sz w:val="20"/>
        </w:rPr>
        <w:t xml:space="preserve"> choose illegal action over other alternatives if the economic utility of committing a crime is greater than its costs. Amoral calculators are economical, self-interested actors, driven by what May (2005) and Mitchell (2007) refer to as the </w:t>
      </w:r>
      <w:r w:rsidRPr="002012BC">
        <w:rPr>
          <w:rFonts w:ascii="Times New Roman" w:hAnsi="Times New Roman" w:cs="Times New Roman"/>
          <w:i/>
          <w:color w:val="auto"/>
          <w:sz w:val="20"/>
        </w:rPr>
        <w:t>logic of consequence</w:t>
      </w:r>
      <w:r w:rsidRPr="002012BC">
        <w:rPr>
          <w:rFonts w:ascii="Times New Roman" w:hAnsi="Times New Roman" w:cs="Times New Roman"/>
          <w:color w:val="auto"/>
          <w:sz w:val="20"/>
        </w:rPr>
        <w:t xml:space="preserve">. With this logic, </w:t>
      </w:r>
      <w:proofErr w:type="spellStart"/>
      <w:r w:rsidRPr="002012BC">
        <w:rPr>
          <w:rFonts w:ascii="Times New Roman" w:hAnsi="Times New Roman" w:cs="Times New Roman"/>
          <w:color w:val="auto"/>
          <w:sz w:val="20"/>
        </w:rPr>
        <w:t>inspectees</w:t>
      </w:r>
      <w:proofErr w:type="spellEnd"/>
      <w:r w:rsidRPr="002012BC">
        <w:rPr>
          <w:rFonts w:ascii="Times New Roman" w:hAnsi="Times New Roman" w:cs="Times New Roman"/>
          <w:color w:val="auto"/>
          <w:sz w:val="20"/>
        </w:rPr>
        <w:t xml:space="preserve"> make decisions based on explicit calculations of how the consequences of the decision will affect their interests. This typology has been widely used in later studies to model </w:t>
      </w:r>
      <w:proofErr w:type="spellStart"/>
      <w:r w:rsidRPr="002012BC">
        <w:rPr>
          <w:rFonts w:ascii="Times New Roman" w:hAnsi="Times New Roman" w:cs="Times New Roman"/>
          <w:color w:val="auto"/>
          <w:sz w:val="20"/>
        </w:rPr>
        <w:t>inspectees</w:t>
      </w:r>
      <w:proofErr w:type="spellEnd"/>
      <w:r w:rsidRPr="002012BC">
        <w:rPr>
          <w:rFonts w:ascii="Times New Roman" w:hAnsi="Times New Roman" w:cs="Times New Roman"/>
          <w:color w:val="auto"/>
          <w:sz w:val="20"/>
        </w:rPr>
        <w:t xml:space="preserve">’ behavior (see examples in Stigler, 1970; Becker and Stigler, 1974; and </w:t>
      </w:r>
      <w:proofErr w:type="gramStart"/>
      <w:r w:rsidRPr="002012BC">
        <w:rPr>
          <w:rFonts w:ascii="Times New Roman" w:hAnsi="Times New Roman" w:cs="Times New Roman"/>
          <w:color w:val="auto"/>
          <w:sz w:val="20"/>
        </w:rPr>
        <w:t>May,</w:t>
      </w:r>
      <w:proofErr w:type="gramEnd"/>
      <w:r w:rsidRPr="002012BC">
        <w:rPr>
          <w:rFonts w:ascii="Times New Roman" w:hAnsi="Times New Roman" w:cs="Times New Roman"/>
          <w:color w:val="auto"/>
          <w:sz w:val="20"/>
        </w:rPr>
        <w:t xml:space="preserve"> 2005).</w:t>
      </w:r>
    </w:p>
    <w:p w:rsidR="00E53DEB" w:rsidRPr="002012BC" w:rsidRDefault="00E53DEB" w:rsidP="00E53DEB">
      <w:pPr>
        <w:spacing w:after="5" w:line="248" w:lineRule="auto"/>
        <w:ind w:left="-10" w:right="-15" w:firstLine="239"/>
        <w:jc w:val="both"/>
        <w:rPr>
          <w:rFonts w:ascii="Times New Roman" w:hAnsi="Times New Roman" w:cs="Times New Roman"/>
          <w:color w:val="auto"/>
        </w:rPr>
      </w:pPr>
      <w:r w:rsidRPr="002012BC">
        <w:rPr>
          <w:rFonts w:ascii="Times New Roman" w:hAnsi="Times New Roman" w:cs="Times New Roman"/>
          <w:color w:val="auto"/>
          <w:sz w:val="20"/>
        </w:rPr>
        <w:t xml:space="preserve">The political citizen, as described by Mitchell (2007), embodies what he terms the </w:t>
      </w:r>
      <w:r w:rsidRPr="002012BC">
        <w:rPr>
          <w:rFonts w:ascii="Times New Roman" w:hAnsi="Times New Roman" w:cs="Times New Roman"/>
          <w:i/>
          <w:color w:val="auto"/>
          <w:sz w:val="20"/>
        </w:rPr>
        <w:t>logic of appropriateness</w:t>
      </w:r>
      <w:r w:rsidRPr="002012BC">
        <w:rPr>
          <w:rFonts w:ascii="Times New Roman" w:hAnsi="Times New Roman" w:cs="Times New Roman"/>
          <w:color w:val="auto"/>
          <w:sz w:val="20"/>
        </w:rPr>
        <w:t xml:space="preserve">. Such </w:t>
      </w:r>
      <w:proofErr w:type="spellStart"/>
      <w:r w:rsidRPr="002012BC">
        <w:rPr>
          <w:rFonts w:ascii="Times New Roman" w:hAnsi="Times New Roman" w:cs="Times New Roman"/>
          <w:color w:val="auto"/>
          <w:sz w:val="20"/>
        </w:rPr>
        <w:t>inspectees</w:t>
      </w:r>
      <w:proofErr w:type="spellEnd"/>
      <w:r w:rsidRPr="002012BC">
        <w:rPr>
          <w:rFonts w:ascii="Times New Roman" w:hAnsi="Times New Roman" w:cs="Times New Roman"/>
          <w:color w:val="auto"/>
          <w:sz w:val="20"/>
        </w:rPr>
        <w:t xml:space="preserve"> </w:t>
      </w:r>
      <w:proofErr w:type="gramStart"/>
      <w:r w:rsidRPr="002012BC">
        <w:rPr>
          <w:rFonts w:ascii="Times New Roman" w:hAnsi="Times New Roman" w:cs="Times New Roman"/>
          <w:color w:val="auto"/>
          <w:sz w:val="20"/>
        </w:rPr>
        <w:t>are guided</w:t>
      </w:r>
      <w:proofErr w:type="gramEnd"/>
      <w:r w:rsidRPr="002012BC">
        <w:rPr>
          <w:rFonts w:ascii="Times New Roman" w:hAnsi="Times New Roman" w:cs="Times New Roman"/>
          <w:color w:val="auto"/>
          <w:sz w:val="20"/>
        </w:rPr>
        <w:t xml:space="preserve"> by internalized social norms, asking themselves, "What is the </w:t>
      </w:r>
      <w:r w:rsidRPr="002012BC">
        <w:rPr>
          <w:rFonts w:ascii="Times New Roman" w:hAnsi="Times New Roman" w:cs="Times New Roman"/>
          <w:i/>
          <w:color w:val="auto"/>
          <w:sz w:val="20"/>
        </w:rPr>
        <w:t xml:space="preserve">right </w:t>
      </w:r>
      <w:r w:rsidRPr="002012BC">
        <w:rPr>
          <w:rFonts w:ascii="Times New Roman" w:hAnsi="Times New Roman" w:cs="Times New Roman"/>
          <w:color w:val="auto"/>
          <w:sz w:val="20"/>
        </w:rPr>
        <w:t>thing to do in this situation for someone like me?" (Mitchell, 2007). They feel a duty to adhere to norms and may be motivated by a belief in the legitimacy of authority or by personal ethical standards (Tyler, 1990). Essentially, political citizens obey laws because they perceive them as morally upright social norms.</w:t>
      </w:r>
    </w:p>
    <w:p w:rsidR="00E53DEB" w:rsidRPr="002012BC" w:rsidRDefault="00E53DEB" w:rsidP="00E53DEB">
      <w:pPr>
        <w:spacing w:after="5" w:line="248" w:lineRule="auto"/>
        <w:ind w:left="-10" w:right="-15" w:firstLine="239"/>
        <w:jc w:val="both"/>
        <w:rPr>
          <w:rFonts w:ascii="Times New Roman" w:hAnsi="Times New Roman" w:cs="Times New Roman"/>
          <w:color w:val="auto"/>
        </w:rPr>
      </w:pPr>
      <w:r w:rsidRPr="002012BC">
        <w:rPr>
          <w:rFonts w:ascii="Times New Roman" w:hAnsi="Times New Roman" w:cs="Times New Roman"/>
          <w:color w:val="auto"/>
          <w:sz w:val="20"/>
        </w:rPr>
        <w:t xml:space="preserve">The incompetent typology of compliance refers to </w:t>
      </w:r>
      <w:proofErr w:type="spellStart"/>
      <w:r w:rsidRPr="002012BC">
        <w:rPr>
          <w:rFonts w:ascii="Times New Roman" w:hAnsi="Times New Roman" w:cs="Times New Roman"/>
          <w:color w:val="auto"/>
          <w:sz w:val="20"/>
        </w:rPr>
        <w:t>inspectees</w:t>
      </w:r>
      <w:proofErr w:type="spellEnd"/>
      <w:r w:rsidRPr="002012BC">
        <w:rPr>
          <w:rFonts w:ascii="Times New Roman" w:hAnsi="Times New Roman" w:cs="Times New Roman"/>
          <w:color w:val="auto"/>
          <w:sz w:val="20"/>
        </w:rPr>
        <w:t xml:space="preserve"> whose actions stem from a lack of capacity or competence to recognize legal violations. Van </w:t>
      </w:r>
      <w:proofErr w:type="spellStart"/>
      <w:r w:rsidRPr="002012BC">
        <w:rPr>
          <w:rFonts w:ascii="Times New Roman" w:hAnsi="Times New Roman" w:cs="Times New Roman"/>
          <w:color w:val="auto"/>
          <w:sz w:val="20"/>
        </w:rPr>
        <w:t>Snellenberg</w:t>
      </w:r>
      <w:proofErr w:type="spellEnd"/>
      <w:r w:rsidRPr="002012BC">
        <w:rPr>
          <w:rFonts w:ascii="Times New Roman" w:hAnsi="Times New Roman" w:cs="Times New Roman"/>
          <w:color w:val="auto"/>
          <w:sz w:val="20"/>
        </w:rPr>
        <w:t xml:space="preserve"> and Van de </w:t>
      </w:r>
      <w:proofErr w:type="spellStart"/>
      <w:r w:rsidRPr="002012BC">
        <w:rPr>
          <w:rFonts w:ascii="Times New Roman" w:hAnsi="Times New Roman" w:cs="Times New Roman"/>
          <w:color w:val="auto"/>
          <w:sz w:val="20"/>
        </w:rPr>
        <w:t>Peppel</w:t>
      </w:r>
      <w:proofErr w:type="spellEnd"/>
      <w:r w:rsidRPr="002012BC">
        <w:rPr>
          <w:rFonts w:ascii="Times New Roman" w:hAnsi="Times New Roman" w:cs="Times New Roman"/>
          <w:color w:val="auto"/>
          <w:sz w:val="20"/>
        </w:rPr>
        <w:t xml:space="preserve"> (2002) argue that organizational ineptitude can contribute to law violations, citing examples such as poor management, insufficient procedures, and lack of coordination. Additionally, conflicting goals across different organizational levels can create confusion and misalignment, complicating the assessment of compliance (Van </w:t>
      </w:r>
      <w:proofErr w:type="spellStart"/>
      <w:r w:rsidRPr="002012BC">
        <w:rPr>
          <w:rFonts w:ascii="Times New Roman" w:hAnsi="Times New Roman" w:cs="Times New Roman"/>
          <w:color w:val="auto"/>
          <w:sz w:val="20"/>
        </w:rPr>
        <w:t>Snellenberg</w:t>
      </w:r>
      <w:proofErr w:type="spellEnd"/>
      <w:r w:rsidRPr="002012BC">
        <w:rPr>
          <w:rFonts w:ascii="Times New Roman" w:hAnsi="Times New Roman" w:cs="Times New Roman"/>
          <w:color w:val="auto"/>
          <w:sz w:val="20"/>
        </w:rPr>
        <w:t xml:space="preserve"> and Van de </w:t>
      </w:r>
      <w:proofErr w:type="spellStart"/>
      <w:r w:rsidRPr="002012BC">
        <w:rPr>
          <w:rFonts w:ascii="Times New Roman" w:hAnsi="Times New Roman" w:cs="Times New Roman"/>
          <w:color w:val="auto"/>
          <w:sz w:val="20"/>
        </w:rPr>
        <w:t>Peppel</w:t>
      </w:r>
      <w:proofErr w:type="spellEnd"/>
      <w:r w:rsidRPr="002012BC">
        <w:rPr>
          <w:rFonts w:ascii="Times New Roman" w:hAnsi="Times New Roman" w:cs="Times New Roman"/>
          <w:color w:val="auto"/>
          <w:sz w:val="20"/>
        </w:rPr>
        <w:t xml:space="preserve">, 2002; </w:t>
      </w:r>
      <w:proofErr w:type="spellStart"/>
      <w:r w:rsidRPr="002012BC">
        <w:rPr>
          <w:rFonts w:ascii="Times New Roman" w:hAnsi="Times New Roman" w:cs="Times New Roman"/>
          <w:color w:val="auto"/>
          <w:sz w:val="20"/>
        </w:rPr>
        <w:t>Bruijn</w:t>
      </w:r>
      <w:proofErr w:type="spellEnd"/>
      <w:r w:rsidRPr="002012BC">
        <w:rPr>
          <w:rFonts w:ascii="Times New Roman" w:hAnsi="Times New Roman" w:cs="Times New Roman"/>
          <w:color w:val="auto"/>
          <w:sz w:val="20"/>
        </w:rPr>
        <w:t xml:space="preserve"> et al., 2007).</w:t>
      </w:r>
    </w:p>
    <w:p w:rsidR="00E53DEB" w:rsidRPr="002012BC" w:rsidRDefault="00E53DEB" w:rsidP="00E53DEB">
      <w:pPr>
        <w:spacing w:after="5" w:line="248" w:lineRule="auto"/>
        <w:ind w:left="-10" w:right="-15" w:firstLine="239"/>
        <w:jc w:val="both"/>
        <w:rPr>
          <w:rFonts w:ascii="Times New Roman" w:hAnsi="Times New Roman" w:cs="Times New Roman"/>
          <w:color w:val="auto"/>
        </w:rPr>
      </w:pPr>
      <w:r w:rsidRPr="002012BC">
        <w:rPr>
          <w:rFonts w:ascii="Times New Roman" w:hAnsi="Times New Roman" w:cs="Times New Roman"/>
          <w:color w:val="auto"/>
          <w:sz w:val="20"/>
        </w:rPr>
        <w:t xml:space="preserve">The </w:t>
      </w:r>
      <w:proofErr w:type="spellStart"/>
      <w:r w:rsidRPr="002012BC">
        <w:rPr>
          <w:rFonts w:ascii="Times New Roman" w:hAnsi="Times New Roman" w:cs="Times New Roman"/>
          <w:color w:val="auto"/>
          <w:sz w:val="20"/>
        </w:rPr>
        <w:t>Tafel</w:t>
      </w:r>
      <w:proofErr w:type="spellEnd"/>
      <w:r w:rsidRPr="002012BC">
        <w:rPr>
          <w:rFonts w:ascii="Times New Roman" w:hAnsi="Times New Roman" w:cs="Times New Roman"/>
          <w:color w:val="auto"/>
          <w:sz w:val="20"/>
        </w:rPr>
        <w:t xml:space="preserve"> van Elf, another theoretical </w:t>
      </w:r>
      <w:proofErr w:type="spellStart"/>
      <w:r w:rsidRPr="002012BC">
        <w:rPr>
          <w:rFonts w:ascii="Times New Roman" w:hAnsi="Times New Roman" w:cs="Times New Roman"/>
          <w:color w:val="auto"/>
          <w:sz w:val="20"/>
        </w:rPr>
        <w:t>complicance</w:t>
      </w:r>
      <w:proofErr w:type="spellEnd"/>
      <w:r w:rsidRPr="002012BC">
        <w:rPr>
          <w:rFonts w:ascii="Times New Roman" w:hAnsi="Times New Roman" w:cs="Times New Roman"/>
          <w:color w:val="auto"/>
          <w:sz w:val="20"/>
        </w:rPr>
        <w:t xml:space="preserve"> framework by </w:t>
      </w:r>
      <w:proofErr w:type="spellStart"/>
      <w:r w:rsidRPr="002012BC">
        <w:rPr>
          <w:rFonts w:ascii="Times New Roman" w:hAnsi="Times New Roman" w:cs="Times New Roman"/>
          <w:color w:val="auto"/>
          <w:sz w:val="20"/>
        </w:rPr>
        <w:t>Ruimschotel</w:t>
      </w:r>
      <w:proofErr w:type="spellEnd"/>
      <w:r w:rsidRPr="002012BC">
        <w:rPr>
          <w:rFonts w:ascii="Times New Roman" w:hAnsi="Times New Roman" w:cs="Times New Roman"/>
          <w:color w:val="auto"/>
          <w:sz w:val="20"/>
        </w:rPr>
        <w:t xml:space="preserve"> (1996), further delineates </w:t>
      </w:r>
      <w:proofErr w:type="spellStart"/>
      <w:r w:rsidRPr="002012BC">
        <w:rPr>
          <w:rFonts w:ascii="Times New Roman" w:hAnsi="Times New Roman" w:cs="Times New Roman"/>
          <w:color w:val="auto"/>
          <w:sz w:val="20"/>
        </w:rPr>
        <w:t>inspectees</w:t>
      </w:r>
      <w:proofErr w:type="spellEnd"/>
      <w:r w:rsidRPr="002012BC">
        <w:rPr>
          <w:rFonts w:ascii="Times New Roman" w:hAnsi="Times New Roman" w:cs="Times New Roman"/>
          <w:color w:val="auto"/>
          <w:sz w:val="20"/>
        </w:rPr>
        <w:t>’ motivations behind why they break laws (Table 7).</w:t>
      </w:r>
    </w:p>
    <w:p w:rsidR="00E53DEB" w:rsidRPr="002012BC" w:rsidRDefault="00E53DEB" w:rsidP="00E53DEB">
      <w:pPr>
        <w:spacing w:after="5" w:line="248" w:lineRule="auto"/>
        <w:ind w:left="-10" w:right="-15" w:firstLine="239"/>
        <w:jc w:val="both"/>
        <w:rPr>
          <w:rFonts w:ascii="Times New Roman" w:hAnsi="Times New Roman" w:cs="Times New Roman"/>
          <w:color w:val="auto"/>
        </w:rPr>
      </w:pPr>
      <w:r w:rsidRPr="002012BC">
        <w:rPr>
          <w:rFonts w:ascii="Times New Roman" w:hAnsi="Times New Roman" w:cs="Times New Roman"/>
          <w:color w:val="auto"/>
          <w:sz w:val="20"/>
        </w:rPr>
        <w:t xml:space="preserve">These behavioral theories attempt to explain how </w:t>
      </w:r>
      <w:proofErr w:type="spellStart"/>
      <w:r w:rsidRPr="002012BC">
        <w:rPr>
          <w:rFonts w:ascii="Times New Roman" w:hAnsi="Times New Roman" w:cs="Times New Roman"/>
          <w:color w:val="auto"/>
          <w:sz w:val="20"/>
        </w:rPr>
        <w:t>inspectees</w:t>
      </w:r>
      <w:proofErr w:type="spellEnd"/>
      <w:r w:rsidRPr="002012BC">
        <w:rPr>
          <w:rFonts w:ascii="Times New Roman" w:hAnsi="Times New Roman" w:cs="Times New Roman"/>
          <w:color w:val="auto"/>
          <w:sz w:val="20"/>
        </w:rPr>
        <w:t xml:space="preserve"> make decisions with a multitude of choices, often assuming perfect rationality. The perfect rationality model assumes a traditional, </w:t>
      </w:r>
      <w:proofErr w:type="gramStart"/>
      <w:r w:rsidRPr="002012BC">
        <w:rPr>
          <w:rFonts w:ascii="Times New Roman" w:hAnsi="Times New Roman" w:cs="Times New Roman"/>
          <w:color w:val="auto"/>
          <w:sz w:val="20"/>
        </w:rPr>
        <w:t>economically-driven</w:t>
      </w:r>
      <w:proofErr w:type="gramEnd"/>
      <w:r w:rsidRPr="002012BC">
        <w:rPr>
          <w:rFonts w:ascii="Times New Roman" w:hAnsi="Times New Roman" w:cs="Times New Roman"/>
          <w:color w:val="auto"/>
          <w:sz w:val="20"/>
        </w:rPr>
        <w:t xml:space="preserve"> characterization of human behavior (</w:t>
      </w:r>
      <w:proofErr w:type="spellStart"/>
      <w:r w:rsidRPr="002012BC">
        <w:rPr>
          <w:rFonts w:ascii="Times New Roman" w:hAnsi="Times New Roman" w:cs="Times New Roman"/>
          <w:color w:val="auto"/>
          <w:sz w:val="20"/>
        </w:rPr>
        <w:t>Beinhocker</w:t>
      </w:r>
      <w:proofErr w:type="spellEnd"/>
      <w:r w:rsidRPr="002012BC">
        <w:rPr>
          <w:rFonts w:ascii="Times New Roman" w:hAnsi="Times New Roman" w:cs="Times New Roman"/>
          <w:color w:val="auto"/>
          <w:sz w:val="20"/>
        </w:rPr>
        <w:t xml:space="preserve">, 2006). However, this assumption overlooks aspects of real-world behavior. Firstly, it assumes that </w:t>
      </w:r>
      <w:proofErr w:type="spellStart"/>
      <w:r w:rsidRPr="002012BC">
        <w:rPr>
          <w:rFonts w:ascii="Times New Roman" w:hAnsi="Times New Roman" w:cs="Times New Roman"/>
          <w:color w:val="auto"/>
          <w:sz w:val="20"/>
        </w:rPr>
        <w:t>inspectees</w:t>
      </w:r>
      <w:proofErr w:type="spellEnd"/>
      <w:r w:rsidRPr="002012BC">
        <w:rPr>
          <w:rFonts w:ascii="Times New Roman" w:hAnsi="Times New Roman" w:cs="Times New Roman"/>
          <w:color w:val="auto"/>
          <w:sz w:val="20"/>
        </w:rPr>
        <w:t xml:space="preserve"> prioritize one goal, neglecting the fact that they </w:t>
      </w:r>
      <w:proofErr w:type="gramStart"/>
      <w:r w:rsidRPr="002012BC">
        <w:rPr>
          <w:rFonts w:ascii="Times New Roman" w:hAnsi="Times New Roman" w:cs="Times New Roman"/>
          <w:color w:val="auto"/>
          <w:sz w:val="20"/>
        </w:rPr>
        <w:t>are typically driven</w:t>
      </w:r>
      <w:proofErr w:type="gramEnd"/>
      <w:r w:rsidRPr="002012BC">
        <w:rPr>
          <w:rFonts w:ascii="Times New Roman" w:hAnsi="Times New Roman" w:cs="Times New Roman"/>
          <w:color w:val="auto"/>
          <w:sz w:val="20"/>
        </w:rPr>
        <w:t xml:space="preserve"> by multiple motivations (</w:t>
      </w:r>
      <w:proofErr w:type="spellStart"/>
      <w:r w:rsidRPr="002012BC">
        <w:rPr>
          <w:rFonts w:ascii="Times New Roman" w:hAnsi="Times New Roman" w:cs="Times New Roman"/>
          <w:color w:val="auto"/>
          <w:sz w:val="20"/>
        </w:rPr>
        <w:t>Alm</w:t>
      </w:r>
      <w:proofErr w:type="spellEnd"/>
      <w:r w:rsidRPr="002012BC">
        <w:rPr>
          <w:rFonts w:ascii="Times New Roman" w:hAnsi="Times New Roman" w:cs="Times New Roman"/>
          <w:color w:val="auto"/>
          <w:sz w:val="20"/>
        </w:rPr>
        <w:t xml:space="preserve"> et al., 1995; </w:t>
      </w:r>
      <w:proofErr w:type="spellStart"/>
      <w:r w:rsidRPr="002012BC">
        <w:rPr>
          <w:rFonts w:ascii="Times New Roman" w:hAnsi="Times New Roman" w:cs="Times New Roman"/>
          <w:color w:val="auto"/>
          <w:sz w:val="20"/>
        </w:rPr>
        <w:t>Scholz</w:t>
      </w:r>
      <w:proofErr w:type="spellEnd"/>
      <w:r w:rsidRPr="002012BC">
        <w:rPr>
          <w:rFonts w:ascii="Times New Roman" w:hAnsi="Times New Roman" w:cs="Times New Roman"/>
          <w:color w:val="auto"/>
          <w:sz w:val="20"/>
        </w:rPr>
        <w:t xml:space="preserve">, 1997; May, 2005; </w:t>
      </w:r>
      <w:proofErr w:type="spellStart"/>
      <w:r w:rsidRPr="002012BC">
        <w:rPr>
          <w:rFonts w:ascii="Times New Roman" w:hAnsi="Times New Roman" w:cs="Times New Roman"/>
          <w:color w:val="auto"/>
          <w:sz w:val="20"/>
        </w:rPr>
        <w:t>Beinhocker</w:t>
      </w:r>
      <w:proofErr w:type="spellEnd"/>
      <w:r w:rsidRPr="002012BC">
        <w:rPr>
          <w:rFonts w:ascii="Times New Roman" w:hAnsi="Times New Roman" w:cs="Times New Roman"/>
          <w:color w:val="auto"/>
          <w:sz w:val="20"/>
        </w:rPr>
        <w:t xml:space="preserve">, 2006; Marin et al., 2020). Secondly, it expects </w:t>
      </w:r>
      <w:proofErr w:type="spellStart"/>
      <w:r w:rsidRPr="002012BC">
        <w:rPr>
          <w:rFonts w:ascii="Times New Roman" w:hAnsi="Times New Roman" w:cs="Times New Roman"/>
          <w:color w:val="auto"/>
          <w:sz w:val="20"/>
        </w:rPr>
        <w:t>inspectees</w:t>
      </w:r>
      <w:proofErr w:type="spellEnd"/>
      <w:r w:rsidRPr="002012BC">
        <w:rPr>
          <w:rFonts w:ascii="Times New Roman" w:hAnsi="Times New Roman" w:cs="Times New Roman"/>
          <w:color w:val="auto"/>
          <w:sz w:val="20"/>
        </w:rPr>
        <w:t xml:space="preserve"> to make complex calculations based on vast amounts of data, which may not be feasible in practice (</w:t>
      </w:r>
      <w:proofErr w:type="spellStart"/>
      <w:r w:rsidRPr="002012BC">
        <w:rPr>
          <w:rFonts w:ascii="Times New Roman" w:hAnsi="Times New Roman" w:cs="Times New Roman"/>
          <w:color w:val="auto"/>
          <w:sz w:val="20"/>
        </w:rPr>
        <w:t>Beinhocker</w:t>
      </w:r>
      <w:proofErr w:type="spellEnd"/>
      <w:r w:rsidRPr="002012BC">
        <w:rPr>
          <w:rFonts w:ascii="Times New Roman" w:hAnsi="Times New Roman" w:cs="Times New Roman"/>
          <w:color w:val="auto"/>
          <w:sz w:val="20"/>
        </w:rPr>
        <w:t xml:space="preserve">, 2006). Lastly, perfect rationality restricts </w:t>
      </w:r>
      <w:proofErr w:type="spellStart"/>
      <w:r w:rsidRPr="002012BC">
        <w:rPr>
          <w:rFonts w:ascii="Times New Roman" w:hAnsi="Times New Roman" w:cs="Times New Roman"/>
          <w:color w:val="auto"/>
          <w:sz w:val="20"/>
        </w:rPr>
        <w:t>inspectees</w:t>
      </w:r>
      <w:proofErr w:type="spellEnd"/>
      <w:r w:rsidRPr="002012BC">
        <w:rPr>
          <w:rFonts w:ascii="Times New Roman" w:hAnsi="Times New Roman" w:cs="Times New Roman"/>
          <w:color w:val="auto"/>
          <w:sz w:val="20"/>
        </w:rPr>
        <w:t xml:space="preserve"> to acting in predetermined ways, disregarding their ability to evolve over time. This oversimplification limits the breadth of real-world behavioral phenomena that </w:t>
      </w:r>
      <w:proofErr w:type="gramStart"/>
      <w:r w:rsidRPr="002012BC">
        <w:rPr>
          <w:rFonts w:ascii="Times New Roman" w:hAnsi="Times New Roman" w:cs="Times New Roman"/>
          <w:color w:val="auto"/>
          <w:sz w:val="20"/>
        </w:rPr>
        <w:t>can be studied</w:t>
      </w:r>
      <w:proofErr w:type="gramEnd"/>
      <w:r w:rsidRPr="002012BC">
        <w:rPr>
          <w:rFonts w:ascii="Times New Roman" w:hAnsi="Times New Roman" w:cs="Times New Roman"/>
          <w:color w:val="auto"/>
          <w:sz w:val="20"/>
        </w:rPr>
        <w:t xml:space="preserve">, as it fails to account for unexpected and idiosyncratic behaviors. </w:t>
      </w:r>
      <w:proofErr w:type="gramStart"/>
      <w:r w:rsidRPr="002012BC">
        <w:rPr>
          <w:rFonts w:ascii="Times New Roman" w:hAnsi="Times New Roman" w:cs="Times New Roman"/>
          <w:color w:val="auto"/>
          <w:sz w:val="20"/>
        </w:rPr>
        <w:t xml:space="preserve">Consequently, models based solely on perfect rationality run the risk of portraying behavior unrealistically and may overlook crucial aspects of </w:t>
      </w:r>
      <w:proofErr w:type="spellStart"/>
      <w:r w:rsidRPr="002012BC">
        <w:rPr>
          <w:rFonts w:ascii="Times New Roman" w:hAnsi="Times New Roman" w:cs="Times New Roman"/>
          <w:color w:val="auto"/>
          <w:sz w:val="20"/>
        </w:rPr>
        <w:t>inspectees</w:t>
      </w:r>
      <w:proofErr w:type="spellEnd"/>
      <w:r w:rsidRPr="002012BC">
        <w:rPr>
          <w:rFonts w:ascii="Times New Roman" w:hAnsi="Times New Roman" w:cs="Times New Roman"/>
          <w:color w:val="auto"/>
          <w:sz w:val="20"/>
        </w:rPr>
        <w:t>’ actual behavior.</w:t>
      </w:r>
      <w:proofErr w:type="gramEnd"/>
    </w:p>
    <w:p w:rsidR="00E53DEB" w:rsidRPr="002012BC" w:rsidRDefault="00E53DEB" w:rsidP="00E53DEB">
      <w:pPr>
        <w:spacing w:after="5" w:line="248" w:lineRule="auto"/>
        <w:ind w:right="-15" w:firstLine="229"/>
        <w:jc w:val="both"/>
        <w:rPr>
          <w:rFonts w:ascii="Times New Roman" w:hAnsi="Times New Roman" w:cs="Times New Roman"/>
          <w:color w:val="auto"/>
        </w:rPr>
      </w:pPr>
      <w:r w:rsidRPr="002012BC">
        <w:rPr>
          <w:rFonts w:ascii="Times New Roman" w:hAnsi="Times New Roman" w:cs="Times New Roman"/>
          <w:color w:val="auto"/>
          <w:sz w:val="20"/>
        </w:rPr>
        <w:t xml:space="preserve">Existing literature suggests tailored enforcement strategies for each typology of compliance. Lodge and </w:t>
      </w:r>
      <w:proofErr w:type="spellStart"/>
      <w:r w:rsidRPr="002012BC">
        <w:rPr>
          <w:rFonts w:ascii="Times New Roman" w:hAnsi="Times New Roman" w:cs="Times New Roman"/>
          <w:color w:val="auto"/>
          <w:sz w:val="20"/>
        </w:rPr>
        <w:t>Wegrich</w:t>
      </w:r>
      <w:proofErr w:type="spellEnd"/>
      <w:r w:rsidRPr="002012BC">
        <w:rPr>
          <w:rFonts w:ascii="Times New Roman" w:hAnsi="Times New Roman" w:cs="Times New Roman"/>
          <w:color w:val="auto"/>
          <w:sz w:val="20"/>
        </w:rPr>
        <w:t xml:space="preserve"> (2012) define enforcement as the coercion of inspected parties to comply with laws without which there is no obligation for </w:t>
      </w:r>
      <w:proofErr w:type="spellStart"/>
      <w:r w:rsidRPr="002012BC">
        <w:rPr>
          <w:rFonts w:ascii="Times New Roman" w:hAnsi="Times New Roman" w:cs="Times New Roman"/>
          <w:color w:val="auto"/>
          <w:sz w:val="20"/>
        </w:rPr>
        <w:t>inspectees</w:t>
      </w:r>
      <w:proofErr w:type="spellEnd"/>
      <w:r w:rsidRPr="002012BC">
        <w:rPr>
          <w:rFonts w:ascii="Times New Roman" w:hAnsi="Times New Roman" w:cs="Times New Roman"/>
          <w:color w:val="auto"/>
          <w:sz w:val="20"/>
        </w:rPr>
        <w:t xml:space="preserve"> to act in a compliant way. For amoral calculators, economic strategies such as deterrence or financial incentives </w:t>
      </w:r>
      <w:proofErr w:type="gramStart"/>
      <w:r w:rsidRPr="002012BC">
        <w:rPr>
          <w:rFonts w:ascii="Times New Roman" w:hAnsi="Times New Roman" w:cs="Times New Roman"/>
          <w:color w:val="auto"/>
          <w:sz w:val="20"/>
        </w:rPr>
        <w:t>are recommended</w:t>
      </w:r>
      <w:proofErr w:type="gramEnd"/>
      <w:r w:rsidRPr="002012BC">
        <w:rPr>
          <w:rFonts w:ascii="Times New Roman" w:hAnsi="Times New Roman" w:cs="Times New Roman"/>
          <w:color w:val="auto"/>
          <w:sz w:val="20"/>
        </w:rPr>
        <w:t xml:space="preserve"> to alter behavior by influencing economic utility (Becker, 1968; </w:t>
      </w:r>
      <w:proofErr w:type="spellStart"/>
      <w:r w:rsidRPr="002012BC">
        <w:rPr>
          <w:rFonts w:ascii="Times New Roman" w:hAnsi="Times New Roman" w:cs="Times New Roman"/>
          <w:color w:val="auto"/>
          <w:sz w:val="20"/>
        </w:rPr>
        <w:t>Burby</w:t>
      </w:r>
      <w:proofErr w:type="spellEnd"/>
      <w:r w:rsidRPr="002012BC">
        <w:rPr>
          <w:rFonts w:ascii="Times New Roman" w:hAnsi="Times New Roman" w:cs="Times New Roman"/>
          <w:color w:val="auto"/>
          <w:sz w:val="20"/>
        </w:rPr>
        <w:t xml:space="preserve"> and Paterson, 1993; Gray and </w:t>
      </w:r>
      <w:proofErr w:type="spellStart"/>
      <w:r w:rsidRPr="002012BC">
        <w:rPr>
          <w:rFonts w:ascii="Times New Roman" w:hAnsi="Times New Roman" w:cs="Times New Roman"/>
          <w:color w:val="auto"/>
          <w:sz w:val="20"/>
        </w:rPr>
        <w:t>Scholz</w:t>
      </w:r>
      <w:proofErr w:type="spellEnd"/>
      <w:r w:rsidRPr="002012BC">
        <w:rPr>
          <w:rFonts w:ascii="Times New Roman" w:hAnsi="Times New Roman" w:cs="Times New Roman"/>
          <w:color w:val="auto"/>
          <w:sz w:val="20"/>
        </w:rPr>
        <w:t xml:space="preserve">, 1993; Van </w:t>
      </w:r>
      <w:proofErr w:type="spellStart"/>
      <w:r w:rsidRPr="002012BC">
        <w:rPr>
          <w:rFonts w:ascii="Times New Roman" w:hAnsi="Times New Roman" w:cs="Times New Roman"/>
          <w:color w:val="auto"/>
          <w:sz w:val="20"/>
        </w:rPr>
        <w:t>Snellenberg</w:t>
      </w:r>
      <w:proofErr w:type="spellEnd"/>
      <w:r w:rsidRPr="002012BC">
        <w:rPr>
          <w:rFonts w:ascii="Times New Roman" w:hAnsi="Times New Roman" w:cs="Times New Roman"/>
          <w:color w:val="auto"/>
          <w:sz w:val="20"/>
        </w:rPr>
        <w:t xml:space="preserve"> and Van de </w:t>
      </w:r>
      <w:proofErr w:type="spellStart"/>
      <w:r w:rsidRPr="002012BC">
        <w:rPr>
          <w:rFonts w:ascii="Times New Roman" w:hAnsi="Times New Roman" w:cs="Times New Roman"/>
          <w:color w:val="auto"/>
          <w:sz w:val="20"/>
        </w:rPr>
        <w:t>Peppel</w:t>
      </w:r>
      <w:proofErr w:type="spellEnd"/>
      <w:r w:rsidRPr="002012BC">
        <w:rPr>
          <w:rFonts w:ascii="Times New Roman" w:hAnsi="Times New Roman" w:cs="Times New Roman"/>
          <w:color w:val="auto"/>
          <w:sz w:val="20"/>
        </w:rPr>
        <w:t>, 2002). However, studies indicate heavier fines may not necessarily lead to increased compliance and, in some cases, could even decrease it (</w:t>
      </w:r>
      <w:proofErr w:type="spellStart"/>
      <w:r w:rsidRPr="002012BC">
        <w:rPr>
          <w:rFonts w:ascii="Times New Roman" w:hAnsi="Times New Roman" w:cs="Times New Roman"/>
          <w:color w:val="auto"/>
          <w:sz w:val="20"/>
        </w:rPr>
        <w:t>Grasmick</w:t>
      </w:r>
      <w:proofErr w:type="spellEnd"/>
      <w:r w:rsidRPr="002012BC">
        <w:rPr>
          <w:rFonts w:ascii="Times New Roman" w:hAnsi="Times New Roman" w:cs="Times New Roman"/>
          <w:color w:val="auto"/>
          <w:sz w:val="20"/>
        </w:rPr>
        <w:t xml:space="preserve"> and Green, </w:t>
      </w:r>
      <w:proofErr w:type="spellStart"/>
      <w:r w:rsidRPr="002012BC">
        <w:rPr>
          <w:rFonts w:ascii="Times New Roman" w:hAnsi="Times New Roman" w:cs="Times New Roman"/>
          <w:color w:val="auto"/>
          <w:sz w:val="20"/>
        </w:rPr>
        <w:t>n.d.</w:t>
      </w:r>
      <w:proofErr w:type="spellEnd"/>
      <w:r w:rsidRPr="002012BC">
        <w:rPr>
          <w:rFonts w:ascii="Times New Roman" w:hAnsi="Times New Roman" w:cs="Times New Roman"/>
          <w:color w:val="auto"/>
          <w:sz w:val="20"/>
        </w:rPr>
        <w:t xml:space="preserve">; Paternoster et al., 1982; </w:t>
      </w:r>
      <w:proofErr w:type="spellStart"/>
      <w:r w:rsidRPr="002012BC">
        <w:rPr>
          <w:rFonts w:ascii="Times New Roman" w:hAnsi="Times New Roman" w:cs="Times New Roman"/>
          <w:color w:val="auto"/>
          <w:sz w:val="20"/>
        </w:rPr>
        <w:t>Langbein</w:t>
      </w:r>
      <w:proofErr w:type="spellEnd"/>
      <w:r w:rsidRPr="002012BC">
        <w:rPr>
          <w:rFonts w:ascii="Times New Roman" w:hAnsi="Times New Roman" w:cs="Times New Roman"/>
          <w:color w:val="auto"/>
          <w:sz w:val="20"/>
        </w:rPr>
        <w:t xml:space="preserve"> and </w:t>
      </w:r>
      <w:proofErr w:type="spellStart"/>
      <w:r w:rsidRPr="002012BC">
        <w:rPr>
          <w:rFonts w:ascii="Times New Roman" w:hAnsi="Times New Roman" w:cs="Times New Roman"/>
          <w:color w:val="auto"/>
          <w:sz w:val="20"/>
        </w:rPr>
        <w:t>Kerwin</w:t>
      </w:r>
      <w:proofErr w:type="spellEnd"/>
      <w:r w:rsidRPr="002012BC">
        <w:rPr>
          <w:rFonts w:ascii="Times New Roman" w:hAnsi="Times New Roman" w:cs="Times New Roman"/>
          <w:color w:val="auto"/>
          <w:sz w:val="20"/>
        </w:rPr>
        <w:t xml:space="preserve">, 1985; </w:t>
      </w:r>
      <w:proofErr w:type="spellStart"/>
      <w:r w:rsidRPr="002012BC">
        <w:rPr>
          <w:rFonts w:ascii="Times New Roman" w:hAnsi="Times New Roman" w:cs="Times New Roman"/>
          <w:color w:val="auto"/>
          <w:sz w:val="20"/>
        </w:rPr>
        <w:t>Tsebelis</w:t>
      </w:r>
      <w:proofErr w:type="spellEnd"/>
      <w:r w:rsidRPr="002012BC">
        <w:rPr>
          <w:rFonts w:ascii="Times New Roman" w:hAnsi="Times New Roman" w:cs="Times New Roman"/>
          <w:color w:val="auto"/>
          <w:sz w:val="20"/>
        </w:rPr>
        <w:t xml:space="preserve">, 1990; </w:t>
      </w:r>
      <w:proofErr w:type="spellStart"/>
      <w:r w:rsidRPr="002012BC">
        <w:rPr>
          <w:rFonts w:ascii="Times New Roman" w:hAnsi="Times New Roman" w:cs="Times New Roman"/>
          <w:color w:val="auto"/>
          <w:sz w:val="20"/>
        </w:rPr>
        <w:t>Tsebelis</w:t>
      </w:r>
      <w:proofErr w:type="spellEnd"/>
      <w:r w:rsidRPr="002012BC">
        <w:rPr>
          <w:rFonts w:ascii="Times New Roman" w:hAnsi="Times New Roman" w:cs="Times New Roman"/>
          <w:color w:val="auto"/>
          <w:sz w:val="20"/>
        </w:rPr>
        <w:t xml:space="preserve">, 1991; </w:t>
      </w:r>
      <w:proofErr w:type="spellStart"/>
      <w:r w:rsidRPr="002012BC">
        <w:rPr>
          <w:rFonts w:ascii="Times New Roman" w:hAnsi="Times New Roman" w:cs="Times New Roman"/>
          <w:color w:val="auto"/>
          <w:sz w:val="20"/>
        </w:rPr>
        <w:t>Tsebelis</w:t>
      </w:r>
      <w:proofErr w:type="spellEnd"/>
      <w:r w:rsidRPr="002012BC">
        <w:rPr>
          <w:rFonts w:ascii="Times New Roman" w:hAnsi="Times New Roman" w:cs="Times New Roman"/>
          <w:color w:val="auto"/>
          <w:sz w:val="20"/>
        </w:rPr>
        <w:t xml:space="preserve">, 1993; Sherman, 1993). For political citizens and incompetent actors, Kagan and </w:t>
      </w:r>
      <w:proofErr w:type="spellStart"/>
      <w:r w:rsidRPr="002012BC">
        <w:rPr>
          <w:rFonts w:ascii="Times New Roman" w:hAnsi="Times New Roman" w:cs="Times New Roman"/>
          <w:color w:val="auto"/>
          <w:sz w:val="20"/>
        </w:rPr>
        <w:t>Scholz</w:t>
      </w:r>
      <w:proofErr w:type="spellEnd"/>
      <w:r w:rsidRPr="002012BC">
        <w:rPr>
          <w:rFonts w:ascii="Times New Roman" w:hAnsi="Times New Roman" w:cs="Times New Roman"/>
          <w:color w:val="auto"/>
          <w:sz w:val="20"/>
        </w:rPr>
        <w:t xml:space="preserve"> (1980) suggest a cooperative and educational strategy, respectively. A cooperative strategy maintains a balanced relationship of negotiation and collaboration between </w:t>
      </w:r>
      <w:proofErr w:type="spellStart"/>
      <w:r w:rsidRPr="002012BC">
        <w:rPr>
          <w:rFonts w:ascii="Times New Roman" w:hAnsi="Times New Roman" w:cs="Times New Roman"/>
          <w:color w:val="auto"/>
          <w:sz w:val="20"/>
        </w:rPr>
        <w:t>inspectees</w:t>
      </w:r>
      <w:proofErr w:type="spellEnd"/>
      <w:r w:rsidRPr="002012BC">
        <w:rPr>
          <w:rFonts w:ascii="Times New Roman" w:hAnsi="Times New Roman" w:cs="Times New Roman"/>
          <w:color w:val="auto"/>
          <w:sz w:val="20"/>
        </w:rPr>
        <w:t xml:space="preserve"> and inspectors, while an educational strategy aims to build the capacity of inspected parties to cultivate the processes needed for compliance (Kagan and </w:t>
      </w:r>
      <w:proofErr w:type="spellStart"/>
      <w:r w:rsidRPr="002012BC">
        <w:rPr>
          <w:rFonts w:ascii="Times New Roman" w:hAnsi="Times New Roman" w:cs="Times New Roman"/>
          <w:color w:val="auto"/>
          <w:sz w:val="20"/>
        </w:rPr>
        <w:t>Scholz</w:t>
      </w:r>
      <w:proofErr w:type="spellEnd"/>
      <w:r w:rsidRPr="002012BC">
        <w:rPr>
          <w:rFonts w:ascii="Times New Roman" w:hAnsi="Times New Roman" w:cs="Times New Roman"/>
          <w:color w:val="auto"/>
          <w:sz w:val="20"/>
        </w:rPr>
        <w:t>, 1980).</w:t>
      </w:r>
    </w:p>
    <w:p w:rsidR="00E53DEB" w:rsidRPr="002012BC" w:rsidRDefault="00E53DEB" w:rsidP="00E53DEB">
      <w:pPr>
        <w:spacing w:after="5" w:line="248" w:lineRule="auto"/>
        <w:ind w:right="-15"/>
        <w:jc w:val="both"/>
        <w:rPr>
          <w:rFonts w:ascii="Times New Roman" w:hAnsi="Times New Roman" w:cs="Times New Roman"/>
          <w:b/>
          <w:i/>
          <w:color w:val="auto"/>
          <w:sz w:val="20"/>
        </w:rPr>
      </w:pPr>
    </w:p>
    <w:p w:rsidR="00E53DEB" w:rsidRPr="002012BC" w:rsidRDefault="00E53DEB" w:rsidP="00E53DEB">
      <w:pPr>
        <w:spacing w:after="5" w:line="248" w:lineRule="auto"/>
        <w:ind w:left="-10" w:right="-15" w:firstLine="239"/>
        <w:jc w:val="center"/>
        <w:rPr>
          <w:rFonts w:ascii="Times New Roman" w:hAnsi="Times New Roman" w:cs="Times New Roman"/>
          <w:color w:val="auto"/>
          <w:lang w:val="nl-NL"/>
        </w:rPr>
      </w:pPr>
      <w:r w:rsidRPr="002012BC">
        <w:rPr>
          <w:rFonts w:ascii="Times New Roman" w:hAnsi="Times New Roman" w:cs="Times New Roman"/>
          <w:b/>
          <w:i/>
          <w:color w:val="auto"/>
          <w:sz w:val="20"/>
          <w:lang w:val="nl-NL"/>
        </w:rPr>
        <w:t xml:space="preserve">Table 7. </w:t>
      </w:r>
      <w:r w:rsidRPr="002012BC">
        <w:rPr>
          <w:rFonts w:ascii="Times New Roman" w:hAnsi="Times New Roman" w:cs="Times New Roman"/>
          <w:i/>
          <w:color w:val="auto"/>
          <w:sz w:val="20"/>
          <w:lang w:val="nl-NL"/>
        </w:rPr>
        <w:t>Tafel van Elf (adapted from Ministerie van Justitie, 2006).</w:t>
      </w:r>
    </w:p>
    <w:tbl>
      <w:tblPr>
        <w:tblStyle w:val="TableGrid"/>
        <w:tblW w:w="8317" w:type="dxa"/>
        <w:tblInd w:w="35" w:type="dxa"/>
        <w:tblCellMar>
          <w:top w:w="21" w:type="dxa"/>
          <w:right w:w="115" w:type="dxa"/>
        </w:tblCellMar>
        <w:tblLook w:val="04A0" w:firstRow="1" w:lastRow="0" w:firstColumn="1" w:lastColumn="0" w:noHBand="0" w:noVBand="1"/>
      </w:tblPr>
      <w:tblGrid>
        <w:gridCol w:w="2227"/>
        <w:gridCol w:w="3271"/>
        <w:gridCol w:w="2819"/>
      </w:tblGrid>
      <w:tr w:rsidR="00E53DEB" w:rsidRPr="002012BC" w:rsidTr="00706951">
        <w:trPr>
          <w:trHeight w:val="173"/>
        </w:trPr>
        <w:tc>
          <w:tcPr>
            <w:tcW w:w="2227" w:type="dxa"/>
            <w:tcBorders>
              <w:top w:val="single" w:sz="2" w:space="0" w:color="000000"/>
              <w:left w:val="nil"/>
              <w:bottom w:val="single" w:sz="2" w:space="0" w:color="000000"/>
              <w:right w:val="nil"/>
            </w:tcBorders>
          </w:tcPr>
          <w:p w:rsidR="00E53DEB" w:rsidRPr="002012BC" w:rsidRDefault="00E53DEB" w:rsidP="00706951">
            <w:pPr>
              <w:ind w:left="84"/>
              <w:rPr>
                <w:rFonts w:ascii="Times New Roman" w:hAnsi="Times New Roman" w:cs="Times New Roman"/>
                <w:color w:val="auto"/>
              </w:rPr>
            </w:pPr>
            <w:r w:rsidRPr="002012BC">
              <w:rPr>
                <w:rFonts w:ascii="Times New Roman" w:hAnsi="Times New Roman" w:cs="Times New Roman"/>
                <w:b/>
                <w:color w:val="auto"/>
                <w:sz w:val="14"/>
              </w:rPr>
              <w:t>MOTIVATION</w:t>
            </w:r>
          </w:p>
        </w:tc>
        <w:tc>
          <w:tcPr>
            <w:tcW w:w="3271" w:type="dxa"/>
            <w:tcBorders>
              <w:top w:val="single" w:sz="2" w:space="0" w:color="000000"/>
              <w:left w:val="nil"/>
              <w:bottom w:val="single" w:sz="2" w:space="0" w:color="000000"/>
              <w:right w:val="nil"/>
            </w:tcBorders>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b/>
                <w:color w:val="auto"/>
                <w:sz w:val="14"/>
              </w:rPr>
              <w:t>DESCRIPTION</w:t>
            </w:r>
          </w:p>
        </w:tc>
        <w:tc>
          <w:tcPr>
            <w:tcW w:w="2819" w:type="dxa"/>
            <w:tcBorders>
              <w:top w:val="single" w:sz="2" w:space="0" w:color="000000"/>
              <w:left w:val="nil"/>
              <w:bottom w:val="single" w:sz="2" w:space="0" w:color="000000"/>
              <w:right w:val="nil"/>
            </w:tcBorders>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b/>
                <w:color w:val="auto"/>
                <w:sz w:val="14"/>
              </w:rPr>
              <w:t>PROPOSED INTERVENTION</w:t>
            </w:r>
          </w:p>
        </w:tc>
      </w:tr>
      <w:tr w:rsidR="00E53DEB" w:rsidRPr="002012BC" w:rsidTr="00706951">
        <w:trPr>
          <w:trHeight w:val="174"/>
        </w:trPr>
        <w:tc>
          <w:tcPr>
            <w:tcW w:w="2227" w:type="dxa"/>
            <w:tcBorders>
              <w:top w:val="single" w:sz="2" w:space="0" w:color="000000"/>
              <w:left w:val="nil"/>
              <w:bottom w:val="single" w:sz="2" w:space="0" w:color="000000"/>
              <w:right w:val="nil"/>
            </w:tcBorders>
          </w:tcPr>
          <w:p w:rsidR="00E53DEB" w:rsidRPr="002012BC" w:rsidRDefault="00E53DEB" w:rsidP="00706951">
            <w:pPr>
              <w:ind w:left="84"/>
              <w:rPr>
                <w:rFonts w:ascii="Times New Roman" w:hAnsi="Times New Roman" w:cs="Times New Roman"/>
                <w:color w:val="auto"/>
                <w:sz w:val="14"/>
                <w:szCs w:val="14"/>
              </w:rPr>
            </w:pPr>
            <w:r w:rsidRPr="002012BC">
              <w:rPr>
                <w:rFonts w:ascii="Times New Roman" w:hAnsi="Times New Roman" w:cs="Times New Roman"/>
                <w:b/>
                <w:color w:val="auto"/>
                <w:sz w:val="14"/>
                <w:szCs w:val="14"/>
              </w:rPr>
              <w:lastRenderedPageBreak/>
              <w:t>Spontaneous, Intrinsic Behavior</w:t>
            </w:r>
          </w:p>
        </w:tc>
        <w:tc>
          <w:tcPr>
            <w:tcW w:w="3271" w:type="dxa"/>
            <w:tcBorders>
              <w:top w:val="single" w:sz="2" w:space="0" w:color="000000"/>
              <w:left w:val="nil"/>
              <w:bottom w:val="single" w:sz="2" w:space="0" w:color="000000"/>
              <w:right w:val="nil"/>
            </w:tcBorders>
          </w:tcPr>
          <w:p w:rsidR="00E53DEB" w:rsidRPr="002012BC" w:rsidRDefault="00E53DEB" w:rsidP="00706951">
            <w:pPr>
              <w:rPr>
                <w:rFonts w:ascii="Times New Roman" w:hAnsi="Times New Roman" w:cs="Times New Roman"/>
                <w:color w:val="auto"/>
                <w:sz w:val="14"/>
                <w:szCs w:val="14"/>
              </w:rPr>
            </w:pPr>
          </w:p>
        </w:tc>
        <w:tc>
          <w:tcPr>
            <w:tcW w:w="2819" w:type="dxa"/>
            <w:tcBorders>
              <w:top w:val="single" w:sz="2" w:space="0" w:color="000000"/>
              <w:left w:val="nil"/>
              <w:bottom w:val="single" w:sz="2" w:space="0" w:color="000000"/>
              <w:right w:val="nil"/>
            </w:tcBorders>
          </w:tcPr>
          <w:p w:rsidR="00E53DEB" w:rsidRPr="002012BC" w:rsidRDefault="00E53DEB" w:rsidP="00706951">
            <w:pPr>
              <w:rPr>
                <w:rFonts w:ascii="Times New Roman" w:hAnsi="Times New Roman" w:cs="Times New Roman"/>
                <w:color w:val="auto"/>
                <w:sz w:val="14"/>
                <w:szCs w:val="14"/>
              </w:rPr>
            </w:pPr>
          </w:p>
        </w:tc>
      </w:tr>
      <w:tr w:rsidR="00E53DEB" w:rsidRPr="002012BC" w:rsidTr="00706951">
        <w:trPr>
          <w:trHeight w:val="170"/>
        </w:trPr>
        <w:tc>
          <w:tcPr>
            <w:tcW w:w="2227" w:type="dxa"/>
            <w:tcBorders>
              <w:top w:val="single" w:sz="2" w:space="0" w:color="000000"/>
              <w:left w:val="nil"/>
              <w:bottom w:val="nil"/>
              <w:right w:val="nil"/>
            </w:tcBorders>
            <w:shd w:val="clear" w:color="auto" w:fill="EFEFEF"/>
          </w:tcPr>
          <w:p w:rsidR="00E53DEB" w:rsidRPr="002012BC" w:rsidRDefault="00E53DEB" w:rsidP="00706951">
            <w:pPr>
              <w:ind w:left="84"/>
              <w:rPr>
                <w:rFonts w:ascii="Times New Roman" w:hAnsi="Times New Roman" w:cs="Times New Roman"/>
                <w:color w:val="auto"/>
              </w:rPr>
            </w:pPr>
            <w:r w:rsidRPr="002012BC">
              <w:rPr>
                <w:rFonts w:ascii="Times New Roman" w:hAnsi="Times New Roman" w:cs="Times New Roman"/>
                <w:color w:val="auto"/>
                <w:sz w:val="14"/>
              </w:rPr>
              <w:t>1. Knowledge of the rules</w:t>
            </w:r>
          </w:p>
        </w:tc>
        <w:tc>
          <w:tcPr>
            <w:tcW w:w="3271" w:type="dxa"/>
            <w:tcBorders>
              <w:top w:val="single" w:sz="2" w:space="0" w:color="000000"/>
              <w:left w:val="nil"/>
              <w:bottom w:val="nil"/>
              <w:right w:val="nil"/>
            </w:tcBorders>
            <w:shd w:val="clear" w:color="auto" w:fill="EFEFEF"/>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4"/>
              </w:rPr>
              <w:t>An unfamiliarity of regulations and/or a lack of clarity</w:t>
            </w:r>
          </w:p>
        </w:tc>
        <w:tc>
          <w:tcPr>
            <w:tcW w:w="2819" w:type="dxa"/>
            <w:tcBorders>
              <w:top w:val="single" w:sz="2" w:space="0" w:color="000000"/>
              <w:left w:val="nil"/>
              <w:bottom w:val="nil"/>
              <w:right w:val="nil"/>
            </w:tcBorders>
            <w:shd w:val="clear" w:color="auto" w:fill="EFEFEF"/>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4"/>
              </w:rPr>
              <w:t>Target communications and training</w:t>
            </w:r>
          </w:p>
        </w:tc>
      </w:tr>
      <w:tr w:rsidR="00E53DEB" w:rsidRPr="002012BC" w:rsidTr="00706951">
        <w:trPr>
          <w:trHeight w:val="167"/>
        </w:trPr>
        <w:tc>
          <w:tcPr>
            <w:tcW w:w="2227" w:type="dxa"/>
            <w:tcBorders>
              <w:top w:val="nil"/>
              <w:left w:val="nil"/>
              <w:bottom w:val="nil"/>
              <w:right w:val="nil"/>
            </w:tcBorders>
            <w:shd w:val="clear" w:color="auto" w:fill="EFEFEF"/>
          </w:tcPr>
          <w:p w:rsidR="00E53DEB" w:rsidRPr="002012BC" w:rsidRDefault="00E53DEB" w:rsidP="00706951">
            <w:pPr>
              <w:rPr>
                <w:rFonts w:ascii="Times New Roman" w:hAnsi="Times New Roman" w:cs="Times New Roman"/>
                <w:color w:val="auto"/>
              </w:rPr>
            </w:pPr>
          </w:p>
        </w:tc>
        <w:tc>
          <w:tcPr>
            <w:tcW w:w="3271" w:type="dxa"/>
            <w:tcBorders>
              <w:top w:val="nil"/>
              <w:left w:val="nil"/>
              <w:bottom w:val="nil"/>
              <w:right w:val="nil"/>
            </w:tcBorders>
            <w:shd w:val="clear" w:color="auto" w:fill="EFEFEF"/>
          </w:tcPr>
          <w:p w:rsidR="00E53DEB" w:rsidRPr="002012BC" w:rsidRDefault="00E53DEB" w:rsidP="00706951">
            <w:pPr>
              <w:rPr>
                <w:rFonts w:ascii="Times New Roman" w:hAnsi="Times New Roman" w:cs="Times New Roman"/>
                <w:color w:val="auto"/>
              </w:rPr>
            </w:pPr>
            <w:proofErr w:type="gramStart"/>
            <w:r w:rsidRPr="002012BC">
              <w:rPr>
                <w:rFonts w:ascii="Times New Roman" w:hAnsi="Times New Roman" w:cs="Times New Roman"/>
                <w:color w:val="auto"/>
                <w:sz w:val="14"/>
              </w:rPr>
              <w:t>of</w:t>
            </w:r>
            <w:proofErr w:type="gramEnd"/>
            <w:r w:rsidRPr="002012BC">
              <w:rPr>
                <w:rFonts w:ascii="Times New Roman" w:hAnsi="Times New Roman" w:cs="Times New Roman"/>
                <w:color w:val="auto"/>
                <w:sz w:val="14"/>
              </w:rPr>
              <w:t xml:space="preserve"> regulations leads to inadvertent non-compliance.</w:t>
            </w:r>
          </w:p>
        </w:tc>
        <w:tc>
          <w:tcPr>
            <w:tcW w:w="2819" w:type="dxa"/>
            <w:tcBorders>
              <w:top w:val="nil"/>
              <w:left w:val="nil"/>
              <w:bottom w:val="nil"/>
              <w:right w:val="nil"/>
            </w:tcBorders>
            <w:shd w:val="clear" w:color="auto" w:fill="EFEFEF"/>
          </w:tcPr>
          <w:p w:rsidR="00E53DEB" w:rsidRPr="002012BC" w:rsidRDefault="00E53DEB" w:rsidP="00706951">
            <w:pPr>
              <w:rPr>
                <w:rFonts w:ascii="Times New Roman" w:hAnsi="Times New Roman" w:cs="Times New Roman"/>
                <w:color w:val="auto"/>
              </w:rPr>
            </w:pPr>
            <w:proofErr w:type="gramStart"/>
            <w:r w:rsidRPr="002012BC">
              <w:rPr>
                <w:rFonts w:ascii="Times New Roman" w:hAnsi="Times New Roman" w:cs="Times New Roman"/>
                <w:color w:val="auto"/>
                <w:sz w:val="14"/>
              </w:rPr>
              <w:t>about</w:t>
            </w:r>
            <w:proofErr w:type="gramEnd"/>
            <w:r w:rsidRPr="002012BC">
              <w:rPr>
                <w:rFonts w:ascii="Times New Roman" w:hAnsi="Times New Roman" w:cs="Times New Roman"/>
                <w:color w:val="auto"/>
                <w:sz w:val="14"/>
              </w:rPr>
              <w:t xml:space="preserve"> regulations.</w:t>
            </w:r>
          </w:p>
        </w:tc>
      </w:tr>
      <w:tr w:rsidR="00E53DEB" w:rsidRPr="002012BC" w:rsidTr="00706951">
        <w:trPr>
          <w:trHeight w:val="168"/>
        </w:trPr>
        <w:tc>
          <w:tcPr>
            <w:tcW w:w="2227" w:type="dxa"/>
            <w:tcBorders>
              <w:top w:val="nil"/>
              <w:left w:val="nil"/>
              <w:bottom w:val="nil"/>
              <w:right w:val="nil"/>
            </w:tcBorders>
          </w:tcPr>
          <w:p w:rsidR="00E53DEB" w:rsidRPr="002012BC" w:rsidRDefault="00E53DEB" w:rsidP="00706951">
            <w:pPr>
              <w:ind w:left="84"/>
              <w:rPr>
                <w:rFonts w:ascii="Times New Roman" w:hAnsi="Times New Roman" w:cs="Times New Roman"/>
                <w:color w:val="auto"/>
              </w:rPr>
            </w:pPr>
            <w:r w:rsidRPr="002012BC">
              <w:rPr>
                <w:rFonts w:ascii="Times New Roman" w:hAnsi="Times New Roman" w:cs="Times New Roman"/>
                <w:color w:val="auto"/>
                <w:sz w:val="14"/>
              </w:rPr>
              <w:t>2. Costs and benefits</w:t>
            </w:r>
          </w:p>
        </w:tc>
        <w:tc>
          <w:tcPr>
            <w:tcW w:w="3271" w:type="dxa"/>
            <w:tcBorders>
              <w:top w:val="nil"/>
              <w:left w:val="nil"/>
              <w:bottom w:val="nil"/>
              <w:right w:val="nil"/>
            </w:tcBorders>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4"/>
              </w:rPr>
              <w:t>Financial and intangible costs and benefits influence</w:t>
            </w:r>
          </w:p>
        </w:tc>
        <w:tc>
          <w:tcPr>
            <w:tcW w:w="2819" w:type="dxa"/>
            <w:tcBorders>
              <w:top w:val="nil"/>
              <w:left w:val="nil"/>
              <w:bottom w:val="nil"/>
              <w:right w:val="nil"/>
            </w:tcBorders>
          </w:tcPr>
          <w:p w:rsidR="00E53DEB" w:rsidRPr="002012BC" w:rsidRDefault="00E53DEB" w:rsidP="00706951">
            <w:pPr>
              <w:rPr>
                <w:rFonts w:ascii="Times New Roman" w:hAnsi="Times New Roman" w:cs="Times New Roman"/>
                <w:color w:val="auto"/>
              </w:rPr>
            </w:pPr>
            <w:proofErr w:type="spellStart"/>
            <w:r w:rsidRPr="002012BC">
              <w:rPr>
                <w:rFonts w:ascii="Times New Roman" w:hAnsi="Times New Roman" w:cs="Times New Roman"/>
                <w:color w:val="auto"/>
                <w:sz w:val="14"/>
              </w:rPr>
              <w:t>Subsize</w:t>
            </w:r>
            <w:proofErr w:type="spellEnd"/>
            <w:r w:rsidRPr="002012BC">
              <w:rPr>
                <w:rFonts w:ascii="Times New Roman" w:hAnsi="Times New Roman" w:cs="Times New Roman"/>
                <w:color w:val="auto"/>
                <w:sz w:val="14"/>
              </w:rPr>
              <w:t xml:space="preserve"> compliant actors, price regulations,</w:t>
            </w:r>
          </w:p>
        </w:tc>
      </w:tr>
      <w:tr w:rsidR="00E53DEB" w:rsidRPr="002012BC" w:rsidTr="00706951">
        <w:trPr>
          <w:trHeight w:val="501"/>
        </w:trPr>
        <w:tc>
          <w:tcPr>
            <w:tcW w:w="2227" w:type="dxa"/>
            <w:tcBorders>
              <w:top w:val="nil"/>
              <w:left w:val="nil"/>
              <w:bottom w:val="nil"/>
              <w:right w:val="nil"/>
            </w:tcBorders>
          </w:tcPr>
          <w:p w:rsidR="00E53DEB" w:rsidRPr="002012BC" w:rsidRDefault="00E53DEB" w:rsidP="00706951">
            <w:pPr>
              <w:rPr>
                <w:rFonts w:ascii="Times New Roman" w:hAnsi="Times New Roman" w:cs="Times New Roman"/>
                <w:color w:val="auto"/>
              </w:rPr>
            </w:pPr>
          </w:p>
        </w:tc>
        <w:tc>
          <w:tcPr>
            <w:tcW w:w="3271" w:type="dxa"/>
            <w:tcBorders>
              <w:top w:val="nil"/>
              <w:left w:val="nil"/>
              <w:bottom w:val="nil"/>
              <w:right w:val="nil"/>
            </w:tcBorders>
          </w:tcPr>
          <w:p w:rsidR="00E53DEB" w:rsidRPr="002012BC" w:rsidRDefault="00E53DEB" w:rsidP="00706951">
            <w:pPr>
              <w:rPr>
                <w:rFonts w:ascii="Times New Roman" w:hAnsi="Times New Roman" w:cs="Times New Roman"/>
                <w:color w:val="auto"/>
              </w:rPr>
            </w:pPr>
            <w:proofErr w:type="gramStart"/>
            <w:r w:rsidRPr="002012BC">
              <w:rPr>
                <w:rFonts w:ascii="Times New Roman" w:hAnsi="Times New Roman" w:cs="Times New Roman"/>
                <w:color w:val="auto"/>
                <w:sz w:val="14"/>
              </w:rPr>
              <w:t>non-compliance</w:t>
            </w:r>
            <w:proofErr w:type="gramEnd"/>
            <w:r w:rsidRPr="002012BC">
              <w:rPr>
                <w:rFonts w:ascii="Times New Roman" w:hAnsi="Times New Roman" w:cs="Times New Roman"/>
                <w:color w:val="auto"/>
                <w:sz w:val="14"/>
              </w:rPr>
              <w:t>. This includes the financial costs and benefits of compliance versus non-compliance and the intangible costs and benefits to public reputation.</w:t>
            </w:r>
          </w:p>
        </w:tc>
        <w:tc>
          <w:tcPr>
            <w:tcW w:w="2819" w:type="dxa"/>
            <w:tcBorders>
              <w:top w:val="nil"/>
              <w:left w:val="nil"/>
              <w:bottom w:val="nil"/>
              <w:right w:val="nil"/>
            </w:tcBorders>
          </w:tcPr>
          <w:p w:rsidR="00E53DEB" w:rsidRPr="002012BC" w:rsidRDefault="00E53DEB" w:rsidP="00706951">
            <w:pPr>
              <w:rPr>
                <w:rFonts w:ascii="Times New Roman" w:hAnsi="Times New Roman" w:cs="Times New Roman"/>
                <w:color w:val="auto"/>
              </w:rPr>
            </w:pPr>
            <w:proofErr w:type="gramStart"/>
            <w:r w:rsidRPr="002012BC">
              <w:rPr>
                <w:rFonts w:ascii="Times New Roman" w:hAnsi="Times New Roman" w:cs="Times New Roman"/>
                <w:color w:val="auto"/>
                <w:sz w:val="14"/>
              </w:rPr>
              <w:t>certification</w:t>
            </w:r>
            <w:proofErr w:type="gramEnd"/>
            <w:r w:rsidRPr="002012BC">
              <w:rPr>
                <w:rFonts w:ascii="Times New Roman" w:hAnsi="Times New Roman" w:cs="Times New Roman"/>
                <w:color w:val="auto"/>
                <w:sz w:val="14"/>
              </w:rPr>
              <w:t xml:space="preserve"> of good conduct.</w:t>
            </w:r>
          </w:p>
        </w:tc>
      </w:tr>
      <w:tr w:rsidR="00E53DEB" w:rsidRPr="002012BC" w:rsidTr="00706951">
        <w:trPr>
          <w:trHeight w:val="168"/>
        </w:trPr>
        <w:tc>
          <w:tcPr>
            <w:tcW w:w="2227" w:type="dxa"/>
            <w:tcBorders>
              <w:top w:val="nil"/>
              <w:left w:val="nil"/>
              <w:bottom w:val="nil"/>
              <w:right w:val="nil"/>
            </w:tcBorders>
            <w:shd w:val="clear" w:color="auto" w:fill="EFEFEF"/>
          </w:tcPr>
          <w:p w:rsidR="00E53DEB" w:rsidRPr="002012BC" w:rsidRDefault="00E53DEB" w:rsidP="00706951">
            <w:pPr>
              <w:ind w:left="84"/>
              <w:rPr>
                <w:rFonts w:ascii="Times New Roman" w:hAnsi="Times New Roman" w:cs="Times New Roman"/>
                <w:color w:val="auto"/>
              </w:rPr>
            </w:pPr>
            <w:r w:rsidRPr="002012BC">
              <w:rPr>
                <w:rFonts w:ascii="Times New Roman" w:hAnsi="Times New Roman" w:cs="Times New Roman"/>
                <w:color w:val="auto"/>
                <w:sz w:val="14"/>
              </w:rPr>
              <w:t>3. Degree of acceptance</w:t>
            </w:r>
          </w:p>
        </w:tc>
        <w:tc>
          <w:tcPr>
            <w:tcW w:w="3271" w:type="dxa"/>
            <w:tcBorders>
              <w:top w:val="nil"/>
              <w:left w:val="nil"/>
              <w:bottom w:val="nil"/>
              <w:right w:val="nil"/>
            </w:tcBorders>
            <w:shd w:val="clear" w:color="auto" w:fill="EFEFEF"/>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4"/>
              </w:rPr>
              <w:t>Individual acceptance of the reasonableness of the regulation.</w:t>
            </w:r>
          </w:p>
        </w:tc>
        <w:tc>
          <w:tcPr>
            <w:tcW w:w="2819" w:type="dxa"/>
            <w:tcBorders>
              <w:top w:val="nil"/>
              <w:left w:val="nil"/>
              <w:bottom w:val="nil"/>
              <w:right w:val="nil"/>
            </w:tcBorders>
            <w:shd w:val="clear" w:color="auto" w:fill="EFEFEF"/>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4"/>
              </w:rPr>
              <w:t xml:space="preserve">Encourage self-regulation by placing responsibility for the policy’s success on the </w:t>
            </w:r>
            <w:proofErr w:type="spellStart"/>
            <w:r w:rsidRPr="002012BC">
              <w:rPr>
                <w:rFonts w:ascii="Times New Roman" w:hAnsi="Times New Roman" w:cs="Times New Roman"/>
                <w:color w:val="auto"/>
                <w:sz w:val="14"/>
              </w:rPr>
              <w:t>inspectees</w:t>
            </w:r>
            <w:proofErr w:type="spellEnd"/>
            <w:r w:rsidRPr="002012BC">
              <w:rPr>
                <w:rFonts w:ascii="Times New Roman" w:hAnsi="Times New Roman" w:cs="Times New Roman"/>
                <w:color w:val="auto"/>
                <w:sz w:val="14"/>
              </w:rPr>
              <w:t xml:space="preserve"> themselves.</w:t>
            </w:r>
          </w:p>
        </w:tc>
      </w:tr>
      <w:tr w:rsidR="00E53DEB" w:rsidRPr="002012BC" w:rsidTr="00706951">
        <w:trPr>
          <w:trHeight w:val="168"/>
        </w:trPr>
        <w:tc>
          <w:tcPr>
            <w:tcW w:w="2227" w:type="dxa"/>
            <w:tcBorders>
              <w:top w:val="nil"/>
              <w:left w:val="nil"/>
              <w:right w:val="nil"/>
            </w:tcBorders>
            <w:shd w:val="clear" w:color="auto" w:fill="FFFFFF" w:themeFill="background1"/>
          </w:tcPr>
          <w:p w:rsidR="00E53DEB" w:rsidRPr="002012BC" w:rsidRDefault="00E53DEB" w:rsidP="00706951">
            <w:pPr>
              <w:ind w:left="84"/>
              <w:rPr>
                <w:rFonts w:ascii="Times New Roman" w:hAnsi="Times New Roman" w:cs="Times New Roman"/>
                <w:color w:val="auto"/>
                <w:sz w:val="14"/>
              </w:rPr>
            </w:pPr>
            <w:r w:rsidRPr="002012BC">
              <w:rPr>
                <w:rFonts w:ascii="Times New Roman" w:hAnsi="Times New Roman" w:cs="Times New Roman"/>
                <w:color w:val="auto"/>
                <w:sz w:val="14"/>
              </w:rPr>
              <w:t>4. Adherence to standards</w:t>
            </w:r>
          </w:p>
        </w:tc>
        <w:tc>
          <w:tcPr>
            <w:tcW w:w="3271" w:type="dxa"/>
            <w:tcBorders>
              <w:top w:val="nil"/>
              <w:left w:val="nil"/>
              <w:right w:val="nil"/>
            </w:tcBorders>
            <w:shd w:val="clear" w:color="auto" w:fill="FFFFFF" w:themeFill="background1"/>
          </w:tcPr>
          <w:p w:rsidR="00E53DEB" w:rsidRPr="002012BC" w:rsidRDefault="00E53DEB" w:rsidP="00706951">
            <w:pPr>
              <w:rPr>
                <w:rFonts w:ascii="Times New Roman" w:hAnsi="Times New Roman" w:cs="Times New Roman"/>
                <w:color w:val="auto"/>
                <w:sz w:val="14"/>
              </w:rPr>
            </w:pPr>
            <w:r w:rsidRPr="002012BC">
              <w:rPr>
                <w:rFonts w:ascii="Times New Roman" w:hAnsi="Times New Roman" w:cs="Times New Roman"/>
                <w:color w:val="auto"/>
                <w:sz w:val="14"/>
              </w:rPr>
              <w:t xml:space="preserve">The degree of willingness of the </w:t>
            </w:r>
            <w:proofErr w:type="spellStart"/>
            <w:r w:rsidRPr="002012BC">
              <w:rPr>
                <w:rFonts w:ascii="Times New Roman" w:hAnsi="Times New Roman" w:cs="Times New Roman"/>
                <w:color w:val="auto"/>
                <w:sz w:val="14"/>
              </w:rPr>
              <w:t>inspectee</w:t>
            </w:r>
            <w:proofErr w:type="spellEnd"/>
            <w:r w:rsidRPr="002012BC">
              <w:rPr>
                <w:rFonts w:ascii="Times New Roman" w:hAnsi="Times New Roman" w:cs="Times New Roman"/>
                <w:color w:val="auto"/>
                <w:sz w:val="14"/>
              </w:rPr>
              <w:t xml:space="preserve"> to conform to the authority of the government.</w:t>
            </w:r>
          </w:p>
        </w:tc>
        <w:tc>
          <w:tcPr>
            <w:tcW w:w="2819" w:type="dxa"/>
            <w:tcBorders>
              <w:top w:val="nil"/>
              <w:left w:val="nil"/>
              <w:right w:val="nil"/>
            </w:tcBorders>
            <w:shd w:val="clear" w:color="auto" w:fill="FFFFFF" w:themeFill="background1"/>
          </w:tcPr>
          <w:p w:rsidR="00E53DEB" w:rsidRPr="002012BC" w:rsidRDefault="00E53DEB" w:rsidP="00706951">
            <w:pPr>
              <w:rPr>
                <w:rFonts w:ascii="Times New Roman" w:hAnsi="Times New Roman" w:cs="Times New Roman"/>
                <w:color w:val="auto"/>
                <w:sz w:val="14"/>
              </w:rPr>
            </w:pPr>
            <w:r w:rsidRPr="002012BC">
              <w:rPr>
                <w:rFonts w:ascii="Times New Roman" w:hAnsi="Times New Roman" w:cs="Times New Roman"/>
                <w:color w:val="auto"/>
                <w:sz w:val="14"/>
              </w:rPr>
              <w:t>Education on the policy’s purpose.</w:t>
            </w:r>
          </w:p>
        </w:tc>
      </w:tr>
      <w:tr w:rsidR="00E53DEB" w:rsidRPr="002012BC" w:rsidTr="00706951">
        <w:trPr>
          <w:trHeight w:val="168"/>
        </w:trPr>
        <w:tc>
          <w:tcPr>
            <w:tcW w:w="2227" w:type="dxa"/>
            <w:tcBorders>
              <w:top w:val="nil"/>
              <w:left w:val="nil"/>
              <w:bottom w:val="single" w:sz="4" w:space="0" w:color="auto"/>
              <w:right w:val="nil"/>
            </w:tcBorders>
            <w:shd w:val="clear" w:color="auto" w:fill="EFEFEF"/>
          </w:tcPr>
          <w:p w:rsidR="00E53DEB" w:rsidRPr="002012BC" w:rsidRDefault="00E53DEB" w:rsidP="00706951">
            <w:pPr>
              <w:ind w:left="84"/>
              <w:rPr>
                <w:rFonts w:ascii="Times New Roman" w:hAnsi="Times New Roman" w:cs="Times New Roman"/>
                <w:color w:val="auto"/>
              </w:rPr>
            </w:pPr>
            <w:r w:rsidRPr="002012BC">
              <w:rPr>
                <w:rFonts w:ascii="Times New Roman" w:hAnsi="Times New Roman" w:cs="Times New Roman"/>
                <w:color w:val="auto"/>
                <w:sz w:val="14"/>
              </w:rPr>
              <w:t>5. Social control</w:t>
            </w:r>
          </w:p>
        </w:tc>
        <w:tc>
          <w:tcPr>
            <w:tcW w:w="3271" w:type="dxa"/>
            <w:tcBorders>
              <w:top w:val="nil"/>
              <w:left w:val="nil"/>
              <w:bottom w:val="single" w:sz="4" w:space="0" w:color="auto"/>
              <w:right w:val="nil"/>
            </w:tcBorders>
            <w:shd w:val="clear" w:color="auto" w:fill="EFEFEF"/>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4"/>
              </w:rPr>
              <w:t xml:space="preserve">The </w:t>
            </w:r>
            <w:proofErr w:type="spellStart"/>
            <w:r w:rsidRPr="002012BC">
              <w:rPr>
                <w:rFonts w:ascii="Times New Roman" w:hAnsi="Times New Roman" w:cs="Times New Roman"/>
                <w:color w:val="auto"/>
                <w:sz w:val="14"/>
              </w:rPr>
              <w:t>inspectees</w:t>
            </w:r>
            <w:proofErr w:type="spellEnd"/>
            <w:r w:rsidRPr="002012BC">
              <w:rPr>
                <w:rFonts w:ascii="Times New Roman" w:hAnsi="Times New Roman" w:cs="Times New Roman"/>
                <w:color w:val="auto"/>
                <w:sz w:val="14"/>
              </w:rPr>
              <w:t>’ perceived probability of positive or negative sanctions and/or backlash for their behavior by other actors in their social network, such as competitors, other companies, other nongovernmental monitoring organizations, and customers.</w:t>
            </w:r>
          </w:p>
        </w:tc>
        <w:tc>
          <w:tcPr>
            <w:tcW w:w="2819" w:type="dxa"/>
            <w:tcBorders>
              <w:top w:val="nil"/>
              <w:left w:val="nil"/>
              <w:bottom w:val="single" w:sz="4" w:space="0" w:color="auto"/>
              <w:right w:val="nil"/>
            </w:tcBorders>
            <w:shd w:val="clear" w:color="auto" w:fill="EFEFEF"/>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4"/>
              </w:rPr>
              <w:t xml:space="preserve">Provide information to </w:t>
            </w:r>
            <w:proofErr w:type="gramStart"/>
            <w:r w:rsidRPr="002012BC">
              <w:rPr>
                <w:rFonts w:ascii="Times New Roman" w:hAnsi="Times New Roman" w:cs="Times New Roman"/>
                <w:color w:val="auto"/>
                <w:sz w:val="14"/>
              </w:rPr>
              <w:t>the social network on quality standards and how they can better identify non-compliance</w:t>
            </w:r>
            <w:proofErr w:type="gramEnd"/>
            <w:r w:rsidRPr="002012BC">
              <w:rPr>
                <w:rFonts w:ascii="Times New Roman" w:hAnsi="Times New Roman" w:cs="Times New Roman"/>
                <w:color w:val="auto"/>
                <w:sz w:val="14"/>
              </w:rPr>
              <w:t>.</w:t>
            </w:r>
          </w:p>
        </w:tc>
      </w:tr>
    </w:tbl>
    <w:p w:rsidR="00E53DEB" w:rsidRPr="002012BC" w:rsidRDefault="00E53DEB" w:rsidP="00E53DEB">
      <w:pPr>
        <w:pStyle w:val="Heading3"/>
        <w:rPr>
          <w:rFonts w:ascii="Times New Roman" w:hAnsi="Times New Roman" w:cs="Times New Roman"/>
          <w:color w:val="auto"/>
        </w:rPr>
      </w:pPr>
      <w:r w:rsidRPr="002012BC">
        <w:rPr>
          <w:rFonts w:ascii="Times New Roman" w:hAnsi="Times New Roman" w:cs="Times New Roman"/>
          <w:color w:val="auto"/>
        </w:rPr>
        <w:t>Enforcement-driven Behavior</w:t>
      </w:r>
    </w:p>
    <w:tbl>
      <w:tblPr>
        <w:tblStyle w:val="TableGrid"/>
        <w:tblW w:w="8317" w:type="dxa"/>
        <w:tblInd w:w="35" w:type="dxa"/>
        <w:tblCellMar>
          <w:top w:w="21" w:type="dxa"/>
          <w:right w:w="84" w:type="dxa"/>
        </w:tblCellMar>
        <w:tblLook w:val="04A0" w:firstRow="1" w:lastRow="0" w:firstColumn="1" w:lastColumn="0" w:noHBand="0" w:noVBand="1"/>
      </w:tblPr>
      <w:tblGrid>
        <w:gridCol w:w="2227"/>
        <w:gridCol w:w="3271"/>
        <w:gridCol w:w="2819"/>
      </w:tblGrid>
      <w:tr w:rsidR="00E53DEB" w:rsidRPr="002012BC" w:rsidTr="00706951">
        <w:trPr>
          <w:trHeight w:val="171"/>
        </w:trPr>
        <w:tc>
          <w:tcPr>
            <w:tcW w:w="2227" w:type="dxa"/>
            <w:tcBorders>
              <w:top w:val="single" w:sz="2" w:space="0" w:color="000000"/>
              <w:left w:val="nil"/>
              <w:bottom w:val="nil"/>
              <w:right w:val="nil"/>
            </w:tcBorders>
          </w:tcPr>
          <w:p w:rsidR="00E53DEB" w:rsidRPr="002012BC" w:rsidRDefault="00E53DEB" w:rsidP="00706951">
            <w:pPr>
              <w:ind w:left="84"/>
              <w:rPr>
                <w:rFonts w:ascii="Times New Roman" w:hAnsi="Times New Roman" w:cs="Times New Roman"/>
                <w:color w:val="auto"/>
              </w:rPr>
            </w:pPr>
            <w:r w:rsidRPr="002012BC">
              <w:rPr>
                <w:rFonts w:ascii="Times New Roman" w:hAnsi="Times New Roman" w:cs="Times New Roman"/>
                <w:color w:val="auto"/>
                <w:sz w:val="14"/>
              </w:rPr>
              <w:t>6. Perceived likelihood of being reported to the government</w:t>
            </w:r>
          </w:p>
        </w:tc>
        <w:tc>
          <w:tcPr>
            <w:tcW w:w="3271" w:type="dxa"/>
            <w:tcBorders>
              <w:top w:val="single" w:sz="2" w:space="0" w:color="000000"/>
              <w:left w:val="nil"/>
              <w:bottom w:val="nil"/>
              <w:right w:val="nil"/>
            </w:tcBorders>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4"/>
              </w:rPr>
              <w:t>Perceived probability that a violation will be detection by parties other than the government who then report it to the government.</w:t>
            </w:r>
          </w:p>
        </w:tc>
        <w:tc>
          <w:tcPr>
            <w:tcW w:w="2819" w:type="dxa"/>
            <w:tcBorders>
              <w:top w:val="single" w:sz="2" w:space="0" w:color="000000"/>
              <w:left w:val="nil"/>
              <w:bottom w:val="nil"/>
              <w:right w:val="nil"/>
            </w:tcBorders>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4"/>
              </w:rPr>
              <w:t>Set up click lines and improve the accessibility of inspectorates, stimulate willingness to report.</w:t>
            </w:r>
          </w:p>
        </w:tc>
      </w:tr>
      <w:tr w:rsidR="00E53DEB" w:rsidRPr="002012BC" w:rsidTr="00706951">
        <w:trPr>
          <w:trHeight w:val="168"/>
        </w:trPr>
        <w:tc>
          <w:tcPr>
            <w:tcW w:w="2227" w:type="dxa"/>
            <w:tcBorders>
              <w:top w:val="nil"/>
              <w:left w:val="nil"/>
              <w:bottom w:val="nil"/>
              <w:right w:val="nil"/>
            </w:tcBorders>
            <w:shd w:val="clear" w:color="auto" w:fill="EFEFEF"/>
          </w:tcPr>
          <w:p w:rsidR="00E53DEB" w:rsidRPr="002012BC" w:rsidRDefault="00E53DEB" w:rsidP="00706951">
            <w:pPr>
              <w:ind w:left="84"/>
              <w:rPr>
                <w:rFonts w:ascii="Times New Roman" w:hAnsi="Times New Roman" w:cs="Times New Roman"/>
                <w:color w:val="auto"/>
              </w:rPr>
            </w:pPr>
            <w:r w:rsidRPr="002012BC">
              <w:rPr>
                <w:rFonts w:ascii="Times New Roman" w:hAnsi="Times New Roman" w:cs="Times New Roman"/>
                <w:color w:val="auto"/>
                <w:sz w:val="14"/>
              </w:rPr>
              <w:t>7. Perceived likelihood of</w:t>
            </w:r>
          </w:p>
        </w:tc>
        <w:tc>
          <w:tcPr>
            <w:tcW w:w="3271" w:type="dxa"/>
            <w:tcBorders>
              <w:top w:val="nil"/>
              <w:left w:val="nil"/>
              <w:bottom w:val="nil"/>
              <w:right w:val="nil"/>
            </w:tcBorders>
            <w:shd w:val="clear" w:color="auto" w:fill="EFEFEF"/>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4"/>
              </w:rPr>
              <w:t>Perceived probability of inspection by the government.</w:t>
            </w:r>
          </w:p>
        </w:tc>
        <w:tc>
          <w:tcPr>
            <w:tcW w:w="2819" w:type="dxa"/>
            <w:tcBorders>
              <w:top w:val="nil"/>
              <w:left w:val="nil"/>
              <w:bottom w:val="nil"/>
              <w:right w:val="nil"/>
            </w:tcBorders>
            <w:shd w:val="clear" w:color="auto" w:fill="EFEFEF"/>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4"/>
              </w:rPr>
              <w:t>Publicize information about inspection</w:t>
            </w:r>
          </w:p>
        </w:tc>
      </w:tr>
      <w:tr w:rsidR="00E53DEB" w:rsidRPr="002012BC" w:rsidTr="00706951">
        <w:trPr>
          <w:trHeight w:val="167"/>
        </w:trPr>
        <w:tc>
          <w:tcPr>
            <w:tcW w:w="2227" w:type="dxa"/>
            <w:tcBorders>
              <w:top w:val="nil"/>
              <w:left w:val="nil"/>
              <w:bottom w:val="nil"/>
              <w:right w:val="nil"/>
            </w:tcBorders>
            <w:shd w:val="clear" w:color="auto" w:fill="EFEFEF"/>
          </w:tcPr>
          <w:p w:rsidR="00E53DEB" w:rsidRPr="002012BC" w:rsidRDefault="00E53DEB" w:rsidP="00706951">
            <w:pPr>
              <w:ind w:left="84"/>
              <w:rPr>
                <w:rFonts w:ascii="Times New Roman" w:hAnsi="Times New Roman" w:cs="Times New Roman"/>
                <w:color w:val="auto"/>
              </w:rPr>
            </w:pPr>
            <w:r w:rsidRPr="002012BC">
              <w:rPr>
                <w:rFonts w:ascii="Times New Roman" w:hAnsi="Times New Roman" w:cs="Times New Roman"/>
                <w:color w:val="auto"/>
                <w:sz w:val="14"/>
              </w:rPr>
              <w:t>administrative or physical control</w:t>
            </w:r>
          </w:p>
        </w:tc>
        <w:tc>
          <w:tcPr>
            <w:tcW w:w="3271" w:type="dxa"/>
            <w:tcBorders>
              <w:top w:val="nil"/>
              <w:left w:val="nil"/>
              <w:bottom w:val="nil"/>
              <w:right w:val="nil"/>
            </w:tcBorders>
            <w:shd w:val="clear" w:color="auto" w:fill="EFEFEF"/>
          </w:tcPr>
          <w:p w:rsidR="00E53DEB" w:rsidRPr="002012BC" w:rsidRDefault="00E53DEB" w:rsidP="00706951">
            <w:pPr>
              <w:rPr>
                <w:rFonts w:ascii="Times New Roman" w:hAnsi="Times New Roman" w:cs="Times New Roman"/>
                <w:color w:val="auto"/>
              </w:rPr>
            </w:pPr>
          </w:p>
        </w:tc>
        <w:tc>
          <w:tcPr>
            <w:tcW w:w="2819" w:type="dxa"/>
            <w:tcBorders>
              <w:top w:val="nil"/>
              <w:left w:val="nil"/>
              <w:bottom w:val="nil"/>
              <w:right w:val="nil"/>
            </w:tcBorders>
            <w:shd w:val="clear" w:color="auto" w:fill="EFEFEF"/>
          </w:tcPr>
          <w:p w:rsidR="00E53DEB" w:rsidRPr="002012BC" w:rsidRDefault="00E53DEB" w:rsidP="00706951">
            <w:pPr>
              <w:rPr>
                <w:rFonts w:ascii="Times New Roman" w:hAnsi="Times New Roman" w:cs="Times New Roman"/>
                <w:color w:val="auto"/>
              </w:rPr>
            </w:pPr>
            <w:proofErr w:type="gramStart"/>
            <w:r w:rsidRPr="002012BC">
              <w:rPr>
                <w:rFonts w:ascii="Times New Roman" w:hAnsi="Times New Roman" w:cs="Times New Roman"/>
                <w:color w:val="auto"/>
                <w:sz w:val="14"/>
              </w:rPr>
              <w:t>probabilities</w:t>
            </w:r>
            <w:proofErr w:type="gramEnd"/>
            <w:r w:rsidRPr="002012BC">
              <w:rPr>
                <w:rFonts w:ascii="Times New Roman" w:hAnsi="Times New Roman" w:cs="Times New Roman"/>
                <w:color w:val="auto"/>
                <w:sz w:val="14"/>
              </w:rPr>
              <w:t>, increase inspection capacity.</w:t>
            </w:r>
          </w:p>
        </w:tc>
      </w:tr>
      <w:tr w:rsidR="00E53DEB" w:rsidRPr="002012BC" w:rsidTr="00706951">
        <w:trPr>
          <w:trHeight w:val="168"/>
        </w:trPr>
        <w:tc>
          <w:tcPr>
            <w:tcW w:w="2227" w:type="dxa"/>
            <w:tcBorders>
              <w:top w:val="nil"/>
              <w:left w:val="nil"/>
              <w:bottom w:val="nil"/>
              <w:right w:val="nil"/>
            </w:tcBorders>
          </w:tcPr>
          <w:p w:rsidR="00E53DEB" w:rsidRPr="002012BC" w:rsidRDefault="00E53DEB" w:rsidP="00706951">
            <w:pPr>
              <w:ind w:left="84"/>
              <w:rPr>
                <w:rFonts w:ascii="Times New Roman" w:hAnsi="Times New Roman" w:cs="Times New Roman"/>
                <w:color w:val="auto"/>
              </w:rPr>
            </w:pPr>
            <w:r w:rsidRPr="002012BC">
              <w:rPr>
                <w:rFonts w:ascii="Times New Roman" w:hAnsi="Times New Roman" w:cs="Times New Roman"/>
                <w:color w:val="auto"/>
                <w:sz w:val="14"/>
              </w:rPr>
              <w:t>8. Perceived likelihood of detection</w:t>
            </w:r>
          </w:p>
        </w:tc>
        <w:tc>
          <w:tcPr>
            <w:tcW w:w="3271" w:type="dxa"/>
            <w:tcBorders>
              <w:top w:val="nil"/>
              <w:left w:val="nil"/>
              <w:bottom w:val="nil"/>
              <w:right w:val="nil"/>
            </w:tcBorders>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4"/>
              </w:rPr>
              <w:t>Perceived probability of detection of violation</w:t>
            </w:r>
          </w:p>
        </w:tc>
        <w:tc>
          <w:tcPr>
            <w:tcW w:w="2819" w:type="dxa"/>
            <w:tcBorders>
              <w:top w:val="nil"/>
              <w:left w:val="nil"/>
              <w:bottom w:val="nil"/>
              <w:right w:val="nil"/>
            </w:tcBorders>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4"/>
              </w:rPr>
              <w:t>Publicize information about the likelihood of</w:t>
            </w:r>
          </w:p>
        </w:tc>
      </w:tr>
      <w:tr w:rsidR="00E53DEB" w:rsidRPr="002012BC" w:rsidTr="00706951">
        <w:trPr>
          <w:trHeight w:val="334"/>
        </w:trPr>
        <w:tc>
          <w:tcPr>
            <w:tcW w:w="2227" w:type="dxa"/>
            <w:tcBorders>
              <w:top w:val="nil"/>
              <w:left w:val="nil"/>
              <w:bottom w:val="nil"/>
              <w:right w:val="nil"/>
            </w:tcBorders>
          </w:tcPr>
          <w:p w:rsidR="00E53DEB" w:rsidRPr="002012BC" w:rsidRDefault="00E53DEB" w:rsidP="00706951">
            <w:pPr>
              <w:rPr>
                <w:rFonts w:ascii="Times New Roman" w:hAnsi="Times New Roman" w:cs="Times New Roman"/>
                <w:color w:val="auto"/>
              </w:rPr>
            </w:pPr>
          </w:p>
        </w:tc>
        <w:tc>
          <w:tcPr>
            <w:tcW w:w="3271" w:type="dxa"/>
            <w:tcBorders>
              <w:top w:val="nil"/>
              <w:left w:val="nil"/>
              <w:bottom w:val="nil"/>
              <w:right w:val="nil"/>
            </w:tcBorders>
          </w:tcPr>
          <w:p w:rsidR="00E53DEB" w:rsidRPr="002012BC" w:rsidRDefault="00E53DEB" w:rsidP="00706951">
            <w:pPr>
              <w:rPr>
                <w:rFonts w:ascii="Times New Roman" w:hAnsi="Times New Roman" w:cs="Times New Roman"/>
                <w:color w:val="auto"/>
              </w:rPr>
            </w:pPr>
            <w:proofErr w:type="gramStart"/>
            <w:r w:rsidRPr="002012BC">
              <w:rPr>
                <w:rFonts w:ascii="Times New Roman" w:hAnsi="Times New Roman" w:cs="Times New Roman"/>
                <w:color w:val="auto"/>
                <w:sz w:val="14"/>
              </w:rPr>
              <w:t>by</w:t>
            </w:r>
            <w:proofErr w:type="gramEnd"/>
            <w:r w:rsidRPr="002012BC">
              <w:rPr>
                <w:rFonts w:ascii="Times New Roman" w:hAnsi="Times New Roman" w:cs="Times New Roman"/>
                <w:color w:val="auto"/>
                <w:sz w:val="14"/>
              </w:rPr>
              <w:t xml:space="preserve"> the government.</w:t>
            </w:r>
          </w:p>
        </w:tc>
        <w:tc>
          <w:tcPr>
            <w:tcW w:w="2819" w:type="dxa"/>
            <w:tcBorders>
              <w:top w:val="nil"/>
              <w:left w:val="nil"/>
              <w:bottom w:val="nil"/>
              <w:right w:val="nil"/>
            </w:tcBorders>
          </w:tcPr>
          <w:p w:rsidR="00E53DEB" w:rsidRPr="002012BC" w:rsidRDefault="00E53DEB" w:rsidP="00706951">
            <w:pPr>
              <w:rPr>
                <w:rFonts w:ascii="Times New Roman" w:hAnsi="Times New Roman" w:cs="Times New Roman"/>
                <w:color w:val="auto"/>
              </w:rPr>
            </w:pPr>
            <w:proofErr w:type="gramStart"/>
            <w:r w:rsidRPr="002012BC">
              <w:rPr>
                <w:rFonts w:ascii="Times New Roman" w:hAnsi="Times New Roman" w:cs="Times New Roman"/>
                <w:color w:val="auto"/>
                <w:sz w:val="14"/>
              </w:rPr>
              <w:t>discovery</w:t>
            </w:r>
            <w:proofErr w:type="gramEnd"/>
            <w:r w:rsidRPr="002012BC">
              <w:rPr>
                <w:rFonts w:ascii="Times New Roman" w:hAnsi="Times New Roman" w:cs="Times New Roman"/>
                <w:color w:val="auto"/>
                <w:sz w:val="14"/>
              </w:rPr>
              <w:t xml:space="preserve"> and increase resources to increase enforcement capacity.</w:t>
            </w:r>
          </w:p>
        </w:tc>
      </w:tr>
      <w:tr w:rsidR="00E53DEB" w:rsidRPr="002012BC" w:rsidTr="00706951">
        <w:trPr>
          <w:trHeight w:val="168"/>
        </w:trPr>
        <w:tc>
          <w:tcPr>
            <w:tcW w:w="2227" w:type="dxa"/>
            <w:tcBorders>
              <w:top w:val="nil"/>
              <w:left w:val="nil"/>
              <w:bottom w:val="nil"/>
              <w:right w:val="nil"/>
            </w:tcBorders>
            <w:shd w:val="clear" w:color="auto" w:fill="EFEFEF"/>
          </w:tcPr>
          <w:p w:rsidR="00E53DEB" w:rsidRPr="002012BC" w:rsidRDefault="00E53DEB" w:rsidP="00706951">
            <w:pPr>
              <w:ind w:left="84"/>
              <w:rPr>
                <w:rFonts w:ascii="Times New Roman" w:hAnsi="Times New Roman" w:cs="Times New Roman"/>
                <w:color w:val="auto"/>
              </w:rPr>
            </w:pPr>
            <w:r w:rsidRPr="002012BC">
              <w:rPr>
                <w:rFonts w:ascii="Times New Roman" w:hAnsi="Times New Roman" w:cs="Times New Roman"/>
                <w:color w:val="auto"/>
                <w:sz w:val="14"/>
              </w:rPr>
              <w:t>9. Perceived likelihood of being</w:t>
            </w:r>
          </w:p>
        </w:tc>
        <w:tc>
          <w:tcPr>
            <w:tcW w:w="3271" w:type="dxa"/>
            <w:tcBorders>
              <w:top w:val="nil"/>
              <w:left w:val="nil"/>
              <w:bottom w:val="nil"/>
              <w:right w:val="nil"/>
            </w:tcBorders>
            <w:shd w:val="clear" w:color="auto" w:fill="EFEFEF"/>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4"/>
              </w:rPr>
              <w:t>Perceived probability of increasing inspections in the</w:t>
            </w:r>
          </w:p>
        </w:tc>
        <w:tc>
          <w:tcPr>
            <w:tcW w:w="2819" w:type="dxa"/>
            <w:tcBorders>
              <w:top w:val="nil"/>
              <w:left w:val="nil"/>
              <w:bottom w:val="nil"/>
              <w:right w:val="nil"/>
            </w:tcBorders>
            <w:shd w:val="clear" w:color="auto" w:fill="EFEFEF"/>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4"/>
              </w:rPr>
              <w:t xml:space="preserve">Investigate those with increased risk of </w:t>
            </w:r>
          </w:p>
        </w:tc>
      </w:tr>
      <w:tr w:rsidR="00E53DEB" w:rsidRPr="002012BC" w:rsidTr="00706951">
        <w:trPr>
          <w:trHeight w:val="167"/>
        </w:trPr>
        <w:tc>
          <w:tcPr>
            <w:tcW w:w="2227" w:type="dxa"/>
            <w:tcBorders>
              <w:top w:val="nil"/>
              <w:left w:val="nil"/>
              <w:bottom w:val="nil"/>
              <w:right w:val="nil"/>
            </w:tcBorders>
            <w:shd w:val="clear" w:color="auto" w:fill="EFEFEF"/>
          </w:tcPr>
          <w:p w:rsidR="00E53DEB" w:rsidRPr="002012BC" w:rsidRDefault="00E53DEB" w:rsidP="00706951">
            <w:pPr>
              <w:ind w:left="84"/>
              <w:rPr>
                <w:rFonts w:ascii="Times New Roman" w:hAnsi="Times New Roman" w:cs="Times New Roman"/>
                <w:color w:val="auto"/>
              </w:rPr>
            </w:pPr>
            <w:r w:rsidRPr="002012BC">
              <w:rPr>
                <w:rFonts w:ascii="Times New Roman" w:hAnsi="Times New Roman" w:cs="Times New Roman"/>
                <w:color w:val="auto"/>
                <w:sz w:val="14"/>
              </w:rPr>
              <w:t>inspected in the future</w:t>
            </w:r>
          </w:p>
        </w:tc>
        <w:tc>
          <w:tcPr>
            <w:tcW w:w="3271" w:type="dxa"/>
            <w:tcBorders>
              <w:top w:val="nil"/>
              <w:left w:val="nil"/>
              <w:bottom w:val="nil"/>
              <w:right w:val="nil"/>
            </w:tcBorders>
            <w:shd w:val="clear" w:color="auto" w:fill="EFEFEF"/>
          </w:tcPr>
          <w:p w:rsidR="00E53DEB" w:rsidRPr="002012BC" w:rsidRDefault="00E53DEB" w:rsidP="00706951">
            <w:pPr>
              <w:rPr>
                <w:rFonts w:ascii="Times New Roman" w:hAnsi="Times New Roman" w:cs="Times New Roman"/>
                <w:color w:val="auto"/>
              </w:rPr>
            </w:pPr>
            <w:proofErr w:type="gramStart"/>
            <w:r w:rsidRPr="002012BC">
              <w:rPr>
                <w:rFonts w:ascii="Times New Roman" w:hAnsi="Times New Roman" w:cs="Times New Roman"/>
                <w:color w:val="auto"/>
                <w:sz w:val="14"/>
              </w:rPr>
              <w:t>future</w:t>
            </w:r>
            <w:proofErr w:type="gramEnd"/>
            <w:r w:rsidRPr="002012BC">
              <w:rPr>
                <w:rFonts w:ascii="Times New Roman" w:hAnsi="Times New Roman" w:cs="Times New Roman"/>
                <w:color w:val="auto"/>
                <w:sz w:val="14"/>
              </w:rPr>
              <w:t xml:space="preserve"> in the event of a violation today.</w:t>
            </w:r>
          </w:p>
        </w:tc>
        <w:tc>
          <w:tcPr>
            <w:tcW w:w="2819" w:type="dxa"/>
            <w:tcBorders>
              <w:top w:val="nil"/>
              <w:left w:val="nil"/>
              <w:bottom w:val="nil"/>
              <w:right w:val="nil"/>
            </w:tcBorders>
            <w:shd w:val="clear" w:color="auto" w:fill="EFEFEF"/>
          </w:tcPr>
          <w:p w:rsidR="00E53DEB" w:rsidRPr="002012BC" w:rsidRDefault="00E53DEB" w:rsidP="00706951">
            <w:pPr>
              <w:rPr>
                <w:rFonts w:ascii="Times New Roman" w:hAnsi="Times New Roman" w:cs="Times New Roman"/>
                <w:color w:val="auto"/>
              </w:rPr>
            </w:pPr>
            <w:proofErr w:type="gramStart"/>
            <w:r w:rsidRPr="002012BC">
              <w:rPr>
                <w:rFonts w:ascii="Times New Roman" w:hAnsi="Times New Roman" w:cs="Times New Roman"/>
                <w:color w:val="auto"/>
                <w:sz w:val="14"/>
              </w:rPr>
              <w:t>violation</w:t>
            </w:r>
            <w:proofErr w:type="gramEnd"/>
            <w:r w:rsidRPr="002012BC">
              <w:rPr>
                <w:rFonts w:ascii="Times New Roman" w:hAnsi="Times New Roman" w:cs="Times New Roman"/>
                <w:color w:val="auto"/>
                <w:sz w:val="14"/>
              </w:rPr>
              <w:t>, namely, those who have violated in the past.</w:t>
            </w:r>
          </w:p>
        </w:tc>
      </w:tr>
      <w:tr w:rsidR="00E53DEB" w:rsidRPr="002012BC" w:rsidTr="00706951">
        <w:trPr>
          <w:trHeight w:val="168"/>
        </w:trPr>
        <w:tc>
          <w:tcPr>
            <w:tcW w:w="2227" w:type="dxa"/>
            <w:tcBorders>
              <w:top w:val="nil"/>
              <w:left w:val="nil"/>
              <w:bottom w:val="nil"/>
              <w:right w:val="nil"/>
            </w:tcBorders>
          </w:tcPr>
          <w:p w:rsidR="00E53DEB" w:rsidRPr="002012BC" w:rsidRDefault="00E53DEB" w:rsidP="00706951">
            <w:pPr>
              <w:ind w:left="84"/>
              <w:rPr>
                <w:rFonts w:ascii="Times New Roman" w:hAnsi="Times New Roman" w:cs="Times New Roman"/>
                <w:color w:val="auto"/>
              </w:rPr>
            </w:pPr>
            <w:r w:rsidRPr="002012BC">
              <w:rPr>
                <w:rFonts w:ascii="Times New Roman" w:hAnsi="Times New Roman" w:cs="Times New Roman"/>
                <w:color w:val="auto"/>
                <w:sz w:val="14"/>
              </w:rPr>
              <w:t>10. Perceived likelihood of</w:t>
            </w:r>
          </w:p>
        </w:tc>
        <w:tc>
          <w:tcPr>
            <w:tcW w:w="3271" w:type="dxa"/>
            <w:tcBorders>
              <w:top w:val="nil"/>
              <w:left w:val="nil"/>
              <w:bottom w:val="nil"/>
              <w:right w:val="nil"/>
            </w:tcBorders>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4"/>
              </w:rPr>
              <w:t>Perceived probability of a sanction if a violation is</w:t>
            </w:r>
          </w:p>
        </w:tc>
        <w:tc>
          <w:tcPr>
            <w:tcW w:w="2819" w:type="dxa"/>
            <w:tcBorders>
              <w:top w:val="nil"/>
              <w:left w:val="nil"/>
              <w:bottom w:val="nil"/>
              <w:right w:val="nil"/>
            </w:tcBorders>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4"/>
              </w:rPr>
              <w:t>Increase capacity of the Public Prosecution</w:t>
            </w:r>
          </w:p>
        </w:tc>
      </w:tr>
      <w:tr w:rsidR="00E53DEB" w:rsidRPr="002012BC" w:rsidTr="00706951">
        <w:trPr>
          <w:trHeight w:val="167"/>
        </w:trPr>
        <w:tc>
          <w:tcPr>
            <w:tcW w:w="2227" w:type="dxa"/>
            <w:tcBorders>
              <w:top w:val="nil"/>
              <w:left w:val="nil"/>
              <w:bottom w:val="nil"/>
              <w:right w:val="nil"/>
            </w:tcBorders>
          </w:tcPr>
          <w:p w:rsidR="00E53DEB" w:rsidRPr="002012BC" w:rsidRDefault="00E53DEB" w:rsidP="00706951">
            <w:pPr>
              <w:ind w:left="84"/>
              <w:rPr>
                <w:rFonts w:ascii="Times New Roman" w:hAnsi="Times New Roman" w:cs="Times New Roman"/>
                <w:color w:val="auto"/>
              </w:rPr>
            </w:pPr>
            <w:r w:rsidRPr="002012BC">
              <w:rPr>
                <w:rFonts w:ascii="Times New Roman" w:hAnsi="Times New Roman" w:cs="Times New Roman"/>
                <w:color w:val="auto"/>
                <w:sz w:val="14"/>
              </w:rPr>
              <w:t>being sanctioned</w:t>
            </w:r>
          </w:p>
        </w:tc>
        <w:tc>
          <w:tcPr>
            <w:tcW w:w="3271" w:type="dxa"/>
            <w:tcBorders>
              <w:top w:val="nil"/>
              <w:left w:val="nil"/>
              <w:bottom w:val="nil"/>
              <w:right w:val="nil"/>
            </w:tcBorders>
          </w:tcPr>
          <w:p w:rsidR="00E53DEB" w:rsidRPr="002012BC" w:rsidRDefault="00E53DEB" w:rsidP="00706951">
            <w:pPr>
              <w:rPr>
                <w:rFonts w:ascii="Times New Roman" w:hAnsi="Times New Roman" w:cs="Times New Roman"/>
                <w:color w:val="auto"/>
              </w:rPr>
            </w:pPr>
            <w:proofErr w:type="gramStart"/>
            <w:r w:rsidRPr="002012BC">
              <w:rPr>
                <w:rFonts w:ascii="Times New Roman" w:hAnsi="Times New Roman" w:cs="Times New Roman"/>
                <w:color w:val="auto"/>
                <w:sz w:val="14"/>
              </w:rPr>
              <w:t>found</w:t>
            </w:r>
            <w:proofErr w:type="gramEnd"/>
            <w:r w:rsidRPr="002012BC">
              <w:rPr>
                <w:rFonts w:ascii="Times New Roman" w:hAnsi="Times New Roman" w:cs="Times New Roman"/>
                <w:color w:val="auto"/>
                <w:sz w:val="14"/>
              </w:rPr>
              <w:t xml:space="preserve"> after inspection.</w:t>
            </w:r>
          </w:p>
        </w:tc>
        <w:tc>
          <w:tcPr>
            <w:tcW w:w="2819" w:type="dxa"/>
            <w:tcBorders>
              <w:top w:val="nil"/>
              <w:left w:val="nil"/>
              <w:bottom w:val="nil"/>
              <w:right w:val="nil"/>
            </w:tcBorders>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4"/>
              </w:rPr>
              <w:t>Service and public administration.</w:t>
            </w:r>
          </w:p>
        </w:tc>
      </w:tr>
      <w:tr w:rsidR="00E53DEB" w:rsidRPr="002012BC" w:rsidTr="00706951">
        <w:trPr>
          <w:trHeight w:val="337"/>
        </w:trPr>
        <w:tc>
          <w:tcPr>
            <w:tcW w:w="2227" w:type="dxa"/>
            <w:tcBorders>
              <w:top w:val="nil"/>
              <w:left w:val="nil"/>
              <w:bottom w:val="single" w:sz="2" w:space="0" w:color="000000"/>
              <w:right w:val="nil"/>
            </w:tcBorders>
            <w:shd w:val="clear" w:color="auto" w:fill="EFEFEF"/>
          </w:tcPr>
          <w:p w:rsidR="00E53DEB" w:rsidRPr="002012BC" w:rsidRDefault="00E53DEB" w:rsidP="00706951">
            <w:pPr>
              <w:ind w:left="84"/>
              <w:rPr>
                <w:rFonts w:ascii="Times New Roman" w:hAnsi="Times New Roman" w:cs="Times New Roman"/>
                <w:color w:val="auto"/>
              </w:rPr>
            </w:pPr>
            <w:r w:rsidRPr="002012BC">
              <w:rPr>
                <w:rFonts w:ascii="Times New Roman" w:hAnsi="Times New Roman" w:cs="Times New Roman"/>
                <w:color w:val="auto"/>
                <w:sz w:val="14"/>
              </w:rPr>
              <w:t>11. Severity of sanctions</w:t>
            </w:r>
          </w:p>
        </w:tc>
        <w:tc>
          <w:tcPr>
            <w:tcW w:w="3271" w:type="dxa"/>
            <w:tcBorders>
              <w:top w:val="nil"/>
              <w:left w:val="nil"/>
              <w:bottom w:val="single" w:sz="2" w:space="0" w:color="000000"/>
              <w:right w:val="nil"/>
            </w:tcBorders>
            <w:shd w:val="clear" w:color="auto" w:fill="EFEFEF"/>
          </w:tcPr>
          <w:p w:rsidR="00E53DEB" w:rsidRPr="002012BC" w:rsidRDefault="00E53DEB" w:rsidP="00706951">
            <w:pPr>
              <w:ind w:right="129"/>
              <w:rPr>
                <w:rFonts w:ascii="Times New Roman" w:hAnsi="Times New Roman" w:cs="Times New Roman"/>
                <w:color w:val="auto"/>
              </w:rPr>
            </w:pPr>
            <w:r w:rsidRPr="002012BC">
              <w:rPr>
                <w:rFonts w:ascii="Times New Roman" w:hAnsi="Times New Roman" w:cs="Times New Roman"/>
                <w:color w:val="auto"/>
                <w:sz w:val="14"/>
              </w:rPr>
              <w:t>The amount and type of sanction linked to the violation and its associated disadvantages.</w:t>
            </w:r>
          </w:p>
        </w:tc>
        <w:tc>
          <w:tcPr>
            <w:tcW w:w="2819" w:type="dxa"/>
            <w:tcBorders>
              <w:top w:val="nil"/>
              <w:left w:val="nil"/>
              <w:bottom w:val="single" w:sz="2" w:space="0" w:color="000000"/>
              <w:right w:val="nil"/>
            </w:tcBorders>
            <w:shd w:val="clear" w:color="auto" w:fill="EFEFEF"/>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4"/>
              </w:rPr>
              <w:t>Increase sanctions with more violations.</w:t>
            </w:r>
          </w:p>
        </w:tc>
      </w:tr>
    </w:tbl>
    <w:p w:rsidR="00E53DEB" w:rsidRPr="002012BC" w:rsidRDefault="00E53DEB" w:rsidP="00E53DEB">
      <w:pPr>
        <w:spacing w:after="5" w:line="248" w:lineRule="auto"/>
        <w:ind w:left="-10" w:right="-15" w:firstLine="239"/>
        <w:jc w:val="both"/>
        <w:rPr>
          <w:rFonts w:ascii="Times New Roman" w:hAnsi="Times New Roman" w:cs="Times New Roman"/>
          <w:color w:val="auto"/>
        </w:rPr>
      </w:pPr>
      <w:r w:rsidRPr="002012BC">
        <w:rPr>
          <w:rFonts w:ascii="Times New Roman" w:hAnsi="Times New Roman" w:cs="Times New Roman"/>
          <w:color w:val="auto"/>
          <w:sz w:val="20"/>
        </w:rPr>
        <w:t xml:space="preserve">Because of the limitations of the compliance typologies, </w:t>
      </w:r>
      <w:proofErr w:type="spellStart"/>
      <w:r w:rsidRPr="002012BC">
        <w:rPr>
          <w:rFonts w:ascii="Times New Roman" w:hAnsi="Times New Roman" w:cs="Times New Roman"/>
          <w:color w:val="auto"/>
          <w:sz w:val="20"/>
        </w:rPr>
        <w:t>Scholz</w:t>
      </w:r>
      <w:proofErr w:type="spellEnd"/>
      <w:r w:rsidRPr="002012BC">
        <w:rPr>
          <w:rFonts w:ascii="Times New Roman" w:hAnsi="Times New Roman" w:cs="Times New Roman"/>
          <w:color w:val="auto"/>
          <w:sz w:val="20"/>
        </w:rPr>
        <w:t xml:space="preserve"> (1984) argues for an integrative enforcement </w:t>
      </w:r>
      <w:proofErr w:type="gramStart"/>
      <w:r w:rsidRPr="002012BC">
        <w:rPr>
          <w:rFonts w:ascii="Times New Roman" w:hAnsi="Times New Roman" w:cs="Times New Roman"/>
          <w:color w:val="auto"/>
          <w:sz w:val="20"/>
        </w:rPr>
        <w:t>strategy which</w:t>
      </w:r>
      <w:proofErr w:type="gramEnd"/>
      <w:r w:rsidRPr="002012BC">
        <w:rPr>
          <w:rFonts w:ascii="Times New Roman" w:hAnsi="Times New Roman" w:cs="Times New Roman"/>
          <w:color w:val="auto"/>
          <w:sz w:val="20"/>
        </w:rPr>
        <w:t xml:space="preserve"> he posits yields better compliance outcomes than singular, rigid strategies like deterrence through fines or fear of detection. Consequently, numerous researchers have endeavored to meld diverse typologies into a flexible enforcement paradigm, offering regulatory agencies dynamic means of determining appropriate interventions. In the book, "Responsive Regulation: Transcending the Deregulation Debate," Ayres and Braithwaite (1992) propose a hierarchy of enforcement strategies designed to provide a flexible set of intervention strategies tailored to the nature and gravity of the offense. Called responsive regulation, this framework advocates aligning the severity of enforcement measures with the severity of the offense (Figure 28). As the behavior of the inspected party improves, the enforcement severity can diminish over time. This responsive regulatory framework laid the groundwork for subsequent studies on regulatory policy and the emergence of the theory of risk-based regulation (see Baldwin and Black, 2008; Black and Baldwin, 2010; and Lodge and </w:t>
      </w:r>
      <w:proofErr w:type="spellStart"/>
      <w:r w:rsidRPr="002012BC">
        <w:rPr>
          <w:rFonts w:ascii="Times New Roman" w:hAnsi="Times New Roman" w:cs="Times New Roman"/>
          <w:color w:val="auto"/>
          <w:sz w:val="20"/>
        </w:rPr>
        <w:t>Wegrich</w:t>
      </w:r>
      <w:proofErr w:type="spellEnd"/>
      <w:r w:rsidRPr="002012BC">
        <w:rPr>
          <w:rFonts w:ascii="Times New Roman" w:hAnsi="Times New Roman" w:cs="Times New Roman"/>
          <w:color w:val="auto"/>
          <w:sz w:val="20"/>
        </w:rPr>
        <w:t>, 2012).</w:t>
      </w:r>
    </w:p>
    <w:p w:rsidR="00E53DEB" w:rsidRPr="002012BC" w:rsidRDefault="00E53DEB" w:rsidP="00E53DEB">
      <w:pPr>
        <w:spacing w:after="5" w:line="248" w:lineRule="auto"/>
        <w:ind w:left="-10" w:right="-15" w:firstLine="239"/>
        <w:jc w:val="both"/>
        <w:rPr>
          <w:rFonts w:ascii="Times New Roman" w:hAnsi="Times New Roman" w:cs="Times New Roman"/>
          <w:color w:val="auto"/>
        </w:rPr>
      </w:pPr>
      <w:r w:rsidRPr="002012BC">
        <w:rPr>
          <w:rFonts w:ascii="Times New Roman" w:hAnsi="Times New Roman" w:cs="Times New Roman"/>
          <w:color w:val="auto"/>
          <w:sz w:val="20"/>
        </w:rPr>
        <w:t xml:space="preserve">Responsive regulation empowers inspectors to </w:t>
      </w:r>
      <w:proofErr w:type="gramStart"/>
      <w:r w:rsidRPr="002012BC">
        <w:rPr>
          <w:rFonts w:ascii="Times New Roman" w:hAnsi="Times New Roman" w:cs="Times New Roman"/>
          <w:color w:val="auto"/>
          <w:sz w:val="20"/>
        </w:rPr>
        <w:t>craft</w:t>
      </w:r>
      <w:proofErr w:type="gramEnd"/>
      <w:r w:rsidRPr="002012BC">
        <w:rPr>
          <w:rFonts w:ascii="Times New Roman" w:hAnsi="Times New Roman" w:cs="Times New Roman"/>
          <w:color w:val="auto"/>
          <w:sz w:val="20"/>
        </w:rPr>
        <w:t xml:space="preserve"> targeted interventions suited to the specific offense, eschewing a one-size-fits-all approach. This approach led to various intervention strategies such as tit-for-tat, </w:t>
      </w:r>
      <w:proofErr w:type="spellStart"/>
      <w:r w:rsidRPr="002012BC">
        <w:rPr>
          <w:rFonts w:ascii="Times New Roman" w:hAnsi="Times New Roman" w:cs="Times New Roman"/>
          <w:color w:val="auto"/>
          <w:sz w:val="20"/>
        </w:rPr>
        <w:t>tripartism</w:t>
      </w:r>
      <w:proofErr w:type="spellEnd"/>
      <w:r w:rsidRPr="002012BC">
        <w:rPr>
          <w:rFonts w:ascii="Times New Roman" w:hAnsi="Times New Roman" w:cs="Times New Roman"/>
          <w:color w:val="auto"/>
          <w:sz w:val="20"/>
        </w:rPr>
        <w:t xml:space="preserve">, self-regulation, and partial-industry intervention (Van der </w:t>
      </w:r>
      <w:proofErr w:type="spellStart"/>
      <w:r w:rsidRPr="002012BC">
        <w:rPr>
          <w:rFonts w:ascii="Times New Roman" w:hAnsi="Times New Roman" w:cs="Times New Roman"/>
          <w:color w:val="auto"/>
          <w:sz w:val="20"/>
        </w:rPr>
        <w:t>Heijden</w:t>
      </w:r>
      <w:proofErr w:type="spellEnd"/>
      <w:r w:rsidRPr="002012BC">
        <w:rPr>
          <w:rFonts w:ascii="Times New Roman" w:hAnsi="Times New Roman" w:cs="Times New Roman"/>
          <w:color w:val="auto"/>
          <w:sz w:val="20"/>
        </w:rPr>
        <w:t xml:space="preserve">, 2020; see Table8).While some studies demonstrate that responsive regulation increases compliance (see Islam and McPhail, 2011; Christian, 2017; Zhu and </w:t>
      </w:r>
      <w:proofErr w:type="spellStart"/>
      <w:r w:rsidRPr="002012BC">
        <w:rPr>
          <w:rFonts w:ascii="Times New Roman" w:hAnsi="Times New Roman" w:cs="Times New Roman"/>
          <w:color w:val="auto"/>
          <w:sz w:val="20"/>
        </w:rPr>
        <w:t>Chertow</w:t>
      </w:r>
      <w:proofErr w:type="spellEnd"/>
      <w:r w:rsidRPr="002012BC">
        <w:rPr>
          <w:rFonts w:ascii="Times New Roman" w:hAnsi="Times New Roman" w:cs="Times New Roman"/>
          <w:color w:val="auto"/>
          <w:sz w:val="20"/>
        </w:rPr>
        <w:t>, 2019), there are several criticisms of this approach.</w:t>
      </w:r>
    </w:p>
    <w:p w:rsidR="00E53DEB" w:rsidRPr="002012BC" w:rsidRDefault="00E53DEB" w:rsidP="00E53DEB">
      <w:pPr>
        <w:spacing w:after="148"/>
        <w:ind w:left="107"/>
        <w:rPr>
          <w:rFonts w:ascii="Times New Roman" w:hAnsi="Times New Roman" w:cs="Times New Roman"/>
          <w:color w:val="auto"/>
        </w:rPr>
      </w:pPr>
      <w:r w:rsidRPr="002012BC">
        <w:rPr>
          <w:rFonts w:ascii="Times New Roman" w:hAnsi="Times New Roman" w:cs="Times New Roman"/>
          <w:noProof/>
          <w:color w:val="auto"/>
          <w:lang w:val="en-IN" w:eastAsia="en-IN"/>
        </w:rPr>
        <w:drawing>
          <wp:inline distT="0" distB="0" distL="0" distR="0" wp14:anchorId="41167120" wp14:editId="14FEB4CA">
            <wp:extent cx="5048250" cy="2197100"/>
            <wp:effectExtent l="0" t="0" r="0" b="0"/>
            <wp:docPr id="2393" name="Picture 2393"/>
            <wp:cNvGraphicFramePr/>
            <a:graphic xmlns:a="http://schemas.openxmlformats.org/drawingml/2006/main">
              <a:graphicData uri="http://schemas.openxmlformats.org/drawingml/2006/picture">
                <pic:pic xmlns:pic="http://schemas.openxmlformats.org/drawingml/2006/picture">
                  <pic:nvPicPr>
                    <pic:cNvPr id="2393" name="Picture 2393"/>
                    <pic:cNvPicPr/>
                  </pic:nvPicPr>
                  <pic:blipFill>
                    <a:blip r:embed="rId4"/>
                    <a:stretch>
                      <a:fillRect/>
                    </a:stretch>
                  </pic:blipFill>
                  <pic:spPr>
                    <a:xfrm>
                      <a:off x="0" y="0"/>
                      <a:ext cx="5048250" cy="2197100"/>
                    </a:xfrm>
                    <a:prstGeom prst="rect">
                      <a:avLst/>
                    </a:prstGeom>
                  </pic:spPr>
                </pic:pic>
              </a:graphicData>
            </a:graphic>
          </wp:inline>
        </w:drawing>
      </w:r>
    </w:p>
    <w:p w:rsidR="00E53DEB" w:rsidRPr="002012BC" w:rsidRDefault="00E53DEB" w:rsidP="00E53DEB">
      <w:pPr>
        <w:spacing w:after="0" w:line="265" w:lineRule="auto"/>
        <w:ind w:left="-5" w:hanging="10"/>
        <w:rPr>
          <w:rFonts w:ascii="Times New Roman" w:hAnsi="Times New Roman" w:cs="Times New Roman"/>
          <w:color w:val="auto"/>
        </w:rPr>
      </w:pPr>
      <w:r w:rsidRPr="002012BC">
        <w:rPr>
          <w:rFonts w:ascii="Times New Roman" w:hAnsi="Times New Roman" w:cs="Times New Roman"/>
          <w:b/>
          <w:i/>
          <w:color w:val="auto"/>
          <w:sz w:val="20"/>
        </w:rPr>
        <w:lastRenderedPageBreak/>
        <w:t xml:space="preserve">Figure 28. </w:t>
      </w:r>
      <w:r w:rsidRPr="002012BC">
        <w:rPr>
          <w:rFonts w:ascii="Times New Roman" w:hAnsi="Times New Roman" w:cs="Times New Roman"/>
          <w:i/>
          <w:color w:val="auto"/>
          <w:sz w:val="20"/>
        </w:rPr>
        <w:t>The responsive regulatory strategy as summarized by Braithwaite (2016) from the South Australian Environmental Protection Agency.</w:t>
      </w:r>
    </w:p>
    <w:p w:rsidR="00E53DEB" w:rsidRPr="002012BC" w:rsidRDefault="00E53DEB" w:rsidP="00E53DEB">
      <w:pPr>
        <w:spacing w:after="590" w:line="225" w:lineRule="auto"/>
        <w:rPr>
          <w:rFonts w:ascii="Times New Roman" w:hAnsi="Times New Roman" w:cs="Times New Roman"/>
          <w:color w:val="auto"/>
        </w:rPr>
      </w:pPr>
      <w:proofErr w:type="spellStart"/>
      <w:r w:rsidRPr="002012BC">
        <w:rPr>
          <w:rFonts w:ascii="Times New Roman" w:hAnsi="Times New Roman" w:cs="Times New Roman"/>
          <w:i/>
          <w:color w:val="auto"/>
          <w:sz w:val="14"/>
        </w:rPr>
        <w:t>Inspectees</w:t>
      </w:r>
      <w:proofErr w:type="spellEnd"/>
      <w:r w:rsidRPr="002012BC">
        <w:rPr>
          <w:rFonts w:ascii="Times New Roman" w:hAnsi="Times New Roman" w:cs="Times New Roman"/>
          <w:i/>
          <w:color w:val="auto"/>
          <w:sz w:val="14"/>
        </w:rPr>
        <w:t xml:space="preserve"> on the left side of the spectrum should be subject to severe enforcement measures. Conversely, as one moves towards the right side of the spectrum, the enforcement strategy should transition to less coercive, reward-oriented approaches.</w:t>
      </w:r>
    </w:p>
    <w:p w:rsidR="00E53DEB" w:rsidRPr="002012BC" w:rsidRDefault="00E53DEB" w:rsidP="00E53DEB">
      <w:pPr>
        <w:spacing w:after="0" w:line="265" w:lineRule="auto"/>
        <w:ind w:left="10" w:hanging="10"/>
        <w:jc w:val="center"/>
        <w:rPr>
          <w:rFonts w:ascii="Times New Roman" w:hAnsi="Times New Roman" w:cs="Times New Roman"/>
          <w:color w:val="auto"/>
        </w:rPr>
      </w:pPr>
      <w:r w:rsidRPr="002012BC">
        <w:rPr>
          <w:rFonts w:ascii="Times New Roman" w:hAnsi="Times New Roman" w:cs="Times New Roman"/>
          <w:b/>
          <w:i/>
          <w:color w:val="auto"/>
          <w:sz w:val="20"/>
        </w:rPr>
        <w:t xml:space="preserve">Table 8. </w:t>
      </w:r>
      <w:r w:rsidRPr="002012BC">
        <w:rPr>
          <w:rFonts w:ascii="Times New Roman" w:hAnsi="Times New Roman" w:cs="Times New Roman"/>
          <w:i/>
          <w:color w:val="auto"/>
          <w:sz w:val="20"/>
        </w:rPr>
        <w:t xml:space="preserve">Intervention strategies of responsive regulation (adapted from Van der </w:t>
      </w:r>
      <w:proofErr w:type="spellStart"/>
      <w:r w:rsidRPr="002012BC">
        <w:rPr>
          <w:rFonts w:ascii="Times New Roman" w:hAnsi="Times New Roman" w:cs="Times New Roman"/>
          <w:i/>
          <w:color w:val="auto"/>
          <w:sz w:val="20"/>
        </w:rPr>
        <w:t>Heijden</w:t>
      </w:r>
      <w:proofErr w:type="spellEnd"/>
      <w:r w:rsidRPr="002012BC">
        <w:rPr>
          <w:rFonts w:ascii="Times New Roman" w:hAnsi="Times New Roman" w:cs="Times New Roman"/>
          <w:i/>
          <w:color w:val="auto"/>
          <w:sz w:val="20"/>
        </w:rPr>
        <w:t>, 2020).</w:t>
      </w:r>
    </w:p>
    <w:tbl>
      <w:tblPr>
        <w:tblStyle w:val="TableGrid"/>
        <w:tblW w:w="8117" w:type="dxa"/>
        <w:tblInd w:w="24" w:type="dxa"/>
        <w:tblCellMar>
          <w:top w:w="30" w:type="dxa"/>
          <w:right w:w="115" w:type="dxa"/>
        </w:tblCellMar>
        <w:tblLook w:val="04A0" w:firstRow="1" w:lastRow="0" w:firstColumn="1" w:lastColumn="0" w:noHBand="0" w:noVBand="1"/>
      </w:tblPr>
      <w:tblGrid>
        <w:gridCol w:w="1827"/>
        <w:gridCol w:w="6290"/>
      </w:tblGrid>
      <w:tr w:rsidR="00E53DEB" w:rsidRPr="002012BC" w:rsidTr="00706951">
        <w:trPr>
          <w:trHeight w:val="248"/>
        </w:trPr>
        <w:tc>
          <w:tcPr>
            <w:tcW w:w="1827" w:type="dxa"/>
            <w:tcBorders>
              <w:top w:val="single" w:sz="3" w:space="0" w:color="000000"/>
              <w:left w:val="nil"/>
              <w:bottom w:val="single" w:sz="3" w:space="0" w:color="000000"/>
              <w:right w:val="nil"/>
            </w:tcBorders>
          </w:tcPr>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b/>
                <w:color w:val="auto"/>
                <w:sz w:val="20"/>
              </w:rPr>
              <w:t>Intervention</w:t>
            </w:r>
          </w:p>
        </w:tc>
        <w:tc>
          <w:tcPr>
            <w:tcW w:w="6290" w:type="dxa"/>
            <w:tcBorders>
              <w:top w:val="single" w:sz="3" w:space="0" w:color="000000"/>
              <w:left w:val="nil"/>
              <w:bottom w:val="single" w:sz="3" w:space="0" w:color="000000"/>
              <w:right w:val="nil"/>
            </w:tcBorders>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b/>
                <w:color w:val="auto"/>
                <w:sz w:val="20"/>
              </w:rPr>
              <w:t>Strategy Description</w:t>
            </w:r>
          </w:p>
        </w:tc>
      </w:tr>
      <w:tr w:rsidR="00E53DEB" w:rsidRPr="002012BC" w:rsidTr="00706951">
        <w:trPr>
          <w:trHeight w:val="242"/>
        </w:trPr>
        <w:tc>
          <w:tcPr>
            <w:tcW w:w="1827" w:type="dxa"/>
            <w:tcBorders>
              <w:top w:val="single" w:sz="3" w:space="0" w:color="000000"/>
              <w:left w:val="nil"/>
              <w:bottom w:val="nil"/>
              <w:right w:val="nil"/>
            </w:tcBorders>
            <w:shd w:val="clear" w:color="auto" w:fill="EFEFEF"/>
          </w:tcPr>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color w:val="auto"/>
                <w:sz w:val="20"/>
              </w:rPr>
              <w:t>Tit-for-tat</w:t>
            </w:r>
          </w:p>
        </w:tc>
        <w:tc>
          <w:tcPr>
            <w:tcW w:w="6290" w:type="dxa"/>
            <w:tcBorders>
              <w:top w:val="single" w:sz="3" w:space="0" w:color="000000"/>
              <w:left w:val="nil"/>
              <w:bottom w:val="nil"/>
              <w:right w:val="nil"/>
            </w:tcBorders>
            <w:shd w:val="clear" w:color="auto" w:fill="EFEFEF"/>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20"/>
              </w:rPr>
              <w:t xml:space="preserve">The severity of the enforcement </w:t>
            </w:r>
            <w:proofErr w:type="gramStart"/>
            <w:r w:rsidRPr="002012BC">
              <w:rPr>
                <w:rFonts w:ascii="Times New Roman" w:hAnsi="Times New Roman" w:cs="Times New Roman"/>
                <w:color w:val="auto"/>
                <w:sz w:val="20"/>
              </w:rPr>
              <w:t>is aligned</w:t>
            </w:r>
            <w:proofErr w:type="gramEnd"/>
            <w:r w:rsidRPr="002012BC">
              <w:rPr>
                <w:rFonts w:ascii="Times New Roman" w:hAnsi="Times New Roman" w:cs="Times New Roman"/>
                <w:color w:val="auto"/>
                <w:sz w:val="20"/>
              </w:rPr>
              <w:t xml:space="preserve"> with the severity of the offense.</w:t>
            </w:r>
          </w:p>
        </w:tc>
      </w:tr>
      <w:tr w:rsidR="00E53DEB" w:rsidRPr="002012BC" w:rsidTr="00706951">
        <w:trPr>
          <w:trHeight w:val="478"/>
        </w:trPr>
        <w:tc>
          <w:tcPr>
            <w:tcW w:w="1827" w:type="dxa"/>
            <w:tcBorders>
              <w:top w:val="nil"/>
              <w:left w:val="nil"/>
              <w:bottom w:val="nil"/>
              <w:right w:val="nil"/>
            </w:tcBorders>
          </w:tcPr>
          <w:p w:rsidR="00E53DEB" w:rsidRPr="002012BC" w:rsidRDefault="00E53DEB" w:rsidP="00706951">
            <w:pPr>
              <w:ind w:left="120"/>
              <w:rPr>
                <w:rFonts w:ascii="Times New Roman" w:hAnsi="Times New Roman" w:cs="Times New Roman"/>
                <w:color w:val="auto"/>
              </w:rPr>
            </w:pPr>
            <w:proofErr w:type="spellStart"/>
            <w:r w:rsidRPr="002012BC">
              <w:rPr>
                <w:rFonts w:ascii="Times New Roman" w:hAnsi="Times New Roman" w:cs="Times New Roman"/>
                <w:color w:val="auto"/>
                <w:sz w:val="20"/>
              </w:rPr>
              <w:t>Tripartism</w:t>
            </w:r>
            <w:proofErr w:type="spellEnd"/>
          </w:p>
        </w:tc>
        <w:tc>
          <w:tcPr>
            <w:tcW w:w="6290" w:type="dxa"/>
            <w:tcBorders>
              <w:top w:val="nil"/>
              <w:left w:val="nil"/>
              <w:bottom w:val="nil"/>
              <w:right w:val="nil"/>
            </w:tcBorders>
          </w:tcPr>
          <w:p w:rsidR="00E53DEB" w:rsidRPr="002012BC" w:rsidRDefault="00E53DEB" w:rsidP="00706951">
            <w:pPr>
              <w:ind w:right="83"/>
              <w:rPr>
                <w:rFonts w:ascii="Times New Roman" w:hAnsi="Times New Roman" w:cs="Times New Roman"/>
                <w:color w:val="auto"/>
              </w:rPr>
            </w:pPr>
            <w:r w:rsidRPr="002012BC">
              <w:rPr>
                <w:rFonts w:ascii="Times New Roman" w:hAnsi="Times New Roman" w:cs="Times New Roman"/>
                <w:color w:val="auto"/>
                <w:sz w:val="20"/>
              </w:rPr>
              <w:t>Empower other third-party organizations like industry corporations or citizen associations to create an environment of cooperation.</w:t>
            </w:r>
          </w:p>
        </w:tc>
      </w:tr>
      <w:tr w:rsidR="00E53DEB" w:rsidRPr="002012BC" w:rsidTr="00706951">
        <w:trPr>
          <w:trHeight w:val="478"/>
        </w:trPr>
        <w:tc>
          <w:tcPr>
            <w:tcW w:w="1827" w:type="dxa"/>
            <w:tcBorders>
              <w:top w:val="nil"/>
              <w:left w:val="nil"/>
              <w:bottom w:val="nil"/>
              <w:right w:val="nil"/>
            </w:tcBorders>
            <w:shd w:val="clear" w:color="auto" w:fill="EFEFEF"/>
          </w:tcPr>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color w:val="auto"/>
                <w:sz w:val="20"/>
              </w:rPr>
              <w:t>Self-regulation</w:t>
            </w:r>
          </w:p>
        </w:tc>
        <w:tc>
          <w:tcPr>
            <w:tcW w:w="6290" w:type="dxa"/>
            <w:tcBorders>
              <w:top w:val="nil"/>
              <w:left w:val="nil"/>
              <w:bottom w:val="nil"/>
              <w:right w:val="nil"/>
            </w:tcBorders>
            <w:shd w:val="clear" w:color="auto" w:fill="EFEFEF"/>
          </w:tcPr>
          <w:p w:rsidR="00E53DEB" w:rsidRPr="002012BC" w:rsidRDefault="00E53DEB" w:rsidP="00706951">
            <w:pPr>
              <w:ind w:right="357"/>
              <w:rPr>
                <w:rFonts w:ascii="Times New Roman" w:hAnsi="Times New Roman" w:cs="Times New Roman"/>
                <w:color w:val="auto"/>
              </w:rPr>
            </w:pPr>
            <w:r w:rsidRPr="002012BC">
              <w:rPr>
                <w:rFonts w:ascii="Times New Roman" w:hAnsi="Times New Roman" w:cs="Times New Roman"/>
                <w:color w:val="auto"/>
                <w:sz w:val="20"/>
              </w:rPr>
              <w:t xml:space="preserve">Encourage firms to set their own regulations that </w:t>
            </w:r>
            <w:proofErr w:type="gramStart"/>
            <w:r w:rsidRPr="002012BC">
              <w:rPr>
                <w:rFonts w:ascii="Times New Roman" w:hAnsi="Times New Roman" w:cs="Times New Roman"/>
                <w:color w:val="auto"/>
                <w:sz w:val="20"/>
              </w:rPr>
              <w:t>are publicly approved</w:t>
            </w:r>
            <w:proofErr w:type="gramEnd"/>
            <w:r w:rsidRPr="002012BC">
              <w:rPr>
                <w:rFonts w:ascii="Times New Roman" w:hAnsi="Times New Roman" w:cs="Times New Roman"/>
                <w:color w:val="auto"/>
                <w:sz w:val="20"/>
              </w:rPr>
              <w:t xml:space="preserve"> so that enforcement of the rules can also be done publicly.</w:t>
            </w:r>
          </w:p>
        </w:tc>
      </w:tr>
      <w:tr w:rsidR="00E53DEB" w:rsidRPr="002012BC" w:rsidTr="00706951">
        <w:trPr>
          <w:trHeight w:val="721"/>
        </w:trPr>
        <w:tc>
          <w:tcPr>
            <w:tcW w:w="1827" w:type="dxa"/>
            <w:tcBorders>
              <w:top w:val="nil"/>
              <w:left w:val="nil"/>
              <w:bottom w:val="single" w:sz="3" w:space="0" w:color="000000"/>
              <w:right w:val="nil"/>
            </w:tcBorders>
          </w:tcPr>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color w:val="auto"/>
                <w:sz w:val="20"/>
              </w:rPr>
              <w:t>Partial-industry</w:t>
            </w:r>
          </w:p>
        </w:tc>
        <w:tc>
          <w:tcPr>
            <w:tcW w:w="6290" w:type="dxa"/>
            <w:tcBorders>
              <w:top w:val="nil"/>
              <w:left w:val="nil"/>
              <w:bottom w:val="single" w:sz="3" w:space="0" w:color="000000"/>
              <w:right w:val="nil"/>
            </w:tcBorders>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20"/>
              </w:rPr>
              <w:t xml:space="preserve">Target specific, competitive firms for inspection, with the idea that the natural competition of the market will also </w:t>
            </w:r>
            <w:proofErr w:type="gramStart"/>
            <w:r w:rsidRPr="002012BC">
              <w:rPr>
                <w:rFonts w:ascii="Times New Roman" w:hAnsi="Times New Roman" w:cs="Times New Roman"/>
                <w:color w:val="auto"/>
                <w:sz w:val="20"/>
              </w:rPr>
              <w:t>impact</w:t>
            </w:r>
            <w:proofErr w:type="gramEnd"/>
            <w:r w:rsidRPr="002012BC">
              <w:rPr>
                <w:rFonts w:ascii="Times New Roman" w:hAnsi="Times New Roman" w:cs="Times New Roman"/>
                <w:color w:val="auto"/>
                <w:sz w:val="20"/>
              </w:rPr>
              <w:t xml:space="preserve"> the portion of the market that is not inspected.</w:t>
            </w:r>
          </w:p>
        </w:tc>
      </w:tr>
    </w:tbl>
    <w:p w:rsidR="00E53DEB" w:rsidRPr="002012BC" w:rsidRDefault="00E53DEB" w:rsidP="00E53DEB">
      <w:pPr>
        <w:spacing w:after="5" w:line="248" w:lineRule="auto"/>
        <w:ind w:right="-15" w:firstLine="720"/>
        <w:jc w:val="both"/>
        <w:rPr>
          <w:rFonts w:ascii="Times New Roman" w:hAnsi="Times New Roman" w:cs="Times New Roman"/>
          <w:color w:val="auto"/>
          <w:sz w:val="20"/>
        </w:rPr>
      </w:pPr>
      <w:r w:rsidRPr="002012BC">
        <w:rPr>
          <w:rFonts w:ascii="Times New Roman" w:hAnsi="Times New Roman" w:cs="Times New Roman"/>
          <w:color w:val="auto"/>
          <w:sz w:val="20"/>
        </w:rPr>
        <w:t xml:space="preserve">The primary critique is that responsive regulation is effective only when inspectors and </w:t>
      </w:r>
      <w:proofErr w:type="spellStart"/>
      <w:r w:rsidRPr="002012BC">
        <w:rPr>
          <w:rFonts w:ascii="Times New Roman" w:hAnsi="Times New Roman" w:cs="Times New Roman"/>
          <w:color w:val="auto"/>
          <w:sz w:val="20"/>
        </w:rPr>
        <w:t>inspectees</w:t>
      </w:r>
      <w:proofErr w:type="spellEnd"/>
      <w:r w:rsidRPr="002012BC">
        <w:rPr>
          <w:rFonts w:ascii="Times New Roman" w:hAnsi="Times New Roman" w:cs="Times New Roman"/>
          <w:color w:val="auto"/>
          <w:sz w:val="20"/>
        </w:rPr>
        <w:t xml:space="preserve"> engage in multiple interactions over time (Short and </w:t>
      </w:r>
      <w:proofErr w:type="spellStart"/>
      <w:r w:rsidRPr="002012BC">
        <w:rPr>
          <w:rFonts w:ascii="Times New Roman" w:hAnsi="Times New Roman" w:cs="Times New Roman"/>
          <w:color w:val="auto"/>
          <w:sz w:val="20"/>
        </w:rPr>
        <w:t>Toffel</w:t>
      </w:r>
      <w:proofErr w:type="spellEnd"/>
      <w:r w:rsidRPr="002012BC">
        <w:rPr>
          <w:rFonts w:ascii="Times New Roman" w:hAnsi="Times New Roman" w:cs="Times New Roman"/>
          <w:color w:val="auto"/>
          <w:sz w:val="20"/>
        </w:rPr>
        <w:t xml:space="preserve">, 2010; Van </w:t>
      </w:r>
      <w:proofErr w:type="spellStart"/>
      <w:r w:rsidRPr="002012BC">
        <w:rPr>
          <w:rFonts w:ascii="Times New Roman" w:hAnsi="Times New Roman" w:cs="Times New Roman"/>
          <w:color w:val="auto"/>
          <w:sz w:val="20"/>
        </w:rPr>
        <w:t>Duin</w:t>
      </w:r>
      <w:proofErr w:type="spellEnd"/>
      <w:r w:rsidRPr="002012BC">
        <w:rPr>
          <w:rFonts w:ascii="Times New Roman" w:hAnsi="Times New Roman" w:cs="Times New Roman"/>
          <w:color w:val="auto"/>
          <w:sz w:val="20"/>
        </w:rPr>
        <w:t xml:space="preserve"> et al., 2018). Given its responsive nature, the effectiveness of enforcement strategies </w:t>
      </w:r>
      <w:proofErr w:type="gramStart"/>
      <w:r w:rsidRPr="002012BC">
        <w:rPr>
          <w:rFonts w:ascii="Times New Roman" w:hAnsi="Times New Roman" w:cs="Times New Roman"/>
          <w:color w:val="auto"/>
          <w:sz w:val="20"/>
        </w:rPr>
        <w:t>can only be assessed</w:t>
      </w:r>
      <w:proofErr w:type="gramEnd"/>
      <w:r w:rsidRPr="002012BC">
        <w:rPr>
          <w:rFonts w:ascii="Times New Roman" w:hAnsi="Times New Roman" w:cs="Times New Roman"/>
          <w:color w:val="auto"/>
          <w:sz w:val="20"/>
        </w:rPr>
        <w:t xml:space="preserve"> if there is adequate capacity and resources for follow-up inspections to evaluate the intervention’s impact. Additionally, if inspectors refrain from escalating enforcement after repeated offenses, overall compliance tends to suffer (Van </w:t>
      </w:r>
      <w:proofErr w:type="spellStart"/>
      <w:r w:rsidRPr="002012BC">
        <w:rPr>
          <w:rFonts w:ascii="Times New Roman" w:hAnsi="Times New Roman" w:cs="Times New Roman"/>
          <w:color w:val="auto"/>
          <w:sz w:val="20"/>
        </w:rPr>
        <w:t>Erp</w:t>
      </w:r>
      <w:proofErr w:type="spellEnd"/>
      <w:r w:rsidRPr="002012BC">
        <w:rPr>
          <w:rFonts w:ascii="Times New Roman" w:hAnsi="Times New Roman" w:cs="Times New Roman"/>
          <w:color w:val="auto"/>
          <w:sz w:val="20"/>
        </w:rPr>
        <w:t>, 2011).</w:t>
      </w:r>
    </w:p>
    <w:p w:rsidR="00E53DEB" w:rsidRPr="002012BC" w:rsidRDefault="00E53DEB" w:rsidP="00E53DEB">
      <w:pPr>
        <w:spacing w:after="5" w:line="248" w:lineRule="auto"/>
        <w:ind w:right="-15" w:firstLine="720"/>
        <w:jc w:val="both"/>
        <w:rPr>
          <w:rFonts w:ascii="Times New Roman" w:hAnsi="Times New Roman" w:cs="Times New Roman"/>
          <w:color w:val="auto"/>
        </w:rPr>
      </w:pPr>
    </w:p>
    <w:p w:rsidR="00E53DEB" w:rsidRPr="002012BC" w:rsidRDefault="00E53DEB" w:rsidP="00E53DEB">
      <w:pPr>
        <w:pStyle w:val="Heading2"/>
        <w:ind w:left="-5"/>
        <w:rPr>
          <w:rFonts w:ascii="Times New Roman" w:hAnsi="Times New Roman" w:cs="Times New Roman"/>
          <w:color w:val="auto"/>
        </w:rPr>
      </w:pPr>
      <w:r w:rsidRPr="002012BC">
        <w:rPr>
          <w:rFonts w:ascii="Times New Roman" w:hAnsi="Times New Roman" w:cs="Times New Roman"/>
          <w:color w:val="auto"/>
        </w:rPr>
        <w:t>9.2. Sensitivity Analysis and Structural Validation</w:t>
      </w:r>
    </w:p>
    <w:p w:rsidR="00E53DEB" w:rsidRPr="002012BC" w:rsidRDefault="00E53DEB" w:rsidP="00E53DEB">
      <w:pPr>
        <w:spacing w:after="5" w:line="248" w:lineRule="auto"/>
        <w:ind w:right="-15" w:hanging="10"/>
        <w:jc w:val="both"/>
        <w:rPr>
          <w:rFonts w:ascii="Times New Roman" w:hAnsi="Times New Roman" w:cs="Times New Roman"/>
          <w:color w:val="auto"/>
        </w:rPr>
      </w:pPr>
      <w:r w:rsidRPr="002012BC">
        <w:rPr>
          <w:rFonts w:ascii="Times New Roman" w:hAnsi="Times New Roman" w:cs="Times New Roman"/>
          <w:color w:val="auto"/>
          <w:sz w:val="20"/>
        </w:rPr>
        <w:t xml:space="preserve">A global sensitivity analysis </w:t>
      </w:r>
      <w:proofErr w:type="gramStart"/>
      <w:r w:rsidRPr="002012BC">
        <w:rPr>
          <w:rFonts w:ascii="Times New Roman" w:hAnsi="Times New Roman" w:cs="Times New Roman"/>
          <w:color w:val="auto"/>
          <w:sz w:val="20"/>
        </w:rPr>
        <w:t>was conducted</w:t>
      </w:r>
      <w:proofErr w:type="gramEnd"/>
      <w:r w:rsidRPr="002012BC">
        <w:rPr>
          <w:rFonts w:ascii="Times New Roman" w:hAnsi="Times New Roman" w:cs="Times New Roman"/>
          <w:color w:val="auto"/>
          <w:sz w:val="20"/>
        </w:rPr>
        <w:t xml:space="preserve"> on the model using </w:t>
      </w:r>
      <w:proofErr w:type="spellStart"/>
      <w:r w:rsidRPr="002012BC">
        <w:rPr>
          <w:rFonts w:ascii="Times New Roman" w:hAnsi="Times New Roman" w:cs="Times New Roman"/>
          <w:color w:val="auto"/>
          <w:sz w:val="20"/>
        </w:rPr>
        <w:t>NetLogo’s</w:t>
      </w:r>
      <w:proofErr w:type="spellEnd"/>
      <w:r w:rsidRPr="002012BC">
        <w:rPr>
          <w:rFonts w:ascii="Times New Roman" w:hAnsi="Times New Roman" w:cs="Times New Roman"/>
          <w:color w:val="auto"/>
          <w:sz w:val="20"/>
        </w:rPr>
        <w:t xml:space="preserve"> </w:t>
      </w:r>
      <w:proofErr w:type="spellStart"/>
      <w:r w:rsidRPr="002012BC">
        <w:rPr>
          <w:rFonts w:ascii="Times New Roman" w:hAnsi="Times New Roman" w:cs="Times New Roman"/>
          <w:color w:val="auto"/>
          <w:sz w:val="20"/>
        </w:rPr>
        <w:t>BehaviorSpace</w:t>
      </w:r>
      <w:proofErr w:type="spellEnd"/>
      <w:r w:rsidRPr="002012BC">
        <w:rPr>
          <w:rFonts w:ascii="Times New Roman" w:hAnsi="Times New Roman" w:cs="Times New Roman"/>
          <w:color w:val="auto"/>
          <w:sz w:val="20"/>
        </w:rPr>
        <w:t xml:space="preserve"> and Python 3.8 to assess the influence of input parameters systematically. Sensitivity analyses help to “[identify]...important thresholds," thereby “[disciplining] the dialogue about options and make unavoidable judgments more considered" (Epstein, 2008). This analysis reveals the impact of each parameter on the model output, aiming to understand the model’s dynamics and its practical boundaries. The sensitivity analysis sheds light on the model’s complexities by combining empirical and theoretical parameters.</w:t>
      </w:r>
    </w:p>
    <w:p w:rsidR="00E53DEB" w:rsidRPr="002012BC" w:rsidRDefault="00E53DEB" w:rsidP="00E53DEB">
      <w:pPr>
        <w:spacing w:after="5" w:line="248" w:lineRule="auto"/>
        <w:ind w:left="-10" w:right="-15" w:firstLine="239"/>
        <w:jc w:val="center"/>
        <w:rPr>
          <w:rFonts w:ascii="Times New Roman" w:hAnsi="Times New Roman" w:cs="Times New Roman"/>
          <w:color w:val="auto"/>
        </w:rPr>
      </w:pPr>
      <w:r w:rsidRPr="002012BC">
        <w:rPr>
          <w:rFonts w:ascii="Times New Roman" w:hAnsi="Times New Roman" w:cs="Times New Roman"/>
          <w:b/>
          <w:i/>
          <w:color w:val="auto"/>
          <w:sz w:val="20"/>
        </w:rPr>
        <w:t xml:space="preserve">Table 9. </w:t>
      </w:r>
      <w:r w:rsidRPr="002012BC">
        <w:rPr>
          <w:rFonts w:ascii="Times New Roman" w:hAnsi="Times New Roman" w:cs="Times New Roman"/>
          <w:i/>
          <w:color w:val="auto"/>
          <w:sz w:val="20"/>
        </w:rPr>
        <w:t>Varied parameters for the model sensitivity analysis.</w:t>
      </w:r>
    </w:p>
    <w:tbl>
      <w:tblPr>
        <w:tblStyle w:val="TableGrid"/>
        <w:tblW w:w="7005" w:type="dxa"/>
        <w:tblInd w:w="603" w:type="dxa"/>
        <w:tblCellMar>
          <w:top w:w="28" w:type="dxa"/>
          <w:right w:w="114" w:type="dxa"/>
        </w:tblCellMar>
        <w:tblLook w:val="04A0" w:firstRow="1" w:lastRow="0" w:firstColumn="1" w:lastColumn="0" w:noHBand="0" w:noVBand="1"/>
      </w:tblPr>
      <w:tblGrid>
        <w:gridCol w:w="4078"/>
        <w:gridCol w:w="1025"/>
        <w:gridCol w:w="1056"/>
        <w:gridCol w:w="846"/>
      </w:tblGrid>
      <w:tr w:rsidR="00E53DEB" w:rsidRPr="002012BC" w:rsidTr="00706951">
        <w:trPr>
          <w:trHeight w:val="235"/>
        </w:trPr>
        <w:tc>
          <w:tcPr>
            <w:tcW w:w="4077" w:type="dxa"/>
            <w:tcBorders>
              <w:top w:val="single" w:sz="3" w:space="0" w:color="000000"/>
              <w:left w:val="nil"/>
              <w:bottom w:val="single" w:sz="3" w:space="0" w:color="000000"/>
              <w:right w:val="nil"/>
            </w:tcBorders>
          </w:tcPr>
          <w:p w:rsidR="00E53DEB" w:rsidRPr="002012BC" w:rsidRDefault="00E53DEB" w:rsidP="00706951">
            <w:pPr>
              <w:ind w:left="114"/>
              <w:rPr>
                <w:rFonts w:ascii="Times New Roman" w:hAnsi="Times New Roman" w:cs="Times New Roman"/>
                <w:color w:val="auto"/>
              </w:rPr>
            </w:pPr>
            <w:r w:rsidRPr="002012BC">
              <w:rPr>
                <w:rFonts w:ascii="Times New Roman" w:hAnsi="Times New Roman" w:cs="Times New Roman"/>
                <w:color w:val="auto"/>
                <w:sz w:val="19"/>
              </w:rPr>
              <w:t>Parameter</w:t>
            </w:r>
          </w:p>
        </w:tc>
        <w:tc>
          <w:tcPr>
            <w:tcW w:w="1025" w:type="dxa"/>
            <w:tcBorders>
              <w:top w:val="single" w:sz="3" w:space="0" w:color="000000"/>
              <w:left w:val="nil"/>
              <w:bottom w:val="single" w:sz="3" w:space="0" w:color="000000"/>
              <w:right w:val="nil"/>
            </w:tcBorders>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9"/>
              </w:rPr>
              <w:t>Min Value</w:t>
            </w:r>
          </w:p>
        </w:tc>
        <w:tc>
          <w:tcPr>
            <w:tcW w:w="1056" w:type="dxa"/>
            <w:tcBorders>
              <w:top w:val="single" w:sz="3" w:space="0" w:color="000000"/>
              <w:left w:val="nil"/>
              <w:bottom w:val="single" w:sz="3" w:space="0" w:color="000000"/>
              <w:right w:val="nil"/>
            </w:tcBorders>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9"/>
              </w:rPr>
              <w:t>Max Value</w:t>
            </w:r>
          </w:p>
        </w:tc>
        <w:tc>
          <w:tcPr>
            <w:tcW w:w="846" w:type="dxa"/>
            <w:tcBorders>
              <w:top w:val="single" w:sz="3" w:space="0" w:color="000000"/>
              <w:left w:val="nil"/>
              <w:bottom w:val="single" w:sz="3" w:space="0" w:color="000000"/>
              <w:right w:val="nil"/>
            </w:tcBorders>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19"/>
              </w:rPr>
              <w:t>Varied by</w:t>
            </w:r>
          </w:p>
        </w:tc>
      </w:tr>
      <w:tr w:rsidR="00E53DEB" w:rsidRPr="002012BC" w:rsidTr="00706951">
        <w:trPr>
          <w:trHeight w:val="232"/>
        </w:trPr>
        <w:tc>
          <w:tcPr>
            <w:tcW w:w="4077" w:type="dxa"/>
            <w:tcBorders>
              <w:top w:val="single" w:sz="3" w:space="0" w:color="000000"/>
              <w:left w:val="nil"/>
              <w:bottom w:val="nil"/>
              <w:right w:val="nil"/>
            </w:tcBorders>
          </w:tcPr>
          <w:p w:rsidR="00E53DEB" w:rsidRPr="002012BC" w:rsidRDefault="00E53DEB" w:rsidP="00706951">
            <w:pPr>
              <w:ind w:left="114"/>
              <w:rPr>
                <w:rFonts w:ascii="Times New Roman" w:hAnsi="Times New Roman" w:cs="Times New Roman"/>
                <w:color w:val="auto"/>
              </w:rPr>
            </w:pPr>
            <w:r w:rsidRPr="002012BC">
              <w:rPr>
                <w:rFonts w:ascii="Times New Roman" w:hAnsi="Times New Roman" w:cs="Times New Roman"/>
                <w:color w:val="auto"/>
                <w:sz w:val="19"/>
              </w:rPr>
              <w:t xml:space="preserve">Initial share of compliant </w:t>
            </w:r>
            <w:proofErr w:type="spellStart"/>
            <w:r w:rsidRPr="002012BC">
              <w:rPr>
                <w:rFonts w:ascii="Times New Roman" w:hAnsi="Times New Roman" w:cs="Times New Roman"/>
                <w:color w:val="auto"/>
                <w:sz w:val="19"/>
              </w:rPr>
              <w:t>inspectees</w:t>
            </w:r>
            <w:proofErr w:type="spellEnd"/>
            <w:r w:rsidRPr="002012BC">
              <w:rPr>
                <w:rFonts w:ascii="Times New Roman" w:hAnsi="Times New Roman" w:cs="Times New Roman"/>
                <w:color w:val="auto"/>
                <w:sz w:val="19"/>
              </w:rPr>
              <w:t xml:space="preserve"> (%</w:t>
            </w:r>
            <w:r w:rsidRPr="002012BC">
              <w:rPr>
                <w:rFonts w:ascii="Cambria Math" w:hAnsi="Cambria Math" w:cs="Cambria Math"/>
                <w:i/>
                <w:color w:val="auto"/>
                <w:sz w:val="19"/>
                <w:vertAlign w:val="subscript"/>
              </w:rPr>
              <w:t>𝑖𝑛𝑖𝑡</w:t>
            </w:r>
            <w:r w:rsidRPr="002012BC">
              <w:rPr>
                <w:rFonts w:ascii="Times New Roman" w:hAnsi="Times New Roman" w:cs="Times New Roman"/>
                <w:i/>
                <w:color w:val="auto"/>
                <w:sz w:val="19"/>
                <w:vertAlign w:val="subscript"/>
              </w:rPr>
              <w:t>,</w:t>
            </w:r>
            <w:r w:rsidRPr="002012BC">
              <w:rPr>
                <w:rFonts w:ascii="Cambria Math" w:hAnsi="Cambria Math" w:cs="Cambria Math"/>
                <w:i/>
                <w:color w:val="auto"/>
                <w:sz w:val="19"/>
                <w:vertAlign w:val="subscript"/>
              </w:rPr>
              <w:t>𝑐𝑜𝑚𝑝</w:t>
            </w:r>
            <w:r w:rsidRPr="002012BC">
              <w:rPr>
                <w:rFonts w:ascii="Times New Roman" w:hAnsi="Times New Roman" w:cs="Times New Roman"/>
                <w:color w:val="auto"/>
                <w:sz w:val="19"/>
              </w:rPr>
              <w:t>)</w:t>
            </w:r>
          </w:p>
        </w:tc>
        <w:tc>
          <w:tcPr>
            <w:tcW w:w="1025" w:type="dxa"/>
            <w:tcBorders>
              <w:top w:val="single" w:sz="3" w:space="0" w:color="000000"/>
              <w:left w:val="nil"/>
              <w:bottom w:val="nil"/>
              <w:right w:val="nil"/>
            </w:tcBorders>
          </w:tcPr>
          <w:p w:rsidR="00E53DEB" w:rsidRPr="002012BC" w:rsidRDefault="00E53DEB" w:rsidP="00706951">
            <w:pPr>
              <w:ind w:left="225"/>
              <w:rPr>
                <w:rFonts w:ascii="Times New Roman" w:hAnsi="Times New Roman" w:cs="Times New Roman"/>
                <w:color w:val="auto"/>
              </w:rPr>
            </w:pPr>
            <w:r w:rsidRPr="002012BC">
              <w:rPr>
                <w:rFonts w:ascii="Times New Roman" w:hAnsi="Times New Roman" w:cs="Times New Roman"/>
                <w:color w:val="auto"/>
                <w:sz w:val="19"/>
              </w:rPr>
              <w:t>10%</w:t>
            </w:r>
          </w:p>
        </w:tc>
        <w:tc>
          <w:tcPr>
            <w:tcW w:w="1056" w:type="dxa"/>
            <w:tcBorders>
              <w:top w:val="single" w:sz="3" w:space="0" w:color="000000"/>
              <w:left w:val="nil"/>
              <w:bottom w:val="nil"/>
              <w:right w:val="nil"/>
            </w:tcBorders>
          </w:tcPr>
          <w:p w:rsidR="00E53DEB" w:rsidRPr="002012BC" w:rsidRDefault="00E53DEB" w:rsidP="00706951">
            <w:pPr>
              <w:ind w:left="241"/>
              <w:rPr>
                <w:rFonts w:ascii="Times New Roman" w:hAnsi="Times New Roman" w:cs="Times New Roman"/>
                <w:color w:val="auto"/>
              </w:rPr>
            </w:pPr>
            <w:r w:rsidRPr="002012BC">
              <w:rPr>
                <w:rFonts w:ascii="Times New Roman" w:hAnsi="Times New Roman" w:cs="Times New Roman"/>
                <w:color w:val="auto"/>
                <w:sz w:val="19"/>
              </w:rPr>
              <w:t>70%</w:t>
            </w:r>
          </w:p>
        </w:tc>
        <w:tc>
          <w:tcPr>
            <w:tcW w:w="846" w:type="dxa"/>
            <w:tcBorders>
              <w:top w:val="single" w:sz="3" w:space="0" w:color="000000"/>
              <w:left w:val="nil"/>
              <w:bottom w:val="nil"/>
              <w:right w:val="nil"/>
            </w:tcBorders>
          </w:tcPr>
          <w:p w:rsidR="00E53DEB" w:rsidRPr="002012BC" w:rsidRDefault="00E53DEB" w:rsidP="00706951">
            <w:pPr>
              <w:ind w:left="193"/>
              <w:rPr>
                <w:rFonts w:ascii="Times New Roman" w:hAnsi="Times New Roman" w:cs="Times New Roman"/>
                <w:color w:val="auto"/>
              </w:rPr>
            </w:pPr>
            <w:r w:rsidRPr="002012BC">
              <w:rPr>
                <w:rFonts w:ascii="Times New Roman" w:hAnsi="Times New Roman" w:cs="Times New Roman"/>
                <w:color w:val="auto"/>
                <w:sz w:val="19"/>
              </w:rPr>
              <w:t>10%</w:t>
            </w:r>
          </w:p>
        </w:tc>
      </w:tr>
      <w:tr w:rsidR="00E53DEB" w:rsidRPr="002012BC" w:rsidTr="00706951">
        <w:trPr>
          <w:trHeight w:val="227"/>
        </w:trPr>
        <w:tc>
          <w:tcPr>
            <w:tcW w:w="4077" w:type="dxa"/>
            <w:tcBorders>
              <w:top w:val="nil"/>
              <w:left w:val="nil"/>
              <w:bottom w:val="nil"/>
              <w:right w:val="nil"/>
            </w:tcBorders>
          </w:tcPr>
          <w:p w:rsidR="00E53DEB" w:rsidRPr="002012BC" w:rsidRDefault="00E53DEB" w:rsidP="00706951">
            <w:pPr>
              <w:ind w:left="114"/>
              <w:rPr>
                <w:rFonts w:ascii="Times New Roman" w:hAnsi="Times New Roman" w:cs="Times New Roman"/>
                <w:color w:val="auto"/>
              </w:rPr>
            </w:pPr>
            <w:r w:rsidRPr="002012BC">
              <w:rPr>
                <w:rFonts w:ascii="Times New Roman" w:hAnsi="Times New Roman" w:cs="Times New Roman"/>
                <w:color w:val="auto"/>
                <w:sz w:val="19"/>
              </w:rPr>
              <w:t>% of random inspections (%</w:t>
            </w:r>
            <w:r w:rsidRPr="002012BC">
              <w:rPr>
                <w:rFonts w:ascii="Cambria Math" w:hAnsi="Cambria Math" w:cs="Cambria Math"/>
                <w:i/>
                <w:color w:val="auto"/>
                <w:sz w:val="19"/>
                <w:vertAlign w:val="subscript"/>
              </w:rPr>
              <w:t>𝑟𝑎𝑛𝑑</w:t>
            </w:r>
            <w:r w:rsidRPr="002012BC">
              <w:rPr>
                <w:rFonts w:ascii="Times New Roman" w:hAnsi="Times New Roman" w:cs="Times New Roman"/>
                <w:color w:val="auto"/>
                <w:sz w:val="19"/>
              </w:rPr>
              <w:t>)</w:t>
            </w:r>
          </w:p>
        </w:tc>
        <w:tc>
          <w:tcPr>
            <w:tcW w:w="1025" w:type="dxa"/>
            <w:tcBorders>
              <w:top w:val="nil"/>
              <w:left w:val="nil"/>
              <w:bottom w:val="nil"/>
              <w:right w:val="nil"/>
            </w:tcBorders>
          </w:tcPr>
          <w:p w:rsidR="00E53DEB" w:rsidRPr="002012BC" w:rsidRDefault="00E53DEB" w:rsidP="00706951">
            <w:pPr>
              <w:ind w:left="304"/>
              <w:rPr>
                <w:rFonts w:ascii="Times New Roman" w:hAnsi="Times New Roman" w:cs="Times New Roman"/>
                <w:color w:val="auto"/>
              </w:rPr>
            </w:pPr>
            <w:r w:rsidRPr="002012BC">
              <w:rPr>
                <w:rFonts w:ascii="Times New Roman" w:hAnsi="Times New Roman" w:cs="Times New Roman"/>
                <w:color w:val="auto"/>
                <w:sz w:val="19"/>
              </w:rPr>
              <w:t>10</w:t>
            </w:r>
          </w:p>
        </w:tc>
        <w:tc>
          <w:tcPr>
            <w:tcW w:w="1056" w:type="dxa"/>
            <w:tcBorders>
              <w:top w:val="nil"/>
              <w:left w:val="nil"/>
              <w:bottom w:val="nil"/>
              <w:right w:val="nil"/>
            </w:tcBorders>
          </w:tcPr>
          <w:p w:rsidR="00E53DEB" w:rsidRPr="002012BC" w:rsidRDefault="00E53DEB" w:rsidP="00706951">
            <w:pPr>
              <w:ind w:left="320"/>
              <w:rPr>
                <w:rFonts w:ascii="Times New Roman" w:hAnsi="Times New Roman" w:cs="Times New Roman"/>
                <w:color w:val="auto"/>
              </w:rPr>
            </w:pPr>
            <w:r w:rsidRPr="002012BC">
              <w:rPr>
                <w:rFonts w:ascii="Times New Roman" w:hAnsi="Times New Roman" w:cs="Times New Roman"/>
                <w:color w:val="auto"/>
                <w:sz w:val="19"/>
              </w:rPr>
              <w:t>90</w:t>
            </w:r>
          </w:p>
        </w:tc>
        <w:tc>
          <w:tcPr>
            <w:tcW w:w="846" w:type="dxa"/>
            <w:tcBorders>
              <w:top w:val="nil"/>
              <w:left w:val="nil"/>
              <w:bottom w:val="nil"/>
              <w:right w:val="nil"/>
            </w:tcBorders>
          </w:tcPr>
          <w:p w:rsidR="00E53DEB" w:rsidRPr="002012BC" w:rsidRDefault="00E53DEB" w:rsidP="00706951">
            <w:pPr>
              <w:ind w:left="272"/>
              <w:rPr>
                <w:rFonts w:ascii="Times New Roman" w:hAnsi="Times New Roman" w:cs="Times New Roman"/>
                <w:color w:val="auto"/>
              </w:rPr>
            </w:pPr>
            <w:r w:rsidRPr="002012BC">
              <w:rPr>
                <w:rFonts w:ascii="Times New Roman" w:hAnsi="Times New Roman" w:cs="Times New Roman"/>
                <w:color w:val="auto"/>
                <w:sz w:val="19"/>
              </w:rPr>
              <w:t>10</w:t>
            </w:r>
          </w:p>
        </w:tc>
      </w:tr>
      <w:tr w:rsidR="00E53DEB" w:rsidRPr="002012BC" w:rsidTr="00706951">
        <w:trPr>
          <w:trHeight w:val="227"/>
        </w:trPr>
        <w:tc>
          <w:tcPr>
            <w:tcW w:w="4077" w:type="dxa"/>
            <w:tcBorders>
              <w:top w:val="nil"/>
              <w:left w:val="nil"/>
              <w:bottom w:val="nil"/>
              <w:right w:val="nil"/>
            </w:tcBorders>
          </w:tcPr>
          <w:p w:rsidR="00E53DEB" w:rsidRPr="002012BC" w:rsidRDefault="00E53DEB" w:rsidP="00706951">
            <w:pPr>
              <w:ind w:left="114"/>
              <w:rPr>
                <w:rFonts w:ascii="Times New Roman" w:hAnsi="Times New Roman" w:cs="Times New Roman"/>
                <w:color w:val="auto"/>
              </w:rPr>
            </w:pPr>
            <w:r w:rsidRPr="002012BC">
              <w:rPr>
                <w:rFonts w:ascii="Times New Roman" w:hAnsi="Times New Roman" w:cs="Times New Roman"/>
                <w:color w:val="auto"/>
                <w:sz w:val="19"/>
              </w:rPr>
              <w:t>Logit mu (</w:t>
            </w:r>
            <w:r w:rsidRPr="002012BC">
              <w:rPr>
                <w:rFonts w:ascii="Cambria Math" w:hAnsi="Cambria Math" w:cs="Cambria Math"/>
                <w:i/>
                <w:color w:val="auto"/>
                <w:sz w:val="19"/>
              </w:rPr>
              <w:t>𝜇</w:t>
            </w:r>
            <w:r w:rsidRPr="002012BC">
              <w:rPr>
                <w:rFonts w:ascii="Times New Roman" w:hAnsi="Times New Roman" w:cs="Times New Roman"/>
                <w:color w:val="auto"/>
                <w:sz w:val="19"/>
              </w:rPr>
              <w:t>)</w:t>
            </w:r>
          </w:p>
        </w:tc>
        <w:tc>
          <w:tcPr>
            <w:tcW w:w="1025" w:type="dxa"/>
            <w:tcBorders>
              <w:top w:val="nil"/>
              <w:left w:val="nil"/>
              <w:bottom w:val="nil"/>
              <w:right w:val="nil"/>
            </w:tcBorders>
          </w:tcPr>
          <w:p w:rsidR="00E53DEB" w:rsidRPr="002012BC" w:rsidRDefault="00E53DEB" w:rsidP="00706951">
            <w:pPr>
              <w:ind w:left="281"/>
              <w:rPr>
                <w:rFonts w:ascii="Times New Roman" w:hAnsi="Times New Roman" w:cs="Times New Roman"/>
                <w:color w:val="auto"/>
              </w:rPr>
            </w:pPr>
            <w:r w:rsidRPr="002012BC">
              <w:rPr>
                <w:rFonts w:ascii="Times New Roman" w:hAnsi="Times New Roman" w:cs="Times New Roman"/>
                <w:color w:val="auto"/>
                <w:sz w:val="19"/>
              </w:rPr>
              <w:t>0.1</w:t>
            </w:r>
          </w:p>
        </w:tc>
        <w:tc>
          <w:tcPr>
            <w:tcW w:w="1056" w:type="dxa"/>
            <w:tcBorders>
              <w:top w:val="nil"/>
              <w:left w:val="nil"/>
              <w:bottom w:val="nil"/>
              <w:right w:val="nil"/>
            </w:tcBorders>
          </w:tcPr>
          <w:p w:rsidR="00E53DEB" w:rsidRPr="002012BC" w:rsidRDefault="00E53DEB" w:rsidP="00706951">
            <w:pPr>
              <w:ind w:left="296"/>
              <w:rPr>
                <w:rFonts w:ascii="Times New Roman" w:hAnsi="Times New Roman" w:cs="Times New Roman"/>
                <w:color w:val="auto"/>
              </w:rPr>
            </w:pPr>
            <w:r w:rsidRPr="002012BC">
              <w:rPr>
                <w:rFonts w:ascii="Times New Roman" w:hAnsi="Times New Roman" w:cs="Times New Roman"/>
                <w:color w:val="auto"/>
                <w:sz w:val="19"/>
              </w:rPr>
              <w:t>1.0</w:t>
            </w:r>
          </w:p>
        </w:tc>
        <w:tc>
          <w:tcPr>
            <w:tcW w:w="846" w:type="dxa"/>
            <w:tcBorders>
              <w:top w:val="nil"/>
              <w:left w:val="nil"/>
              <w:bottom w:val="nil"/>
              <w:right w:val="nil"/>
            </w:tcBorders>
          </w:tcPr>
          <w:p w:rsidR="00E53DEB" w:rsidRPr="002012BC" w:rsidRDefault="00E53DEB" w:rsidP="00706951">
            <w:pPr>
              <w:ind w:left="248"/>
              <w:rPr>
                <w:rFonts w:ascii="Times New Roman" w:hAnsi="Times New Roman" w:cs="Times New Roman"/>
                <w:color w:val="auto"/>
              </w:rPr>
            </w:pPr>
            <w:r w:rsidRPr="002012BC">
              <w:rPr>
                <w:rFonts w:ascii="Times New Roman" w:hAnsi="Times New Roman" w:cs="Times New Roman"/>
                <w:color w:val="auto"/>
                <w:sz w:val="19"/>
              </w:rPr>
              <w:t>0.1</w:t>
            </w:r>
          </w:p>
        </w:tc>
      </w:tr>
      <w:tr w:rsidR="00E53DEB" w:rsidRPr="002012BC" w:rsidTr="00706951">
        <w:trPr>
          <w:trHeight w:val="227"/>
        </w:trPr>
        <w:tc>
          <w:tcPr>
            <w:tcW w:w="4077" w:type="dxa"/>
            <w:tcBorders>
              <w:top w:val="nil"/>
              <w:left w:val="nil"/>
              <w:bottom w:val="nil"/>
              <w:right w:val="nil"/>
            </w:tcBorders>
          </w:tcPr>
          <w:p w:rsidR="00E53DEB" w:rsidRPr="002012BC" w:rsidRDefault="00E53DEB" w:rsidP="00706951">
            <w:pPr>
              <w:ind w:left="114"/>
              <w:rPr>
                <w:rFonts w:ascii="Times New Roman" w:hAnsi="Times New Roman" w:cs="Times New Roman"/>
                <w:color w:val="auto"/>
              </w:rPr>
            </w:pPr>
            <w:r w:rsidRPr="002012BC">
              <w:rPr>
                <w:rFonts w:ascii="Times New Roman" w:hAnsi="Times New Roman" w:cs="Times New Roman"/>
                <w:color w:val="auto"/>
                <w:sz w:val="19"/>
              </w:rPr>
              <w:t>Logit sigma (</w:t>
            </w:r>
            <w:r w:rsidRPr="002012BC">
              <w:rPr>
                <w:rFonts w:ascii="Cambria Math" w:hAnsi="Cambria Math" w:cs="Cambria Math"/>
                <w:i/>
                <w:color w:val="auto"/>
                <w:sz w:val="19"/>
              </w:rPr>
              <w:t>𝜎</w:t>
            </w:r>
            <w:r w:rsidRPr="002012BC">
              <w:rPr>
                <w:rFonts w:ascii="Times New Roman" w:hAnsi="Times New Roman" w:cs="Times New Roman"/>
                <w:color w:val="auto"/>
                <w:sz w:val="19"/>
              </w:rPr>
              <w:t>)</w:t>
            </w:r>
          </w:p>
        </w:tc>
        <w:tc>
          <w:tcPr>
            <w:tcW w:w="1025" w:type="dxa"/>
            <w:tcBorders>
              <w:top w:val="nil"/>
              <w:left w:val="nil"/>
              <w:bottom w:val="nil"/>
              <w:right w:val="nil"/>
            </w:tcBorders>
          </w:tcPr>
          <w:p w:rsidR="00E53DEB" w:rsidRPr="002012BC" w:rsidRDefault="00E53DEB" w:rsidP="00706951">
            <w:pPr>
              <w:ind w:left="281"/>
              <w:rPr>
                <w:rFonts w:ascii="Times New Roman" w:hAnsi="Times New Roman" w:cs="Times New Roman"/>
                <w:color w:val="auto"/>
              </w:rPr>
            </w:pPr>
            <w:r w:rsidRPr="002012BC">
              <w:rPr>
                <w:rFonts w:ascii="Times New Roman" w:hAnsi="Times New Roman" w:cs="Times New Roman"/>
                <w:color w:val="auto"/>
                <w:sz w:val="19"/>
              </w:rPr>
              <w:t>0.1</w:t>
            </w:r>
          </w:p>
        </w:tc>
        <w:tc>
          <w:tcPr>
            <w:tcW w:w="1056" w:type="dxa"/>
            <w:tcBorders>
              <w:top w:val="nil"/>
              <w:left w:val="nil"/>
              <w:bottom w:val="nil"/>
              <w:right w:val="nil"/>
            </w:tcBorders>
          </w:tcPr>
          <w:p w:rsidR="00E53DEB" w:rsidRPr="002012BC" w:rsidRDefault="00E53DEB" w:rsidP="00706951">
            <w:pPr>
              <w:ind w:left="296"/>
              <w:rPr>
                <w:rFonts w:ascii="Times New Roman" w:hAnsi="Times New Roman" w:cs="Times New Roman"/>
                <w:color w:val="auto"/>
              </w:rPr>
            </w:pPr>
            <w:r w:rsidRPr="002012BC">
              <w:rPr>
                <w:rFonts w:ascii="Times New Roman" w:hAnsi="Times New Roman" w:cs="Times New Roman"/>
                <w:color w:val="auto"/>
                <w:sz w:val="19"/>
              </w:rPr>
              <w:t>1.0</w:t>
            </w:r>
          </w:p>
        </w:tc>
        <w:tc>
          <w:tcPr>
            <w:tcW w:w="846" w:type="dxa"/>
            <w:tcBorders>
              <w:top w:val="nil"/>
              <w:left w:val="nil"/>
              <w:bottom w:val="nil"/>
              <w:right w:val="nil"/>
            </w:tcBorders>
          </w:tcPr>
          <w:p w:rsidR="00E53DEB" w:rsidRPr="002012BC" w:rsidRDefault="00E53DEB" w:rsidP="00706951">
            <w:pPr>
              <w:ind w:left="248"/>
              <w:rPr>
                <w:rFonts w:ascii="Times New Roman" w:hAnsi="Times New Roman" w:cs="Times New Roman"/>
                <w:color w:val="auto"/>
              </w:rPr>
            </w:pPr>
            <w:r w:rsidRPr="002012BC">
              <w:rPr>
                <w:rFonts w:ascii="Times New Roman" w:hAnsi="Times New Roman" w:cs="Times New Roman"/>
                <w:color w:val="auto"/>
                <w:sz w:val="19"/>
              </w:rPr>
              <w:t>0.1</w:t>
            </w:r>
          </w:p>
        </w:tc>
      </w:tr>
      <w:tr w:rsidR="00E53DEB" w:rsidRPr="002012BC" w:rsidTr="00706951">
        <w:trPr>
          <w:trHeight w:val="230"/>
        </w:trPr>
        <w:tc>
          <w:tcPr>
            <w:tcW w:w="4077" w:type="dxa"/>
            <w:tcBorders>
              <w:top w:val="nil"/>
              <w:left w:val="nil"/>
              <w:bottom w:val="single" w:sz="3" w:space="0" w:color="000000"/>
              <w:right w:val="nil"/>
            </w:tcBorders>
          </w:tcPr>
          <w:p w:rsidR="00E53DEB" w:rsidRPr="002012BC" w:rsidRDefault="00E53DEB" w:rsidP="00706951">
            <w:pPr>
              <w:ind w:left="114"/>
              <w:rPr>
                <w:rFonts w:ascii="Times New Roman" w:hAnsi="Times New Roman" w:cs="Times New Roman"/>
                <w:color w:val="auto"/>
              </w:rPr>
            </w:pPr>
            <w:r w:rsidRPr="002012BC">
              <w:rPr>
                <w:rFonts w:ascii="Times New Roman" w:hAnsi="Times New Roman" w:cs="Times New Roman"/>
                <w:color w:val="auto"/>
                <w:sz w:val="19"/>
              </w:rPr>
              <w:t>Radius of peers (</w:t>
            </w:r>
            <w:r w:rsidRPr="002012BC">
              <w:rPr>
                <w:rFonts w:ascii="Cambria Math" w:hAnsi="Cambria Math" w:cs="Cambria Math"/>
                <w:i/>
                <w:color w:val="auto"/>
                <w:sz w:val="19"/>
              </w:rPr>
              <w:t>𝑟</w:t>
            </w:r>
            <w:r w:rsidRPr="002012BC">
              <w:rPr>
                <w:rFonts w:ascii="Cambria Math" w:hAnsi="Cambria Math" w:cs="Cambria Math"/>
                <w:i/>
                <w:color w:val="auto"/>
                <w:sz w:val="19"/>
                <w:vertAlign w:val="subscript"/>
              </w:rPr>
              <w:t>𝑝𝑒𝑒𝑟𝑠</w:t>
            </w:r>
            <w:r w:rsidRPr="002012BC">
              <w:rPr>
                <w:rFonts w:ascii="Times New Roman" w:hAnsi="Times New Roman" w:cs="Times New Roman"/>
                <w:color w:val="auto"/>
                <w:sz w:val="19"/>
              </w:rPr>
              <w:t>)</w:t>
            </w:r>
          </w:p>
        </w:tc>
        <w:tc>
          <w:tcPr>
            <w:tcW w:w="1025" w:type="dxa"/>
            <w:tcBorders>
              <w:top w:val="nil"/>
              <w:left w:val="nil"/>
              <w:bottom w:val="single" w:sz="3" w:space="0" w:color="000000"/>
              <w:right w:val="nil"/>
            </w:tcBorders>
          </w:tcPr>
          <w:p w:rsidR="00E53DEB" w:rsidRPr="002012BC" w:rsidRDefault="00E53DEB" w:rsidP="00706951">
            <w:pPr>
              <w:ind w:left="352"/>
              <w:rPr>
                <w:rFonts w:ascii="Times New Roman" w:hAnsi="Times New Roman" w:cs="Times New Roman"/>
                <w:color w:val="auto"/>
              </w:rPr>
            </w:pPr>
            <w:r w:rsidRPr="002012BC">
              <w:rPr>
                <w:rFonts w:ascii="Times New Roman" w:hAnsi="Times New Roman" w:cs="Times New Roman"/>
                <w:color w:val="auto"/>
                <w:sz w:val="19"/>
              </w:rPr>
              <w:t>5</w:t>
            </w:r>
          </w:p>
        </w:tc>
        <w:tc>
          <w:tcPr>
            <w:tcW w:w="1056" w:type="dxa"/>
            <w:tcBorders>
              <w:top w:val="nil"/>
              <w:left w:val="nil"/>
              <w:bottom w:val="single" w:sz="3" w:space="0" w:color="000000"/>
              <w:right w:val="nil"/>
            </w:tcBorders>
          </w:tcPr>
          <w:p w:rsidR="00E53DEB" w:rsidRPr="002012BC" w:rsidRDefault="00E53DEB" w:rsidP="00706951">
            <w:pPr>
              <w:ind w:left="320"/>
              <w:rPr>
                <w:rFonts w:ascii="Times New Roman" w:hAnsi="Times New Roman" w:cs="Times New Roman"/>
                <w:color w:val="auto"/>
              </w:rPr>
            </w:pPr>
            <w:r w:rsidRPr="002012BC">
              <w:rPr>
                <w:rFonts w:ascii="Times New Roman" w:hAnsi="Times New Roman" w:cs="Times New Roman"/>
                <w:color w:val="auto"/>
                <w:sz w:val="19"/>
              </w:rPr>
              <w:t>50</w:t>
            </w:r>
          </w:p>
        </w:tc>
        <w:tc>
          <w:tcPr>
            <w:tcW w:w="846" w:type="dxa"/>
            <w:tcBorders>
              <w:top w:val="nil"/>
              <w:left w:val="nil"/>
              <w:bottom w:val="single" w:sz="3" w:space="0" w:color="000000"/>
              <w:right w:val="nil"/>
            </w:tcBorders>
          </w:tcPr>
          <w:p w:rsidR="00E53DEB" w:rsidRPr="002012BC" w:rsidRDefault="00E53DEB" w:rsidP="00706951">
            <w:pPr>
              <w:ind w:left="319"/>
              <w:rPr>
                <w:rFonts w:ascii="Times New Roman" w:hAnsi="Times New Roman" w:cs="Times New Roman"/>
                <w:color w:val="auto"/>
              </w:rPr>
            </w:pPr>
            <w:r w:rsidRPr="002012BC">
              <w:rPr>
                <w:rFonts w:ascii="Times New Roman" w:hAnsi="Times New Roman" w:cs="Times New Roman"/>
                <w:color w:val="auto"/>
                <w:sz w:val="19"/>
              </w:rPr>
              <w:t>5</w:t>
            </w:r>
          </w:p>
        </w:tc>
      </w:tr>
    </w:tbl>
    <w:p w:rsidR="00E53DEB" w:rsidRPr="002012BC" w:rsidRDefault="00E53DEB" w:rsidP="00E53DEB">
      <w:pPr>
        <w:spacing w:after="0" w:line="265" w:lineRule="auto"/>
        <w:ind w:left="10" w:hanging="10"/>
        <w:jc w:val="center"/>
        <w:rPr>
          <w:rFonts w:ascii="Times New Roman" w:hAnsi="Times New Roman" w:cs="Times New Roman"/>
          <w:b/>
          <w:i/>
          <w:color w:val="auto"/>
          <w:sz w:val="20"/>
        </w:rPr>
      </w:pPr>
    </w:p>
    <w:p w:rsidR="00E53DEB" w:rsidRPr="002012BC" w:rsidRDefault="00E53DEB" w:rsidP="00E53DEB">
      <w:pPr>
        <w:spacing w:after="0" w:line="265" w:lineRule="auto"/>
        <w:ind w:left="10" w:hanging="10"/>
        <w:jc w:val="center"/>
        <w:rPr>
          <w:rFonts w:ascii="Times New Roman" w:hAnsi="Times New Roman" w:cs="Times New Roman"/>
          <w:b/>
          <w:i/>
          <w:color w:val="auto"/>
          <w:sz w:val="20"/>
        </w:rPr>
      </w:pPr>
    </w:p>
    <w:p w:rsidR="00E53DEB" w:rsidRPr="002012BC" w:rsidRDefault="00E53DEB" w:rsidP="00E53DEB">
      <w:pPr>
        <w:spacing w:after="0" w:line="265" w:lineRule="auto"/>
        <w:ind w:left="10" w:hanging="10"/>
        <w:jc w:val="center"/>
        <w:rPr>
          <w:rFonts w:ascii="Times New Roman" w:hAnsi="Times New Roman" w:cs="Times New Roman"/>
          <w:color w:val="auto"/>
        </w:rPr>
      </w:pPr>
      <w:r w:rsidRPr="002012BC">
        <w:rPr>
          <w:rFonts w:ascii="Times New Roman" w:hAnsi="Times New Roman" w:cs="Times New Roman"/>
          <w:b/>
          <w:i/>
          <w:color w:val="auto"/>
          <w:sz w:val="20"/>
        </w:rPr>
        <w:t xml:space="preserve">Table 10. </w:t>
      </w:r>
      <w:r w:rsidRPr="002012BC">
        <w:rPr>
          <w:rFonts w:ascii="Times New Roman" w:hAnsi="Times New Roman" w:cs="Times New Roman"/>
          <w:i/>
          <w:color w:val="auto"/>
          <w:sz w:val="20"/>
        </w:rPr>
        <w:t>Structurally valid ranges of varied parameters in the sensitivity analysis.</w:t>
      </w:r>
    </w:p>
    <w:tbl>
      <w:tblPr>
        <w:tblStyle w:val="TableGrid"/>
        <w:tblW w:w="6723" w:type="dxa"/>
        <w:tblInd w:w="720" w:type="dxa"/>
        <w:tblCellMar>
          <w:top w:w="28" w:type="dxa"/>
          <w:right w:w="115" w:type="dxa"/>
        </w:tblCellMar>
        <w:tblLook w:val="04A0" w:firstRow="1" w:lastRow="0" w:firstColumn="1" w:lastColumn="0" w:noHBand="0" w:noVBand="1"/>
      </w:tblPr>
      <w:tblGrid>
        <w:gridCol w:w="4141"/>
        <w:gridCol w:w="1434"/>
        <w:gridCol w:w="1148"/>
      </w:tblGrid>
      <w:tr w:rsidR="00E53DEB" w:rsidRPr="002012BC" w:rsidTr="00706951">
        <w:trPr>
          <w:trHeight w:val="247"/>
        </w:trPr>
        <w:tc>
          <w:tcPr>
            <w:tcW w:w="4148" w:type="dxa"/>
            <w:tcBorders>
              <w:top w:val="single" w:sz="3" w:space="0" w:color="000000"/>
              <w:left w:val="nil"/>
              <w:bottom w:val="single" w:sz="3" w:space="0" w:color="000000"/>
              <w:right w:val="nil"/>
            </w:tcBorders>
          </w:tcPr>
          <w:p w:rsidR="00E53DEB" w:rsidRPr="002012BC" w:rsidRDefault="00E53DEB" w:rsidP="00706951">
            <w:pPr>
              <w:rPr>
                <w:rFonts w:ascii="Times New Roman" w:hAnsi="Times New Roman" w:cs="Times New Roman"/>
                <w:color w:val="auto"/>
              </w:rPr>
            </w:pPr>
          </w:p>
        </w:tc>
        <w:tc>
          <w:tcPr>
            <w:tcW w:w="2575" w:type="dxa"/>
            <w:gridSpan w:val="2"/>
            <w:tcBorders>
              <w:top w:val="single" w:sz="3" w:space="0" w:color="000000"/>
              <w:left w:val="nil"/>
              <w:bottom w:val="single" w:sz="3" w:space="0" w:color="000000"/>
              <w:right w:val="nil"/>
            </w:tcBorders>
          </w:tcPr>
          <w:p w:rsidR="00E53DEB" w:rsidRPr="002012BC" w:rsidRDefault="00E53DEB" w:rsidP="00706951">
            <w:pPr>
              <w:ind w:left="207"/>
              <w:rPr>
                <w:rFonts w:ascii="Times New Roman" w:hAnsi="Times New Roman" w:cs="Times New Roman"/>
                <w:color w:val="auto"/>
              </w:rPr>
            </w:pPr>
            <w:r w:rsidRPr="002012BC">
              <w:rPr>
                <w:rFonts w:ascii="Times New Roman" w:hAnsi="Times New Roman" w:cs="Times New Roman"/>
                <w:color w:val="auto"/>
                <w:sz w:val="20"/>
              </w:rPr>
              <w:t>Structurally Valid Ranges</w:t>
            </w:r>
          </w:p>
        </w:tc>
      </w:tr>
      <w:tr w:rsidR="00E53DEB" w:rsidRPr="002012BC" w:rsidTr="00706951">
        <w:trPr>
          <w:trHeight w:val="486"/>
        </w:trPr>
        <w:tc>
          <w:tcPr>
            <w:tcW w:w="4148" w:type="dxa"/>
            <w:tcBorders>
              <w:top w:val="single" w:sz="3" w:space="0" w:color="000000"/>
              <w:left w:val="nil"/>
              <w:bottom w:val="single" w:sz="3" w:space="0" w:color="000000"/>
              <w:right w:val="nil"/>
            </w:tcBorders>
            <w:vAlign w:val="center"/>
          </w:tcPr>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color w:val="auto"/>
                <w:sz w:val="20"/>
              </w:rPr>
              <w:t>Parameter</w:t>
            </w:r>
          </w:p>
        </w:tc>
        <w:tc>
          <w:tcPr>
            <w:tcW w:w="1434" w:type="dxa"/>
            <w:tcBorders>
              <w:top w:val="single" w:sz="3" w:space="0" w:color="000000"/>
              <w:left w:val="nil"/>
              <w:bottom w:val="single" w:sz="3" w:space="0" w:color="000000"/>
              <w:right w:val="nil"/>
            </w:tcBorders>
          </w:tcPr>
          <w:p w:rsidR="00E53DEB" w:rsidRPr="002012BC" w:rsidRDefault="00E53DEB" w:rsidP="00706951">
            <w:pPr>
              <w:ind w:left="87" w:firstLine="158"/>
              <w:rPr>
                <w:rFonts w:ascii="Times New Roman" w:hAnsi="Times New Roman" w:cs="Times New Roman"/>
                <w:color w:val="auto"/>
              </w:rPr>
            </w:pPr>
            <w:r w:rsidRPr="002012BC">
              <w:rPr>
                <w:rFonts w:ascii="Times New Roman" w:hAnsi="Times New Roman" w:cs="Times New Roman"/>
                <w:color w:val="auto"/>
                <w:sz w:val="20"/>
              </w:rPr>
              <w:t>Standard Enforcement</w:t>
            </w:r>
          </w:p>
        </w:tc>
        <w:tc>
          <w:tcPr>
            <w:tcW w:w="1141" w:type="dxa"/>
            <w:tcBorders>
              <w:top w:val="single" w:sz="3" w:space="0" w:color="000000"/>
              <w:left w:val="nil"/>
              <w:bottom w:val="single" w:sz="3" w:space="0" w:color="000000"/>
              <w:right w:val="nil"/>
            </w:tcBorders>
          </w:tcPr>
          <w:p w:rsidR="00E53DEB" w:rsidRPr="002012BC" w:rsidRDefault="00E53DEB" w:rsidP="00706951">
            <w:pPr>
              <w:ind w:firstLine="57"/>
              <w:rPr>
                <w:rFonts w:ascii="Times New Roman" w:hAnsi="Times New Roman" w:cs="Times New Roman"/>
                <w:color w:val="auto"/>
              </w:rPr>
            </w:pPr>
            <w:r w:rsidRPr="002012BC">
              <w:rPr>
                <w:rFonts w:ascii="Times New Roman" w:hAnsi="Times New Roman" w:cs="Times New Roman"/>
                <w:color w:val="auto"/>
                <w:sz w:val="20"/>
              </w:rPr>
              <w:t>Responsive Enforcement</w:t>
            </w:r>
          </w:p>
        </w:tc>
      </w:tr>
      <w:tr w:rsidR="00E53DEB" w:rsidRPr="002012BC" w:rsidTr="00706951">
        <w:trPr>
          <w:trHeight w:val="490"/>
        </w:trPr>
        <w:tc>
          <w:tcPr>
            <w:tcW w:w="4148" w:type="dxa"/>
            <w:tcBorders>
              <w:top w:val="single" w:sz="3" w:space="0" w:color="000000"/>
              <w:left w:val="nil"/>
              <w:bottom w:val="nil"/>
              <w:right w:val="nil"/>
            </w:tcBorders>
          </w:tcPr>
          <w:p w:rsidR="00E53DEB" w:rsidRPr="002012BC" w:rsidRDefault="00E53DEB" w:rsidP="00706951">
            <w:pPr>
              <w:spacing w:after="22"/>
              <w:ind w:left="120"/>
              <w:rPr>
                <w:rFonts w:ascii="Times New Roman" w:hAnsi="Times New Roman" w:cs="Times New Roman"/>
                <w:color w:val="auto"/>
              </w:rPr>
            </w:pPr>
            <w:r w:rsidRPr="002012BC">
              <w:rPr>
                <w:rFonts w:ascii="Times New Roman" w:hAnsi="Times New Roman" w:cs="Times New Roman"/>
                <w:color w:val="auto"/>
                <w:sz w:val="20"/>
              </w:rPr>
              <w:t xml:space="preserve">Initial share of compliant </w:t>
            </w:r>
            <w:proofErr w:type="spellStart"/>
            <w:r w:rsidRPr="002012BC">
              <w:rPr>
                <w:rFonts w:ascii="Times New Roman" w:hAnsi="Times New Roman" w:cs="Times New Roman"/>
                <w:color w:val="auto"/>
                <w:sz w:val="20"/>
              </w:rPr>
              <w:t>inspectees</w:t>
            </w:r>
            <w:proofErr w:type="spellEnd"/>
            <w:r w:rsidRPr="002012BC">
              <w:rPr>
                <w:rFonts w:ascii="Times New Roman" w:hAnsi="Times New Roman" w:cs="Times New Roman"/>
                <w:color w:val="auto"/>
                <w:sz w:val="20"/>
              </w:rPr>
              <w:t xml:space="preserve"> (%</w:t>
            </w:r>
            <w:proofErr w:type="spellStart"/>
            <w:r w:rsidRPr="002012BC">
              <w:rPr>
                <w:rFonts w:ascii="Times New Roman" w:hAnsi="Times New Roman" w:cs="Times New Roman"/>
                <w:color w:val="auto"/>
                <w:sz w:val="20"/>
                <w:vertAlign w:val="subscript"/>
              </w:rPr>
              <w:t>init,comp</w:t>
            </w:r>
            <w:proofErr w:type="spellEnd"/>
            <w:r w:rsidRPr="002012BC">
              <w:rPr>
                <w:rFonts w:ascii="Times New Roman" w:hAnsi="Times New Roman" w:cs="Times New Roman"/>
                <w:color w:val="auto"/>
                <w:sz w:val="20"/>
              </w:rPr>
              <w:t>)</w:t>
            </w:r>
          </w:p>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i/>
                <w:color w:val="auto"/>
                <w:sz w:val="18"/>
              </w:rPr>
              <w:t xml:space="preserve">AR inspection strategy &amp; </w:t>
            </w:r>
            <w:r w:rsidRPr="002012BC">
              <w:rPr>
                <w:rFonts w:ascii="Cambria Math" w:hAnsi="Cambria Math" w:cs="Cambria Math"/>
                <w:i/>
                <w:color w:val="auto"/>
                <w:sz w:val="18"/>
              </w:rPr>
              <w:t>𝑟</w:t>
            </w:r>
            <w:r w:rsidRPr="002012BC">
              <w:rPr>
                <w:rFonts w:ascii="Times New Roman" w:hAnsi="Times New Roman" w:cs="Times New Roman"/>
                <w:i/>
                <w:color w:val="auto"/>
                <w:sz w:val="15"/>
              </w:rPr>
              <w:t>peers</w:t>
            </w:r>
            <w:r w:rsidRPr="002012BC">
              <w:rPr>
                <w:rFonts w:ascii="Times New Roman" w:hAnsi="Times New Roman" w:cs="Times New Roman"/>
                <w:i/>
                <w:color w:val="auto"/>
                <w:sz w:val="18"/>
              </w:rPr>
              <w:t>=10</w:t>
            </w:r>
          </w:p>
        </w:tc>
        <w:tc>
          <w:tcPr>
            <w:tcW w:w="1434" w:type="dxa"/>
            <w:tcBorders>
              <w:top w:val="single" w:sz="3" w:space="0" w:color="000000"/>
              <w:left w:val="nil"/>
              <w:bottom w:val="nil"/>
              <w:right w:val="nil"/>
            </w:tcBorders>
            <w:vAlign w:val="center"/>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20"/>
              </w:rPr>
              <w:t>42.5% - 47.5%</w:t>
            </w:r>
          </w:p>
        </w:tc>
        <w:tc>
          <w:tcPr>
            <w:tcW w:w="1141" w:type="dxa"/>
            <w:tcBorders>
              <w:top w:val="single" w:sz="3" w:space="0" w:color="000000"/>
              <w:left w:val="nil"/>
              <w:bottom w:val="nil"/>
              <w:right w:val="nil"/>
            </w:tcBorders>
            <w:vAlign w:val="center"/>
          </w:tcPr>
          <w:p w:rsidR="00E53DEB" w:rsidRPr="002012BC" w:rsidRDefault="00E53DEB" w:rsidP="00706951">
            <w:pPr>
              <w:ind w:left="62"/>
              <w:rPr>
                <w:rFonts w:ascii="Times New Roman" w:hAnsi="Times New Roman" w:cs="Times New Roman"/>
                <w:color w:val="auto"/>
              </w:rPr>
            </w:pPr>
            <w:r w:rsidRPr="002012BC">
              <w:rPr>
                <w:rFonts w:ascii="Times New Roman" w:hAnsi="Times New Roman" w:cs="Times New Roman"/>
                <w:color w:val="auto"/>
                <w:sz w:val="20"/>
              </w:rPr>
              <w:t>38% - 40%</w:t>
            </w:r>
          </w:p>
        </w:tc>
      </w:tr>
      <w:tr w:rsidR="00E53DEB" w:rsidRPr="002012BC" w:rsidTr="00706951">
        <w:trPr>
          <w:trHeight w:val="468"/>
        </w:trPr>
        <w:tc>
          <w:tcPr>
            <w:tcW w:w="4148" w:type="dxa"/>
            <w:tcBorders>
              <w:top w:val="nil"/>
              <w:left w:val="nil"/>
              <w:bottom w:val="nil"/>
              <w:right w:val="nil"/>
            </w:tcBorders>
          </w:tcPr>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color w:val="auto"/>
                <w:sz w:val="20"/>
              </w:rPr>
              <w:t>Percent of Random Inspections (%</w:t>
            </w:r>
            <w:r w:rsidRPr="002012BC">
              <w:rPr>
                <w:rFonts w:ascii="Times New Roman" w:hAnsi="Times New Roman" w:cs="Times New Roman"/>
                <w:color w:val="auto"/>
                <w:sz w:val="20"/>
                <w:vertAlign w:val="subscript"/>
              </w:rPr>
              <w:t>rand</w:t>
            </w:r>
            <w:r w:rsidRPr="002012BC">
              <w:rPr>
                <w:rFonts w:ascii="Times New Roman" w:hAnsi="Times New Roman" w:cs="Times New Roman"/>
                <w:color w:val="auto"/>
                <w:sz w:val="20"/>
              </w:rPr>
              <w:t>)</w:t>
            </w:r>
          </w:p>
          <w:p w:rsidR="00E53DEB" w:rsidRPr="002012BC" w:rsidRDefault="00E53DEB" w:rsidP="00706951">
            <w:pPr>
              <w:ind w:left="120"/>
              <w:rPr>
                <w:rFonts w:ascii="Times New Roman" w:hAnsi="Times New Roman" w:cs="Times New Roman"/>
                <w:color w:val="auto"/>
              </w:rPr>
            </w:pPr>
            <w:proofErr w:type="spellStart"/>
            <w:r w:rsidRPr="002012BC">
              <w:rPr>
                <w:rFonts w:ascii="Times New Roman" w:hAnsi="Times New Roman" w:cs="Times New Roman"/>
                <w:i/>
                <w:color w:val="auto"/>
                <w:sz w:val="18"/>
              </w:rPr>
              <w:t>MRRbNC</w:t>
            </w:r>
            <w:proofErr w:type="spellEnd"/>
            <w:r w:rsidRPr="002012BC">
              <w:rPr>
                <w:rFonts w:ascii="Times New Roman" w:hAnsi="Times New Roman" w:cs="Times New Roman"/>
                <w:i/>
                <w:color w:val="auto"/>
                <w:sz w:val="18"/>
              </w:rPr>
              <w:t xml:space="preserve"> inspection strategy</w:t>
            </w:r>
          </w:p>
        </w:tc>
        <w:tc>
          <w:tcPr>
            <w:tcW w:w="1434" w:type="dxa"/>
            <w:tcBorders>
              <w:top w:val="nil"/>
              <w:left w:val="nil"/>
              <w:bottom w:val="nil"/>
              <w:right w:val="nil"/>
            </w:tcBorders>
            <w:vAlign w:val="center"/>
          </w:tcPr>
          <w:p w:rsidR="00E53DEB" w:rsidRPr="002012BC" w:rsidRDefault="00E53DEB" w:rsidP="00706951">
            <w:pPr>
              <w:ind w:left="98"/>
              <w:rPr>
                <w:rFonts w:ascii="Times New Roman" w:hAnsi="Times New Roman" w:cs="Times New Roman"/>
                <w:color w:val="auto"/>
              </w:rPr>
            </w:pPr>
            <w:r w:rsidRPr="002012BC">
              <w:rPr>
                <w:rFonts w:ascii="Times New Roman" w:hAnsi="Times New Roman" w:cs="Times New Roman"/>
                <w:color w:val="auto"/>
                <w:sz w:val="20"/>
              </w:rPr>
              <w:t>10% - 90%</w:t>
            </w:r>
            <w:r w:rsidRPr="002012BC">
              <w:rPr>
                <w:rFonts w:ascii="Cambria Math" w:hAnsi="Cambria Math" w:cs="Cambria Math"/>
                <w:i/>
                <w:color w:val="auto"/>
                <w:sz w:val="20"/>
                <w:vertAlign w:val="superscript"/>
              </w:rPr>
              <w:t>𝑎</w:t>
            </w:r>
          </w:p>
        </w:tc>
        <w:tc>
          <w:tcPr>
            <w:tcW w:w="1141" w:type="dxa"/>
            <w:tcBorders>
              <w:top w:val="nil"/>
              <w:left w:val="nil"/>
              <w:bottom w:val="nil"/>
              <w:right w:val="nil"/>
            </w:tcBorders>
            <w:vAlign w:val="center"/>
          </w:tcPr>
          <w:p w:rsidR="00E53DEB" w:rsidRPr="002012BC" w:rsidRDefault="00E53DEB" w:rsidP="00706951">
            <w:pPr>
              <w:ind w:left="62"/>
              <w:rPr>
                <w:rFonts w:ascii="Times New Roman" w:hAnsi="Times New Roman" w:cs="Times New Roman"/>
                <w:color w:val="auto"/>
              </w:rPr>
            </w:pPr>
            <w:r w:rsidRPr="002012BC">
              <w:rPr>
                <w:rFonts w:ascii="Times New Roman" w:hAnsi="Times New Roman" w:cs="Times New Roman"/>
                <w:color w:val="auto"/>
                <w:sz w:val="20"/>
              </w:rPr>
              <w:t>10% - 90%</w:t>
            </w:r>
          </w:p>
        </w:tc>
      </w:tr>
      <w:tr w:rsidR="00E53DEB" w:rsidRPr="002012BC" w:rsidTr="00706951">
        <w:trPr>
          <w:trHeight w:val="478"/>
        </w:trPr>
        <w:tc>
          <w:tcPr>
            <w:tcW w:w="4148" w:type="dxa"/>
            <w:tcBorders>
              <w:top w:val="nil"/>
              <w:left w:val="nil"/>
              <w:bottom w:val="nil"/>
              <w:right w:val="nil"/>
            </w:tcBorders>
          </w:tcPr>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color w:val="auto"/>
                <w:sz w:val="20"/>
              </w:rPr>
              <w:t>Percent of Random Inspections (%</w:t>
            </w:r>
            <w:r w:rsidRPr="002012BC">
              <w:rPr>
                <w:rFonts w:ascii="Times New Roman" w:hAnsi="Times New Roman" w:cs="Times New Roman"/>
                <w:color w:val="auto"/>
                <w:sz w:val="20"/>
                <w:vertAlign w:val="subscript"/>
              </w:rPr>
              <w:t>rand</w:t>
            </w:r>
            <w:r w:rsidRPr="002012BC">
              <w:rPr>
                <w:rFonts w:ascii="Times New Roman" w:hAnsi="Times New Roman" w:cs="Times New Roman"/>
                <w:color w:val="auto"/>
                <w:sz w:val="20"/>
              </w:rPr>
              <w:t>)</w:t>
            </w:r>
          </w:p>
          <w:p w:rsidR="00E53DEB" w:rsidRPr="002012BC" w:rsidRDefault="00E53DEB" w:rsidP="00706951">
            <w:pPr>
              <w:ind w:left="120"/>
              <w:rPr>
                <w:rFonts w:ascii="Times New Roman" w:hAnsi="Times New Roman" w:cs="Times New Roman"/>
                <w:color w:val="auto"/>
              </w:rPr>
            </w:pPr>
            <w:proofErr w:type="spellStart"/>
            <w:r w:rsidRPr="002012BC">
              <w:rPr>
                <w:rFonts w:ascii="Times New Roman" w:hAnsi="Times New Roman" w:cs="Times New Roman"/>
                <w:i/>
                <w:color w:val="auto"/>
                <w:sz w:val="18"/>
              </w:rPr>
              <w:t>MRRbNC</w:t>
            </w:r>
            <w:proofErr w:type="spellEnd"/>
            <w:r w:rsidRPr="002012BC">
              <w:rPr>
                <w:rFonts w:ascii="Times New Roman" w:hAnsi="Times New Roman" w:cs="Times New Roman"/>
                <w:i/>
                <w:color w:val="auto"/>
                <w:sz w:val="18"/>
              </w:rPr>
              <w:t xml:space="preserve"> inspection strategy</w:t>
            </w:r>
          </w:p>
        </w:tc>
        <w:tc>
          <w:tcPr>
            <w:tcW w:w="1434" w:type="dxa"/>
            <w:tcBorders>
              <w:top w:val="nil"/>
              <w:left w:val="nil"/>
              <w:bottom w:val="nil"/>
              <w:right w:val="nil"/>
            </w:tcBorders>
            <w:vAlign w:val="center"/>
          </w:tcPr>
          <w:p w:rsidR="00E53DEB" w:rsidRPr="002012BC" w:rsidRDefault="00E53DEB" w:rsidP="00706951">
            <w:pPr>
              <w:ind w:left="98"/>
              <w:rPr>
                <w:rFonts w:ascii="Times New Roman" w:hAnsi="Times New Roman" w:cs="Times New Roman"/>
                <w:color w:val="auto"/>
              </w:rPr>
            </w:pPr>
            <w:r w:rsidRPr="002012BC">
              <w:rPr>
                <w:rFonts w:ascii="Times New Roman" w:hAnsi="Times New Roman" w:cs="Times New Roman"/>
                <w:color w:val="auto"/>
                <w:sz w:val="20"/>
              </w:rPr>
              <w:t>10% - 90%</w:t>
            </w:r>
            <w:r w:rsidRPr="002012BC">
              <w:rPr>
                <w:rFonts w:ascii="Cambria Math" w:hAnsi="Cambria Math" w:cs="Cambria Math"/>
                <w:i/>
                <w:color w:val="auto"/>
                <w:sz w:val="20"/>
                <w:vertAlign w:val="superscript"/>
              </w:rPr>
              <w:t>𝑎</w:t>
            </w:r>
          </w:p>
        </w:tc>
        <w:tc>
          <w:tcPr>
            <w:tcW w:w="1141" w:type="dxa"/>
            <w:tcBorders>
              <w:top w:val="nil"/>
              <w:left w:val="nil"/>
              <w:bottom w:val="nil"/>
              <w:right w:val="nil"/>
            </w:tcBorders>
            <w:vAlign w:val="center"/>
          </w:tcPr>
          <w:p w:rsidR="00E53DEB" w:rsidRPr="002012BC" w:rsidRDefault="00E53DEB" w:rsidP="00706951">
            <w:pPr>
              <w:ind w:left="62"/>
              <w:rPr>
                <w:rFonts w:ascii="Times New Roman" w:hAnsi="Times New Roman" w:cs="Times New Roman"/>
                <w:color w:val="auto"/>
              </w:rPr>
            </w:pPr>
            <w:r w:rsidRPr="002012BC">
              <w:rPr>
                <w:rFonts w:ascii="Times New Roman" w:hAnsi="Times New Roman" w:cs="Times New Roman"/>
                <w:color w:val="auto"/>
                <w:sz w:val="20"/>
              </w:rPr>
              <w:t>10% - 90%</w:t>
            </w:r>
          </w:p>
        </w:tc>
      </w:tr>
      <w:tr w:rsidR="00E53DEB" w:rsidRPr="002012BC" w:rsidTr="00706951">
        <w:trPr>
          <w:trHeight w:val="488"/>
        </w:trPr>
        <w:tc>
          <w:tcPr>
            <w:tcW w:w="4148" w:type="dxa"/>
            <w:tcBorders>
              <w:top w:val="nil"/>
              <w:left w:val="nil"/>
              <w:bottom w:val="nil"/>
              <w:right w:val="nil"/>
            </w:tcBorders>
          </w:tcPr>
          <w:p w:rsidR="00E53DEB" w:rsidRPr="002012BC" w:rsidRDefault="00E53DEB" w:rsidP="00706951">
            <w:pPr>
              <w:spacing w:after="22"/>
              <w:ind w:left="120"/>
              <w:rPr>
                <w:rFonts w:ascii="Times New Roman" w:hAnsi="Times New Roman" w:cs="Times New Roman"/>
                <w:color w:val="auto"/>
              </w:rPr>
            </w:pPr>
            <w:r w:rsidRPr="002012BC">
              <w:rPr>
                <w:rFonts w:ascii="Times New Roman" w:hAnsi="Times New Roman" w:cs="Times New Roman"/>
                <w:color w:val="auto"/>
                <w:sz w:val="20"/>
              </w:rPr>
              <w:t>Logit Normal Parameters (</w:t>
            </w:r>
            <w:r w:rsidRPr="002012BC">
              <w:rPr>
                <w:rFonts w:ascii="Cambria Math" w:hAnsi="Cambria Math" w:cs="Cambria Math"/>
                <w:i/>
                <w:color w:val="auto"/>
                <w:sz w:val="20"/>
              </w:rPr>
              <w:t>𝜇</w:t>
            </w:r>
            <w:r w:rsidRPr="002012BC">
              <w:rPr>
                <w:rFonts w:ascii="Times New Roman" w:hAnsi="Times New Roman" w:cs="Times New Roman"/>
                <w:i/>
                <w:color w:val="auto"/>
                <w:sz w:val="20"/>
              </w:rPr>
              <w:t xml:space="preserve"> </w:t>
            </w:r>
            <w:r w:rsidRPr="002012BC">
              <w:rPr>
                <w:rFonts w:ascii="Times New Roman" w:hAnsi="Times New Roman" w:cs="Times New Roman"/>
                <w:color w:val="auto"/>
                <w:sz w:val="20"/>
              </w:rPr>
              <w:t xml:space="preserve">and </w:t>
            </w:r>
            <w:r w:rsidRPr="002012BC">
              <w:rPr>
                <w:rFonts w:ascii="Cambria Math" w:hAnsi="Cambria Math" w:cs="Cambria Math"/>
                <w:i/>
                <w:color w:val="auto"/>
                <w:sz w:val="20"/>
              </w:rPr>
              <w:t>𝜎</w:t>
            </w:r>
            <w:r w:rsidRPr="002012BC">
              <w:rPr>
                <w:rFonts w:ascii="Times New Roman" w:hAnsi="Times New Roman" w:cs="Times New Roman"/>
                <w:color w:val="auto"/>
                <w:sz w:val="20"/>
              </w:rPr>
              <w:t>)</w:t>
            </w:r>
          </w:p>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i/>
                <w:color w:val="auto"/>
                <w:sz w:val="18"/>
              </w:rPr>
              <w:t xml:space="preserve">AR inspection strategy &amp; </w:t>
            </w:r>
            <w:r w:rsidRPr="002012BC">
              <w:rPr>
                <w:rFonts w:ascii="Cambria Math" w:hAnsi="Cambria Math" w:cs="Cambria Math"/>
                <w:i/>
                <w:color w:val="auto"/>
                <w:sz w:val="18"/>
              </w:rPr>
              <w:t>𝑟</w:t>
            </w:r>
            <w:r w:rsidRPr="002012BC">
              <w:rPr>
                <w:rFonts w:ascii="Times New Roman" w:hAnsi="Times New Roman" w:cs="Times New Roman"/>
                <w:i/>
                <w:color w:val="auto"/>
                <w:sz w:val="15"/>
              </w:rPr>
              <w:t>peers</w:t>
            </w:r>
            <w:r w:rsidRPr="002012BC">
              <w:rPr>
                <w:rFonts w:ascii="Times New Roman" w:hAnsi="Times New Roman" w:cs="Times New Roman"/>
                <w:i/>
                <w:color w:val="auto"/>
                <w:sz w:val="18"/>
              </w:rPr>
              <w:t>=10</w:t>
            </w:r>
          </w:p>
        </w:tc>
        <w:tc>
          <w:tcPr>
            <w:tcW w:w="2575" w:type="dxa"/>
            <w:gridSpan w:val="2"/>
            <w:tcBorders>
              <w:top w:val="nil"/>
              <w:left w:val="nil"/>
              <w:bottom w:val="nil"/>
              <w:right w:val="nil"/>
            </w:tcBorders>
            <w:vAlign w:val="center"/>
          </w:tcPr>
          <w:p w:rsidR="00E53DEB" w:rsidRPr="002012BC" w:rsidRDefault="00E53DEB" w:rsidP="00706951">
            <w:pPr>
              <w:ind w:right="4"/>
              <w:jc w:val="center"/>
              <w:rPr>
                <w:rFonts w:ascii="Times New Roman" w:hAnsi="Times New Roman" w:cs="Times New Roman"/>
                <w:color w:val="auto"/>
              </w:rPr>
            </w:pPr>
            <w:r w:rsidRPr="002012BC">
              <w:rPr>
                <w:rFonts w:ascii="Times New Roman" w:hAnsi="Times New Roman" w:cs="Times New Roman"/>
                <w:color w:val="auto"/>
                <w:sz w:val="20"/>
              </w:rPr>
              <w:t>See Table 11</w:t>
            </w:r>
          </w:p>
        </w:tc>
      </w:tr>
      <w:tr w:rsidR="00E53DEB" w:rsidRPr="002012BC" w:rsidTr="00706951">
        <w:trPr>
          <w:trHeight w:val="474"/>
        </w:trPr>
        <w:tc>
          <w:tcPr>
            <w:tcW w:w="4148" w:type="dxa"/>
            <w:tcBorders>
              <w:top w:val="nil"/>
              <w:left w:val="nil"/>
              <w:bottom w:val="single" w:sz="3" w:space="0" w:color="000000"/>
              <w:right w:val="nil"/>
            </w:tcBorders>
          </w:tcPr>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color w:val="auto"/>
                <w:sz w:val="20"/>
              </w:rPr>
              <w:t>Radius of Peers (</w:t>
            </w:r>
            <w:r w:rsidRPr="002012BC">
              <w:rPr>
                <w:rFonts w:ascii="Cambria Math" w:hAnsi="Cambria Math" w:cs="Cambria Math"/>
                <w:i/>
                <w:color w:val="auto"/>
                <w:sz w:val="20"/>
              </w:rPr>
              <w:t>𝑟</w:t>
            </w:r>
            <w:r w:rsidRPr="002012BC">
              <w:rPr>
                <w:rFonts w:ascii="Times New Roman" w:hAnsi="Times New Roman" w:cs="Times New Roman"/>
                <w:color w:val="auto"/>
                <w:sz w:val="20"/>
                <w:vertAlign w:val="subscript"/>
              </w:rPr>
              <w:t>peers</w:t>
            </w:r>
            <w:r w:rsidRPr="002012BC">
              <w:rPr>
                <w:rFonts w:ascii="Times New Roman" w:hAnsi="Times New Roman" w:cs="Times New Roman"/>
                <w:color w:val="auto"/>
                <w:sz w:val="20"/>
              </w:rPr>
              <w:t>)</w:t>
            </w:r>
          </w:p>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i/>
                <w:color w:val="auto"/>
                <w:sz w:val="18"/>
              </w:rPr>
              <w:t>AR inspection strategy</w:t>
            </w:r>
          </w:p>
        </w:tc>
        <w:tc>
          <w:tcPr>
            <w:tcW w:w="2575" w:type="dxa"/>
            <w:gridSpan w:val="2"/>
            <w:tcBorders>
              <w:top w:val="nil"/>
              <w:left w:val="nil"/>
              <w:bottom w:val="single" w:sz="3" w:space="0" w:color="000000"/>
              <w:right w:val="nil"/>
            </w:tcBorders>
            <w:vAlign w:val="center"/>
          </w:tcPr>
          <w:p w:rsidR="00E53DEB" w:rsidRPr="002012BC" w:rsidRDefault="00E53DEB" w:rsidP="00706951">
            <w:pPr>
              <w:tabs>
                <w:tab w:val="center" w:pos="591"/>
                <w:tab w:val="center" w:pos="1945"/>
              </w:tabs>
              <w:rPr>
                <w:rFonts w:ascii="Times New Roman" w:hAnsi="Times New Roman" w:cs="Times New Roman"/>
                <w:color w:val="auto"/>
              </w:rPr>
            </w:pPr>
            <w:r w:rsidRPr="002012BC">
              <w:rPr>
                <w:rFonts w:ascii="Times New Roman" w:hAnsi="Times New Roman" w:cs="Times New Roman"/>
                <w:color w:val="auto"/>
              </w:rPr>
              <w:tab/>
            </w:r>
            <w:r w:rsidRPr="002012BC">
              <w:rPr>
                <w:rFonts w:ascii="Times New Roman" w:hAnsi="Times New Roman" w:cs="Times New Roman"/>
                <w:color w:val="auto"/>
                <w:sz w:val="20"/>
              </w:rPr>
              <w:t>5</w:t>
            </w:r>
            <w:r w:rsidRPr="002012BC">
              <w:rPr>
                <w:rFonts w:ascii="Cambria Math" w:hAnsi="Cambria Math" w:cs="Cambria Math"/>
                <w:i/>
                <w:color w:val="auto"/>
                <w:sz w:val="20"/>
                <w:vertAlign w:val="superscript"/>
              </w:rPr>
              <w:t>𝑏</w:t>
            </w:r>
            <w:r w:rsidRPr="002012BC">
              <w:rPr>
                <w:rFonts w:ascii="Times New Roman" w:hAnsi="Times New Roman" w:cs="Times New Roman"/>
                <w:i/>
                <w:color w:val="auto"/>
                <w:sz w:val="20"/>
                <w:vertAlign w:val="superscript"/>
              </w:rPr>
              <w:tab/>
            </w:r>
            <w:r w:rsidRPr="002012BC">
              <w:rPr>
                <w:rFonts w:ascii="Times New Roman" w:hAnsi="Times New Roman" w:cs="Times New Roman"/>
                <w:color w:val="auto"/>
                <w:sz w:val="20"/>
              </w:rPr>
              <w:t>5 - 15</w:t>
            </w:r>
          </w:p>
        </w:tc>
      </w:tr>
    </w:tbl>
    <w:p w:rsidR="00E53DEB" w:rsidRPr="002012BC" w:rsidRDefault="00E53DEB" w:rsidP="00E53DEB">
      <w:pPr>
        <w:spacing w:after="0" w:line="267" w:lineRule="auto"/>
        <w:ind w:left="-9" w:hanging="6"/>
        <w:rPr>
          <w:rFonts w:ascii="Times New Roman" w:hAnsi="Times New Roman" w:cs="Times New Roman"/>
          <w:color w:val="auto"/>
        </w:rPr>
      </w:pPr>
      <w:r w:rsidRPr="002012BC">
        <w:rPr>
          <w:rFonts w:ascii="Cambria Math" w:hAnsi="Cambria Math" w:cs="Cambria Math"/>
          <w:i/>
          <w:color w:val="auto"/>
          <w:sz w:val="14"/>
          <w:vertAlign w:val="superscript"/>
        </w:rPr>
        <w:t>𝑎</w:t>
      </w:r>
      <w:r w:rsidRPr="002012BC">
        <w:rPr>
          <w:rFonts w:ascii="Times New Roman" w:hAnsi="Times New Roman" w:cs="Times New Roman"/>
          <w:i/>
          <w:color w:val="auto"/>
          <w:sz w:val="14"/>
          <w:vertAlign w:val="superscript"/>
        </w:rPr>
        <w:t xml:space="preserve"> </w:t>
      </w:r>
      <w:proofErr w:type="gramStart"/>
      <w:r w:rsidRPr="002012BC">
        <w:rPr>
          <w:rFonts w:ascii="Times New Roman" w:hAnsi="Times New Roman" w:cs="Times New Roman"/>
          <w:color w:val="auto"/>
          <w:sz w:val="14"/>
        </w:rPr>
        <w:t>This</w:t>
      </w:r>
      <w:proofErr w:type="gramEnd"/>
      <w:r w:rsidRPr="002012BC">
        <w:rPr>
          <w:rFonts w:ascii="Times New Roman" w:hAnsi="Times New Roman" w:cs="Times New Roman"/>
          <w:color w:val="auto"/>
          <w:sz w:val="14"/>
        </w:rPr>
        <w:t xml:space="preserve"> range of </w:t>
      </w:r>
      <w:r w:rsidRPr="002012BC">
        <w:rPr>
          <w:rFonts w:ascii="Times New Roman" w:hAnsi="Times New Roman" w:cs="Times New Roman"/>
          <w:color w:val="auto"/>
          <w:sz w:val="15"/>
        </w:rPr>
        <w:t>%</w:t>
      </w:r>
      <w:r w:rsidRPr="002012BC">
        <w:rPr>
          <w:rFonts w:ascii="Times New Roman" w:hAnsi="Times New Roman" w:cs="Times New Roman"/>
          <w:color w:val="auto"/>
          <w:sz w:val="15"/>
          <w:vertAlign w:val="subscript"/>
        </w:rPr>
        <w:t xml:space="preserve">rand </w:t>
      </w:r>
      <w:r w:rsidRPr="002012BC">
        <w:rPr>
          <w:rFonts w:ascii="Times New Roman" w:hAnsi="Times New Roman" w:cs="Times New Roman"/>
          <w:color w:val="auto"/>
          <w:sz w:val="14"/>
        </w:rPr>
        <w:t xml:space="preserve">produces an </w:t>
      </w:r>
      <w:proofErr w:type="spellStart"/>
      <w:r w:rsidRPr="002012BC">
        <w:rPr>
          <w:rFonts w:ascii="Times New Roman" w:hAnsi="Times New Roman" w:cs="Times New Roman"/>
          <w:color w:val="auto"/>
          <w:sz w:val="14"/>
        </w:rPr>
        <w:t>inspectee</w:t>
      </w:r>
      <w:proofErr w:type="spellEnd"/>
      <w:r w:rsidRPr="002012BC">
        <w:rPr>
          <w:rFonts w:ascii="Times New Roman" w:hAnsi="Times New Roman" w:cs="Times New Roman"/>
          <w:color w:val="auto"/>
          <w:sz w:val="14"/>
        </w:rPr>
        <w:t xml:space="preserve"> population with more than 50% of non-compliant </w:t>
      </w:r>
      <w:proofErr w:type="spellStart"/>
      <w:r w:rsidRPr="002012BC">
        <w:rPr>
          <w:rFonts w:ascii="Times New Roman" w:hAnsi="Times New Roman" w:cs="Times New Roman"/>
          <w:color w:val="auto"/>
          <w:sz w:val="14"/>
        </w:rPr>
        <w:t>inspectees</w:t>
      </w:r>
      <w:proofErr w:type="spellEnd"/>
      <w:r w:rsidRPr="002012BC">
        <w:rPr>
          <w:rFonts w:ascii="Times New Roman" w:hAnsi="Times New Roman" w:cs="Times New Roman"/>
          <w:color w:val="auto"/>
          <w:sz w:val="14"/>
        </w:rPr>
        <w:t>. Though this is not in alignment with definition of structural validity as described in the beginning of Section 9.2, the model still behaves as expected and does not converge unrealistically towards either zero or 100% compliance.</w:t>
      </w:r>
    </w:p>
    <w:p w:rsidR="00E53DEB" w:rsidRPr="002012BC" w:rsidRDefault="00E53DEB" w:rsidP="00E53DEB">
      <w:pPr>
        <w:spacing w:after="433" w:line="267" w:lineRule="auto"/>
        <w:ind w:left="-9" w:hanging="6"/>
        <w:rPr>
          <w:rFonts w:ascii="Times New Roman" w:hAnsi="Times New Roman" w:cs="Times New Roman"/>
          <w:color w:val="auto"/>
          <w:sz w:val="14"/>
        </w:rPr>
      </w:pPr>
      <w:r w:rsidRPr="002012BC">
        <w:rPr>
          <w:rFonts w:ascii="Cambria Math" w:hAnsi="Cambria Math" w:cs="Cambria Math"/>
          <w:i/>
          <w:color w:val="auto"/>
          <w:sz w:val="14"/>
          <w:vertAlign w:val="superscript"/>
        </w:rPr>
        <w:lastRenderedPageBreak/>
        <w:t>𝑏</w:t>
      </w:r>
      <w:r w:rsidRPr="002012BC">
        <w:rPr>
          <w:rFonts w:ascii="Times New Roman" w:hAnsi="Times New Roman" w:cs="Times New Roman"/>
          <w:i/>
          <w:color w:val="auto"/>
          <w:sz w:val="14"/>
          <w:vertAlign w:val="superscript"/>
        </w:rPr>
        <w:t xml:space="preserve"> </w:t>
      </w:r>
      <w:proofErr w:type="gramStart"/>
      <w:r w:rsidRPr="002012BC">
        <w:rPr>
          <w:rFonts w:ascii="Times New Roman" w:hAnsi="Times New Roman" w:cs="Times New Roman"/>
          <w:color w:val="auto"/>
          <w:sz w:val="14"/>
        </w:rPr>
        <w:t>Similarly</w:t>
      </w:r>
      <w:proofErr w:type="gramEnd"/>
      <w:r w:rsidRPr="002012BC">
        <w:rPr>
          <w:rFonts w:ascii="Times New Roman" w:hAnsi="Times New Roman" w:cs="Times New Roman"/>
          <w:color w:val="auto"/>
          <w:sz w:val="14"/>
        </w:rPr>
        <w:t xml:space="preserve">, a radius of five with SE produces an </w:t>
      </w:r>
      <w:proofErr w:type="spellStart"/>
      <w:r w:rsidRPr="002012BC">
        <w:rPr>
          <w:rFonts w:ascii="Times New Roman" w:hAnsi="Times New Roman" w:cs="Times New Roman"/>
          <w:color w:val="auto"/>
          <w:sz w:val="14"/>
        </w:rPr>
        <w:t>inspectee</w:t>
      </w:r>
      <w:proofErr w:type="spellEnd"/>
      <w:r w:rsidRPr="002012BC">
        <w:rPr>
          <w:rFonts w:ascii="Times New Roman" w:hAnsi="Times New Roman" w:cs="Times New Roman"/>
          <w:color w:val="auto"/>
          <w:sz w:val="14"/>
        </w:rPr>
        <w:t xml:space="preserve"> population with more than 50% of non-compliant </w:t>
      </w:r>
      <w:proofErr w:type="spellStart"/>
      <w:r w:rsidRPr="002012BC">
        <w:rPr>
          <w:rFonts w:ascii="Times New Roman" w:hAnsi="Times New Roman" w:cs="Times New Roman"/>
          <w:color w:val="auto"/>
          <w:sz w:val="14"/>
        </w:rPr>
        <w:t>inspectees</w:t>
      </w:r>
      <w:proofErr w:type="spellEnd"/>
      <w:r w:rsidRPr="002012BC">
        <w:rPr>
          <w:rFonts w:ascii="Times New Roman" w:hAnsi="Times New Roman" w:cs="Times New Roman"/>
          <w:color w:val="auto"/>
          <w:sz w:val="14"/>
        </w:rPr>
        <w:t>. However, this is the only viable value for the radius, as increasing it further only decreases the compliance rate.</w:t>
      </w:r>
    </w:p>
    <w:p w:rsidR="00E53DEB" w:rsidRPr="002012BC" w:rsidRDefault="00E53DEB" w:rsidP="00E53DEB">
      <w:pPr>
        <w:spacing w:after="5" w:line="248" w:lineRule="auto"/>
        <w:ind w:left="-10" w:right="-15" w:firstLine="239"/>
        <w:jc w:val="both"/>
        <w:rPr>
          <w:rFonts w:ascii="Times New Roman" w:hAnsi="Times New Roman" w:cs="Times New Roman"/>
          <w:color w:val="auto"/>
          <w:sz w:val="20"/>
        </w:rPr>
      </w:pPr>
      <w:r w:rsidRPr="002012BC">
        <w:rPr>
          <w:rFonts w:ascii="Times New Roman" w:hAnsi="Times New Roman" w:cs="Times New Roman"/>
          <w:color w:val="auto"/>
          <w:sz w:val="20"/>
        </w:rPr>
        <w:t xml:space="preserve">Structural validation determines the boundaries of model parameters where the output ceases to be reasonable. According to ILT experts, a non-compliant proportion greater than 50% of the population is unrealistic for any sector. Such high non-compliance suggests regulations may be too costly or misaligned with real-life circumstances. When compliance falls below 50%, regulations </w:t>
      </w:r>
      <w:proofErr w:type="gramStart"/>
      <w:r w:rsidRPr="002012BC">
        <w:rPr>
          <w:rFonts w:ascii="Times New Roman" w:hAnsi="Times New Roman" w:cs="Times New Roman"/>
          <w:color w:val="auto"/>
          <w:sz w:val="20"/>
        </w:rPr>
        <w:t>are typically revised</w:t>
      </w:r>
      <w:proofErr w:type="gramEnd"/>
      <w:r w:rsidRPr="002012BC">
        <w:rPr>
          <w:rFonts w:ascii="Times New Roman" w:hAnsi="Times New Roman" w:cs="Times New Roman"/>
          <w:color w:val="auto"/>
          <w:sz w:val="20"/>
        </w:rPr>
        <w:t xml:space="preserve"> to improve adherence rather than enforcing penalties. Therefore, a compliance threshold of 50% </w:t>
      </w:r>
      <w:proofErr w:type="gramStart"/>
      <w:r w:rsidRPr="002012BC">
        <w:rPr>
          <w:rFonts w:ascii="Times New Roman" w:hAnsi="Times New Roman" w:cs="Times New Roman"/>
          <w:color w:val="auto"/>
          <w:sz w:val="20"/>
        </w:rPr>
        <w:t>is used</w:t>
      </w:r>
      <w:proofErr w:type="gramEnd"/>
      <w:r w:rsidRPr="002012BC">
        <w:rPr>
          <w:rFonts w:ascii="Times New Roman" w:hAnsi="Times New Roman" w:cs="Times New Roman"/>
          <w:color w:val="auto"/>
          <w:sz w:val="20"/>
        </w:rPr>
        <w:t xml:space="preserve"> for structural validation.</w:t>
      </w:r>
    </w:p>
    <w:p w:rsidR="00E53DEB" w:rsidRPr="002012BC" w:rsidRDefault="00E53DEB" w:rsidP="00E53DEB">
      <w:pPr>
        <w:spacing w:after="433" w:line="267" w:lineRule="auto"/>
        <w:ind w:left="-9" w:hanging="6"/>
        <w:rPr>
          <w:rFonts w:ascii="Times New Roman" w:hAnsi="Times New Roman" w:cs="Times New Roman"/>
          <w:color w:val="auto"/>
        </w:rPr>
      </w:pPr>
    </w:p>
    <w:p w:rsidR="00E53DEB" w:rsidRPr="002012BC" w:rsidRDefault="00E53DEB" w:rsidP="00E53DEB">
      <w:pPr>
        <w:spacing w:after="0" w:line="265" w:lineRule="auto"/>
        <w:ind w:left="10" w:hanging="10"/>
        <w:jc w:val="center"/>
        <w:rPr>
          <w:rFonts w:ascii="Times New Roman" w:hAnsi="Times New Roman" w:cs="Times New Roman"/>
          <w:color w:val="auto"/>
        </w:rPr>
      </w:pPr>
      <w:r w:rsidRPr="002012BC">
        <w:rPr>
          <w:rFonts w:ascii="Times New Roman" w:hAnsi="Times New Roman" w:cs="Times New Roman"/>
          <w:b/>
          <w:i/>
          <w:color w:val="auto"/>
          <w:sz w:val="20"/>
        </w:rPr>
        <w:t xml:space="preserve">Table 11. </w:t>
      </w:r>
      <w:r w:rsidRPr="002012BC">
        <w:rPr>
          <w:rFonts w:ascii="Times New Roman" w:hAnsi="Times New Roman" w:cs="Times New Roman"/>
          <w:i/>
          <w:color w:val="auto"/>
          <w:sz w:val="20"/>
        </w:rPr>
        <w:t xml:space="preserve">Structurally valid values of </w:t>
      </w:r>
      <w:r w:rsidRPr="002012BC">
        <w:rPr>
          <w:rFonts w:ascii="Cambria Math" w:hAnsi="Cambria Math" w:cs="Cambria Math"/>
          <w:i/>
          <w:color w:val="auto"/>
          <w:sz w:val="20"/>
        </w:rPr>
        <w:t>𝜇</w:t>
      </w:r>
      <w:r w:rsidRPr="002012BC">
        <w:rPr>
          <w:rFonts w:ascii="Times New Roman" w:hAnsi="Times New Roman" w:cs="Times New Roman"/>
          <w:i/>
          <w:color w:val="auto"/>
          <w:sz w:val="20"/>
        </w:rPr>
        <w:t xml:space="preserve"> and </w:t>
      </w:r>
      <w:r w:rsidRPr="002012BC">
        <w:rPr>
          <w:rFonts w:ascii="Cambria Math" w:hAnsi="Cambria Math" w:cs="Cambria Math"/>
          <w:i/>
          <w:color w:val="auto"/>
          <w:sz w:val="20"/>
        </w:rPr>
        <w:t>𝜎</w:t>
      </w:r>
      <w:r w:rsidRPr="002012BC">
        <w:rPr>
          <w:rFonts w:ascii="Times New Roman" w:hAnsi="Times New Roman" w:cs="Times New Roman"/>
          <w:i/>
          <w:color w:val="auto"/>
          <w:sz w:val="20"/>
        </w:rPr>
        <w:t>.</w:t>
      </w:r>
    </w:p>
    <w:tbl>
      <w:tblPr>
        <w:tblStyle w:val="TableGrid"/>
        <w:tblW w:w="4720" w:type="dxa"/>
        <w:tblInd w:w="1722" w:type="dxa"/>
        <w:tblCellMar>
          <w:top w:w="29" w:type="dxa"/>
          <w:right w:w="115" w:type="dxa"/>
        </w:tblCellMar>
        <w:tblLook w:val="04A0" w:firstRow="1" w:lastRow="0" w:firstColumn="1" w:lastColumn="0" w:noHBand="0" w:noVBand="1"/>
      </w:tblPr>
      <w:tblGrid>
        <w:gridCol w:w="608"/>
        <w:gridCol w:w="2014"/>
        <w:gridCol w:w="2098"/>
      </w:tblGrid>
      <w:tr w:rsidR="00E53DEB" w:rsidRPr="002012BC" w:rsidTr="00706951">
        <w:trPr>
          <w:trHeight w:val="247"/>
        </w:trPr>
        <w:tc>
          <w:tcPr>
            <w:tcW w:w="608" w:type="dxa"/>
            <w:tcBorders>
              <w:top w:val="single" w:sz="3" w:space="0" w:color="000000"/>
              <w:left w:val="nil"/>
              <w:bottom w:val="single" w:sz="3" w:space="0" w:color="000000"/>
              <w:right w:val="nil"/>
            </w:tcBorders>
          </w:tcPr>
          <w:p w:rsidR="00E53DEB" w:rsidRPr="002012BC" w:rsidRDefault="00E53DEB" w:rsidP="00706951">
            <w:pPr>
              <w:rPr>
                <w:rFonts w:ascii="Times New Roman" w:hAnsi="Times New Roman" w:cs="Times New Roman"/>
                <w:color w:val="auto"/>
              </w:rPr>
            </w:pPr>
          </w:p>
        </w:tc>
        <w:tc>
          <w:tcPr>
            <w:tcW w:w="4112" w:type="dxa"/>
            <w:gridSpan w:val="2"/>
            <w:tcBorders>
              <w:top w:val="single" w:sz="3" w:space="0" w:color="000000"/>
              <w:left w:val="nil"/>
              <w:bottom w:val="single" w:sz="3" w:space="0" w:color="000000"/>
              <w:right w:val="nil"/>
            </w:tcBorders>
          </w:tcPr>
          <w:p w:rsidR="00E53DEB" w:rsidRPr="002012BC" w:rsidRDefault="00E53DEB" w:rsidP="00706951">
            <w:pPr>
              <w:ind w:right="4"/>
              <w:jc w:val="center"/>
              <w:rPr>
                <w:rFonts w:ascii="Times New Roman" w:hAnsi="Times New Roman" w:cs="Times New Roman"/>
                <w:color w:val="auto"/>
              </w:rPr>
            </w:pPr>
            <w:r w:rsidRPr="002012BC">
              <w:rPr>
                <w:rFonts w:ascii="Times New Roman" w:hAnsi="Times New Roman" w:cs="Times New Roman"/>
                <w:color w:val="auto"/>
                <w:sz w:val="20"/>
              </w:rPr>
              <w:t xml:space="preserve">Valid range of Logit </w:t>
            </w:r>
            <w:r w:rsidRPr="002012BC">
              <w:rPr>
                <w:rFonts w:ascii="Cambria Math" w:hAnsi="Cambria Math" w:cs="Cambria Math"/>
                <w:i/>
                <w:color w:val="auto"/>
                <w:sz w:val="20"/>
              </w:rPr>
              <w:t>𝜎</w:t>
            </w:r>
            <w:r w:rsidRPr="002012BC">
              <w:rPr>
                <w:rFonts w:ascii="Times New Roman" w:hAnsi="Times New Roman" w:cs="Times New Roman"/>
                <w:i/>
                <w:color w:val="auto"/>
                <w:sz w:val="20"/>
              </w:rPr>
              <w:t xml:space="preserve"> </w:t>
            </w:r>
            <w:r w:rsidRPr="002012BC">
              <w:rPr>
                <w:rFonts w:ascii="Times New Roman" w:hAnsi="Times New Roman" w:cs="Times New Roman"/>
                <w:color w:val="auto"/>
                <w:sz w:val="20"/>
              </w:rPr>
              <w:t>Values</w:t>
            </w:r>
          </w:p>
        </w:tc>
      </w:tr>
      <w:tr w:rsidR="00E53DEB" w:rsidRPr="002012BC" w:rsidTr="00706951">
        <w:trPr>
          <w:trHeight w:val="247"/>
        </w:trPr>
        <w:tc>
          <w:tcPr>
            <w:tcW w:w="608" w:type="dxa"/>
            <w:tcBorders>
              <w:top w:val="single" w:sz="3" w:space="0" w:color="000000"/>
              <w:left w:val="nil"/>
              <w:bottom w:val="single" w:sz="3" w:space="0" w:color="000000"/>
              <w:right w:val="nil"/>
            </w:tcBorders>
          </w:tcPr>
          <w:p w:rsidR="00E53DEB" w:rsidRPr="002012BC" w:rsidRDefault="00E53DEB" w:rsidP="00706951">
            <w:pPr>
              <w:ind w:left="193"/>
              <w:rPr>
                <w:rFonts w:ascii="Times New Roman" w:hAnsi="Times New Roman" w:cs="Times New Roman"/>
                <w:color w:val="auto"/>
              </w:rPr>
            </w:pPr>
            <w:r w:rsidRPr="002012BC">
              <w:rPr>
                <w:rFonts w:ascii="Cambria Math" w:hAnsi="Cambria Math" w:cs="Cambria Math"/>
                <w:i/>
                <w:color w:val="auto"/>
                <w:sz w:val="20"/>
              </w:rPr>
              <w:t>𝜇</w:t>
            </w:r>
          </w:p>
        </w:tc>
        <w:tc>
          <w:tcPr>
            <w:tcW w:w="2014" w:type="dxa"/>
            <w:tcBorders>
              <w:top w:val="single" w:sz="3" w:space="0" w:color="000000"/>
              <w:left w:val="nil"/>
              <w:bottom w:val="single" w:sz="3" w:space="0" w:color="000000"/>
              <w:right w:val="nil"/>
            </w:tcBorders>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20"/>
              </w:rPr>
              <w:t>Standard Enforcement</w:t>
            </w:r>
          </w:p>
        </w:tc>
        <w:tc>
          <w:tcPr>
            <w:tcW w:w="2098" w:type="dxa"/>
            <w:tcBorders>
              <w:top w:val="single" w:sz="3" w:space="0" w:color="000000"/>
              <w:left w:val="nil"/>
              <w:bottom w:val="single" w:sz="3" w:space="0" w:color="000000"/>
              <w:right w:val="nil"/>
            </w:tcBorders>
          </w:tcPr>
          <w:p w:rsidR="00E53DEB" w:rsidRPr="002012BC" w:rsidRDefault="00E53DEB" w:rsidP="00706951">
            <w:pPr>
              <w:rPr>
                <w:rFonts w:ascii="Times New Roman" w:hAnsi="Times New Roman" w:cs="Times New Roman"/>
                <w:color w:val="auto"/>
              </w:rPr>
            </w:pPr>
            <w:r w:rsidRPr="002012BC">
              <w:rPr>
                <w:rFonts w:ascii="Times New Roman" w:hAnsi="Times New Roman" w:cs="Times New Roman"/>
                <w:color w:val="auto"/>
                <w:sz w:val="20"/>
              </w:rPr>
              <w:t>Responsive Enforcement</w:t>
            </w:r>
          </w:p>
        </w:tc>
      </w:tr>
      <w:tr w:rsidR="00E53DEB" w:rsidRPr="002012BC" w:rsidTr="00706951">
        <w:trPr>
          <w:trHeight w:val="244"/>
        </w:trPr>
        <w:tc>
          <w:tcPr>
            <w:tcW w:w="608" w:type="dxa"/>
            <w:tcBorders>
              <w:top w:val="single" w:sz="3" w:space="0" w:color="000000"/>
              <w:left w:val="nil"/>
              <w:bottom w:val="nil"/>
              <w:right w:val="nil"/>
            </w:tcBorders>
          </w:tcPr>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color w:val="auto"/>
                <w:sz w:val="20"/>
              </w:rPr>
              <w:t>0.1</w:t>
            </w:r>
          </w:p>
        </w:tc>
        <w:tc>
          <w:tcPr>
            <w:tcW w:w="2014" w:type="dxa"/>
            <w:tcBorders>
              <w:top w:val="single" w:sz="3" w:space="0" w:color="000000"/>
              <w:left w:val="nil"/>
              <w:bottom w:val="nil"/>
              <w:right w:val="nil"/>
            </w:tcBorders>
          </w:tcPr>
          <w:p w:rsidR="00E53DEB" w:rsidRPr="002012BC" w:rsidRDefault="00E53DEB" w:rsidP="00706951">
            <w:pPr>
              <w:ind w:left="506"/>
              <w:rPr>
                <w:rFonts w:ascii="Times New Roman" w:hAnsi="Times New Roman" w:cs="Times New Roman"/>
                <w:color w:val="auto"/>
              </w:rPr>
            </w:pPr>
            <w:r w:rsidRPr="002012BC">
              <w:rPr>
                <w:rFonts w:ascii="Times New Roman" w:hAnsi="Times New Roman" w:cs="Times New Roman"/>
                <w:color w:val="auto"/>
                <w:sz w:val="20"/>
              </w:rPr>
              <w:t>0.11 - 0.2</w:t>
            </w:r>
          </w:p>
        </w:tc>
        <w:tc>
          <w:tcPr>
            <w:tcW w:w="2098" w:type="dxa"/>
            <w:tcBorders>
              <w:top w:val="single" w:sz="3" w:space="0" w:color="000000"/>
              <w:left w:val="nil"/>
              <w:bottom w:val="nil"/>
              <w:right w:val="nil"/>
            </w:tcBorders>
          </w:tcPr>
          <w:p w:rsidR="00E53DEB" w:rsidRPr="002012BC" w:rsidRDefault="00E53DEB" w:rsidP="00706951">
            <w:pPr>
              <w:ind w:right="4"/>
              <w:jc w:val="center"/>
              <w:rPr>
                <w:rFonts w:ascii="Times New Roman" w:hAnsi="Times New Roman" w:cs="Times New Roman"/>
                <w:color w:val="auto"/>
              </w:rPr>
            </w:pPr>
            <w:r w:rsidRPr="002012BC">
              <w:rPr>
                <w:rFonts w:ascii="Times New Roman" w:hAnsi="Times New Roman" w:cs="Times New Roman"/>
                <w:color w:val="auto"/>
                <w:sz w:val="20"/>
              </w:rPr>
              <w:t>None</w:t>
            </w:r>
          </w:p>
        </w:tc>
      </w:tr>
      <w:tr w:rsidR="00E53DEB" w:rsidRPr="002012BC" w:rsidTr="00706951">
        <w:trPr>
          <w:trHeight w:val="239"/>
        </w:trPr>
        <w:tc>
          <w:tcPr>
            <w:tcW w:w="608" w:type="dxa"/>
            <w:tcBorders>
              <w:top w:val="nil"/>
              <w:left w:val="nil"/>
              <w:bottom w:val="nil"/>
              <w:right w:val="nil"/>
            </w:tcBorders>
          </w:tcPr>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color w:val="auto"/>
                <w:sz w:val="20"/>
              </w:rPr>
              <w:t>0.2</w:t>
            </w:r>
          </w:p>
        </w:tc>
        <w:tc>
          <w:tcPr>
            <w:tcW w:w="2014" w:type="dxa"/>
            <w:tcBorders>
              <w:top w:val="nil"/>
              <w:left w:val="nil"/>
              <w:bottom w:val="nil"/>
              <w:right w:val="nil"/>
            </w:tcBorders>
          </w:tcPr>
          <w:p w:rsidR="00E53DEB" w:rsidRPr="002012BC" w:rsidRDefault="00E53DEB" w:rsidP="00706951">
            <w:pPr>
              <w:ind w:left="506"/>
              <w:rPr>
                <w:rFonts w:ascii="Times New Roman" w:hAnsi="Times New Roman" w:cs="Times New Roman"/>
                <w:color w:val="auto"/>
              </w:rPr>
            </w:pPr>
            <w:r w:rsidRPr="002012BC">
              <w:rPr>
                <w:rFonts w:ascii="Times New Roman" w:hAnsi="Times New Roman" w:cs="Times New Roman"/>
                <w:color w:val="auto"/>
                <w:sz w:val="20"/>
              </w:rPr>
              <w:t>0.22 - 0.3</w:t>
            </w:r>
          </w:p>
        </w:tc>
        <w:tc>
          <w:tcPr>
            <w:tcW w:w="2098" w:type="dxa"/>
            <w:tcBorders>
              <w:top w:val="nil"/>
              <w:left w:val="nil"/>
              <w:bottom w:val="nil"/>
              <w:right w:val="nil"/>
            </w:tcBorders>
          </w:tcPr>
          <w:p w:rsidR="00E53DEB" w:rsidRPr="002012BC" w:rsidRDefault="00E53DEB" w:rsidP="00706951">
            <w:pPr>
              <w:ind w:right="4"/>
              <w:jc w:val="center"/>
              <w:rPr>
                <w:rFonts w:ascii="Times New Roman" w:hAnsi="Times New Roman" w:cs="Times New Roman"/>
                <w:color w:val="auto"/>
              </w:rPr>
            </w:pPr>
            <w:r w:rsidRPr="002012BC">
              <w:rPr>
                <w:rFonts w:ascii="Times New Roman" w:hAnsi="Times New Roman" w:cs="Times New Roman"/>
                <w:color w:val="auto"/>
                <w:sz w:val="20"/>
              </w:rPr>
              <w:t>None</w:t>
            </w:r>
          </w:p>
        </w:tc>
      </w:tr>
      <w:tr w:rsidR="00E53DEB" w:rsidRPr="002012BC" w:rsidTr="00706951">
        <w:trPr>
          <w:trHeight w:val="239"/>
        </w:trPr>
        <w:tc>
          <w:tcPr>
            <w:tcW w:w="608" w:type="dxa"/>
            <w:tcBorders>
              <w:top w:val="nil"/>
              <w:left w:val="nil"/>
              <w:bottom w:val="nil"/>
              <w:right w:val="nil"/>
            </w:tcBorders>
          </w:tcPr>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color w:val="auto"/>
                <w:sz w:val="20"/>
              </w:rPr>
              <w:t>0.3</w:t>
            </w:r>
          </w:p>
        </w:tc>
        <w:tc>
          <w:tcPr>
            <w:tcW w:w="2014" w:type="dxa"/>
            <w:tcBorders>
              <w:top w:val="nil"/>
              <w:left w:val="nil"/>
              <w:bottom w:val="nil"/>
              <w:right w:val="nil"/>
            </w:tcBorders>
          </w:tcPr>
          <w:p w:rsidR="00E53DEB" w:rsidRPr="002012BC" w:rsidRDefault="00E53DEB" w:rsidP="00706951">
            <w:pPr>
              <w:ind w:left="506"/>
              <w:rPr>
                <w:rFonts w:ascii="Times New Roman" w:hAnsi="Times New Roman" w:cs="Times New Roman"/>
                <w:color w:val="auto"/>
              </w:rPr>
            </w:pPr>
            <w:r w:rsidRPr="002012BC">
              <w:rPr>
                <w:rFonts w:ascii="Times New Roman" w:hAnsi="Times New Roman" w:cs="Times New Roman"/>
                <w:color w:val="auto"/>
                <w:sz w:val="20"/>
              </w:rPr>
              <w:t>0.31 - 0.4</w:t>
            </w:r>
          </w:p>
        </w:tc>
        <w:tc>
          <w:tcPr>
            <w:tcW w:w="2098" w:type="dxa"/>
            <w:tcBorders>
              <w:top w:val="nil"/>
              <w:left w:val="nil"/>
              <w:bottom w:val="nil"/>
              <w:right w:val="nil"/>
            </w:tcBorders>
          </w:tcPr>
          <w:p w:rsidR="00E53DEB" w:rsidRPr="002012BC" w:rsidRDefault="00E53DEB" w:rsidP="00706951">
            <w:pPr>
              <w:ind w:right="4"/>
              <w:jc w:val="center"/>
              <w:rPr>
                <w:rFonts w:ascii="Times New Roman" w:hAnsi="Times New Roman" w:cs="Times New Roman"/>
                <w:color w:val="auto"/>
              </w:rPr>
            </w:pPr>
            <w:r w:rsidRPr="002012BC">
              <w:rPr>
                <w:rFonts w:ascii="Times New Roman" w:hAnsi="Times New Roman" w:cs="Times New Roman"/>
                <w:color w:val="auto"/>
                <w:sz w:val="20"/>
              </w:rPr>
              <w:t>None</w:t>
            </w:r>
          </w:p>
        </w:tc>
      </w:tr>
      <w:tr w:rsidR="00E53DEB" w:rsidRPr="002012BC" w:rsidTr="00706951">
        <w:trPr>
          <w:trHeight w:val="239"/>
        </w:trPr>
        <w:tc>
          <w:tcPr>
            <w:tcW w:w="608" w:type="dxa"/>
            <w:tcBorders>
              <w:top w:val="nil"/>
              <w:left w:val="nil"/>
              <w:bottom w:val="nil"/>
              <w:right w:val="nil"/>
            </w:tcBorders>
          </w:tcPr>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color w:val="auto"/>
                <w:sz w:val="20"/>
              </w:rPr>
              <w:t>0.4</w:t>
            </w:r>
          </w:p>
        </w:tc>
        <w:tc>
          <w:tcPr>
            <w:tcW w:w="2014" w:type="dxa"/>
            <w:tcBorders>
              <w:top w:val="nil"/>
              <w:left w:val="nil"/>
              <w:bottom w:val="nil"/>
              <w:right w:val="nil"/>
            </w:tcBorders>
          </w:tcPr>
          <w:p w:rsidR="00E53DEB" w:rsidRPr="002012BC" w:rsidRDefault="00E53DEB" w:rsidP="00706951">
            <w:pPr>
              <w:ind w:left="506"/>
              <w:rPr>
                <w:rFonts w:ascii="Times New Roman" w:hAnsi="Times New Roman" w:cs="Times New Roman"/>
                <w:color w:val="auto"/>
              </w:rPr>
            </w:pPr>
            <w:r w:rsidRPr="002012BC">
              <w:rPr>
                <w:rFonts w:ascii="Times New Roman" w:hAnsi="Times New Roman" w:cs="Times New Roman"/>
                <w:color w:val="auto"/>
                <w:sz w:val="20"/>
              </w:rPr>
              <w:t>0.42 - 0.6</w:t>
            </w:r>
          </w:p>
        </w:tc>
        <w:tc>
          <w:tcPr>
            <w:tcW w:w="2098" w:type="dxa"/>
            <w:tcBorders>
              <w:top w:val="nil"/>
              <w:left w:val="nil"/>
              <w:bottom w:val="nil"/>
              <w:right w:val="nil"/>
            </w:tcBorders>
          </w:tcPr>
          <w:p w:rsidR="00E53DEB" w:rsidRPr="002012BC" w:rsidRDefault="00E53DEB" w:rsidP="00706951">
            <w:pPr>
              <w:ind w:right="4"/>
              <w:jc w:val="center"/>
              <w:rPr>
                <w:rFonts w:ascii="Times New Roman" w:hAnsi="Times New Roman" w:cs="Times New Roman"/>
                <w:color w:val="auto"/>
              </w:rPr>
            </w:pPr>
            <w:r w:rsidRPr="002012BC">
              <w:rPr>
                <w:rFonts w:ascii="Times New Roman" w:hAnsi="Times New Roman" w:cs="Times New Roman"/>
                <w:color w:val="auto"/>
                <w:sz w:val="20"/>
              </w:rPr>
              <w:t>None</w:t>
            </w:r>
          </w:p>
        </w:tc>
      </w:tr>
      <w:tr w:rsidR="00E53DEB" w:rsidRPr="002012BC" w:rsidTr="00706951">
        <w:trPr>
          <w:trHeight w:val="239"/>
        </w:trPr>
        <w:tc>
          <w:tcPr>
            <w:tcW w:w="608" w:type="dxa"/>
            <w:tcBorders>
              <w:top w:val="nil"/>
              <w:left w:val="nil"/>
              <w:bottom w:val="nil"/>
              <w:right w:val="nil"/>
            </w:tcBorders>
          </w:tcPr>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color w:val="auto"/>
                <w:sz w:val="20"/>
              </w:rPr>
              <w:t>0.5</w:t>
            </w:r>
          </w:p>
        </w:tc>
        <w:tc>
          <w:tcPr>
            <w:tcW w:w="2014" w:type="dxa"/>
            <w:tcBorders>
              <w:top w:val="nil"/>
              <w:left w:val="nil"/>
              <w:bottom w:val="nil"/>
              <w:right w:val="nil"/>
            </w:tcBorders>
          </w:tcPr>
          <w:p w:rsidR="00E53DEB" w:rsidRPr="002012BC" w:rsidRDefault="00E53DEB" w:rsidP="00706951">
            <w:pPr>
              <w:ind w:left="506"/>
              <w:rPr>
                <w:rFonts w:ascii="Times New Roman" w:hAnsi="Times New Roman" w:cs="Times New Roman"/>
                <w:color w:val="auto"/>
              </w:rPr>
            </w:pPr>
            <w:r w:rsidRPr="002012BC">
              <w:rPr>
                <w:rFonts w:ascii="Times New Roman" w:hAnsi="Times New Roman" w:cs="Times New Roman"/>
                <w:color w:val="auto"/>
                <w:sz w:val="20"/>
              </w:rPr>
              <w:t>0.54 - 0.8</w:t>
            </w:r>
          </w:p>
        </w:tc>
        <w:tc>
          <w:tcPr>
            <w:tcW w:w="2098" w:type="dxa"/>
            <w:tcBorders>
              <w:top w:val="nil"/>
              <w:left w:val="nil"/>
              <w:bottom w:val="nil"/>
              <w:right w:val="nil"/>
            </w:tcBorders>
          </w:tcPr>
          <w:p w:rsidR="00E53DEB" w:rsidRPr="002012BC" w:rsidRDefault="00E53DEB" w:rsidP="00706951">
            <w:pPr>
              <w:ind w:right="4"/>
              <w:jc w:val="center"/>
              <w:rPr>
                <w:rFonts w:ascii="Times New Roman" w:hAnsi="Times New Roman" w:cs="Times New Roman"/>
                <w:color w:val="auto"/>
              </w:rPr>
            </w:pPr>
            <w:r w:rsidRPr="002012BC">
              <w:rPr>
                <w:rFonts w:ascii="Times New Roman" w:hAnsi="Times New Roman" w:cs="Times New Roman"/>
                <w:color w:val="auto"/>
                <w:sz w:val="20"/>
              </w:rPr>
              <w:t>None</w:t>
            </w:r>
          </w:p>
        </w:tc>
      </w:tr>
      <w:tr w:rsidR="00E53DEB" w:rsidRPr="002012BC" w:rsidTr="00706951">
        <w:trPr>
          <w:trHeight w:val="239"/>
        </w:trPr>
        <w:tc>
          <w:tcPr>
            <w:tcW w:w="608" w:type="dxa"/>
            <w:tcBorders>
              <w:top w:val="nil"/>
              <w:left w:val="nil"/>
              <w:bottom w:val="nil"/>
              <w:right w:val="nil"/>
            </w:tcBorders>
          </w:tcPr>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color w:val="auto"/>
                <w:sz w:val="20"/>
              </w:rPr>
              <w:t>0.6</w:t>
            </w:r>
          </w:p>
        </w:tc>
        <w:tc>
          <w:tcPr>
            <w:tcW w:w="2014" w:type="dxa"/>
            <w:tcBorders>
              <w:top w:val="nil"/>
              <w:left w:val="nil"/>
              <w:bottom w:val="nil"/>
              <w:right w:val="nil"/>
            </w:tcBorders>
          </w:tcPr>
          <w:p w:rsidR="00E53DEB" w:rsidRPr="002012BC" w:rsidRDefault="00E53DEB" w:rsidP="00706951">
            <w:pPr>
              <w:ind w:left="506"/>
              <w:rPr>
                <w:rFonts w:ascii="Times New Roman" w:hAnsi="Times New Roman" w:cs="Times New Roman"/>
                <w:color w:val="auto"/>
              </w:rPr>
            </w:pPr>
            <w:r w:rsidRPr="002012BC">
              <w:rPr>
                <w:rFonts w:ascii="Times New Roman" w:hAnsi="Times New Roman" w:cs="Times New Roman"/>
                <w:color w:val="auto"/>
                <w:sz w:val="20"/>
              </w:rPr>
              <w:t>0.66 - 1.0</w:t>
            </w:r>
          </w:p>
        </w:tc>
        <w:tc>
          <w:tcPr>
            <w:tcW w:w="2098" w:type="dxa"/>
            <w:tcBorders>
              <w:top w:val="nil"/>
              <w:left w:val="nil"/>
              <w:bottom w:val="nil"/>
              <w:right w:val="nil"/>
            </w:tcBorders>
          </w:tcPr>
          <w:p w:rsidR="00E53DEB" w:rsidRPr="002012BC" w:rsidRDefault="00E53DEB" w:rsidP="00706951">
            <w:pPr>
              <w:ind w:right="4"/>
              <w:jc w:val="center"/>
              <w:rPr>
                <w:rFonts w:ascii="Times New Roman" w:hAnsi="Times New Roman" w:cs="Times New Roman"/>
                <w:color w:val="auto"/>
              </w:rPr>
            </w:pPr>
            <w:r w:rsidRPr="002012BC">
              <w:rPr>
                <w:rFonts w:ascii="Times New Roman" w:hAnsi="Times New Roman" w:cs="Times New Roman"/>
                <w:color w:val="auto"/>
                <w:sz w:val="20"/>
              </w:rPr>
              <w:t>None</w:t>
            </w:r>
          </w:p>
        </w:tc>
      </w:tr>
      <w:tr w:rsidR="00E53DEB" w:rsidRPr="002012BC" w:rsidTr="00706951">
        <w:trPr>
          <w:trHeight w:val="239"/>
        </w:trPr>
        <w:tc>
          <w:tcPr>
            <w:tcW w:w="608" w:type="dxa"/>
            <w:tcBorders>
              <w:top w:val="nil"/>
              <w:left w:val="nil"/>
              <w:bottom w:val="nil"/>
              <w:right w:val="nil"/>
            </w:tcBorders>
          </w:tcPr>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color w:val="auto"/>
                <w:sz w:val="20"/>
              </w:rPr>
              <w:t>0.7</w:t>
            </w:r>
          </w:p>
        </w:tc>
        <w:tc>
          <w:tcPr>
            <w:tcW w:w="2014" w:type="dxa"/>
            <w:tcBorders>
              <w:top w:val="nil"/>
              <w:left w:val="nil"/>
              <w:bottom w:val="nil"/>
              <w:right w:val="nil"/>
            </w:tcBorders>
          </w:tcPr>
          <w:p w:rsidR="00E53DEB" w:rsidRPr="002012BC" w:rsidRDefault="00E53DEB" w:rsidP="00706951">
            <w:pPr>
              <w:ind w:left="506"/>
              <w:rPr>
                <w:rFonts w:ascii="Times New Roman" w:hAnsi="Times New Roman" w:cs="Times New Roman"/>
                <w:color w:val="auto"/>
              </w:rPr>
            </w:pPr>
            <w:r w:rsidRPr="002012BC">
              <w:rPr>
                <w:rFonts w:ascii="Times New Roman" w:hAnsi="Times New Roman" w:cs="Times New Roman"/>
                <w:color w:val="auto"/>
                <w:sz w:val="20"/>
              </w:rPr>
              <w:t>0.73 - 1.0</w:t>
            </w:r>
          </w:p>
        </w:tc>
        <w:tc>
          <w:tcPr>
            <w:tcW w:w="2098" w:type="dxa"/>
            <w:tcBorders>
              <w:top w:val="nil"/>
              <w:left w:val="nil"/>
              <w:bottom w:val="nil"/>
              <w:right w:val="nil"/>
            </w:tcBorders>
          </w:tcPr>
          <w:p w:rsidR="00E53DEB" w:rsidRPr="002012BC" w:rsidRDefault="00E53DEB" w:rsidP="00706951">
            <w:pPr>
              <w:ind w:right="4"/>
              <w:jc w:val="center"/>
              <w:rPr>
                <w:rFonts w:ascii="Times New Roman" w:hAnsi="Times New Roman" w:cs="Times New Roman"/>
                <w:color w:val="auto"/>
              </w:rPr>
            </w:pPr>
            <w:r w:rsidRPr="002012BC">
              <w:rPr>
                <w:rFonts w:ascii="Times New Roman" w:hAnsi="Times New Roman" w:cs="Times New Roman"/>
                <w:color w:val="auto"/>
                <w:sz w:val="20"/>
              </w:rPr>
              <w:t>None</w:t>
            </w:r>
          </w:p>
        </w:tc>
      </w:tr>
      <w:tr w:rsidR="00E53DEB" w:rsidRPr="002012BC" w:rsidTr="00706951">
        <w:trPr>
          <w:trHeight w:val="239"/>
        </w:trPr>
        <w:tc>
          <w:tcPr>
            <w:tcW w:w="608" w:type="dxa"/>
            <w:tcBorders>
              <w:top w:val="nil"/>
              <w:left w:val="nil"/>
              <w:bottom w:val="nil"/>
              <w:right w:val="nil"/>
            </w:tcBorders>
          </w:tcPr>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color w:val="auto"/>
                <w:sz w:val="20"/>
              </w:rPr>
              <w:t>0.8</w:t>
            </w:r>
          </w:p>
        </w:tc>
        <w:tc>
          <w:tcPr>
            <w:tcW w:w="2014" w:type="dxa"/>
            <w:tcBorders>
              <w:top w:val="nil"/>
              <w:left w:val="nil"/>
              <w:bottom w:val="nil"/>
              <w:right w:val="nil"/>
            </w:tcBorders>
          </w:tcPr>
          <w:p w:rsidR="00E53DEB" w:rsidRPr="002012BC" w:rsidRDefault="00E53DEB" w:rsidP="00706951">
            <w:pPr>
              <w:ind w:left="506"/>
              <w:rPr>
                <w:rFonts w:ascii="Times New Roman" w:hAnsi="Times New Roman" w:cs="Times New Roman"/>
                <w:color w:val="auto"/>
              </w:rPr>
            </w:pPr>
            <w:r w:rsidRPr="002012BC">
              <w:rPr>
                <w:rFonts w:ascii="Times New Roman" w:hAnsi="Times New Roman" w:cs="Times New Roman"/>
                <w:color w:val="auto"/>
                <w:sz w:val="20"/>
              </w:rPr>
              <w:t>0.85 - 1.0</w:t>
            </w:r>
          </w:p>
        </w:tc>
        <w:tc>
          <w:tcPr>
            <w:tcW w:w="2098" w:type="dxa"/>
            <w:tcBorders>
              <w:top w:val="nil"/>
              <w:left w:val="nil"/>
              <w:bottom w:val="nil"/>
              <w:right w:val="nil"/>
            </w:tcBorders>
          </w:tcPr>
          <w:p w:rsidR="00E53DEB" w:rsidRPr="002012BC" w:rsidRDefault="00E53DEB" w:rsidP="00706951">
            <w:pPr>
              <w:ind w:right="4"/>
              <w:jc w:val="center"/>
              <w:rPr>
                <w:rFonts w:ascii="Times New Roman" w:hAnsi="Times New Roman" w:cs="Times New Roman"/>
                <w:color w:val="auto"/>
              </w:rPr>
            </w:pPr>
            <w:r w:rsidRPr="002012BC">
              <w:rPr>
                <w:rFonts w:ascii="Times New Roman" w:hAnsi="Times New Roman" w:cs="Times New Roman"/>
                <w:color w:val="auto"/>
                <w:sz w:val="20"/>
              </w:rPr>
              <w:t>0.14 - 0.3</w:t>
            </w:r>
          </w:p>
        </w:tc>
      </w:tr>
      <w:tr w:rsidR="00E53DEB" w:rsidRPr="002012BC" w:rsidTr="00706951">
        <w:trPr>
          <w:trHeight w:val="239"/>
        </w:trPr>
        <w:tc>
          <w:tcPr>
            <w:tcW w:w="608" w:type="dxa"/>
            <w:tcBorders>
              <w:top w:val="nil"/>
              <w:left w:val="nil"/>
              <w:bottom w:val="nil"/>
              <w:right w:val="nil"/>
            </w:tcBorders>
          </w:tcPr>
          <w:p w:rsidR="00E53DEB" w:rsidRPr="002012BC" w:rsidRDefault="00E53DEB" w:rsidP="00706951">
            <w:pPr>
              <w:ind w:left="120"/>
              <w:rPr>
                <w:rFonts w:ascii="Times New Roman" w:hAnsi="Times New Roman" w:cs="Times New Roman"/>
                <w:color w:val="auto"/>
              </w:rPr>
            </w:pPr>
            <w:r w:rsidRPr="002012BC">
              <w:rPr>
                <w:rFonts w:ascii="Times New Roman" w:hAnsi="Times New Roman" w:cs="Times New Roman"/>
                <w:color w:val="auto"/>
                <w:sz w:val="20"/>
              </w:rPr>
              <w:t>0.9</w:t>
            </w:r>
          </w:p>
        </w:tc>
        <w:tc>
          <w:tcPr>
            <w:tcW w:w="2014" w:type="dxa"/>
            <w:tcBorders>
              <w:top w:val="nil"/>
              <w:left w:val="nil"/>
              <w:bottom w:val="nil"/>
              <w:right w:val="nil"/>
            </w:tcBorders>
          </w:tcPr>
          <w:p w:rsidR="00E53DEB" w:rsidRPr="002012BC" w:rsidRDefault="00E53DEB" w:rsidP="00706951">
            <w:pPr>
              <w:ind w:left="506"/>
              <w:rPr>
                <w:rFonts w:ascii="Times New Roman" w:hAnsi="Times New Roman" w:cs="Times New Roman"/>
                <w:color w:val="auto"/>
              </w:rPr>
            </w:pPr>
            <w:r w:rsidRPr="002012BC">
              <w:rPr>
                <w:rFonts w:ascii="Times New Roman" w:hAnsi="Times New Roman" w:cs="Times New Roman"/>
                <w:color w:val="auto"/>
                <w:sz w:val="20"/>
              </w:rPr>
              <w:t>0.94 - 1.0</w:t>
            </w:r>
          </w:p>
        </w:tc>
        <w:tc>
          <w:tcPr>
            <w:tcW w:w="2098" w:type="dxa"/>
            <w:tcBorders>
              <w:top w:val="nil"/>
              <w:left w:val="nil"/>
              <w:bottom w:val="nil"/>
              <w:right w:val="nil"/>
            </w:tcBorders>
          </w:tcPr>
          <w:p w:rsidR="00E53DEB" w:rsidRPr="002012BC" w:rsidRDefault="00E53DEB" w:rsidP="00706951">
            <w:pPr>
              <w:ind w:right="4"/>
              <w:jc w:val="center"/>
              <w:rPr>
                <w:rFonts w:ascii="Times New Roman" w:hAnsi="Times New Roman" w:cs="Times New Roman"/>
                <w:color w:val="auto"/>
              </w:rPr>
            </w:pPr>
            <w:r w:rsidRPr="002012BC">
              <w:rPr>
                <w:rFonts w:ascii="Times New Roman" w:hAnsi="Times New Roman" w:cs="Times New Roman"/>
                <w:color w:val="auto"/>
                <w:sz w:val="20"/>
              </w:rPr>
              <w:t>0.24 - 0.4</w:t>
            </w:r>
          </w:p>
        </w:tc>
      </w:tr>
      <w:tr w:rsidR="00E53DEB" w:rsidRPr="002012BC" w:rsidTr="00706951">
        <w:trPr>
          <w:trHeight w:val="242"/>
        </w:trPr>
        <w:tc>
          <w:tcPr>
            <w:tcW w:w="608" w:type="dxa"/>
            <w:tcBorders>
              <w:top w:val="nil"/>
              <w:left w:val="nil"/>
              <w:bottom w:val="single" w:sz="3" w:space="0" w:color="000000"/>
              <w:right w:val="nil"/>
            </w:tcBorders>
          </w:tcPr>
          <w:p w:rsidR="00E53DEB" w:rsidRPr="002012BC" w:rsidRDefault="00E53DEB" w:rsidP="00706951">
            <w:pPr>
              <w:ind w:left="194"/>
              <w:rPr>
                <w:rFonts w:ascii="Times New Roman" w:hAnsi="Times New Roman" w:cs="Times New Roman"/>
                <w:color w:val="auto"/>
              </w:rPr>
            </w:pPr>
            <w:r w:rsidRPr="002012BC">
              <w:rPr>
                <w:rFonts w:ascii="Times New Roman" w:hAnsi="Times New Roman" w:cs="Times New Roman"/>
                <w:color w:val="auto"/>
                <w:sz w:val="20"/>
              </w:rPr>
              <w:t>1</w:t>
            </w:r>
          </w:p>
        </w:tc>
        <w:tc>
          <w:tcPr>
            <w:tcW w:w="2014" w:type="dxa"/>
            <w:tcBorders>
              <w:top w:val="nil"/>
              <w:left w:val="nil"/>
              <w:bottom w:val="single" w:sz="3" w:space="0" w:color="000000"/>
              <w:right w:val="nil"/>
            </w:tcBorders>
          </w:tcPr>
          <w:p w:rsidR="00E53DEB" w:rsidRPr="002012BC" w:rsidRDefault="00E53DEB" w:rsidP="00706951">
            <w:pPr>
              <w:ind w:left="674"/>
              <w:rPr>
                <w:rFonts w:ascii="Times New Roman" w:hAnsi="Times New Roman" w:cs="Times New Roman"/>
                <w:color w:val="auto"/>
              </w:rPr>
            </w:pPr>
            <w:r w:rsidRPr="002012BC">
              <w:rPr>
                <w:rFonts w:ascii="Times New Roman" w:hAnsi="Times New Roman" w:cs="Times New Roman"/>
                <w:color w:val="auto"/>
                <w:sz w:val="20"/>
              </w:rPr>
              <w:t>None</w:t>
            </w:r>
          </w:p>
        </w:tc>
        <w:tc>
          <w:tcPr>
            <w:tcW w:w="2098" w:type="dxa"/>
            <w:tcBorders>
              <w:top w:val="nil"/>
              <w:left w:val="nil"/>
              <w:bottom w:val="single" w:sz="3" w:space="0" w:color="000000"/>
              <w:right w:val="nil"/>
            </w:tcBorders>
          </w:tcPr>
          <w:p w:rsidR="00E53DEB" w:rsidRPr="002012BC" w:rsidRDefault="00E53DEB" w:rsidP="00706951">
            <w:pPr>
              <w:ind w:right="4"/>
              <w:jc w:val="center"/>
              <w:rPr>
                <w:rFonts w:ascii="Times New Roman" w:hAnsi="Times New Roman" w:cs="Times New Roman"/>
                <w:color w:val="auto"/>
              </w:rPr>
            </w:pPr>
            <w:r w:rsidRPr="002012BC">
              <w:rPr>
                <w:rFonts w:ascii="Times New Roman" w:hAnsi="Times New Roman" w:cs="Times New Roman"/>
                <w:color w:val="auto"/>
                <w:sz w:val="20"/>
              </w:rPr>
              <w:t>0.37 - 0.6</w:t>
            </w:r>
          </w:p>
        </w:tc>
      </w:tr>
    </w:tbl>
    <w:p w:rsidR="00E53DEB" w:rsidRPr="002012BC" w:rsidRDefault="00E53DEB" w:rsidP="00E53DEB">
      <w:pPr>
        <w:spacing w:after="5" w:line="248" w:lineRule="auto"/>
        <w:ind w:left="-10" w:right="-15" w:firstLine="239"/>
        <w:jc w:val="both"/>
        <w:rPr>
          <w:rFonts w:ascii="Times New Roman" w:hAnsi="Times New Roman" w:cs="Times New Roman"/>
          <w:color w:val="auto"/>
          <w:sz w:val="20"/>
        </w:rPr>
      </w:pPr>
    </w:p>
    <w:p w:rsidR="00E53DEB" w:rsidRPr="002012BC" w:rsidRDefault="00E53DEB" w:rsidP="00E53DEB">
      <w:pPr>
        <w:spacing w:after="5" w:line="248" w:lineRule="auto"/>
        <w:ind w:left="-10" w:right="-15" w:firstLine="239"/>
        <w:jc w:val="both"/>
        <w:rPr>
          <w:rFonts w:ascii="Times New Roman" w:hAnsi="Times New Roman" w:cs="Times New Roman"/>
          <w:color w:val="auto"/>
        </w:rPr>
      </w:pPr>
      <w:r w:rsidRPr="002012BC">
        <w:rPr>
          <w:rFonts w:ascii="Times New Roman" w:hAnsi="Times New Roman" w:cs="Times New Roman"/>
          <w:color w:val="auto"/>
          <w:sz w:val="20"/>
        </w:rPr>
        <w:t xml:space="preserve">Five parameters, as shown in Table 9, </w:t>
      </w:r>
      <w:proofErr w:type="gramStart"/>
      <w:r w:rsidRPr="002012BC">
        <w:rPr>
          <w:rFonts w:ascii="Times New Roman" w:hAnsi="Times New Roman" w:cs="Times New Roman"/>
          <w:color w:val="auto"/>
          <w:sz w:val="20"/>
        </w:rPr>
        <w:t>were varied</w:t>
      </w:r>
      <w:proofErr w:type="gramEnd"/>
      <w:r w:rsidRPr="002012BC">
        <w:rPr>
          <w:rFonts w:ascii="Times New Roman" w:hAnsi="Times New Roman" w:cs="Times New Roman"/>
          <w:color w:val="auto"/>
          <w:sz w:val="20"/>
        </w:rPr>
        <w:t xml:space="preserve">, while default values for others were kept constant. Each parameter </w:t>
      </w:r>
      <w:proofErr w:type="gramStart"/>
      <w:r w:rsidRPr="002012BC">
        <w:rPr>
          <w:rFonts w:ascii="Times New Roman" w:hAnsi="Times New Roman" w:cs="Times New Roman"/>
          <w:color w:val="auto"/>
          <w:sz w:val="20"/>
        </w:rPr>
        <w:t>was simulated</w:t>
      </w:r>
      <w:proofErr w:type="gramEnd"/>
      <w:r w:rsidRPr="002012BC">
        <w:rPr>
          <w:rFonts w:ascii="Times New Roman" w:hAnsi="Times New Roman" w:cs="Times New Roman"/>
          <w:color w:val="auto"/>
          <w:sz w:val="20"/>
        </w:rPr>
        <w:t xml:space="preserve"> 50 times over 1,000 time steps.</w:t>
      </w:r>
    </w:p>
    <w:p w:rsidR="00E53DEB" w:rsidRPr="002012BC" w:rsidRDefault="00E53DEB" w:rsidP="00E53DEB">
      <w:pPr>
        <w:spacing w:after="5" w:line="248" w:lineRule="auto"/>
        <w:ind w:left="-10" w:right="-15" w:firstLine="239"/>
        <w:jc w:val="both"/>
        <w:rPr>
          <w:rFonts w:ascii="Times New Roman" w:hAnsi="Times New Roman" w:cs="Times New Roman"/>
          <w:color w:val="auto"/>
          <w:sz w:val="20"/>
        </w:rPr>
      </w:pPr>
      <w:r w:rsidRPr="002012BC">
        <w:rPr>
          <w:rFonts w:ascii="Times New Roman" w:hAnsi="Times New Roman" w:cs="Times New Roman"/>
          <w:color w:val="auto"/>
          <w:sz w:val="20"/>
        </w:rPr>
        <w:t>The parameters logit mu (</w:t>
      </w:r>
      <w:r w:rsidRPr="002012BC">
        <w:rPr>
          <w:rFonts w:ascii="Cambria Math" w:hAnsi="Cambria Math" w:cs="Cambria Math"/>
          <w:i/>
          <w:color w:val="auto"/>
          <w:sz w:val="20"/>
        </w:rPr>
        <w:t>𝜇</w:t>
      </w:r>
      <w:r w:rsidRPr="002012BC">
        <w:rPr>
          <w:rFonts w:ascii="Times New Roman" w:hAnsi="Times New Roman" w:cs="Times New Roman"/>
          <w:color w:val="auto"/>
          <w:sz w:val="20"/>
        </w:rPr>
        <w:t>) and sigma (</w:t>
      </w:r>
      <w:r w:rsidRPr="002012BC">
        <w:rPr>
          <w:rFonts w:ascii="Cambria Math" w:hAnsi="Cambria Math" w:cs="Cambria Math"/>
          <w:i/>
          <w:color w:val="auto"/>
          <w:sz w:val="20"/>
        </w:rPr>
        <w:t>𝜎</w:t>
      </w:r>
      <w:r w:rsidRPr="002012BC">
        <w:rPr>
          <w:rFonts w:ascii="Times New Roman" w:hAnsi="Times New Roman" w:cs="Times New Roman"/>
          <w:color w:val="auto"/>
          <w:sz w:val="20"/>
        </w:rPr>
        <w:t xml:space="preserve">) determine the mean and standard deviation of a logit normal distribution used to characterize </w:t>
      </w:r>
      <w:proofErr w:type="spellStart"/>
      <w:r w:rsidRPr="002012BC">
        <w:rPr>
          <w:rFonts w:ascii="Times New Roman" w:hAnsi="Times New Roman" w:cs="Times New Roman"/>
          <w:color w:val="auto"/>
          <w:sz w:val="20"/>
        </w:rPr>
        <w:t>inspectees</w:t>
      </w:r>
      <w:proofErr w:type="spellEnd"/>
      <w:r w:rsidRPr="002012BC">
        <w:rPr>
          <w:rFonts w:ascii="Times New Roman" w:hAnsi="Times New Roman" w:cs="Times New Roman"/>
          <w:color w:val="auto"/>
          <w:sz w:val="20"/>
        </w:rPr>
        <w:t xml:space="preserve">’ capacity to absorb an enforcement intervention. This variable, called the absorbance capacity, ranges from zero to one. A high absorbance capacity, close to one, suggests that the </w:t>
      </w:r>
      <w:proofErr w:type="spellStart"/>
      <w:r w:rsidRPr="002012BC">
        <w:rPr>
          <w:rFonts w:ascii="Times New Roman" w:hAnsi="Times New Roman" w:cs="Times New Roman"/>
          <w:color w:val="auto"/>
          <w:sz w:val="20"/>
        </w:rPr>
        <w:t>inspectee</w:t>
      </w:r>
      <w:proofErr w:type="spellEnd"/>
      <w:r w:rsidRPr="002012BC">
        <w:rPr>
          <w:rFonts w:ascii="Times New Roman" w:hAnsi="Times New Roman" w:cs="Times New Roman"/>
          <w:color w:val="auto"/>
          <w:sz w:val="20"/>
        </w:rPr>
        <w:t xml:space="preserve"> can sustain their business despite the enforcement intervention.</w:t>
      </w:r>
    </w:p>
    <w:p w:rsidR="00E53DEB" w:rsidRPr="002012BC" w:rsidRDefault="00E53DEB" w:rsidP="00E53DEB">
      <w:pPr>
        <w:spacing w:after="5" w:line="248" w:lineRule="auto"/>
        <w:ind w:left="-10" w:right="-15" w:firstLine="239"/>
        <w:jc w:val="both"/>
        <w:rPr>
          <w:rFonts w:ascii="Times New Roman" w:hAnsi="Times New Roman" w:cs="Times New Roman"/>
          <w:color w:val="auto"/>
        </w:rPr>
      </w:pPr>
    </w:p>
    <w:p w:rsidR="00E53DEB" w:rsidRPr="002012BC" w:rsidRDefault="00E53DEB" w:rsidP="00E53DEB">
      <w:pPr>
        <w:spacing w:after="150"/>
        <w:ind w:left="11"/>
        <w:rPr>
          <w:rFonts w:ascii="Times New Roman" w:hAnsi="Times New Roman" w:cs="Times New Roman"/>
          <w:color w:val="auto"/>
        </w:rPr>
      </w:pPr>
      <w:r w:rsidRPr="002012BC">
        <w:rPr>
          <w:rFonts w:ascii="Times New Roman" w:hAnsi="Times New Roman" w:cs="Times New Roman"/>
          <w:noProof/>
          <w:color w:val="auto"/>
          <w:lang w:val="en-IN" w:eastAsia="en-IN"/>
        </w:rPr>
        <w:drawing>
          <wp:inline distT="0" distB="0" distL="0" distR="0" wp14:anchorId="0A6A6CE6" wp14:editId="2FE059EB">
            <wp:extent cx="5170170" cy="1988820"/>
            <wp:effectExtent l="0" t="0" r="0" b="0"/>
            <wp:docPr id="2644" name="Picture 2644"/>
            <wp:cNvGraphicFramePr/>
            <a:graphic xmlns:a="http://schemas.openxmlformats.org/drawingml/2006/main">
              <a:graphicData uri="http://schemas.openxmlformats.org/drawingml/2006/picture">
                <pic:pic xmlns:pic="http://schemas.openxmlformats.org/drawingml/2006/picture">
                  <pic:nvPicPr>
                    <pic:cNvPr id="2644" name="Picture 2644"/>
                    <pic:cNvPicPr/>
                  </pic:nvPicPr>
                  <pic:blipFill>
                    <a:blip r:embed="rId5"/>
                    <a:stretch>
                      <a:fillRect/>
                    </a:stretch>
                  </pic:blipFill>
                  <pic:spPr>
                    <a:xfrm>
                      <a:off x="0" y="0"/>
                      <a:ext cx="5170170" cy="1988820"/>
                    </a:xfrm>
                    <a:prstGeom prst="rect">
                      <a:avLst/>
                    </a:prstGeom>
                  </pic:spPr>
                </pic:pic>
              </a:graphicData>
            </a:graphic>
          </wp:inline>
        </w:drawing>
      </w:r>
    </w:p>
    <w:p w:rsidR="00E53DEB" w:rsidRPr="002012BC" w:rsidRDefault="00E53DEB" w:rsidP="00E53DEB">
      <w:pPr>
        <w:spacing w:after="360" w:line="265" w:lineRule="auto"/>
        <w:ind w:left="10" w:hanging="10"/>
        <w:jc w:val="center"/>
        <w:rPr>
          <w:rFonts w:ascii="Times New Roman" w:hAnsi="Times New Roman" w:cs="Times New Roman"/>
          <w:color w:val="auto"/>
        </w:rPr>
      </w:pPr>
      <w:r w:rsidRPr="002012BC">
        <w:rPr>
          <w:rFonts w:ascii="Times New Roman" w:hAnsi="Times New Roman" w:cs="Times New Roman"/>
          <w:b/>
          <w:i/>
          <w:color w:val="auto"/>
          <w:sz w:val="20"/>
        </w:rPr>
        <w:t xml:space="preserve">Figure 29. </w:t>
      </w:r>
      <w:r w:rsidRPr="002012BC">
        <w:rPr>
          <w:rFonts w:ascii="Times New Roman" w:hAnsi="Times New Roman" w:cs="Times New Roman"/>
          <w:i/>
          <w:color w:val="auto"/>
          <w:sz w:val="20"/>
        </w:rPr>
        <w:t xml:space="preserve">Logit-normal distributions with different values of </w:t>
      </w:r>
      <w:r w:rsidRPr="002012BC">
        <w:rPr>
          <w:rFonts w:ascii="Cambria Math" w:hAnsi="Cambria Math" w:cs="Cambria Math"/>
          <w:i/>
          <w:color w:val="auto"/>
          <w:sz w:val="20"/>
        </w:rPr>
        <w:t>𝜇</w:t>
      </w:r>
      <w:r w:rsidRPr="002012BC">
        <w:rPr>
          <w:rFonts w:ascii="Times New Roman" w:hAnsi="Times New Roman" w:cs="Times New Roman"/>
          <w:i/>
          <w:color w:val="auto"/>
          <w:sz w:val="20"/>
        </w:rPr>
        <w:t xml:space="preserve"> and </w:t>
      </w:r>
      <w:r w:rsidRPr="002012BC">
        <w:rPr>
          <w:rFonts w:ascii="Cambria Math" w:hAnsi="Cambria Math" w:cs="Cambria Math"/>
          <w:i/>
          <w:color w:val="auto"/>
          <w:sz w:val="20"/>
        </w:rPr>
        <w:t>𝜎</w:t>
      </w:r>
      <w:r w:rsidRPr="002012BC">
        <w:rPr>
          <w:rFonts w:ascii="Times New Roman" w:hAnsi="Times New Roman" w:cs="Times New Roman"/>
          <w:i/>
          <w:color w:val="auto"/>
          <w:sz w:val="20"/>
        </w:rPr>
        <w:t xml:space="preserve"> (</w:t>
      </w:r>
      <w:proofErr w:type="spellStart"/>
      <w:r w:rsidRPr="002012BC">
        <w:rPr>
          <w:rFonts w:ascii="Times New Roman" w:hAnsi="Times New Roman" w:cs="Times New Roman"/>
          <w:i/>
          <w:color w:val="auto"/>
          <w:sz w:val="20"/>
        </w:rPr>
        <w:t>Knol</w:t>
      </w:r>
      <w:proofErr w:type="spellEnd"/>
      <w:r w:rsidRPr="002012BC">
        <w:rPr>
          <w:rFonts w:ascii="Times New Roman" w:hAnsi="Times New Roman" w:cs="Times New Roman"/>
          <w:i/>
          <w:color w:val="auto"/>
          <w:sz w:val="20"/>
        </w:rPr>
        <w:t>, 2021).</w:t>
      </w:r>
    </w:p>
    <w:p w:rsidR="00E53DEB" w:rsidRPr="002012BC" w:rsidRDefault="00E53DEB" w:rsidP="00E53DEB">
      <w:pPr>
        <w:spacing w:after="376" w:line="248" w:lineRule="auto"/>
        <w:ind w:right="-15" w:hanging="10"/>
        <w:jc w:val="both"/>
        <w:rPr>
          <w:rFonts w:ascii="Times New Roman" w:hAnsi="Times New Roman" w:cs="Times New Roman"/>
          <w:color w:val="auto"/>
          <w:sz w:val="20"/>
        </w:rPr>
      </w:pPr>
      <w:r w:rsidRPr="002012BC">
        <w:rPr>
          <w:rFonts w:ascii="Times New Roman" w:hAnsi="Times New Roman" w:cs="Times New Roman"/>
          <w:color w:val="auto"/>
          <w:sz w:val="20"/>
        </w:rPr>
        <w:t xml:space="preserve">Conversely, a low absorbance capacity, closer to zero, indicates that the </w:t>
      </w:r>
      <w:proofErr w:type="spellStart"/>
      <w:r w:rsidRPr="002012BC">
        <w:rPr>
          <w:rFonts w:ascii="Times New Roman" w:hAnsi="Times New Roman" w:cs="Times New Roman"/>
          <w:color w:val="auto"/>
          <w:sz w:val="20"/>
        </w:rPr>
        <w:t>inspectee</w:t>
      </w:r>
      <w:proofErr w:type="spellEnd"/>
      <w:r w:rsidRPr="002012BC">
        <w:rPr>
          <w:rFonts w:ascii="Times New Roman" w:hAnsi="Times New Roman" w:cs="Times New Roman"/>
          <w:color w:val="auto"/>
          <w:sz w:val="20"/>
        </w:rPr>
        <w:t xml:space="preserve"> cannot withstand the consequences of the intervention and becomes compliant. The logit-normal distribution </w:t>
      </w:r>
      <w:proofErr w:type="gramStart"/>
      <w:r w:rsidRPr="002012BC">
        <w:rPr>
          <w:rFonts w:ascii="Times New Roman" w:hAnsi="Times New Roman" w:cs="Times New Roman"/>
          <w:color w:val="auto"/>
          <w:sz w:val="20"/>
        </w:rPr>
        <w:t>was selected</w:t>
      </w:r>
      <w:proofErr w:type="gramEnd"/>
      <w:r w:rsidRPr="002012BC">
        <w:rPr>
          <w:rFonts w:ascii="Times New Roman" w:hAnsi="Times New Roman" w:cs="Times New Roman"/>
          <w:color w:val="auto"/>
          <w:sz w:val="20"/>
        </w:rPr>
        <w:t xml:space="preserve"> because it always yields a value between zero and one, allowing users to shape the distribution by adjusting the mean (</w:t>
      </w:r>
      <w:r w:rsidRPr="002012BC">
        <w:rPr>
          <w:rFonts w:ascii="Cambria Math" w:hAnsi="Cambria Math" w:cs="Cambria Math"/>
          <w:i/>
          <w:color w:val="auto"/>
          <w:sz w:val="20"/>
        </w:rPr>
        <w:t>𝜇</w:t>
      </w:r>
      <w:r w:rsidRPr="002012BC">
        <w:rPr>
          <w:rFonts w:ascii="Times New Roman" w:hAnsi="Times New Roman" w:cs="Times New Roman"/>
          <w:color w:val="auto"/>
          <w:sz w:val="20"/>
        </w:rPr>
        <w:t>) and standard deviation (</w:t>
      </w:r>
      <w:r w:rsidRPr="002012BC">
        <w:rPr>
          <w:rFonts w:ascii="Cambria Math" w:hAnsi="Cambria Math" w:cs="Cambria Math"/>
          <w:i/>
          <w:color w:val="auto"/>
          <w:sz w:val="20"/>
        </w:rPr>
        <w:t>𝜎</w:t>
      </w:r>
      <w:r w:rsidRPr="002012BC">
        <w:rPr>
          <w:rFonts w:ascii="Times New Roman" w:hAnsi="Times New Roman" w:cs="Times New Roman"/>
          <w:color w:val="auto"/>
          <w:sz w:val="20"/>
        </w:rPr>
        <w:t xml:space="preserve">). Equations 9.1a and 9.1b provide the logit-normal probability density function and the variable’s logit, respectively. It is important to note that this indicator is not a phenomenological parameter, as </w:t>
      </w:r>
      <w:r w:rsidRPr="002012BC">
        <w:rPr>
          <w:rFonts w:ascii="Times New Roman" w:hAnsi="Times New Roman" w:cs="Times New Roman"/>
          <w:color w:val="auto"/>
          <w:sz w:val="20"/>
        </w:rPr>
        <w:lastRenderedPageBreak/>
        <w:t xml:space="preserve">there is no empirical data on how </w:t>
      </w:r>
      <w:proofErr w:type="spellStart"/>
      <w:r w:rsidRPr="002012BC">
        <w:rPr>
          <w:rFonts w:ascii="Times New Roman" w:hAnsi="Times New Roman" w:cs="Times New Roman"/>
          <w:color w:val="auto"/>
          <w:sz w:val="20"/>
        </w:rPr>
        <w:t>inspectees</w:t>
      </w:r>
      <w:proofErr w:type="spellEnd"/>
      <w:r w:rsidRPr="002012BC">
        <w:rPr>
          <w:rFonts w:ascii="Times New Roman" w:hAnsi="Times New Roman" w:cs="Times New Roman"/>
          <w:color w:val="auto"/>
          <w:sz w:val="20"/>
        </w:rPr>
        <w:t xml:space="preserve"> respond to enforcement. Figure 29 shows various logit-normal probability density functions given different values of </w:t>
      </w:r>
      <w:r w:rsidRPr="002012BC">
        <w:rPr>
          <w:rFonts w:ascii="Cambria Math" w:hAnsi="Cambria Math" w:cs="Cambria Math"/>
          <w:i/>
          <w:color w:val="auto"/>
          <w:sz w:val="20"/>
        </w:rPr>
        <w:t>𝜇</w:t>
      </w:r>
      <w:r w:rsidRPr="002012BC">
        <w:rPr>
          <w:rFonts w:ascii="Times New Roman" w:hAnsi="Times New Roman" w:cs="Times New Roman"/>
          <w:i/>
          <w:color w:val="auto"/>
          <w:sz w:val="20"/>
        </w:rPr>
        <w:t xml:space="preserve"> </w:t>
      </w:r>
      <w:r w:rsidRPr="002012BC">
        <w:rPr>
          <w:rFonts w:ascii="Times New Roman" w:hAnsi="Times New Roman" w:cs="Times New Roman"/>
          <w:color w:val="auto"/>
          <w:sz w:val="20"/>
        </w:rPr>
        <w:t xml:space="preserve">and </w:t>
      </w:r>
      <w:r w:rsidRPr="002012BC">
        <w:rPr>
          <w:rFonts w:ascii="Cambria Math" w:hAnsi="Cambria Math" w:cs="Cambria Math"/>
          <w:i/>
          <w:color w:val="auto"/>
          <w:sz w:val="20"/>
        </w:rPr>
        <w:t>𝜎</w:t>
      </w:r>
      <w:r w:rsidRPr="002012BC">
        <w:rPr>
          <w:rFonts w:ascii="Times New Roman" w:hAnsi="Times New Roman" w:cs="Times New Roman"/>
          <w:color w:val="auto"/>
          <w:sz w:val="20"/>
        </w:rPr>
        <w:t>.</w:t>
      </w:r>
    </w:p>
    <w:p w:rsidR="00E53DEB" w:rsidRPr="002012BC" w:rsidRDefault="00E53DEB" w:rsidP="00E53DEB">
      <w:pPr>
        <w:spacing w:after="376" w:line="248" w:lineRule="auto"/>
        <w:ind w:right="-15" w:hanging="10"/>
        <w:rPr>
          <w:rFonts w:ascii="Times New Roman" w:hAnsi="Times New Roman" w:cs="Times New Roman"/>
          <w:color w:val="auto"/>
        </w:rPr>
      </w:pPr>
      <w:r w:rsidRPr="002012BC">
        <w:rPr>
          <w:rFonts w:ascii="Times New Roman" w:hAnsi="Times New Roman" w:cs="Times New Roman"/>
          <w:color w:val="auto"/>
        </w:rPr>
        <w:t xml:space="preserve">                                            </w:t>
      </w:r>
      <m:oMath>
        <m:r>
          <w:rPr>
            <w:rFonts w:ascii="Cambria Math" w:hAnsi="Cambria Math" w:cs="Times New Roman"/>
            <w:color w:val="auto"/>
          </w:rPr>
          <m:t>f</m:t>
        </m:r>
        <m:d>
          <m:dPr>
            <m:ctrlPr>
              <w:rPr>
                <w:rFonts w:ascii="Cambria Math" w:hAnsi="Cambria Math" w:cs="Times New Roman"/>
                <w:i/>
                <w:color w:val="auto"/>
              </w:rPr>
            </m:ctrlPr>
          </m:dPr>
          <m:e>
            <m:r>
              <w:rPr>
                <w:rFonts w:ascii="Cambria Math" w:hAnsi="Cambria Math" w:cs="Times New Roman"/>
                <w:color w:val="auto"/>
              </w:rPr>
              <m:t>x;μ,σ</m:t>
            </m:r>
          </m:e>
        </m:d>
        <m:r>
          <w:rPr>
            <w:rFonts w:ascii="Cambria Math" w:hAnsi="Cambria Math" w:cs="Times New Roman"/>
            <w:color w:val="auto"/>
          </w:rPr>
          <m:t xml:space="preserve">= </m:t>
        </m:r>
        <m:f>
          <m:fPr>
            <m:ctrlPr>
              <w:rPr>
                <w:rFonts w:ascii="Cambria Math" w:hAnsi="Cambria Math" w:cs="Times New Roman"/>
                <w:i/>
                <w:color w:val="auto"/>
              </w:rPr>
            </m:ctrlPr>
          </m:fPr>
          <m:num>
            <m:r>
              <w:rPr>
                <w:rFonts w:ascii="Cambria Math" w:hAnsi="Cambria Math" w:cs="Times New Roman"/>
                <w:color w:val="auto"/>
              </w:rPr>
              <m:t>1</m:t>
            </m:r>
          </m:num>
          <m:den>
            <m:r>
              <w:rPr>
                <w:rFonts w:ascii="Cambria Math" w:hAnsi="Cambria Math" w:cs="Times New Roman"/>
                <w:color w:val="auto"/>
              </w:rPr>
              <m:t>σ</m:t>
            </m:r>
            <m:rad>
              <m:radPr>
                <m:degHide m:val="1"/>
                <m:ctrlPr>
                  <w:rPr>
                    <w:rFonts w:ascii="Cambria Math" w:hAnsi="Cambria Math" w:cs="Times New Roman"/>
                    <w:i/>
                    <w:color w:val="auto"/>
                  </w:rPr>
                </m:ctrlPr>
              </m:radPr>
              <m:deg/>
              <m:e>
                <m:r>
                  <w:rPr>
                    <w:rFonts w:ascii="Cambria Math" w:hAnsi="Cambria Math" w:cs="Times New Roman"/>
                    <w:color w:val="auto"/>
                  </w:rPr>
                  <m:t>2π</m:t>
                </m:r>
              </m:e>
            </m:rad>
          </m:den>
        </m:f>
        <m:sSup>
          <m:sSupPr>
            <m:ctrlPr>
              <w:rPr>
                <w:rFonts w:ascii="Cambria Math" w:hAnsi="Cambria Math" w:cs="Times New Roman"/>
                <w:i/>
                <w:color w:val="auto"/>
              </w:rPr>
            </m:ctrlPr>
          </m:sSupPr>
          <m:e>
            <m:r>
              <w:rPr>
                <w:rFonts w:ascii="Cambria Math" w:hAnsi="Cambria Math" w:cs="Times New Roman"/>
                <w:color w:val="auto"/>
              </w:rPr>
              <m:t>e</m:t>
            </m:r>
          </m:e>
          <m:sup>
            <m:f>
              <m:fPr>
                <m:ctrlPr>
                  <w:rPr>
                    <w:rFonts w:ascii="Cambria Math" w:hAnsi="Cambria Math" w:cs="Times New Roman"/>
                    <w:i/>
                    <w:color w:val="auto"/>
                  </w:rPr>
                </m:ctrlPr>
              </m:fPr>
              <m:num>
                <m:sSup>
                  <m:sSupPr>
                    <m:ctrlPr>
                      <w:rPr>
                        <w:rFonts w:ascii="Cambria Math" w:hAnsi="Cambria Math" w:cs="Times New Roman"/>
                        <w:i/>
                        <w:color w:val="auto"/>
                      </w:rPr>
                    </m:ctrlPr>
                  </m:sSupPr>
                  <m:e>
                    <m:r>
                      <w:rPr>
                        <w:rFonts w:ascii="Cambria Math" w:hAnsi="Cambria Math" w:cs="Times New Roman"/>
                        <w:color w:val="auto"/>
                      </w:rPr>
                      <m:t>(logit</m:t>
                    </m:r>
                    <m:d>
                      <m:dPr>
                        <m:ctrlPr>
                          <w:rPr>
                            <w:rFonts w:ascii="Cambria Math" w:hAnsi="Cambria Math" w:cs="Times New Roman"/>
                            <w:i/>
                            <w:color w:val="auto"/>
                          </w:rPr>
                        </m:ctrlPr>
                      </m:dPr>
                      <m:e>
                        <m:r>
                          <w:rPr>
                            <w:rFonts w:ascii="Cambria Math" w:hAnsi="Cambria Math" w:cs="Times New Roman"/>
                            <w:color w:val="auto"/>
                          </w:rPr>
                          <m:t>x</m:t>
                        </m:r>
                      </m:e>
                    </m:d>
                    <m:r>
                      <w:rPr>
                        <w:rFonts w:ascii="Cambria Math" w:hAnsi="Cambria Math" w:cs="Times New Roman"/>
                        <w:color w:val="auto"/>
                      </w:rPr>
                      <m:t>-μ)</m:t>
                    </m:r>
                  </m:e>
                  <m:sup>
                    <m:r>
                      <w:rPr>
                        <w:rFonts w:ascii="Cambria Math" w:hAnsi="Cambria Math" w:cs="Times New Roman"/>
                        <w:color w:val="auto"/>
                      </w:rPr>
                      <m:t>2</m:t>
                    </m:r>
                  </m:sup>
                </m:sSup>
              </m:num>
              <m:den>
                <m:r>
                  <w:rPr>
                    <w:rFonts w:ascii="Cambria Math" w:hAnsi="Cambria Math" w:cs="Times New Roman"/>
                    <w:color w:val="auto"/>
                  </w:rPr>
                  <m:t>2</m:t>
                </m:r>
                <m:sSup>
                  <m:sSupPr>
                    <m:ctrlPr>
                      <w:rPr>
                        <w:rFonts w:ascii="Cambria Math" w:hAnsi="Cambria Math" w:cs="Times New Roman"/>
                        <w:i/>
                        <w:color w:val="auto"/>
                      </w:rPr>
                    </m:ctrlPr>
                  </m:sSupPr>
                  <m:e>
                    <m:r>
                      <w:rPr>
                        <w:rFonts w:ascii="Cambria Math" w:hAnsi="Cambria Math" w:cs="Times New Roman"/>
                        <w:color w:val="auto"/>
                      </w:rPr>
                      <m:t>σ</m:t>
                    </m:r>
                  </m:e>
                  <m:sup>
                    <m:r>
                      <w:rPr>
                        <w:rFonts w:ascii="Cambria Math" w:hAnsi="Cambria Math" w:cs="Times New Roman"/>
                        <w:color w:val="auto"/>
                      </w:rPr>
                      <m:t>3</m:t>
                    </m:r>
                  </m:sup>
                </m:sSup>
              </m:den>
            </m:f>
          </m:sup>
        </m:sSup>
        <m:f>
          <m:fPr>
            <m:ctrlPr>
              <w:rPr>
                <w:rFonts w:ascii="Cambria Math" w:hAnsi="Cambria Math" w:cs="Times New Roman"/>
                <w:i/>
                <w:color w:val="auto"/>
              </w:rPr>
            </m:ctrlPr>
          </m:fPr>
          <m:num>
            <m:r>
              <w:rPr>
                <w:rFonts w:ascii="Cambria Math" w:hAnsi="Cambria Math" w:cs="Times New Roman"/>
                <w:color w:val="auto"/>
              </w:rPr>
              <m:t>1</m:t>
            </m:r>
          </m:num>
          <m:den>
            <m:r>
              <w:rPr>
                <w:rFonts w:ascii="Cambria Math" w:hAnsi="Cambria Math" w:cs="Times New Roman"/>
                <w:color w:val="auto"/>
              </w:rPr>
              <m:t>x(1-x)</m:t>
            </m:r>
          </m:den>
        </m:f>
      </m:oMath>
      <w:r w:rsidRPr="002012BC">
        <w:rPr>
          <w:rFonts w:ascii="Times New Roman" w:hAnsi="Times New Roman" w:cs="Times New Roman"/>
          <w:color w:val="auto"/>
        </w:rPr>
        <w:t xml:space="preserve">  </w:t>
      </w:r>
      <w:r w:rsidRPr="002012BC">
        <w:rPr>
          <w:rFonts w:ascii="Times New Roman" w:hAnsi="Times New Roman" w:cs="Times New Roman"/>
          <w:color w:val="auto"/>
        </w:rPr>
        <w:tab/>
        <w:t xml:space="preserve">                     (9.1a)</w:t>
      </w:r>
    </w:p>
    <w:p w:rsidR="00E53DEB" w:rsidRPr="002012BC" w:rsidRDefault="00E53DEB" w:rsidP="00E53DEB">
      <w:pPr>
        <w:spacing w:after="376" w:line="248" w:lineRule="auto"/>
        <w:ind w:right="-15" w:hanging="10"/>
        <w:rPr>
          <w:rFonts w:ascii="Times New Roman" w:hAnsi="Times New Roman" w:cs="Times New Roman"/>
          <w:color w:val="auto"/>
        </w:rPr>
      </w:pPr>
      <w:r w:rsidRPr="002012BC">
        <w:rPr>
          <w:rFonts w:ascii="Times New Roman" w:hAnsi="Times New Roman" w:cs="Times New Roman"/>
          <w:color w:val="auto"/>
        </w:rPr>
        <w:tab/>
        <w:t xml:space="preserve">                                                       </w:t>
      </w:r>
      <m:oMath>
        <m:r>
          <w:rPr>
            <w:rFonts w:ascii="Cambria Math" w:hAnsi="Cambria Math" w:cs="Times New Roman"/>
            <w:color w:val="auto"/>
          </w:rPr>
          <m:t>logit</m:t>
        </m:r>
        <m:d>
          <m:dPr>
            <m:ctrlPr>
              <w:rPr>
                <w:rFonts w:ascii="Cambria Math" w:hAnsi="Cambria Math" w:cs="Times New Roman"/>
                <w:i/>
                <w:color w:val="auto"/>
              </w:rPr>
            </m:ctrlPr>
          </m:dPr>
          <m:e>
            <m:r>
              <w:rPr>
                <w:rFonts w:ascii="Cambria Math" w:hAnsi="Cambria Math" w:cs="Times New Roman"/>
                <w:color w:val="auto"/>
              </w:rPr>
              <m:t>x</m:t>
            </m:r>
          </m:e>
        </m:d>
        <m:r>
          <w:rPr>
            <w:rFonts w:ascii="Cambria Math" w:hAnsi="Cambria Math" w:cs="Times New Roman"/>
            <w:color w:val="auto"/>
          </w:rPr>
          <m:t>=log</m:t>
        </m:r>
        <m:d>
          <m:dPr>
            <m:ctrlPr>
              <w:rPr>
                <w:rFonts w:ascii="Cambria Math" w:hAnsi="Cambria Math" w:cs="Times New Roman"/>
                <w:i/>
                <w:color w:val="auto"/>
              </w:rPr>
            </m:ctrlPr>
          </m:dPr>
          <m:e>
            <m:f>
              <m:fPr>
                <m:ctrlPr>
                  <w:rPr>
                    <w:rFonts w:ascii="Cambria Math" w:hAnsi="Cambria Math" w:cs="Times New Roman"/>
                    <w:i/>
                    <w:color w:val="auto"/>
                  </w:rPr>
                </m:ctrlPr>
              </m:fPr>
              <m:num>
                <m:r>
                  <w:rPr>
                    <w:rFonts w:ascii="Cambria Math" w:hAnsi="Cambria Math" w:cs="Times New Roman"/>
                    <w:color w:val="auto"/>
                  </w:rPr>
                  <m:t>1</m:t>
                </m:r>
              </m:num>
              <m:den>
                <m:r>
                  <w:rPr>
                    <w:rFonts w:ascii="Cambria Math" w:hAnsi="Cambria Math" w:cs="Times New Roman"/>
                    <w:color w:val="auto"/>
                  </w:rPr>
                  <m:t>x(1-x)</m:t>
                </m:r>
              </m:den>
            </m:f>
          </m:e>
        </m:d>
      </m:oMath>
      <w:r w:rsidRPr="002012BC">
        <w:rPr>
          <w:rFonts w:ascii="Times New Roman" w:hAnsi="Times New Roman" w:cs="Times New Roman"/>
          <w:color w:val="auto"/>
        </w:rPr>
        <w:t xml:space="preserve">  </w:t>
      </w:r>
      <w:r w:rsidRPr="002012BC">
        <w:rPr>
          <w:rFonts w:ascii="Times New Roman" w:hAnsi="Times New Roman" w:cs="Times New Roman"/>
          <w:color w:val="auto"/>
        </w:rPr>
        <w:tab/>
        <w:t xml:space="preserve">                                  (9.1b)</w:t>
      </w:r>
    </w:p>
    <w:p w:rsidR="00E53DEB" w:rsidRPr="002012BC" w:rsidRDefault="00E53DEB" w:rsidP="00E53DEB">
      <w:pPr>
        <w:tabs>
          <w:tab w:val="center" w:pos="3957"/>
          <w:tab w:val="center" w:pos="4679"/>
          <w:tab w:val="center" w:pos="5399"/>
        </w:tabs>
        <w:spacing w:after="9"/>
        <w:rPr>
          <w:rFonts w:ascii="Times New Roman" w:hAnsi="Times New Roman" w:cs="Times New Roman"/>
          <w:color w:val="auto"/>
        </w:rPr>
      </w:pPr>
    </w:p>
    <w:p w:rsidR="00E53DEB" w:rsidRPr="002012BC" w:rsidRDefault="00E53DEB" w:rsidP="00E53DEB">
      <w:pPr>
        <w:spacing w:after="131" w:line="248" w:lineRule="auto"/>
        <w:ind w:left="-10" w:right="-15" w:firstLine="239"/>
        <w:jc w:val="both"/>
        <w:rPr>
          <w:rFonts w:ascii="Times New Roman" w:hAnsi="Times New Roman" w:cs="Times New Roman"/>
          <w:color w:val="auto"/>
        </w:rPr>
      </w:pPr>
      <w:r w:rsidRPr="002012BC">
        <w:rPr>
          <w:rFonts w:ascii="Times New Roman" w:hAnsi="Times New Roman" w:cs="Times New Roman"/>
          <w:color w:val="auto"/>
          <w:sz w:val="20"/>
        </w:rPr>
        <w:t>Ultimately, the sensitivity analysis and structural validation highlight the importance of initial conditions, enforcement strategies, and peer pressure effects in influencing compliance rates. Responsive enforcement (RE) consistently achieves higher compliance rates compared to structural enforcement (SE) in all variations of the tested parameters. A wider distribution of absorbance capacities (</w:t>
      </w:r>
      <w:r w:rsidRPr="002012BC">
        <w:rPr>
          <w:rFonts w:ascii="Cambria Math" w:hAnsi="Cambria Math" w:cs="Cambria Math"/>
          <w:i/>
          <w:color w:val="auto"/>
          <w:sz w:val="20"/>
        </w:rPr>
        <w:t>𝜎</w:t>
      </w:r>
      <w:r w:rsidRPr="002012BC">
        <w:rPr>
          <w:rFonts w:ascii="Times New Roman" w:hAnsi="Times New Roman" w:cs="Times New Roman"/>
          <w:color w:val="auto"/>
          <w:sz w:val="20"/>
        </w:rPr>
        <w:t xml:space="preserve">) leads to better compliance outcomes than a smaller spread. The radius of peers significantly </w:t>
      </w:r>
      <w:proofErr w:type="gramStart"/>
      <w:r w:rsidRPr="002012BC">
        <w:rPr>
          <w:rFonts w:ascii="Times New Roman" w:hAnsi="Times New Roman" w:cs="Times New Roman"/>
          <w:color w:val="auto"/>
          <w:sz w:val="20"/>
        </w:rPr>
        <w:t>impacts</w:t>
      </w:r>
      <w:proofErr w:type="gramEnd"/>
      <w:r w:rsidRPr="002012BC">
        <w:rPr>
          <w:rFonts w:ascii="Times New Roman" w:hAnsi="Times New Roman" w:cs="Times New Roman"/>
          <w:color w:val="auto"/>
          <w:sz w:val="20"/>
        </w:rPr>
        <w:t xml:space="preserve"> the effectiveness of enforcement strategies, with RE being less sensitive to variations in the radius compared to SE. Based on the results, the optimal radius for RE is 10. Table 10 summarizes the results of the sensitivity analysis and structural validation.</w:t>
      </w:r>
    </w:p>
    <w:p w:rsidR="00F31C71" w:rsidRDefault="00E53DEB">
      <w:bookmarkStart w:id="0" w:name="_GoBack"/>
      <w:bookmarkEnd w:id="0"/>
    </w:p>
    <w:sectPr w:rsidR="00F31C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DEB"/>
    <w:rsid w:val="000B5A23"/>
    <w:rsid w:val="000C22AD"/>
    <w:rsid w:val="000F462E"/>
    <w:rsid w:val="0021356B"/>
    <w:rsid w:val="0023196F"/>
    <w:rsid w:val="00782F80"/>
    <w:rsid w:val="00862A79"/>
    <w:rsid w:val="008C20CB"/>
    <w:rsid w:val="008C729C"/>
    <w:rsid w:val="00E53D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59419-B220-463B-81F1-68E5C1F1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DEB"/>
    <w:rPr>
      <w:rFonts w:ascii="Calibri" w:eastAsia="Calibri" w:hAnsi="Calibri" w:cs="Calibri"/>
      <w:color w:val="000000"/>
      <w:kern w:val="2"/>
      <w:szCs w:val="24"/>
      <w:lang w:val="en-US"/>
      <w14:ligatures w14:val="standardContextual"/>
    </w:rPr>
  </w:style>
  <w:style w:type="paragraph" w:styleId="Heading2">
    <w:name w:val="heading 2"/>
    <w:next w:val="Normal"/>
    <w:link w:val="Heading2Char"/>
    <w:uiPriority w:val="9"/>
    <w:unhideWhenUsed/>
    <w:qFormat/>
    <w:rsid w:val="00E53DEB"/>
    <w:pPr>
      <w:keepNext/>
      <w:keepLines/>
      <w:spacing w:after="96"/>
      <w:ind w:left="10" w:hanging="10"/>
      <w:outlineLvl w:val="1"/>
    </w:pPr>
    <w:rPr>
      <w:rFonts w:ascii="Calibri" w:eastAsia="Calibri" w:hAnsi="Calibri" w:cs="Calibri"/>
      <w:b/>
      <w:i/>
      <w:color w:val="000000"/>
      <w:kern w:val="2"/>
      <w:sz w:val="20"/>
      <w:szCs w:val="24"/>
      <w:lang w:val="en-US"/>
      <w14:ligatures w14:val="standardContextual"/>
    </w:rPr>
  </w:style>
  <w:style w:type="paragraph" w:styleId="Heading3">
    <w:name w:val="heading 3"/>
    <w:next w:val="Normal"/>
    <w:link w:val="Heading3Char"/>
    <w:uiPriority w:val="9"/>
    <w:unhideWhenUsed/>
    <w:qFormat/>
    <w:rsid w:val="00E53DEB"/>
    <w:pPr>
      <w:keepNext/>
      <w:keepLines/>
      <w:spacing w:after="0"/>
      <w:ind w:left="119"/>
      <w:outlineLvl w:val="2"/>
    </w:pPr>
    <w:rPr>
      <w:rFonts w:ascii="Calibri" w:eastAsia="Calibri" w:hAnsi="Calibri" w:cs="Calibri"/>
      <w:b/>
      <w:color w:val="000000"/>
      <w:kern w:val="2"/>
      <w:sz w:val="1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3DEB"/>
    <w:rPr>
      <w:rFonts w:ascii="Calibri" w:eastAsia="Calibri" w:hAnsi="Calibri" w:cs="Calibri"/>
      <w:b/>
      <w:i/>
      <w:color w:val="000000"/>
      <w:kern w:val="2"/>
      <w:sz w:val="20"/>
      <w:szCs w:val="24"/>
      <w:lang w:val="en-US"/>
      <w14:ligatures w14:val="standardContextual"/>
    </w:rPr>
  </w:style>
  <w:style w:type="character" w:customStyle="1" w:styleId="Heading3Char">
    <w:name w:val="Heading 3 Char"/>
    <w:basedOn w:val="DefaultParagraphFont"/>
    <w:link w:val="Heading3"/>
    <w:uiPriority w:val="9"/>
    <w:rsid w:val="00E53DEB"/>
    <w:rPr>
      <w:rFonts w:ascii="Calibri" w:eastAsia="Calibri" w:hAnsi="Calibri" w:cs="Calibri"/>
      <w:b/>
      <w:color w:val="000000"/>
      <w:kern w:val="2"/>
      <w:sz w:val="14"/>
      <w:szCs w:val="24"/>
      <w:lang w:val="en-US"/>
      <w14:ligatures w14:val="standardContextual"/>
    </w:rPr>
  </w:style>
  <w:style w:type="table" w:customStyle="1" w:styleId="TableGrid">
    <w:name w:val="TableGrid"/>
    <w:rsid w:val="00E53DEB"/>
    <w:pPr>
      <w:spacing w:after="0" w:line="240" w:lineRule="auto"/>
    </w:pPr>
    <w:rPr>
      <w:rFonts w:eastAsiaTheme="minorEastAsia"/>
      <w:kern w:val="2"/>
      <w:sz w:val="24"/>
      <w:szCs w:val="24"/>
      <w:lang w:val="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2343</Words>
  <Characters>14603</Characters>
  <Application>Microsoft Office Word</Application>
  <DocSecurity>0</DocSecurity>
  <Lines>247</Lines>
  <Paragraphs>102</Paragraphs>
  <ScaleCrop>false</ScaleCrop>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Elumalai</dc:creator>
  <cp:keywords/>
  <dc:description/>
  <cp:lastModifiedBy>Elumalai</cp:lastModifiedBy>
  <cp:revision>1</cp:revision>
  <dcterms:created xsi:type="dcterms:W3CDTF">2024-12-05T05:47:00Z</dcterms:created>
  <dcterms:modified xsi:type="dcterms:W3CDTF">2024-12-05T05:47:00Z</dcterms:modified>
</cp:coreProperties>
</file>