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spacing w:after="120" w:before="400" w:lineRule="auto"/>
        <w:rPr>
          <w:rFonts w:ascii="Times New Roman" w:cs="Times New Roman" w:eastAsia="Times New Roman" w:hAnsi="Times New Roman"/>
          <w:color w:val="000000"/>
          <w:sz w:val="40"/>
          <w:szCs w:val="40"/>
          <w:u w:val="single"/>
        </w:rPr>
      </w:pPr>
      <w:bookmarkStart w:colFirst="0" w:colLast="0" w:name="_9z9fnan5vxx" w:id="0"/>
      <w:bookmarkEnd w:id="0"/>
      <w:r w:rsidDel="00000000" w:rsidR="00000000" w:rsidRPr="00000000">
        <w:rPr>
          <w:rFonts w:ascii="Times New Roman" w:cs="Times New Roman" w:eastAsia="Times New Roman" w:hAnsi="Times New Roman"/>
          <w:color w:val="000000"/>
          <w:sz w:val="40"/>
          <w:szCs w:val="40"/>
          <w:u w:val="single"/>
          <w:rtl w:val="0"/>
        </w:rPr>
        <w:t xml:space="preserve">Supplementary Material</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spacing w:before="0" w:line="240" w:lineRule="auto"/>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Pr>
        <w:drawing>
          <wp:inline distB="0" distT="0" distL="0" distR="0">
            <wp:extent cx="4202402" cy="2919368"/>
            <wp:effectExtent b="0" l="0" r="0" t="0"/>
            <wp:docPr id="2" name="image1.png"/>
            <a:graphic>
              <a:graphicData uri="http://schemas.openxmlformats.org/drawingml/2006/picture">
                <pic:pic>
                  <pic:nvPicPr>
                    <pic:cNvPr id="0" name="image1.png"/>
                    <pic:cNvPicPr preferRelativeResize="0"/>
                  </pic:nvPicPr>
                  <pic:blipFill>
                    <a:blip r:embed="rId6"/>
                    <a:srcRect b="194" l="0" r="0" t="-1656"/>
                    <a:stretch>
                      <a:fillRect/>
                    </a:stretch>
                  </pic:blipFill>
                  <pic:spPr>
                    <a:xfrm>
                      <a:off x="0" y="0"/>
                      <a:ext cx="4202402" cy="2919368"/>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spacing w:before="0" w:line="240" w:lineRule="auto"/>
        <w:rPr>
          <w:rFonts w:ascii="Times New Roman" w:cs="Times New Roman" w:eastAsia="Times New Roman" w:hAnsi="Times New Roman"/>
          <w:i w:val="1"/>
          <w:color w:val="1f497d"/>
          <w:sz w:val="18"/>
          <w:szCs w:val="18"/>
        </w:rPr>
      </w:pPr>
      <w:r w:rsidDel="00000000" w:rsidR="00000000" w:rsidRPr="00000000">
        <w:rPr>
          <w:rFonts w:ascii="Times New Roman" w:cs="Times New Roman" w:eastAsia="Times New Roman" w:hAnsi="Times New Roman"/>
          <w:i w:val="1"/>
          <w:color w:val="1f497d"/>
          <w:sz w:val="18"/>
          <w:szCs w:val="18"/>
          <w:rtl w:val="0"/>
        </w:rPr>
        <w:t xml:space="preserve">Supplementary Figure S1. Overview of the model training, hyperparameter selection and deployment. Hyperparameter optimization was conducted over 300 runs with a Bayesian and hyperband optimization strategy. After normalization and splitting of the dataset, data augmentation is applied. Following hyperparameter optimization over 300 runs reproducibility is tested and the model can be deployed.</w:t>
      </w:r>
    </w:p>
    <w:p w:rsidR="00000000" w:rsidDel="00000000" w:rsidP="00000000" w:rsidRDefault="00000000" w:rsidRPr="00000000" w14:paraId="00000005">
      <w:pPr>
        <w:keepNext w:val="1"/>
        <w:spacing w:after="200" w:before="0" w:line="240" w:lineRule="auto"/>
        <w:rPr>
          <w:rFonts w:ascii="Times New Roman" w:cs="Times New Roman" w:eastAsia="Times New Roman" w:hAnsi="Times New Roman"/>
          <w:i w:val="1"/>
          <w:color w:val="1f497d"/>
          <w:sz w:val="18"/>
          <w:szCs w:val="18"/>
        </w:rPr>
      </w:pPr>
      <w:r w:rsidDel="00000000" w:rsidR="00000000" w:rsidRPr="00000000">
        <w:rPr>
          <w:rtl w:val="0"/>
        </w:rPr>
      </w:r>
    </w:p>
    <w:p w:rsidR="00000000" w:rsidDel="00000000" w:rsidP="00000000" w:rsidRDefault="00000000" w:rsidRPr="00000000" w14:paraId="00000006">
      <w:pPr>
        <w:keepNext w:val="1"/>
        <w:spacing w:after="200" w:before="0" w:line="240" w:lineRule="auto"/>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Pr>
        <w:drawing>
          <wp:inline distB="114300" distT="114300" distL="114300" distR="114300">
            <wp:extent cx="4798850" cy="7428064"/>
            <wp:effectExtent b="0" l="0" r="0" t="0"/>
            <wp:docPr id="3" name="image2.png"/>
            <a:graphic>
              <a:graphicData uri="http://schemas.openxmlformats.org/drawingml/2006/picture">
                <pic:pic>
                  <pic:nvPicPr>
                    <pic:cNvPr id="0" name="image2.png"/>
                    <pic:cNvPicPr preferRelativeResize="0"/>
                  </pic:nvPicPr>
                  <pic:blipFill>
                    <a:blip r:embed="rId7"/>
                    <a:srcRect b="0" l="109" r="109" t="0"/>
                    <a:stretch>
                      <a:fillRect/>
                    </a:stretch>
                  </pic:blipFill>
                  <pic:spPr>
                    <a:xfrm>
                      <a:off x="0" y="0"/>
                      <a:ext cx="4798850" cy="7428064"/>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keepNext w:val="1"/>
        <w:spacing w:after="200" w:before="0" w:line="240" w:lineRule="auto"/>
        <w:rPr>
          <w:rFonts w:ascii="Times New Roman" w:cs="Times New Roman" w:eastAsia="Times New Roman" w:hAnsi="Times New Roman"/>
          <w:i w:val="1"/>
          <w:color w:val="1f497d"/>
          <w:sz w:val="18"/>
          <w:szCs w:val="18"/>
        </w:rPr>
      </w:pPr>
      <w:r w:rsidDel="00000000" w:rsidR="00000000" w:rsidRPr="00000000">
        <w:rPr>
          <w:rFonts w:ascii="Times New Roman" w:cs="Times New Roman" w:eastAsia="Times New Roman" w:hAnsi="Times New Roman"/>
          <w:i w:val="1"/>
          <w:color w:val="1f497d"/>
          <w:sz w:val="18"/>
          <w:szCs w:val="18"/>
          <w:rtl w:val="0"/>
        </w:rPr>
        <w:t xml:space="preserve">Supplementary Figure S2. Visual overview of the pipeline report document, depicting different report sections. (a) View </w:t>
      </w:r>
      <w:r w:rsidDel="00000000" w:rsidR="00000000" w:rsidRPr="00000000">
        <w:rPr>
          <w:rFonts w:ascii="Times New Roman" w:cs="Times New Roman" w:eastAsia="Times New Roman" w:hAnsi="Times New Roman"/>
          <w:i w:val="1"/>
          <w:color w:val="1f497d"/>
          <w:sz w:val="18"/>
          <w:szCs w:val="18"/>
          <w:u w:val="single"/>
          <w:rtl w:val="0"/>
        </w:rPr>
        <w:t xml:space="preserve">of</w:t>
      </w:r>
      <w:r w:rsidDel="00000000" w:rsidR="00000000" w:rsidRPr="00000000">
        <w:rPr>
          <w:rFonts w:ascii="Times New Roman" w:cs="Times New Roman" w:eastAsia="Times New Roman" w:hAnsi="Times New Roman"/>
          <w:i w:val="1"/>
          <w:color w:val="1f497d"/>
          <w:sz w:val="18"/>
          <w:szCs w:val="18"/>
          <w:rtl w:val="0"/>
        </w:rPr>
        <w:t xml:space="preserve"> the section for ratiomeric value statistics per tissue types. (b) View of the section that reports ratio average values for tissue zones and experimental factors. (c) Results section depicting input image, and the corresponding ratiomeric image and predicted segmentation mask, for all input images. (d) Results section showing uncertainty maps, for all input images. (e) Result section showing interpretability maps, for all input images and all target classes (segmentation classes).</w:t>
      </w:r>
    </w:p>
    <w:p w:rsidR="00000000" w:rsidDel="00000000" w:rsidP="00000000" w:rsidRDefault="00000000" w:rsidRPr="00000000" w14:paraId="00000008">
      <w:pPr>
        <w:keepNext w:val="1"/>
        <w:spacing w:after="200" w:before="0" w:line="240" w:lineRule="auto"/>
        <w:rPr>
          <w:rFonts w:ascii="Times New Roman" w:cs="Times New Roman" w:eastAsia="Times New Roman" w:hAnsi="Times New Roman"/>
          <w:i w:val="1"/>
          <w:color w:val="1f497d"/>
          <w:sz w:val="18"/>
          <w:szCs w:val="18"/>
        </w:rPr>
      </w:pPr>
      <w:r w:rsidDel="00000000" w:rsidR="00000000" w:rsidRPr="00000000">
        <w:rPr>
          <w:rtl w:val="0"/>
        </w:rPr>
      </w:r>
    </w:p>
    <w:p w:rsidR="00000000" w:rsidDel="00000000" w:rsidP="00000000" w:rsidRDefault="00000000" w:rsidRPr="00000000" w14:paraId="00000009">
      <w:pPr>
        <w:keepNext w:val="1"/>
        <w:spacing w:after="200" w:before="0" w:line="240" w:lineRule="auto"/>
        <w:rPr>
          <w:rFonts w:ascii="Times New Roman" w:cs="Times New Roman" w:eastAsia="Times New Roman" w:hAnsi="Times New Roman"/>
          <w:i w:val="1"/>
          <w:color w:val="1f497d"/>
          <w:sz w:val="18"/>
          <w:szCs w:val="18"/>
        </w:rPr>
      </w:pPr>
      <w:r w:rsidDel="00000000" w:rsidR="00000000" w:rsidRPr="00000000">
        <w:rPr>
          <w:rtl w:val="0"/>
        </w:rPr>
      </w:r>
    </w:p>
    <w:p w:rsidR="00000000" w:rsidDel="00000000" w:rsidP="00000000" w:rsidRDefault="00000000" w:rsidRPr="00000000" w14:paraId="0000000A">
      <w:pPr>
        <w:keepNext w:val="1"/>
        <w:spacing w:after="200" w:before="0" w:line="240" w:lineRule="auto"/>
        <w:rPr>
          <w:rFonts w:ascii="Times New Roman" w:cs="Times New Roman" w:eastAsia="Times New Roman" w:hAnsi="Times New Roman"/>
          <w:i w:val="1"/>
          <w:color w:val="1f497d"/>
          <w:sz w:val="18"/>
          <w:szCs w:val="18"/>
          <w:u w:val="single"/>
        </w:rPr>
      </w:pPr>
      <w:r w:rsidDel="00000000" w:rsidR="00000000" w:rsidRPr="00000000">
        <w:rPr>
          <w:rFonts w:ascii="Times New Roman" w:cs="Times New Roman" w:eastAsia="Times New Roman" w:hAnsi="Times New Roman"/>
          <w:i w:val="1"/>
          <w:color w:val="1f497d"/>
          <w:sz w:val="18"/>
          <w:szCs w:val="18"/>
          <w:u w:val="single"/>
        </w:rPr>
        <w:drawing>
          <wp:inline distB="114300" distT="114300" distL="114300" distR="114300">
            <wp:extent cx="5731200" cy="4978400"/>
            <wp:effectExtent b="0" l="0" r="0" t="0"/>
            <wp:docPr id="1"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5731200" cy="4978400"/>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keepNext w:val="1"/>
        <w:spacing w:after="200" w:before="0" w:line="240" w:lineRule="auto"/>
        <w:rPr>
          <w:rFonts w:ascii="Times New Roman" w:cs="Times New Roman" w:eastAsia="Times New Roman" w:hAnsi="Times New Roman"/>
          <w:i w:val="1"/>
          <w:color w:val="1f497d"/>
          <w:sz w:val="18"/>
          <w:szCs w:val="18"/>
          <w:u w:val="single"/>
        </w:rPr>
      </w:pPr>
      <w:r w:rsidDel="00000000" w:rsidR="00000000" w:rsidRPr="00000000">
        <w:rPr>
          <w:rFonts w:ascii="Times New Roman" w:cs="Times New Roman" w:eastAsia="Times New Roman" w:hAnsi="Times New Roman"/>
          <w:i w:val="1"/>
          <w:color w:val="1f497d"/>
          <w:sz w:val="18"/>
          <w:szCs w:val="18"/>
          <w:u w:val="single"/>
          <w:rtl w:val="0"/>
        </w:rPr>
        <w:t xml:space="preserve">Supplementary Figure S3. Examples of poor segmentation performance. Two columns of visual comparisons between tissue segmentation predictions and the corresponding ground truth, showing examples of images with poor segmentation performance. Scale bars = 53.14 µm.</w:t>
      </w:r>
    </w:p>
    <w:p w:rsidR="00000000" w:rsidDel="00000000" w:rsidP="00000000" w:rsidRDefault="00000000" w:rsidRPr="00000000" w14:paraId="0000000C">
      <w:pPr>
        <w:spacing w:before="0" w:line="240" w:lineRule="auto"/>
        <w:rPr>
          <w:rFonts w:ascii="Times New Roman" w:cs="Times New Roman" w:eastAsia="Times New Roman" w:hAnsi="Times New Roman"/>
          <w:color w:val="000000"/>
          <w:sz w:val="24"/>
          <w:szCs w:val="24"/>
        </w:rPr>
      </w:pPr>
      <w:r w:rsidDel="00000000" w:rsidR="00000000" w:rsidRPr="00000000">
        <w:rPr>
          <w:rtl w:val="0"/>
        </w:rPr>
      </w:r>
    </w:p>
    <w:tbl>
      <w:tblPr>
        <w:tblStyle w:val="Table1"/>
        <w:tblW w:w="9021.0" w:type="dxa"/>
        <w:jc w:val="left"/>
        <w:tblInd w:w="-108.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4A0"/>
      </w:tblPr>
      <w:tblGrid>
        <w:gridCol w:w="1895.9999999999995"/>
        <w:gridCol w:w="1605"/>
        <w:gridCol w:w="1283.9999999999995"/>
        <w:gridCol w:w="1326.0000000000005"/>
        <w:gridCol w:w="1283.9999999999986"/>
        <w:gridCol w:w="1626.0000000000014"/>
        <w:tblGridChange w:id="0">
          <w:tblGrid>
            <w:gridCol w:w="1895.9999999999995"/>
            <w:gridCol w:w="1605"/>
            <w:gridCol w:w="1283.9999999999995"/>
            <w:gridCol w:w="1326.0000000000005"/>
            <w:gridCol w:w="1283.9999999999986"/>
            <w:gridCol w:w="1626.0000000000014"/>
          </w:tblGrid>
        </w:tblGridChange>
      </w:tblGrid>
      <w:tr>
        <w:trPr>
          <w:cantSplit w:val="0"/>
          <w:tblHeader w:val="0"/>
        </w:trPr>
        <w:tc>
          <w:tcPr>
            <w:shd w:fill="bfbfbf" w:val="clear"/>
          </w:tcPr>
          <w:p w:rsidR="00000000" w:rsidDel="00000000" w:rsidP="00000000" w:rsidRDefault="00000000" w:rsidRPr="00000000" w14:paraId="0000000D">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w:t>
            </w:r>
          </w:p>
        </w:tc>
        <w:tc>
          <w:tcPr>
            <w:shd w:fill="bfbfbf" w:val="clear"/>
          </w:tcPr>
          <w:p w:rsidR="00000000" w:rsidDel="00000000" w:rsidP="00000000" w:rsidRDefault="00000000" w:rsidRPr="00000000" w14:paraId="0000000E">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Background</w:t>
            </w:r>
          </w:p>
        </w:tc>
        <w:tc>
          <w:tcPr>
            <w:shd w:fill="bfbfbf" w:val="clear"/>
          </w:tcPr>
          <w:p w:rsidR="00000000" w:rsidDel="00000000" w:rsidP="00000000" w:rsidRDefault="00000000" w:rsidRPr="00000000" w14:paraId="0000000F">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Root</w:t>
            </w:r>
          </w:p>
        </w:tc>
        <w:tc>
          <w:tcPr>
            <w:shd w:fill="bfbfbf" w:val="clear"/>
          </w:tcPr>
          <w:p w:rsidR="00000000" w:rsidDel="00000000" w:rsidP="00000000" w:rsidRDefault="00000000" w:rsidRPr="00000000" w14:paraId="00000010">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EEZ</w:t>
            </w:r>
          </w:p>
        </w:tc>
        <w:tc>
          <w:tcPr>
            <w:shd w:fill="bfbfbf" w:val="clear"/>
          </w:tcPr>
          <w:p w:rsidR="00000000" w:rsidDel="00000000" w:rsidP="00000000" w:rsidRDefault="00000000" w:rsidRPr="00000000" w14:paraId="00000011">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LEZ</w:t>
            </w:r>
          </w:p>
        </w:tc>
        <w:tc>
          <w:tcPr>
            <w:shd w:fill="bfbfbf" w:val="clear"/>
          </w:tcPr>
          <w:p w:rsidR="00000000" w:rsidDel="00000000" w:rsidP="00000000" w:rsidRDefault="00000000" w:rsidRPr="00000000" w14:paraId="00000012">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MZ</w:t>
            </w:r>
          </w:p>
        </w:tc>
      </w:tr>
      <w:tr>
        <w:trPr>
          <w:cantSplit w:val="0"/>
          <w:tblHeader w:val="0"/>
        </w:trPr>
        <w:tc>
          <w:tcPr/>
          <w:p w:rsidR="00000000" w:rsidDel="00000000" w:rsidP="00000000" w:rsidRDefault="00000000" w:rsidRPr="00000000" w14:paraId="00000013">
            <w:pPr>
              <w:spacing w:before="0" w:lineRule="auto"/>
              <w:rPr>
                <w:rFonts w:ascii="Times New Roman" w:cs="Times New Roman" w:eastAsia="Times New Roman" w:hAnsi="Times New Roman"/>
                <w:b w:val="0"/>
                <w:color w:val="000000"/>
              </w:rPr>
            </w:pPr>
            <w:r w:rsidDel="00000000" w:rsidR="00000000" w:rsidRPr="00000000">
              <w:rPr>
                <w:rFonts w:ascii="Times New Roman" w:cs="Times New Roman" w:eastAsia="Times New Roman" w:hAnsi="Times New Roman"/>
                <w:b w:val="0"/>
                <w:color w:val="000000"/>
                <w:rtl w:val="0"/>
              </w:rPr>
              <w:t xml:space="preserve">Class frequency</w:t>
            </w:r>
          </w:p>
        </w:tc>
        <w:tc>
          <w:tcPr>
            <w:shd w:fill="auto" w:val="clear"/>
          </w:tcPr>
          <w:p w:rsidR="00000000" w:rsidDel="00000000" w:rsidP="00000000" w:rsidRDefault="00000000" w:rsidRPr="00000000" w14:paraId="00000014">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64.18</w:t>
            </w:r>
          </w:p>
        </w:tc>
        <w:tc>
          <w:tcPr>
            <w:shd w:fill="auto" w:val="clear"/>
          </w:tcPr>
          <w:p w:rsidR="00000000" w:rsidDel="00000000" w:rsidP="00000000" w:rsidRDefault="00000000" w:rsidRPr="00000000" w14:paraId="00000015">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18.90</w:t>
            </w:r>
          </w:p>
        </w:tc>
        <w:tc>
          <w:tcPr>
            <w:shd w:fill="auto" w:val="clear"/>
          </w:tcPr>
          <w:p w:rsidR="00000000" w:rsidDel="00000000" w:rsidP="00000000" w:rsidRDefault="00000000" w:rsidRPr="00000000" w14:paraId="00000016">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4.13</w:t>
            </w:r>
          </w:p>
        </w:tc>
        <w:tc>
          <w:tcPr>
            <w:shd w:fill="auto" w:val="clear"/>
          </w:tcPr>
          <w:p w:rsidR="00000000" w:rsidDel="00000000" w:rsidP="00000000" w:rsidRDefault="00000000" w:rsidRPr="00000000" w14:paraId="00000017">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7.35</w:t>
            </w:r>
          </w:p>
        </w:tc>
        <w:tc>
          <w:tcPr>
            <w:shd w:fill="auto" w:val="clear"/>
          </w:tcPr>
          <w:p w:rsidR="00000000" w:rsidDel="00000000" w:rsidP="00000000" w:rsidRDefault="00000000" w:rsidRPr="00000000" w14:paraId="00000018">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5.45</w:t>
            </w:r>
          </w:p>
        </w:tc>
      </w:tr>
      <w:tr>
        <w:trPr>
          <w:cantSplit w:val="0"/>
          <w:tblHeader w:val="0"/>
        </w:trPr>
        <w:tc>
          <w:tcPr>
            <w:shd w:fill="f2f2f2" w:val="clear"/>
          </w:tcPr>
          <w:p w:rsidR="00000000" w:rsidDel="00000000" w:rsidP="00000000" w:rsidRDefault="00000000" w:rsidRPr="00000000" w14:paraId="00000019">
            <w:pPr>
              <w:spacing w:before="0" w:lineRule="auto"/>
              <w:rPr>
                <w:rFonts w:ascii="Times New Roman" w:cs="Times New Roman" w:eastAsia="Times New Roman" w:hAnsi="Times New Roman"/>
                <w:b w:val="0"/>
                <w:color w:val="000000"/>
              </w:rPr>
            </w:pPr>
            <w:r w:rsidDel="00000000" w:rsidR="00000000" w:rsidRPr="00000000">
              <w:rPr>
                <w:rFonts w:ascii="Times New Roman" w:cs="Times New Roman" w:eastAsia="Times New Roman" w:hAnsi="Times New Roman"/>
                <w:b w:val="0"/>
                <w:color w:val="000000"/>
                <w:rtl w:val="0"/>
              </w:rPr>
              <w:t xml:space="preserve">Annotated Images</w:t>
            </w:r>
          </w:p>
        </w:tc>
        <w:tc>
          <w:tcPr/>
          <w:p w:rsidR="00000000" w:rsidDel="00000000" w:rsidP="00000000" w:rsidRDefault="00000000" w:rsidRPr="00000000" w14:paraId="0000001A">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601</w:t>
            </w:r>
          </w:p>
        </w:tc>
        <w:tc>
          <w:tcPr/>
          <w:p w:rsidR="00000000" w:rsidDel="00000000" w:rsidP="00000000" w:rsidRDefault="00000000" w:rsidRPr="00000000" w14:paraId="0000001B">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601</w:t>
            </w:r>
          </w:p>
        </w:tc>
        <w:tc>
          <w:tcPr/>
          <w:p w:rsidR="00000000" w:rsidDel="00000000" w:rsidP="00000000" w:rsidRDefault="00000000" w:rsidRPr="00000000" w14:paraId="0000001C">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215</w:t>
            </w:r>
          </w:p>
        </w:tc>
        <w:tc>
          <w:tcPr/>
          <w:p w:rsidR="00000000" w:rsidDel="00000000" w:rsidP="00000000" w:rsidRDefault="00000000" w:rsidRPr="00000000" w14:paraId="0000001D">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233</w:t>
            </w:r>
          </w:p>
        </w:tc>
        <w:tc>
          <w:tcPr/>
          <w:p w:rsidR="00000000" w:rsidDel="00000000" w:rsidP="00000000" w:rsidRDefault="00000000" w:rsidRPr="00000000" w14:paraId="0000001E">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212</w:t>
            </w:r>
          </w:p>
        </w:tc>
      </w:tr>
    </w:tbl>
    <w:p w:rsidR="00000000" w:rsidDel="00000000" w:rsidP="00000000" w:rsidRDefault="00000000" w:rsidRPr="00000000" w14:paraId="0000001F">
      <w:pPr>
        <w:keepNext w:val="1"/>
        <w:spacing w:after="200" w:before="0" w:line="240" w:lineRule="auto"/>
        <w:rPr>
          <w:rFonts w:ascii="Times New Roman" w:cs="Times New Roman" w:eastAsia="Times New Roman" w:hAnsi="Times New Roman"/>
          <w:i w:val="1"/>
          <w:color w:val="1f497d"/>
          <w:sz w:val="18"/>
          <w:szCs w:val="18"/>
        </w:rPr>
      </w:pPr>
      <w:r w:rsidDel="00000000" w:rsidR="00000000" w:rsidRPr="00000000">
        <w:rPr>
          <w:rFonts w:ascii="Times New Roman" w:cs="Times New Roman" w:eastAsia="Times New Roman" w:hAnsi="Times New Roman"/>
          <w:i w:val="1"/>
          <w:color w:val="1f497d"/>
          <w:sz w:val="18"/>
          <w:szCs w:val="18"/>
          <w:u w:val="single"/>
          <w:rtl w:val="0"/>
        </w:rPr>
        <w:t xml:space="preserve">Supplementary Table S4</w:t>
      </w:r>
      <w:r w:rsidDel="00000000" w:rsidR="00000000" w:rsidRPr="00000000">
        <w:rPr>
          <w:rFonts w:ascii="Times New Roman" w:cs="Times New Roman" w:eastAsia="Times New Roman" w:hAnsi="Times New Roman"/>
          <w:i w:val="1"/>
          <w:color w:val="1f497d"/>
          <w:sz w:val="18"/>
          <w:szCs w:val="18"/>
          <w:rtl w:val="0"/>
        </w:rPr>
        <w:t xml:space="preserve">. Pixel distributions of all five classes (Background, Root tissue, EEZ. LEZ, MZ) in the PHDFM dataset.</w:t>
      </w:r>
    </w:p>
    <w:p w:rsidR="00000000" w:rsidDel="00000000" w:rsidP="00000000" w:rsidRDefault="00000000" w:rsidRPr="00000000" w14:paraId="00000020">
      <w:pPr>
        <w:spacing w:before="0" w:line="240" w:lineRule="auto"/>
        <w:rPr>
          <w:rFonts w:ascii="Times New Roman" w:cs="Times New Roman" w:eastAsia="Times New Roman" w:hAnsi="Times New Roman"/>
          <w:color w:val="000000"/>
          <w:sz w:val="24"/>
          <w:szCs w:val="24"/>
        </w:rPr>
      </w:pPr>
      <w:r w:rsidDel="00000000" w:rsidR="00000000" w:rsidRPr="00000000">
        <w:rPr>
          <w:rtl w:val="0"/>
        </w:rPr>
      </w:r>
    </w:p>
    <w:tbl>
      <w:tblPr>
        <w:tblStyle w:val="Table2"/>
        <w:tblW w:w="9161.541803882921" w:type="dxa"/>
        <w:jc w:val="left"/>
        <w:tblInd w:w="-108.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4A0"/>
      </w:tblPr>
      <w:tblGrid>
        <w:gridCol w:w="1410.9947359000068"/>
        <w:gridCol w:w="1500"/>
        <w:gridCol w:w="885"/>
        <w:gridCol w:w="765"/>
        <w:gridCol w:w="955.547067982915"/>
        <w:gridCol w:w="825"/>
        <w:gridCol w:w="1140"/>
        <w:gridCol w:w="1680"/>
        <w:tblGridChange w:id="0">
          <w:tblGrid>
            <w:gridCol w:w="1410.9947359000068"/>
            <w:gridCol w:w="1500"/>
            <w:gridCol w:w="885"/>
            <w:gridCol w:w="765"/>
            <w:gridCol w:w="955.547067982915"/>
            <w:gridCol w:w="825"/>
            <w:gridCol w:w="1140"/>
            <w:gridCol w:w="168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021">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Model</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22">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IoU background</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23">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IoU root</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24">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IoU </w:t>
            </w:r>
          </w:p>
          <w:p w:rsidR="00000000" w:rsidDel="00000000" w:rsidP="00000000" w:rsidRDefault="00000000" w:rsidRPr="00000000" w14:paraId="00000025">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EEZ</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26">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IoU LEZ</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27">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IoU </w:t>
            </w:r>
          </w:p>
          <w:p w:rsidR="00000000" w:rsidDel="00000000" w:rsidP="00000000" w:rsidRDefault="00000000" w:rsidRPr="00000000" w14:paraId="00000028">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MZ</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29">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IoU </w:t>
            </w:r>
          </w:p>
          <w:p w:rsidR="00000000" w:rsidDel="00000000" w:rsidP="00000000" w:rsidRDefault="00000000" w:rsidRPr="00000000" w14:paraId="0000002A">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average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2B">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Model parameters</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2C">
            <w:pPr>
              <w:spacing w:before="0" w:lineRule="auto"/>
              <w:rPr>
                <w:rFonts w:ascii="Times New Roman" w:cs="Times New Roman" w:eastAsia="Times New Roman" w:hAnsi="Times New Roman"/>
                <w:b w:val="0"/>
                <w:color w:val="000000"/>
              </w:rPr>
            </w:pPr>
            <w:r w:rsidDel="00000000" w:rsidR="00000000" w:rsidRPr="00000000">
              <w:rPr>
                <w:rFonts w:ascii="Times New Roman" w:cs="Times New Roman" w:eastAsia="Times New Roman" w:hAnsi="Times New Roman"/>
                <w:b w:val="0"/>
                <w:color w:val="000000"/>
                <w:rtl w:val="0"/>
              </w:rPr>
              <w:t xml:space="preserve">U-Net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0.99</w:t>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0.70</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0.52</w:t>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0.66</w:t>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spacing w:before="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0.76</w:t>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0.72</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7.8 M</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34">
            <w:pPr>
              <w:spacing w:before="0" w:lineRule="auto"/>
              <w:rPr>
                <w:rFonts w:ascii="Times New Roman" w:cs="Times New Roman" w:eastAsia="Times New Roman" w:hAnsi="Times New Roman"/>
                <w:b w:val="0"/>
                <w:color w:val="000000"/>
              </w:rPr>
            </w:pPr>
            <w:r w:rsidDel="00000000" w:rsidR="00000000" w:rsidRPr="00000000">
              <w:rPr>
                <w:rFonts w:ascii="Times New Roman" w:cs="Times New Roman" w:eastAsia="Times New Roman" w:hAnsi="Times New Roman"/>
                <w:b w:val="0"/>
                <w:color w:val="000000"/>
                <w:rtl w:val="0"/>
              </w:rPr>
              <w:t xml:space="preserve">U-Net++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0.99</w:t>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0.69</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0.54</w:t>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0.69</w:t>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0.72</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0.73</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9.006 M</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3C">
            <w:pPr>
              <w:spacing w:before="0" w:lineRule="auto"/>
              <w:rPr>
                <w:rFonts w:ascii="Times New Roman" w:cs="Times New Roman" w:eastAsia="Times New Roman" w:hAnsi="Times New Roman"/>
                <w:b w:val="0"/>
                <w:color w:val="000000"/>
              </w:rPr>
            </w:pPr>
            <w:r w:rsidDel="00000000" w:rsidR="00000000" w:rsidRPr="00000000">
              <w:rPr>
                <w:rFonts w:ascii="Times New Roman" w:cs="Times New Roman" w:eastAsia="Times New Roman" w:hAnsi="Times New Roman"/>
                <w:b w:val="0"/>
                <w:color w:val="000000"/>
                <w:rtl w:val="0"/>
              </w:rPr>
              <w:t xml:space="preserve">U-Net^2</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0.99</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spacing w:before="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0.72</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spacing w:before="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0.60</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spacing w:before="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0.71</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0.73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spacing w:before="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0.75</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spacing w:before="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44.040 M</w:t>
            </w:r>
          </w:p>
        </w:tc>
      </w:tr>
    </w:tbl>
    <w:p w:rsidR="00000000" w:rsidDel="00000000" w:rsidP="00000000" w:rsidRDefault="00000000" w:rsidRPr="00000000" w14:paraId="00000044">
      <w:pPr>
        <w:keepNext w:val="1"/>
        <w:spacing w:after="200" w:before="0" w:line="240" w:lineRule="auto"/>
        <w:rPr>
          <w:rFonts w:ascii="Times New Roman" w:cs="Times New Roman" w:eastAsia="Times New Roman" w:hAnsi="Times New Roman"/>
          <w:i w:val="1"/>
          <w:color w:val="1f497d"/>
          <w:sz w:val="18"/>
          <w:szCs w:val="18"/>
        </w:rPr>
      </w:pPr>
      <w:r w:rsidDel="00000000" w:rsidR="00000000" w:rsidRPr="00000000">
        <w:rPr>
          <w:rFonts w:ascii="Times New Roman" w:cs="Times New Roman" w:eastAsia="Times New Roman" w:hAnsi="Times New Roman"/>
          <w:i w:val="1"/>
          <w:color w:val="1f497d"/>
          <w:sz w:val="18"/>
          <w:szCs w:val="18"/>
          <w:u w:val="single"/>
          <w:rtl w:val="0"/>
        </w:rPr>
        <w:t xml:space="preserve">Supplementary Table S5</w:t>
      </w:r>
      <w:r w:rsidDel="00000000" w:rsidR="00000000" w:rsidRPr="00000000">
        <w:rPr>
          <w:rFonts w:ascii="Times New Roman" w:cs="Times New Roman" w:eastAsia="Times New Roman" w:hAnsi="Times New Roman"/>
          <w:i w:val="1"/>
          <w:color w:val="1f497d"/>
          <w:sz w:val="18"/>
          <w:szCs w:val="18"/>
          <w:rtl w:val="0"/>
        </w:rPr>
        <w:t xml:space="preserve">. Model evaluation using the Jaccard index, also referred as Intersection over Union (IoU). Three models were evaluated, based on the U-Net architecture. The performance metric IoU is reported for all five segmentation classes. This table  reports the number of trainable parameters (weights and biases) for each of the models, in terms of millions (M) of parameters.</w:t>
      </w:r>
    </w:p>
    <w:p w:rsidR="00000000" w:rsidDel="00000000" w:rsidP="00000000" w:rsidRDefault="00000000" w:rsidRPr="00000000" w14:paraId="00000045">
      <w:pPr>
        <w:spacing w:before="0" w:line="240" w:lineRule="auto"/>
        <w:rPr>
          <w:rFonts w:ascii="Times New Roman" w:cs="Times New Roman" w:eastAsia="Times New Roman" w:hAnsi="Times New Roman"/>
          <w:color w:val="000000"/>
          <w:sz w:val="24"/>
          <w:szCs w:val="24"/>
        </w:rPr>
      </w:pPr>
      <w:r w:rsidDel="00000000" w:rsidR="00000000" w:rsidRPr="00000000">
        <w:rPr>
          <w:rtl w:val="0"/>
        </w:rPr>
      </w:r>
    </w:p>
    <w:tbl>
      <w:tblPr>
        <w:tblStyle w:val="Table3"/>
        <w:tblW w:w="4710.0" w:type="dxa"/>
        <w:jc w:val="left"/>
        <w:tblInd w:w="-108.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4A0"/>
      </w:tblPr>
      <w:tblGrid>
        <w:gridCol w:w="1605"/>
        <w:gridCol w:w="1425"/>
        <w:gridCol w:w="1680"/>
        <w:tblGridChange w:id="0">
          <w:tblGrid>
            <w:gridCol w:w="1605"/>
            <w:gridCol w:w="1425"/>
            <w:gridCol w:w="1680"/>
          </w:tblGrid>
        </w:tblGridChange>
      </w:tblGrid>
      <w:tr>
        <w:trPr>
          <w:cantSplit w:val="0"/>
          <w:tblHeader w:val="0"/>
        </w:trPr>
        <w:tc>
          <w:tcPr>
            <w:shd w:fill="bfbfbf" w:val="clear"/>
          </w:tcPr>
          <w:p w:rsidR="00000000" w:rsidDel="00000000" w:rsidP="00000000" w:rsidRDefault="00000000" w:rsidRPr="00000000" w14:paraId="00000046">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Filename</w:t>
            </w:r>
          </w:p>
        </w:tc>
        <w:tc>
          <w:tcPr>
            <w:shd w:fill="bfbfbf" w:val="clear"/>
          </w:tcPr>
          <w:p w:rsidR="00000000" w:rsidDel="00000000" w:rsidP="00000000" w:rsidRDefault="00000000" w:rsidRPr="00000000" w14:paraId="00000047">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Treatment</w:t>
            </w:r>
          </w:p>
        </w:tc>
        <w:tc>
          <w:tcPr>
            <w:shd w:fill="bfbfbf" w:val="clear"/>
          </w:tcPr>
          <w:p w:rsidR="00000000" w:rsidDel="00000000" w:rsidP="00000000" w:rsidRDefault="00000000" w:rsidRPr="00000000" w14:paraId="00000048">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Plant line</w:t>
            </w:r>
          </w:p>
        </w:tc>
      </w:tr>
      <w:tr>
        <w:trPr>
          <w:cantSplit w:val="0"/>
          <w:tblHeader w:val="0"/>
        </w:trPr>
        <w:tc>
          <w:tcPr>
            <w:shd w:fill="auto" w:val="clear"/>
          </w:tcPr>
          <w:p w:rsidR="00000000" w:rsidDel="00000000" w:rsidP="00000000" w:rsidRDefault="00000000" w:rsidRPr="00000000" w14:paraId="00000049">
            <w:pPr>
              <w:spacing w:before="0" w:lineRule="auto"/>
              <w:rPr>
                <w:rFonts w:ascii="Times New Roman" w:cs="Times New Roman" w:eastAsia="Times New Roman" w:hAnsi="Times New Roman"/>
                <w:b w:val="0"/>
                <w:color w:val="000000"/>
                <w:sz w:val="24"/>
                <w:szCs w:val="24"/>
              </w:rPr>
            </w:pPr>
            <w:r w:rsidDel="00000000" w:rsidR="00000000" w:rsidRPr="00000000">
              <w:rPr>
                <w:rFonts w:ascii="Times New Roman" w:cs="Times New Roman" w:eastAsia="Times New Roman" w:hAnsi="Times New Roman"/>
                <w:b w:val="0"/>
                <w:color w:val="000000"/>
                <w:sz w:val="24"/>
                <w:szCs w:val="24"/>
                <w:rtl w:val="0"/>
              </w:rPr>
              <w:t xml:space="preserve">Image 1</w:t>
            </w:r>
          </w:p>
        </w:tc>
        <w:tc>
          <w:tcPr>
            <w:shd w:fill="auto" w:val="clear"/>
          </w:tcPr>
          <w:p w:rsidR="00000000" w:rsidDel="00000000" w:rsidP="00000000" w:rsidRDefault="00000000" w:rsidRPr="00000000" w14:paraId="0000004A">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Mock/Water</w:t>
            </w:r>
          </w:p>
        </w:tc>
        <w:tc>
          <w:tcPr>
            <w:shd w:fill="auto" w:val="clear"/>
          </w:tcPr>
          <w:p w:rsidR="00000000" w:rsidDel="00000000" w:rsidP="00000000" w:rsidRDefault="00000000" w:rsidRPr="00000000" w14:paraId="0000004B">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bri1-301</w:t>
            </w:r>
          </w:p>
        </w:tc>
      </w:tr>
      <w:tr>
        <w:trPr>
          <w:cantSplit w:val="0"/>
          <w:tblHeader w:val="0"/>
        </w:trPr>
        <w:tc>
          <w:tcPr/>
          <w:p w:rsidR="00000000" w:rsidDel="00000000" w:rsidP="00000000" w:rsidRDefault="00000000" w:rsidRPr="00000000" w14:paraId="0000004C">
            <w:pPr>
              <w:spacing w:before="0" w:lineRule="auto"/>
              <w:rPr>
                <w:rFonts w:ascii="Times New Roman" w:cs="Times New Roman" w:eastAsia="Times New Roman" w:hAnsi="Times New Roman"/>
                <w:b w:val="0"/>
                <w:color w:val="000000"/>
                <w:sz w:val="24"/>
                <w:szCs w:val="24"/>
              </w:rPr>
            </w:pPr>
            <w:r w:rsidDel="00000000" w:rsidR="00000000" w:rsidRPr="00000000">
              <w:rPr>
                <w:rFonts w:ascii="Times New Roman" w:cs="Times New Roman" w:eastAsia="Times New Roman" w:hAnsi="Times New Roman"/>
                <w:b w:val="0"/>
                <w:color w:val="000000"/>
                <w:sz w:val="24"/>
                <w:szCs w:val="24"/>
                <w:rtl w:val="0"/>
              </w:rPr>
              <w:t xml:space="preserve">Image 2</w:t>
            </w:r>
          </w:p>
        </w:tc>
        <w:tc>
          <w:tcPr/>
          <w:p w:rsidR="00000000" w:rsidDel="00000000" w:rsidP="00000000" w:rsidRDefault="00000000" w:rsidRPr="00000000" w14:paraId="0000004D">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Brassinolide</w:t>
            </w:r>
          </w:p>
        </w:tc>
        <w:tc>
          <w:tcPr>
            <w:shd w:fill="auto" w:val="clear"/>
          </w:tcPr>
          <w:p w:rsidR="00000000" w:rsidDel="00000000" w:rsidP="00000000" w:rsidRDefault="00000000" w:rsidRPr="00000000" w14:paraId="0000004E">
            <w:pPr>
              <w:spacing w:before="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bri1-301</w:t>
            </w:r>
          </w:p>
        </w:tc>
      </w:tr>
    </w:tbl>
    <w:p w:rsidR="00000000" w:rsidDel="00000000" w:rsidP="00000000" w:rsidRDefault="00000000" w:rsidRPr="00000000" w14:paraId="0000004F">
      <w:pPr>
        <w:keepNext w:val="1"/>
        <w:spacing w:after="200" w:before="0" w:line="240" w:lineRule="auto"/>
        <w:rPr>
          <w:rFonts w:ascii="Times New Roman" w:cs="Times New Roman" w:eastAsia="Times New Roman" w:hAnsi="Times New Roman"/>
          <w:i w:val="1"/>
          <w:color w:val="1f497d"/>
          <w:sz w:val="18"/>
          <w:szCs w:val="18"/>
        </w:rPr>
      </w:pPr>
      <w:r w:rsidDel="00000000" w:rsidR="00000000" w:rsidRPr="00000000">
        <w:rPr>
          <w:rFonts w:ascii="Times New Roman" w:cs="Times New Roman" w:eastAsia="Times New Roman" w:hAnsi="Times New Roman"/>
          <w:i w:val="1"/>
          <w:color w:val="1f497d"/>
          <w:sz w:val="18"/>
          <w:szCs w:val="18"/>
          <w:u w:val="single"/>
          <w:rtl w:val="0"/>
        </w:rPr>
        <w:t xml:space="preserve">Supplementary Table S6</w:t>
      </w:r>
      <w:r w:rsidDel="00000000" w:rsidR="00000000" w:rsidRPr="00000000">
        <w:rPr>
          <w:rFonts w:ascii="Times New Roman" w:cs="Times New Roman" w:eastAsia="Times New Roman" w:hAnsi="Times New Roman"/>
          <w:i w:val="1"/>
          <w:color w:val="1f497d"/>
          <w:sz w:val="18"/>
          <w:szCs w:val="18"/>
          <w:rtl w:val="0"/>
        </w:rPr>
        <w:t xml:space="preserve">. Exemplary metadata input table, for two different images of bri1-301 mutants, one treated with water, the other with Brassinolide.</w:t>
      </w:r>
    </w:p>
    <w:p w:rsidR="00000000" w:rsidDel="00000000" w:rsidP="00000000" w:rsidRDefault="00000000" w:rsidRPr="00000000" w14:paraId="00000050">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Trebuchet MS"/>
  <w:font w:name="Times New Roman"/>
  <w:font w:name="Source Code Pr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swald">
    <w:embedRegular w:fontKey="{00000000-0000-0000-0000-000000000000}" r:id="rId5" w:subsetted="0"/>
    <w:embedBold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Source Code Pro" w:cs="Source Code Pro" w:eastAsia="Source Code Pro" w:hAnsi="Source Code Pro"/>
        <w:color w:val="424242"/>
        <w:lang w:val="en"/>
      </w:rPr>
    </w:rPrDefault>
    <w:pPrDefault>
      <w:pPr>
        <w:spacing w:before="200" w:line="36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before="480" w:line="240" w:lineRule="auto"/>
    </w:pPr>
    <w:rPr>
      <w:rFonts w:ascii="Oswald" w:cs="Oswald" w:eastAsia="Oswald" w:hAnsi="Oswald"/>
      <w:color w:val="424242"/>
      <w:sz w:val="28"/>
      <w:szCs w:val="28"/>
    </w:rPr>
  </w:style>
  <w:style w:type="paragraph" w:styleId="Heading2">
    <w:name w:val="heading 2"/>
    <w:basedOn w:val="Normal"/>
    <w:next w:val="Normal"/>
    <w:pPr>
      <w:keepNext w:val="1"/>
      <w:keepLines w:val="1"/>
      <w:pageBreakBefore w:val="0"/>
      <w:spacing w:before="320" w:line="240" w:lineRule="auto"/>
    </w:pPr>
    <w:rPr>
      <w:rFonts w:ascii="Source Code Pro" w:cs="Source Code Pro" w:eastAsia="Source Code Pro" w:hAnsi="Source Code Pro"/>
      <w:b w:val="1"/>
      <w:color w:val="e31c60"/>
    </w:rPr>
  </w:style>
  <w:style w:type="paragraph" w:styleId="Heading3">
    <w:name w:val="heading 3"/>
    <w:basedOn w:val="Normal"/>
    <w:next w:val="Normal"/>
    <w:pPr>
      <w:keepNext w:val="1"/>
      <w:keepLines w:val="1"/>
      <w:pageBreakBefore w:val="0"/>
      <w:spacing w:before="320" w:line="360" w:lineRule="auto"/>
    </w:pPr>
    <w:rPr>
      <w:rFonts w:ascii="Oswald" w:cs="Oswald" w:eastAsia="Oswald" w:hAnsi="Oswald"/>
      <w:color w:val="424242"/>
      <w:sz w:val="24"/>
      <w:szCs w:val="24"/>
    </w:rPr>
  </w:style>
  <w:style w:type="paragraph" w:styleId="Heading4">
    <w:name w:val="heading 4"/>
    <w:basedOn w:val="Normal"/>
    <w:next w:val="Normal"/>
    <w:pPr>
      <w:keepNext w:val="1"/>
      <w:keepLines w:val="1"/>
      <w:pageBreakBefore w:val="0"/>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pageBreakBefore w:val="0"/>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pageBreakBefore w:val="0"/>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keepNext w:val="1"/>
      <w:keepLines w:val="1"/>
      <w:pageBreakBefore w:val="0"/>
      <w:spacing w:before="0" w:line="240" w:lineRule="auto"/>
    </w:pPr>
    <w:rPr>
      <w:rFonts w:ascii="Oswald" w:cs="Oswald" w:eastAsia="Oswald" w:hAnsi="Oswald"/>
      <w:sz w:val="72"/>
      <w:szCs w:val="72"/>
    </w:rPr>
  </w:style>
  <w:style w:type="paragraph" w:styleId="Subtitle">
    <w:name w:val="Subtitle"/>
    <w:basedOn w:val="Normal"/>
    <w:next w:val="Normal"/>
    <w:pPr>
      <w:keepNext w:val="1"/>
      <w:keepLines w:val="1"/>
      <w:pageBreakBefore w:val="0"/>
      <w:spacing w:before="120" w:lineRule="auto"/>
    </w:pPr>
    <w:rPr>
      <w:rFonts w:ascii="Source Code Pro" w:cs="Source Code Pro" w:eastAsia="Source Code Pro" w:hAnsi="Source Code Pro"/>
      <w:b w:val="1"/>
      <w:color w:val="e31c60"/>
    </w:rPr>
  </w:style>
  <w:style w:type="table" w:styleId="Table1">
    <w:basedOn w:val="TableNormal"/>
    <w:pPr>
      <w:spacing w:line="240" w:lineRule="auto"/>
    </w:pPr>
    <w:tblPr>
      <w:tblStyleRowBandSize w:val="1"/>
      <w:tblStyleColBandSize w:val="1"/>
      <w:tblCellMar>
        <w:top w:w="0.0" w:type="dxa"/>
        <w:left w:w="108.0" w:type="dxa"/>
        <w:bottom w:w="0.0" w:type="dxa"/>
        <w:right w:w="108.0" w:type="dxa"/>
      </w:tblCellMar>
    </w:tblPr>
    <w:tblStylePr w:type="band1Horz">
      <w:tcPr>
        <w:shd w:fill="f2f2f2" w:val="clear"/>
      </w:tcPr>
    </w:tblStylePr>
    <w:tblStylePr w:type="band1Vert">
      <w:tcPr>
        <w:shd w:fill="f2f2f2" w:val="clear"/>
      </w:tcPr>
    </w:tblStylePr>
    <w:tblStylePr w:type="firstCol">
      <w:rPr>
        <w:b w:val="1"/>
      </w:rPr>
    </w:tblStylePr>
    <w:tblStylePr w:type="firstRow">
      <w:rPr>
        <w:b w:val="1"/>
      </w:rPr>
    </w:tblStylePr>
    <w:tblStylePr w:type="lastCol">
      <w:rPr>
        <w:b w:val="1"/>
      </w:rPr>
    </w:tblStylePr>
    <w:tblStylePr w:type="lastRow">
      <w:rPr>
        <w:b w:val="1"/>
      </w:rPr>
    </w:tblStylePr>
  </w:style>
  <w:style w:type="table" w:styleId="Table2">
    <w:basedOn w:val="TableNormal"/>
    <w:pPr>
      <w:spacing w:line="240" w:lineRule="auto"/>
    </w:pPr>
    <w:tblPr>
      <w:tblStyleRowBandSize w:val="1"/>
      <w:tblStyleColBandSize w:val="1"/>
      <w:tblCellMar>
        <w:top w:w="0.0" w:type="dxa"/>
        <w:left w:w="108.0" w:type="dxa"/>
        <w:bottom w:w="0.0" w:type="dxa"/>
        <w:right w:w="108.0" w:type="dxa"/>
      </w:tblCellMar>
    </w:tblPr>
    <w:tblStylePr w:type="band1Horz">
      <w:tcPr>
        <w:shd w:fill="f2f2f2" w:val="clear"/>
      </w:tcPr>
    </w:tblStylePr>
    <w:tblStylePr w:type="band1Vert">
      <w:tcPr>
        <w:shd w:fill="f2f2f2" w:val="clear"/>
      </w:tcPr>
    </w:tblStylePr>
    <w:tblStylePr w:type="firstCol">
      <w:rPr>
        <w:b w:val="1"/>
      </w:rPr>
    </w:tblStylePr>
    <w:tblStylePr w:type="firstRow">
      <w:rPr>
        <w:b w:val="1"/>
      </w:rPr>
    </w:tblStylePr>
    <w:tblStylePr w:type="lastCol">
      <w:rPr>
        <w:b w:val="1"/>
      </w:rPr>
    </w:tblStylePr>
    <w:tblStylePr w:type="lastRow">
      <w:rPr>
        <w:b w:val="1"/>
      </w:rPr>
    </w:tblStylePr>
  </w:style>
  <w:style w:type="table" w:styleId="Table3">
    <w:basedOn w:val="TableNormal"/>
    <w:pPr>
      <w:spacing w:line="240" w:lineRule="auto"/>
    </w:pPr>
    <w:tblPr>
      <w:tblStyleRowBandSize w:val="1"/>
      <w:tblStyleColBandSize w:val="1"/>
      <w:tblCellMar>
        <w:top w:w="0.0" w:type="dxa"/>
        <w:left w:w="108.0" w:type="dxa"/>
        <w:bottom w:w="0.0" w:type="dxa"/>
        <w:right w:w="108.0" w:type="dxa"/>
      </w:tblCellMar>
    </w:tblPr>
    <w:tblStylePr w:type="band1Horz">
      <w:tcPr>
        <w:shd w:fill="f2f2f2" w:val="clear"/>
      </w:tcPr>
    </w:tblStylePr>
    <w:tblStylePr w:type="band1Vert">
      <w:tcPr>
        <w:shd w:fill="f2f2f2" w:val="clear"/>
      </w:tcPr>
    </w:tblStylePr>
    <w:tblStylePr w:type="firstCol">
      <w:rPr>
        <w:b w:val="1"/>
      </w:rPr>
    </w:tblStylePr>
    <w:tblStylePr w:type="firstRow">
      <w:rPr>
        <w:b w:val="1"/>
      </w:rPr>
    </w:tblStylePr>
    <w:tblStylePr w:type="lastCol">
      <w:rPr>
        <w:b w:val="1"/>
      </w:rPr>
    </w:tblStylePr>
    <w:tblStylePr w:type="lastRow">
      <w:rPr>
        <w:b w:val="1"/>
      </w:rPr>
    </w:tblStyle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SourceCodePro-regular.ttf"/><Relationship Id="rId2" Type="http://schemas.openxmlformats.org/officeDocument/2006/relationships/font" Target="fonts/SourceCodePro-bold.ttf"/><Relationship Id="rId3" Type="http://schemas.openxmlformats.org/officeDocument/2006/relationships/font" Target="fonts/SourceCodePro-italic.ttf"/><Relationship Id="rId4" Type="http://schemas.openxmlformats.org/officeDocument/2006/relationships/font" Target="fonts/SourceCodePro-boldItalic.ttf"/><Relationship Id="rId5" Type="http://schemas.openxmlformats.org/officeDocument/2006/relationships/font" Target="fonts/Oswald-regular.ttf"/><Relationship Id="rId6" Type="http://schemas.openxmlformats.org/officeDocument/2006/relationships/font" Target="fonts/Oswald-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