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2B40" w14:textId="4F166455" w:rsidR="00FE7985" w:rsidRDefault="00FE7985" w:rsidP="00FE7985">
      <w:pPr>
        <w:rPr>
          <w:rFonts w:ascii="Times New Roman" w:hAnsi="Times New Roman" w:cs="Times New Roman"/>
          <w:sz w:val="24"/>
          <w:szCs w:val="24"/>
        </w:rPr>
      </w:pPr>
      <w:r w:rsidRPr="00FE7985">
        <w:rPr>
          <w:rFonts w:ascii="Times New Roman" w:hAnsi="Times New Roman" w:cs="Times New Roman"/>
          <w:b/>
        </w:rPr>
        <w:t>Supplemental Table 1.</w:t>
      </w:r>
      <w:r w:rsidRPr="00FE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ICD-10-CM codes for respiratory tract diagnoses.</w:t>
      </w:r>
      <w:r w:rsidR="00604D21" w:rsidRPr="00604D2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710"/>
      </w:tblGrid>
      <w:tr w:rsidR="00FE7985" w14:paraId="3AFCF03D" w14:textId="77777777" w:rsidTr="00013679">
        <w:tc>
          <w:tcPr>
            <w:tcW w:w="4788" w:type="dxa"/>
            <w:shd w:val="clear" w:color="auto" w:fill="BFBFBF" w:themeFill="background1" w:themeFillShade="BF"/>
          </w:tcPr>
          <w:p w14:paraId="37CD2B71" w14:textId="77777777" w:rsidR="00FE7985" w:rsidRPr="001C604C" w:rsidRDefault="00FE7985" w:rsidP="00013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04C">
              <w:rPr>
                <w:rFonts w:ascii="Times New Roman" w:hAnsi="Times New Roman" w:cs="Times New Roman"/>
                <w:b/>
                <w:sz w:val="20"/>
                <w:szCs w:val="20"/>
              </w:rPr>
              <w:t>Tier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14:paraId="55085049" w14:textId="77777777" w:rsidR="00FE7985" w:rsidRPr="001C604C" w:rsidRDefault="00FE7985" w:rsidP="00013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04C">
              <w:rPr>
                <w:rFonts w:ascii="Times New Roman" w:hAnsi="Times New Roman" w:cs="Times New Roman"/>
                <w:b/>
                <w:sz w:val="20"/>
                <w:szCs w:val="20"/>
              </w:rPr>
              <w:t>ICD-10 Diagnostic Codes</w:t>
            </w:r>
          </w:p>
        </w:tc>
      </w:tr>
      <w:tr w:rsidR="00FE7985" w14:paraId="1494DA9C" w14:textId="77777777" w:rsidTr="00013679">
        <w:tc>
          <w:tcPr>
            <w:tcW w:w="4788" w:type="dxa"/>
          </w:tcPr>
          <w:p w14:paraId="14992755" w14:textId="77777777" w:rsidR="00FE7985" w:rsidRPr="007962A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Tier 1 (antibiotics almost always indicated)</w:t>
            </w:r>
          </w:p>
        </w:tc>
        <w:tc>
          <w:tcPr>
            <w:tcW w:w="4788" w:type="dxa"/>
          </w:tcPr>
          <w:p w14:paraId="5286B32E" w14:textId="77777777" w:rsidR="00FE7985" w:rsidRPr="0094797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A20.2 (pneumonic plague); A21.2 (pulmonary tularemia); A22.1 (pulmonary anthrax); A36.0, A36.1 (diphtheria); A37 (whooping cough); A48.1 (Legionnaire’s disease); A70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Chlamydia psittaci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pneumonia); D57.01, D57.211, D57.411, D57.811 (acute chest syndrome); H70 (mastoiditis); J02.0, J03.0 (streptococcal pharyngitis/tonsillitis); J13-J18 (bacterial pneumonia); J36 (peritonsillar abscess); J39.0 (retropharyngeal/parapharyngeal abscess); J39.1 (abscess of pharynx); J85 (lung abscess); J86 (pyothorax); J95.02 (tracheostomy infection); J95.851 (ventilator-associated pneumonia); J98.51 (mediastinitis)</w:t>
            </w:r>
          </w:p>
        </w:tc>
      </w:tr>
      <w:tr w:rsidR="00FE7985" w14:paraId="05664856" w14:textId="77777777" w:rsidTr="00013679">
        <w:tc>
          <w:tcPr>
            <w:tcW w:w="4788" w:type="dxa"/>
          </w:tcPr>
          <w:p w14:paraId="2D933F8E" w14:textId="77777777" w:rsidR="00FE7985" w:rsidRPr="007962A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Tier 2 (antibiotics sometimes indicated)</w:t>
            </w:r>
          </w:p>
        </w:tc>
        <w:tc>
          <w:tcPr>
            <w:tcW w:w="4788" w:type="dxa"/>
          </w:tcPr>
          <w:p w14:paraId="04F9FCDC" w14:textId="77777777" w:rsidR="00FE7985" w:rsidRPr="007962A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A38 (scarlet fever); H66, H67 (otitis media); J01 (acute sinusitis); J02.8, J02.9 (acute pharyngitis); J03.8, J03.9 (acute tonsillitis); J31.2 (chronic tonsillitis); J32 (chronic sinusitis); J44.0, J44.1 (chronic obstructive pulmonary disease with acute exacerbation) J47.0, J47.1 (bronchiectasis with acute exacerbation); O29.01, O74.0, O89.0 (aspiration pneumonitis)</w:t>
            </w:r>
          </w:p>
        </w:tc>
      </w:tr>
      <w:tr w:rsidR="00FE7985" w14:paraId="26E4CE6B" w14:textId="77777777" w:rsidTr="00013679">
        <w:tc>
          <w:tcPr>
            <w:tcW w:w="4788" w:type="dxa"/>
          </w:tcPr>
          <w:p w14:paraId="3FF1B880" w14:textId="77777777" w:rsidR="00FE7985" w:rsidRPr="007962A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Tier 3 (antibiotics rarely indicated)</w:t>
            </w:r>
          </w:p>
        </w:tc>
        <w:tc>
          <w:tcPr>
            <w:tcW w:w="4788" w:type="dxa"/>
          </w:tcPr>
          <w:p w14:paraId="373FD540" w14:textId="77777777" w:rsidR="00FE7985" w:rsidRPr="007962A7" w:rsidRDefault="00FE7985" w:rsidP="0001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B01.2, B05.2, B25.0, J12 (viral pneumonia/pneumonitis); B34.0, B34.2, B97.0, B97.21, B97.29, B97.4, B97.81, B97.89 (viral infection); B44.8 (aspergillosis); D86.0, D86.2 (sarcoidosis), H65 (serous/chronic otitis media); H68, H69 (Eustachian tube disorder); J00 (acute nasopharyngitis), J04 (acute laryngotracheitis), J05 (acute obstructive laryngitis); J06 (acute upper respiratory infection); J09-J11 (influenza); J20-J22 (acute bronchitis/bronchiolitis); J30, J31.0 (rhinitis); J31.1 (chronic nasopharyngitis); J33, J34 (disorders of nose and sinuses), J35 (disorders of tonsils); J37, J38, J39.2-J39.9 (disorders of larynx/pharynx/trachea); J40 (bronchitis unspecified); J41, J42 (chronic bronchitis); J43, J44.9 (chronic obstructive pulmonary disease); J45 (asthma); J47.9 (bronchiectasis without exacerbation), J60-J66 (pneumoconiosis); J67-J70 (pneumonitis); J80 (acute respiratory distress syndrome); J81 (pulmonary edema); J82 (pulmonary eosinophilia); J84 (pulmonary fibrosis); J90-J94 (disorders of pleura); J95 except J95.02 and J95.811 (respiratory complications following surgery); J96 (acute respiratory failure); J98 except J98.51, J99 (other respiratory disorders); M34.81 (nasal mucositis); R04.2, R04.8, R04.9 (bleeding in respiratory tract); R05 (cough); R06 (abnormalities of breathing); R07.0 (throat pain); R09.0 (hypoxia); R09.1 (pleurisy); R09.3 (abnormal sputum); R09.81 (nasal congestion); R09.82 (post-nasal drip); T78.4 (allergy)</w:t>
            </w:r>
          </w:p>
        </w:tc>
      </w:tr>
    </w:tbl>
    <w:p w14:paraId="32CFB45E" w14:textId="3D1CBF72" w:rsidR="00412509" w:rsidRPr="00604D21" w:rsidRDefault="00FE7985" w:rsidP="003B7944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</w:rPr>
      </w:pPr>
      <w:r w:rsidRPr="00604D21">
        <w:rPr>
          <w:rFonts w:ascii="Times New Roman" w:hAnsi="Times New Roman" w:cs="Times New Roman"/>
        </w:rPr>
        <w:lastRenderedPageBreak/>
        <w:t>Adapted from: Fleming-Dutra KE, Hersh AL, Shapiro DJ, et al. Prevalence of inappropriate antibiotic prescriptions among US ambulatory care visits, 2010-2011. JAMA. 2016;315(17):1864-1873.</w:t>
      </w:r>
    </w:p>
    <w:p w14:paraId="6547374A" w14:textId="77777777" w:rsidR="00412509" w:rsidRDefault="0041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20F41C" w14:textId="77777777" w:rsidR="00FE7985" w:rsidRDefault="00412509" w:rsidP="004D4BB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Supplemental Table 2</w:t>
      </w:r>
      <w:r>
        <w:rPr>
          <w:rFonts w:ascii="Times New Roman" w:hAnsi="Times New Roman" w:cs="Times New Roman"/>
        </w:rPr>
        <w:t>. Criteria used to determine appropriateness of antibiotic prescribing in random cohort by manual review of electronic health record.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12509" w14:paraId="4DDE34AA" w14:textId="77777777" w:rsidTr="00AF1149">
        <w:tc>
          <w:tcPr>
            <w:tcW w:w="2155" w:type="dxa"/>
            <w:shd w:val="clear" w:color="auto" w:fill="BFBFBF" w:themeFill="background1" w:themeFillShade="BF"/>
          </w:tcPr>
          <w:p w14:paraId="2341DB65" w14:textId="77777777" w:rsidR="00412509" w:rsidRPr="00412509" w:rsidRDefault="00412509" w:rsidP="004D4BB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Diagnosis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14:paraId="308A8A08" w14:textId="77777777" w:rsidR="00412509" w:rsidRPr="00412509" w:rsidRDefault="00412509" w:rsidP="004D4BB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Criteria</w:t>
            </w:r>
          </w:p>
        </w:tc>
      </w:tr>
      <w:tr w:rsidR="00604D21" w14:paraId="2DD75D70" w14:textId="77777777" w:rsidTr="00412509">
        <w:tc>
          <w:tcPr>
            <w:tcW w:w="2155" w:type="dxa"/>
          </w:tcPr>
          <w:p w14:paraId="3189AEF4" w14:textId="1D1DC637" w:rsidR="00604D21" w:rsidRDefault="00604D21" w:rsidP="00604D2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Pneumonia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195" w:type="dxa"/>
          </w:tcPr>
          <w:p w14:paraId="0D3EF3A7" w14:textId="77777777" w:rsidR="00604D21" w:rsidRDefault="00604D21" w:rsidP="00604D21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of the following: fever; cough; pleuritic pain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0A099CF7" w14:textId="43160D48" w:rsidR="00604D21" w:rsidRDefault="00604D21" w:rsidP="00604D2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Radiographic evidence of pneumonia </w:t>
            </w:r>
            <w:r>
              <w:rPr>
                <w:rFonts w:ascii="Times New Roman" w:hAnsi="Times New Roman" w:cs="Times New Roman"/>
                <w:b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compelling reason(s) to make clinical diagnosis of pneumonia and avoid chest radiography</w:t>
            </w:r>
          </w:p>
        </w:tc>
      </w:tr>
      <w:tr w:rsidR="00604D21" w14:paraId="4289C7C8" w14:textId="77777777" w:rsidTr="00412509">
        <w:tc>
          <w:tcPr>
            <w:tcW w:w="2155" w:type="dxa"/>
          </w:tcPr>
          <w:p w14:paraId="60973CD7" w14:textId="20A96AAF" w:rsidR="00604D21" w:rsidRDefault="00604D21" w:rsidP="00604D2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Sinusitis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195" w:type="dxa"/>
          </w:tcPr>
          <w:p w14:paraId="2505F134" w14:textId="7DE0E866" w:rsidR="00604D21" w:rsidRPr="00624EB2" w:rsidRDefault="00604D21" w:rsidP="00604D2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of the following: purulent nasal/sinus drainage; f</w:t>
            </w:r>
            <w:r w:rsidRPr="00624EB2">
              <w:rPr>
                <w:rFonts w:ascii="Times New Roman" w:hAnsi="Times New Roman" w:cs="Times New Roman"/>
              </w:rPr>
              <w:t>acial/sinus pain</w:t>
            </w:r>
            <w:r w:rsidRPr="00624EB2">
              <w:rPr>
                <w:rFonts w:ascii="Times New Roman" w:hAnsi="Times New Roman" w:cs="Times New Roman"/>
              </w:rPr>
              <w:br/>
            </w:r>
            <w:r w:rsidRPr="00624EB2">
              <w:rPr>
                <w:rFonts w:ascii="Times New Roman" w:hAnsi="Times New Roman" w:cs="Times New Roman"/>
                <w:b/>
              </w:rPr>
              <w:t>AND</w:t>
            </w:r>
          </w:p>
          <w:p w14:paraId="70031D59" w14:textId="77777777" w:rsidR="00604D21" w:rsidRPr="001B7E82" w:rsidRDefault="00604D21" w:rsidP="00604D21">
            <w:pPr>
              <w:pStyle w:val="ListParagraph"/>
              <w:numPr>
                <w:ilvl w:val="0"/>
                <w:numId w:val="2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of the following: persistent symptoms or signs lasting ≥10 days without improvement; severe symptoms such as fever &gt;39°C (102°F) that last for ≥3 days; symptom/sign that could indicate complication such as preseptal/orbital cellulitis; double worsening (symptoms initially improved but then became worse)</w:t>
            </w:r>
          </w:p>
        </w:tc>
      </w:tr>
      <w:tr w:rsidR="00604D21" w14:paraId="4AE1DCFB" w14:textId="77777777" w:rsidTr="00412509">
        <w:tc>
          <w:tcPr>
            <w:tcW w:w="2155" w:type="dxa"/>
          </w:tcPr>
          <w:p w14:paraId="3AC22597" w14:textId="06726549" w:rsidR="00604D21" w:rsidRDefault="00604D21" w:rsidP="003B794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Pharyngitis</w:t>
            </w:r>
            <w:r w:rsidR="003B79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195" w:type="dxa"/>
          </w:tcPr>
          <w:p w14:paraId="4528D4D7" w14:textId="77777777" w:rsidR="00604D21" w:rsidRDefault="00604D21" w:rsidP="00604D21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Sore throat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4A7A24C8" w14:textId="77777777" w:rsidR="00604D21" w:rsidRPr="001B7E82" w:rsidRDefault="00604D21" w:rsidP="00604D21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Positive rapid test or culture for group A </w:t>
            </w:r>
            <w:r>
              <w:rPr>
                <w:rFonts w:ascii="Times New Roman" w:hAnsi="Times New Roman" w:cs="Times New Roman"/>
                <w:i/>
              </w:rPr>
              <w:t>Streptococcus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OR </w:t>
            </w:r>
            <w:r>
              <w:rPr>
                <w:rFonts w:ascii="Times New Roman" w:hAnsi="Times New Roman" w:cs="Times New Roman"/>
              </w:rPr>
              <w:t>if testing not able to be performed at least 3 of the following: tonsillar exudates, tender anterior cervical lymphadenopathy, fever, absence of cough</w:t>
            </w:r>
          </w:p>
        </w:tc>
      </w:tr>
      <w:tr w:rsidR="00F91D39" w14:paraId="5413BD85" w14:textId="77777777" w:rsidTr="00412509">
        <w:tc>
          <w:tcPr>
            <w:tcW w:w="2155" w:type="dxa"/>
          </w:tcPr>
          <w:p w14:paraId="55E7583B" w14:textId="6D1C4587" w:rsidR="00F91D39" w:rsidRDefault="00F91D39" w:rsidP="00F91D3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Otitis media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195" w:type="dxa"/>
          </w:tcPr>
          <w:p w14:paraId="242A2C7D" w14:textId="77777777" w:rsidR="00F91D39" w:rsidRDefault="00F91D39" w:rsidP="00F91D39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 pain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147B2A55" w14:textId="00F98ACF" w:rsidR="00F91D39" w:rsidRPr="001B7E82" w:rsidRDefault="00F91D39" w:rsidP="00F91D39">
            <w:pPr>
              <w:pStyle w:val="ListParagraph"/>
              <w:numPr>
                <w:ilvl w:val="0"/>
                <w:numId w:val="4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least one of the following: redness/erythema of tympanic membrane; bulging of tympanic membrane; symptoms/signs of severe </w:t>
            </w:r>
            <w:r>
              <w:rPr>
                <w:rFonts w:ascii="Times New Roman" w:hAnsi="Times New Roman" w:cs="Times New Roman"/>
              </w:rPr>
              <w:lastRenderedPageBreak/>
              <w:t>infection (fever, hearing loss, tenderness of mastoid bone, or purulence of ear canal)</w:t>
            </w:r>
          </w:p>
        </w:tc>
      </w:tr>
      <w:tr w:rsidR="00F91D39" w14:paraId="28404EE7" w14:textId="77777777" w:rsidTr="00412509">
        <w:tc>
          <w:tcPr>
            <w:tcW w:w="2155" w:type="dxa"/>
          </w:tcPr>
          <w:p w14:paraId="214AA40A" w14:textId="1558BF33" w:rsidR="00F91D39" w:rsidRDefault="00F91D39" w:rsidP="00F91D3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Pertussis</w:t>
            </w:r>
            <w:r w:rsidRPr="00604D21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195" w:type="dxa"/>
          </w:tcPr>
          <w:p w14:paraId="4783D99E" w14:textId="40CA1055" w:rsidR="00F91D39" w:rsidRPr="001B7E82" w:rsidRDefault="00F91D39" w:rsidP="00F91D39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least one of the following: cough ≥2 weeks with at least one qualifying symptom (paroxysms of coughing, post-tussive vomiting, inspiratory whoop, apnea); positive testing for </w:t>
            </w:r>
            <w:r>
              <w:rPr>
                <w:rFonts w:ascii="Times New Roman" w:hAnsi="Times New Roman" w:cs="Times New Roman"/>
                <w:i/>
              </w:rPr>
              <w:t>Bordetella pertussis</w:t>
            </w:r>
            <w:r>
              <w:rPr>
                <w:rFonts w:ascii="Times New Roman" w:hAnsi="Times New Roman" w:cs="Times New Roman"/>
              </w:rPr>
              <w:t xml:space="preserve"> (culture, polymerase chain reaction, serology)</w:t>
            </w:r>
          </w:p>
        </w:tc>
      </w:tr>
      <w:tr w:rsidR="00785AB0" w14:paraId="244667D2" w14:textId="77777777" w:rsidTr="00412509">
        <w:tc>
          <w:tcPr>
            <w:tcW w:w="2155" w:type="dxa"/>
          </w:tcPr>
          <w:p w14:paraId="461FB8DA" w14:textId="58A7C918" w:rsidR="00785AB0" w:rsidRDefault="00785AB0" w:rsidP="00785AB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Bronchitis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7195" w:type="dxa"/>
          </w:tcPr>
          <w:p w14:paraId="2FB7179E" w14:textId="77777777" w:rsidR="00785AB0" w:rsidRDefault="00785AB0" w:rsidP="00785AB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least one of the following: chronic obstructive pulmonary disease; bronchiectasis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1E11DA39" w14:textId="77777777" w:rsidR="00785AB0" w:rsidRDefault="00785AB0" w:rsidP="00785AB0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Flare of underlying condition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AND</w:t>
            </w:r>
          </w:p>
          <w:p w14:paraId="7EB5ECB2" w14:textId="2DED7DAC" w:rsidR="00785AB0" w:rsidRPr="00275D8F" w:rsidRDefault="00785AB0" w:rsidP="00785AB0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160"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cough with purulent sputum</w:t>
            </w:r>
          </w:p>
        </w:tc>
      </w:tr>
    </w:tbl>
    <w:p w14:paraId="3C09A035" w14:textId="60AD8409" w:rsidR="00412509" w:rsidRPr="00412509" w:rsidRDefault="00412509" w:rsidP="004D4BBA">
      <w:pPr>
        <w:spacing w:after="0" w:line="480" w:lineRule="auto"/>
        <w:rPr>
          <w:rFonts w:ascii="Times New Roman" w:hAnsi="Times New Roman" w:cs="Times New Roman"/>
        </w:rPr>
      </w:pPr>
    </w:p>
    <w:p w14:paraId="19F646C7" w14:textId="56F7D64E" w:rsidR="00604D21" w:rsidRDefault="00604D21" w:rsidP="00AF1149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Adapted from: </w:t>
      </w:r>
      <w:r w:rsidRPr="00AB4F6E">
        <w:rPr>
          <w:rFonts w:ascii="Times New Roman" w:hAnsi="Times New Roman" w:cs="Times New Roman"/>
          <w:noProof/>
        </w:rPr>
        <w:t xml:space="preserve">Mandell LA, Wunderink RG, Anzueto A, et al. Infectious Diseases Society of America/American Thoracic Society consensus guidelines on the management of community-acquired pneumonia in adults. </w:t>
      </w:r>
      <w:r w:rsidRPr="00AB4F6E">
        <w:rPr>
          <w:rFonts w:ascii="Times New Roman" w:hAnsi="Times New Roman" w:cs="Times New Roman"/>
          <w:i/>
          <w:noProof/>
        </w:rPr>
        <w:t xml:space="preserve">Clin Infect Dis </w:t>
      </w:r>
      <w:r w:rsidRPr="00AB4F6E">
        <w:rPr>
          <w:rFonts w:ascii="Times New Roman" w:hAnsi="Times New Roman" w:cs="Times New Roman"/>
          <w:noProof/>
        </w:rPr>
        <w:t>2007;44 Suppl 2:S27-72.</w:t>
      </w:r>
    </w:p>
    <w:p w14:paraId="1D0E6C1E" w14:textId="77777777" w:rsidR="00604D21" w:rsidRDefault="00604D21" w:rsidP="00AF1149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Adapted from: </w:t>
      </w:r>
      <w:r w:rsidRPr="00604D21">
        <w:rPr>
          <w:rFonts w:ascii="Times New Roman" w:hAnsi="Times New Roman" w:cs="Times New Roman"/>
          <w:noProof/>
        </w:rPr>
        <w:t xml:space="preserve">Chow AW, Benninger MS, Brook I, et al. IDSA clinical practice guideline for acute bacterial rhinosinusitis in children and adults. </w:t>
      </w:r>
      <w:r w:rsidRPr="00604D21">
        <w:rPr>
          <w:rFonts w:ascii="Times New Roman" w:hAnsi="Times New Roman" w:cs="Times New Roman"/>
          <w:i/>
          <w:noProof/>
        </w:rPr>
        <w:t xml:space="preserve">Clin Infect Dis </w:t>
      </w:r>
      <w:r w:rsidRPr="00604D21">
        <w:rPr>
          <w:rFonts w:ascii="Times New Roman" w:hAnsi="Times New Roman" w:cs="Times New Roman"/>
          <w:noProof/>
        </w:rPr>
        <w:t>2012;54:e72-e112.</w:t>
      </w:r>
    </w:p>
    <w:p w14:paraId="665D6441" w14:textId="77777777" w:rsidR="003B7944" w:rsidRDefault="00604D21" w:rsidP="00AF1149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Adapted from: </w:t>
      </w:r>
      <w:r w:rsidRPr="00604D21">
        <w:rPr>
          <w:rFonts w:ascii="Times New Roman" w:hAnsi="Times New Roman" w:cs="Times New Roman"/>
          <w:noProof/>
        </w:rPr>
        <w:t xml:space="preserve">Shulman ST, Bisno AL, Clegg HW, et al. Clinical practice guideline for the diagnosis and management of group A streptococcal pharyngitis: 2012 update by the Infectious Diseases Society of America. </w:t>
      </w:r>
      <w:r w:rsidRPr="00604D21">
        <w:rPr>
          <w:rFonts w:ascii="Times New Roman" w:hAnsi="Times New Roman" w:cs="Times New Roman"/>
          <w:i/>
          <w:noProof/>
        </w:rPr>
        <w:t xml:space="preserve">Clin Infect Dis </w:t>
      </w:r>
      <w:r w:rsidRPr="00604D21">
        <w:rPr>
          <w:rFonts w:ascii="Times New Roman" w:hAnsi="Times New Roman" w:cs="Times New Roman"/>
          <w:noProof/>
        </w:rPr>
        <w:t>2012;55:e86-102.</w:t>
      </w:r>
    </w:p>
    <w:p w14:paraId="0F27A8A6" w14:textId="4EB09C66" w:rsidR="00F91D39" w:rsidRDefault="003B7944" w:rsidP="00AF1149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Adapted from: </w:t>
      </w:r>
      <w:r w:rsidR="00604D21" w:rsidRPr="003B7944">
        <w:rPr>
          <w:rFonts w:ascii="Times New Roman" w:hAnsi="Times New Roman" w:cs="Times New Roman"/>
          <w:noProof/>
        </w:rPr>
        <w:t xml:space="preserve">Lieberthal AS, Carroll AE, Chonmaitree T, et al. The diagnosis and management of acute otitis media. </w:t>
      </w:r>
      <w:r w:rsidR="00604D21" w:rsidRPr="003B7944">
        <w:rPr>
          <w:rFonts w:ascii="Times New Roman" w:hAnsi="Times New Roman" w:cs="Times New Roman"/>
          <w:i/>
          <w:noProof/>
        </w:rPr>
        <w:t xml:space="preserve">Pediatrics </w:t>
      </w:r>
      <w:r w:rsidR="00604D21" w:rsidRPr="003B7944">
        <w:rPr>
          <w:rFonts w:ascii="Times New Roman" w:hAnsi="Times New Roman" w:cs="Times New Roman"/>
          <w:noProof/>
        </w:rPr>
        <w:t>2013;131:e964-999.</w:t>
      </w:r>
    </w:p>
    <w:p w14:paraId="686CDF9A" w14:textId="33CAFC06" w:rsidR="001D6920" w:rsidRDefault="001D6920" w:rsidP="00AF1149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Adapted from: </w:t>
      </w:r>
      <w:r w:rsidRPr="00F91D39">
        <w:rPr>
          <w:rFonts w:ascii="Times New Roman" w:hAnsi="Times New Roman" w:cs="Times New Roman"/>
          <w:noProof/>
        </w:rPr>
        <w:t xml:space="preserve">Pertussis (Whooping Cough). Centers for Disease Control and Prevention webside. </w:t>
      </w:r>
      <w:hyperlink r:id="rId6" w:history="1">
        <w:r w:rsidRPr="00F91D39">
          <w:rPr>
            <w:rStyle w:val="Hyperlink"/>
            <w:rFonts w:ascii="Times New Roman" w:hAnsi="Times New Roman" w:cs="Times New Roman"/>
            <w:noProof/>
          </w:rPr>
          <w:t>https://www.cdc.gov/pertussis/surv-reporting.html</w:t>
        </w:r>
      </w:hyperlink>
      <w:r w:rsidRPr="00F91D39">
        <w:rPr>
          <w:rFonts w:ascii="Times New Roman" w:hAnsi="Times New Roman" w:cs="Times New Roman"/>
          <w:noProof/>
        </w:rPr>
        <w:t>. Published 2022. Accessed September 24, 2020.</w:t>
      </w:r>
    </w:p>
    <w:p w14:paraId="7C70FD17" w14:textId="397C6B08" w:rsidR="001D6920" w:rsidRPr="001D6920" w:rsidRDefault="001D6920" w:rsidP="001D6920">
      <w:pPr>
        <w:pStyle w:val="EndNoteBibliography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Adapted from: </w:t>
      </w:r>
      <w:r w:rsidRPr="001D6920">
        <w:rPr>
          <w:rFonts w:ascii="Times New Roman" w:hAnsi="Times New Roman" w:cs="Times New Roman"/>
          <w:noProof/>
        </w:rPr>
        <w:t xml:space="preserve">Global Initiative for Chronic Obstructive Lung Disease. Global strategy for the diagnosis, management, and prevention of chronic obstructive pulmonary disease 2018 report. </w:t>
      </w:r>
      <w:r w:rsidRPr="001D6920">
        <w:rPr>
          <w:rFonts w:ascii="Times New Roman" w:eastAsia="Times New Roman" w:hAnsi="Times New Roman" w:cs="Times New Roman"/>
          <w:u w:val="single"/>
        </w:rPr>
        <w:t>https://goldcopd.org/wp-content/uploads/2017/11/GOLD-2018-v6.0-FINAL-revised-20-Nov_WMS.pdf.</w:t>
      </w:r>
      <w:r w:rsidRPr="001D6920" w:rsidDel="00320436">
        <w:rPr>
          <w:rFonts w:ascii="Times New Roman" w:eastAsia="Times New Roman" w:hAnsi="Times New Roman" w:cs="Times New Roman"/>
          <w:u w:val="single"/>
        </w:rPr>
        <w:t xml:space="preserve"> </w:t>
      </w:r>
      <w:r w:rsidRPr="001D6920">
        <w:rPr>
          <w:rFonts w:ascii="Times New Roman" w:hAnsi="Times New Roman" w:cs="Times New Roman"/>
          <w:noProof/>
        </w:rPr>
        <w:t>Published 2018. Accessed June 7, 2020.</w:t>
      </w:r>
    </w:p>
    <w:p w14:paraId="248EBEFD" w14:textId="77777777" w:rsidR="00412509" w:rsidRDefault="004125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341C6FB" w14:textId="77777777" w:rsidR="00CF0053" w:rsidRPr="00AB4F6E" w:rsidRDefault="00DD1B92" w:rsidP="00CF0053">
      <w:pPr>
        <w:spacing w:line="480" w:lineRule="auto"/>
        <w:rPr>
          <w:rFonts w:ascii="Times New Roman" w:eastAsia="Times New Roman" w:hAnsi="Times New Roman" w:cs="Times New Roman"/>
          <w:b/>
          <w:color w:val="2021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124"/>
          <w:shd w:val="clear" w:color="auto" w:fill="FFFFFF"/>
        </w:rPr>
        <w:lastRenderedPageBreak/>
        <w:t xml:space="preserve">Supplemental </w:t>
      </w:r>
      <w:r w:rsidR="00CF0053" w:rsidRPr="00AB4F6E">
        <w:rPr>
          <w:rFonts w:ascii="Times New Roman" w:eastAsia="Times New Roman" w:hAnsi="Times New Roman" w:cs="Times New Roman"/>
          <w:b/>
          <w:color w:val="202124"/>
          <w:shd w:val="clear" w:color="auto" w:fill="FFFFFF"/>
        </w:rPr>
        <w:t xml:space="preserve">Figure 1. </w:t>
      </w:r>
      <w:r w:rsidR="00CF0053" w:rsidRPr="00AB4F6E">
        <w:rPr>
          <w:rFonts w:ascii="Times New Roman" w:eastAsia="Times New Roman" w:hAnsi="Times New Roman" w:cs="Times New Roman"/>
          <w:color w:val="202124"/>
          <w:shd w:val="clear" w:color="auto" w:fill="FFFFFF"/>
        </w:rPr>
        <w:t>Seasonal change</w:t>
      </w:r>
      <w:r w:rsidR="0030344B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 between summer and winter months</w:t>
      </w:r>
      <w:r w:rsidR="00CF0053" w:rsidRPr="00AB4F6E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 in</w:t>
      </w:r>
      <w:r w:rsidR="0030344B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 overall</w:t>
      </w:r>
      <w:r w:rsidR="00CF0053" w:rsidRPr="00AB4F6E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 percent prescribing for 182 included </w:t>
      </w:r>
      <w:r w:rsidR="00CF0053" w:rsidRPr="00AB4F6E">
        <w:rPr>
          <w:rFonts w:ascii="Times New Roman" w:hAnsi="Times New Roman" w:cs="Times New Roman"/>
        </w:rPr>
        <w:t>prescribers</w:t>
      </w:r>
      <w:r w:rsidR="00CF0053" w:rsidRPr="00AB4F6E">
        <w:rPr>
          <w:rFonts w:ascii="Times New Roman" w:eastAsia="Times New Roman" w:hAnsi="Times New Roman" w:cs="Times New Roman"/>
          <w:color w:val="202124"/>
          <w:shd w:val="clear" w:color="auto" w:fill="FFFFFF"/>
        </w:rPr>
        <w:t>.</w:t>
      </w:r>
    </w:p>
    <w:p w14:paraId="5D7B4135" w14:textId="77777777" w:rsidR="00CF0053" w:rsidRPr="00FE7985" w:rsidRDefault="00CF0053" w:rsidP="00CF0053">
      <w:pPr>
        <w:rPr>
          <w:rFonts w:ascii="Times New Roman" w:hAnsi="Times New Roman" w:cs="Times New Roman"/>
        </w:rPr>
      </w:pPr>
      <w:r w:rsidRPr="00AB4F6E">
        <w:rPr>
          <w:rFonts w:ascii="Times New Roman" w:hAnsi="Times New Roman" w:cs="Times New Roman"/>
          <w:noProof/>
        </w:rPr>
        <w:drawing>
          <wp:inline distT="0" distB="0" distL="0" distR="0" wp14:anchorId="1261834B" wp14:editId="41F68D7E">
            <wp:extent cx="5943600" cy="3051810"/>
            <wp:effectExtent l="0" t="0" r="0" b="8890"/>
            <wp:docPr id="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ED3497-708C-D94B-BEC6-0EAE8ED6EC11}"/>
                </a:ext>
              </a:extLst>
            </wp:docPr>
            <wp:cNvGraphicFramePr>
              <a:graphicFrameLocks xmlns:a="http://schemas.openxmlformats.org/drawingml/2006/main" noGrp="1" noDrilldown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1">
                      <a:extLst>
                        <a:ext uri="{FF2B5EF4-FFF2-40B4-BE49-F238E27FC236}">
                          <a16:creationId xmlns:a16="http://schemas.microsoft.com/office/drawing/2014/main" id="{DCED3497-708C-D94B-BEC6-0EAE8ED6EC11}"/>
                        </a:ext>
                      </a:extLst>
                    </pic:cNvPr>
                    <pic:cNvPicPr>
                      <a:picLocks noGrp="1" noRot="1" noChangeAspect="1" noMove="1" noResize="1" noEditPoints="1" noAdjustHandles="1" noChangeArrowheads="1" noChangeShapeType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66AB" w14:textId="77777777" w:rsidR="00CF0053" w:rsidRDefault="00CF0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4C94D8" w14:textId="2185AF71" w:rsidR="004D4BBA" w:rsidRPr="00FE7985" w:rsidRDefault="004D4BBA" w:rsidP="004D4BBA">
      <w:pPr>
        <w:spacing w:after="0" w:line="480" w:lineRule="auto"/>
        <w:rPr>
          <w:rFonts w:ascii="Times New Roman" w:hAnsi="Times New Roman" w:cs="Times New Roman"/>
        </w:rPr>
      </w:pPr>
      <w:r w:rsidRPr="00FE7985">
        <w:rPr>
          <w:rFonts w:ascii="Times New Roman" w:hAnsi="Times New Roman" w:cs="Times New Roman"/>
          <w:b/>
        </w:rPr>
        <w:lastRenderedPageBreak/>
        <w:t xml:space="preserve">Supplemental Table </w:t>
      </w:r>
      <w:r w:rsidR="00412509">
        <w:rPr>
          <w:rFonts w:ascii="Times New Roman" w:hAnsi="Times New Roman" w:cs="Times New Roman"/>
          <w:b/>
        </w:rPr>
        <w:t>3</w:t>
      </w:r>
      <w:r w:rsidRPr="00FE7985">
        <w:rPr>
          <w:rFonts w:ascii="Times New Roman" w:hAnsi="Times New Roman" w:cs="Times New Roman"/>
          <w:b/>
        </w:rPr>
        <w:t xml:space="preserve">. </w:t>
      </w:r>
      <w:r w:rsidRPr="00FE7985">
        <w:rPr>
          <w:rFonts w:ascii="Times New Roman" w:hAnsi="Times New Roman" w:cs="Times New Roman"/>
        </w:rPr>
        <w:t>Association of seasonal percent antibiotic prescribing for respiratory tract diagnoses with prescriber characteristics</w:t>
      </w:r>
      <w:r w:rsidR="00203C87">
        <w:rPr>
          <w:rFonts w:ascii="Times New Roman" w:hAnsi="Times New Roman" w:cs="Times New Roman"/>
        </w:rPr>
        <w:t xml:space="preserve"> </w:t>
      </w:r>
      <w:r w:rsidR="007F7533">
        <w:rPr>
          <w:rFonts w:ascii="Times New Roman" w:hAnsi="Times New Roman" w:cs="Times New Roman"/>
        </w:rPr>
        <w:t>from</w:t>
      </w:r>
      <w:r w:rsidR="00C56077">
        <w:rPr>
          <w:rFonts w:ascii="Times New Roman" w:hAnsi="Times New Roman" w:cs="Times New Roman"/>
        </w:rPr>
        <w:t xml:space="preserve"> entire cohort</w:t>
      </w:r>
      <w:r w:rsidRPr="00FE7985">
        <w:rPr>
          <w:rFonts w:ascii="Times New Roman" w:hAnsi="Times New Roman" w:cs="Times New Roman"/>
        </w:rPr>
        <w:t>.</w:t>
      </w:r>
      <w:r w:rsidR="00616A9E" w:rsidRPr="00616A9E">
        <w:rPr>
          <w:rFonts w:ascii="Times New Roman" w:hAnsi="Times New Roman" w:cs="Times New Roman"/>
          <w:vertAlign w:val="superscript"/>
        </w:rPr>
        <w:t>1</w:t>
      </w:r>
      <w:r w:rsidRPr="00FE798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726"/>
        <w:gridCol w:w="1800"/>
        <w:gridCol w:w="900"/>
        <w:gridCol w:w="1890"/>
        <w:gridCol w:w="900"/>
      </w:tblGrid>
      <w:tr w:rsidR="004D4BBA" w:rsidRPr="00FE7985" w14:paraId="2E04D5F3" w14:textId="77777777" w:rsidTr="00153620">
        <w:tc>
          <w:tcPr>
            <w:tcW w:w="1525" w:type="dxa"/>
            <w:shd w:val="clear" w:color="auto" w:fill="BFBFBF" w:themeFill="background1" w:themeFillShade="BF"/>
          </w:tcPr>
          <w:p w14:paraId="73F723C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Prescriber characteristic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B25105D" w14:textId="01520EF3" w:rsidR="004D4BBA" w:rsidRPr="00FE7985" w:rsidRDefault="004D4BBA" w:rsidP="008338F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Mean % prescribing in summer months (</w:t>
            </w:r>
            <w:r w:rsidR="008338F6">
              <w:rPr>
                <w:rFonts w:ascii="Times New Roman" w:hAnsi="Times New Roman" w:cs="Times New Roman"/>
                <w:b/>
              </w:rPr>
              <w:t>standard deviation</w:t>
            </w:r>
            <w:r w:rsidRPr="00FE79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F1B61A" w14:textId="543B02A2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p-value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5EE3AFBA" w14:textId="44141EEC" w:rsidR="004D4BBA" w:rsidRPr="00FE7985" w:rsidRDefault="004D4BBA" w:rsidP="008338F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Mean % prescribing in winter months (</w:t>
            </w:r>
            <w:r w:rsidR="008338F6">
              <w:rPr>
                <w:rFonts w:ascii="Times New Roman" w:hAnsi="Times New Roman" w:cs="Times New Roman"/>
                <w:b/>
              </w:rPr>
              <w:t>standard deviation</w:t>
            </w:r>
            <w:r w:rsidRPr="00FE79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FD959D2" w14:textId="76E0D83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p-value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057B2AB" w14:textId="32044D6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 xml:space="preserve">Mean </w:t>
            </w:r>
            <w:r w:rsidR="00CD00E1">
              <w:rPr>
                <w:rFonts w:ascii="Times New Roman" w:hAnsi="Times New Roman" w:cs="Times New Roman"/>
                <w:b/>
              </w:rPr>
              <w:t xml:space="preserve">absolute </w:t>
            </w:r>
            <w:r w:rsidRPr="00FE7985">
              <w:rPr>
                <w:rFonts w:ascii="Times New Roman" w:hAnsi="Times New Roman" w:cs="Times New Roman"/>
                <w:b/>
              </w:rPr>
              <w:t>increase in % pre</w:t>
            </w:r>
            <w:r w:rsidR="00272185" w:rsidRPr="00FE7985">
              <w:rPr>
                <w:rFonts w:ascii="Times New Roman" w:hAnsi="Times New Roman" w:cs="Times New Roman"/>
                <w:b/>
              </w:rPr>
              <w:t xml:space="preserve">scribing from summer to winter </w:t>
            </w:r>
            <w:r w:rsidRPr="00FE7985">
              <w:rPr>
                <w:rFonts w:ascii="Times New Roman" w:hAnsi="Times New Roman" w:cs="Times New Roman"/>
                <w:b/>
              </w:rPr>
              <w:t>(</w:t>
            </w:r>
            <w:r w:rsidR="008338F6">
              <w:rPr>
                <w:rFonts w:ascii="Times New Roman" w:hAnsi="Times New Roman" w:cs="Times New Roman"/>
                <w:b/>
              </w:rPr>
              <w:t>standard deviation</w:t>
            </w:r>
            <w:r w:rsidRPr="00FE79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F6E1ABF" w14:textId="2AD3AE3E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4D4BBA" w:rsidRPr="00FE7985" w14:paraId="0A844FD9" w14:textId="77777777" w:rsidTr="00153620">
        <w:trPr>
          <w:trHeight w:val="629"/>
        </w:trPr>
        <w:tc>
          <w:tcPr>
            <w:tcW w:w="1525" w:type="dxa"/>
          </w:tcPr>
          <w:p w14:paraId="0A908679" w14:textId="15D04888" w:rsidR="004D4BBA" w:rsidRPr="00FE7985" w:rsidRDefault="00203C87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  <w:p w14:paraId="65839676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Physician</w:t>
            </w:r>
          </w:p>
          <w:p w14:paraId="04302A27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1440" w:type="dxa"/>
          </w:tcPr>
          <w:p w14:paraId="46CDC241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EA21845" w14:textId="13ECBA37" w:rsidR="004D4BBA" w:rsidRPr="00FE7985" w:rsidRDefault="00D94157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0.9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 w:rsidRPr="00FE79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5.8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0B89F50C" w14:textId="41CEE1B7" w:rsidR="004D4BBA" w:rsidRPr="00FE7985" w:rsidRDefault="00D94157" w:rsidP="00D941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>
              <w:rPr>
                <w:rFonts w:ascii="Times New Roman" w:hAnsi="Times New Roman" w:cs="Times New Roman"/>
              </w:rPr>
              <w:t>19.8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468A8901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BB6B551" w14:textId="727B523C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00" w:type="dxa"/>
          </w:tcPr>
          <w:p w14:paraId="3B56C8F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B6915E3" w14:textId="6383D41A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27</w:t>
            </w:r>
            <w:r w:rsidR="00DF3200">
              <w:rPr>
                <w:rFonts w:ascii="Times New Roman" w:hAnsi="Times New Roman" w:cs="Times New Roman"/>
              </w:rPr>
              <w:t>.4</w:t>
            </w:r>
            <w:r w:rsidRPr="00FE7985">
              <w:rPr>
                <w:rFonts w:ascii="Times New Roman" w:hAnsi="Times New Roman" w:cs="Times New Roman"/>
              </w:rPr>
              <w:t>% (19</w:t>
            </w:r>
            <w:r w:rsidR="00DF3200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59794AA1" w14:textId="38B5F2B0" w:rsidR="004D4BBA" w:rsidRPr="00FE7985" w:rsidRDefault="00DF3200" w:rsidP="00DF32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2.8</w:t>
            </w:r>
            <w:r w:rsidR="004D4BBA" w:rsidRPr="00FE7985">
              <w:rPr>
                <w:rFonts w:ascii="Times New Roman" w:hAnsi="Times New Roman" w:cs="Times New Roman"/>
              </w:rPr>
              <w:t>% (21</w:t>
            </w:r>
            <w:r>
              <w:rPr>
                <w:rFonts w:ascii="Times New Roman" w:hAnsi="Times New Roman" w:cs="Times New Roman"/>
              </w:rPr>
              <w:t>.4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1D30DFE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70B4DFA" w14:textId="000EB6EB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</w:tcPr>
          <w:p w14:paraId="07BB6995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BCE330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6.5% (5.9)</w:t>
            </w:r>
          </w:p>
          <w:p w14:paraId="70893CD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5.8% (6.1)</w:t>
            </w:r>
          </w:p>
        </w:tc>
        <w:tc>
          <w:tcPr>
            <w:tcW w:w="900" w:type="dxa"/>
          </w:tcPr>
          <w:p w14:paraId="5BF0942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7712424" w14:textId="4F8C173C" w:rsidR="004D4BBA" w:rsidRPr="00FE7985" w:rsidRDefault="004D4BBA" w:rsidP="00203C8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0.50</w:t>
            </w:r>
          </w:p>
        </w:tc>
      </w:tr>
      <w:tr w:rsidR="004D4BBA" w:rsidRPr="00FE7985" w14:paraId="4936EABF" w14:textId="77777777" w:rsidTr="00153620">
        <w:trPr>
          <w:trHeight w:val="899"/>
        </w:trPr>
        <w:tc>
          <w:tcPr>
            <w:tcW w:w="1525" w:type="dxa"/>
          </w:tcPr>
          <w:p w14:paraId="10F7F85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Gender</w:t>
            </w:r>
          </w:p>
          <w:p w14:paraId="13FF30DF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Male</w:t>
            </w:r>
          </w:p>
          <w:p w14:paraId="400299E0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40" w:type="dxa"/>
          </w:tcPr>
          <w:p w14:paraId="3ED60F6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51A9566" w14:textId="372C0F2C" w:rsidR="004D4BBA" w:rsidRPr="00FE7985" w:rsidRDefault="00D534E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0.7</w:t>
            </w:r>
            <w:r w:rsidR="004D4BBA" w:rsidRPr="00FE7985">
              <w:rPr>
                <w:rFonts w:ascii="Times New Roman" w:hAnsi="Times New Roman" w:cs="Times New Roman"/>
              </w:rPr>
              <w:t>% (17</w:t>
            </w:r>
            <w:r>
              <w:rPr>
                <w:rFonts w:ascii="Times New Roman" w:hAnsi="Times New Roman" w:cs="Times New Roman"/>
              </w:rPr>
              <w:t>.5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57E24ADC" w14:textId="39BE8E2F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27</w:t>
            </w:r>
            <w:r w:rsidR="00D534EE">
              <w:rPr>
                <w:rFonts w:ascii="Times New Roman" w:hAnsi="Times New Roman" w:cs="Times New Roman"/>
              </w:rPr>
              <w:t>.3</w:t>
            </w:r>
            <w:r w:rsidRPr="00FE7985">
              <w:rPr>
                <w:rFonts w:ascii="Times New Roman" w:hAnsi="Times New Roman" w:cs="Times New Roman"/>
              </w:rPr>
              <w:t>% (18</w:t>
            </w:r>
            <w:r w:rsidR="00D534EE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1F5ECDD7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130B6482" w14:textId="694D6CA3" w:rsidR="004D4BBA" w:rsidRPr="00FE7985" w:rsidRDefault="004D4BBA" w:rsidP="00D534E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00" w:type="dxa"/>
          </w:tcPr>
          <w:p w14:paraId="371B99EE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8ED1CF9" w14:textId="7D0C04F1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27</w:t>
            </w:r>
            <w:r w:rsidR="00D534EE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% (20</w:t>
            </w:r>
            <w:r w:rsidR="00D534EE">
              <w:rPr>
                <w:rFonts w:ascii="Times New Roman" w:hAnsi="Times New Roman" w:cs="Times New Roman"/>
              </w:rPr>
              <w:t>.4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7B7D4A4E" w14:textId="304EDE88" w:rsidR="004D4BBA" w:rsidRPr="00FE7985" w:rsidRDefault="00D534EE" w:rsidP="00D534E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3.7</w:t>
            </w:r>
            <w:r w:rsidR="004D4BBA" w:rsidRPr="00FE7985">
              <w:rPr>
                <w:rFonts w:ascii="Times New Roman" w:hAnsi="Times New Roman" w:cs="Times New Roman"/>
              </w:rPr>
              <w:t>% (20</w:t>
            </w:r>
            <w:r>
              <w:rPr>
                <w:rFonts w:ascii="Times New Roman" w:hAnsi="Times New Roman" w:cs="Times New Roman"/>
              </w:rPr>
              <w:t>.4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109887F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46A53C30" w14:textId="5A4D9197" w:rsidR="004D4BBA" w:rsidRPr="00FE7985" w:rsidRDefault="004D4BBA" w:rsidP="00D534E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90" w:type="dxa"/>
          </w:tcPr>
          <w:p w14:paraId="4C02EA62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6E68F7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6.4% (6.3)</w:t>
            </w:r>
          </w:p>
          <w:p w14:paraId="761B78BC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6.3% (5.8)</w:t>
            </w:r>
          </w:p>
        </w:tc>
        <w:tc>
          <w:tcPr>
            <w:tcW w:w="900" w:type="dxa"/>
          </w:tcPr>
          <w:p w14:paraId="16F3CBB2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1DA27D5" w14:textId="6CD728AB" w:rsidR="004D4BBA" w:rsidRPr="00FE7985" w:rsidRDefault="004D4BBA" w:rsidP="00D534E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0.92</w:t>
            </w:r>
          </w:p>
        </w:tc>
      </w:tr>
      <w:tr w:rsidR="004D4BBA" w:rsidRPr="00FE7985" w14:paraId="5D05023F" w14:textId="77777777" w:rsidTr="00153620">
        <w:trPr>
          <w:trHeight w:val="269"/>
        </w:trPr>
        <w:tc>
          <w:tcPr>
            <w:tcW w:w="1525" w:type="dxa"/>
          </w:tcPr>
          <w:p w14:paraId="5AD88F74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  <w:b/>
              </w:rPr>
              <w:t>Specialty</w:t>
            </w:r>
          </w:p>
          <w:p w14:paraId="41044ED3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IM</w:t>
            </w:r>
          </w:p>
          <w:p w14:paraId="5D50CDE4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FM</w:t>
            </w:r>
          </w:p>
        </w:tc>
        <w:tc>
          <w:tcPr>
            <w:tcW w:w="1440" w:type="dxa"/>
          </w:tcPr>
          <w:p w14:paraId="7FF78A7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68864AD" w14:textId="31DAA9C3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17</w:t>
            </w:r>
            <w:r w:rsidR="00D534EE">
              <w:rPr>
                <w:rFonts w:ascii="Times New Roman" w:hAnsi="Times New Roman" w:cs="Times New Roman"/>
              </w:rPr>
              <w:t>.5</w:t>
            </w:r>
            <w:r w:rsidRPr="00FE7985">
              <w:rPr>
                <w:rFonts w:ascii="Times New Roman" w:hAnsi="Times New Roman" w:cs="Times New Roman"/>
              </w:rPr>
              <w:t>% (13</w:t>
            </w:r>
            <w:r w:rsidR="00D534EE">
              <w:rPr>
                <w:rFonts w:ascii="Times New Roman" w:hAnsi="Times New Roman" w:cs="Times New Roman"/>
              </w:rPr>
              <w:t>.2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498B3283" w14:textId="5CBBCF30" w:rsidR="004D4BBA" w:rsidRPr="00FE7985" w:rsidRDefault="00D534EE" w:rsidP="00D534E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4.6</w:t>
            </w:r>
            <w:r w:rsidR="004D4BBA" w:rsidRPr="00FE7985">
              <w:rPr>
                <w:rFonts w:ascii="Times New Roman" w:hAnsi="Times New Roman" w:cs="Times New Roman"/>
              </w:rPr>
              <w:t>% (19</w:t>
            </w:r>
            <w:r>
              <w:rPr>
                <w:rFonts w:ascii="Times New Roman" w:hAnsi="Times New Roman" w:cs="Times New Roman"/>
              </w:rPr>
              <w:t>.3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7C1DBA7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B87FA4B" w14:textId="154007A8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00" w:type="dxa"/>
          </w:tcPr>
          <w:p w14:paraId="4A99E19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C704F9A" w14:textId="2C083EBA" w:rsidR="004D4BBA" w:rsidRPr="00FE7985" w:rsidRDefault="00D534E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2.5</w:t>
            </w:r>
            <w:r w:rsidR="004D4BBA" w:rsidRPr="00FE7985">
              <w:rPr>
                <w:rFonts w:ascii="Times New Roman" w:hAnsi="Times New Roman" w:cs="Times New Roman"/>
              </w:rPr>
              <w:t>% (15</w:t>
            </w:r>
            <w:r>
              <w:rPr>
                <w:rFonts w:ascii="Times New Roman" w:hAnsi="Times New Roman" w:cs="Times New Roman"/>
              </w:rPr>
              <w:t>.4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4BAA7015" w14:textId="535B3AB0" w:rsidR="004D4BBA" w:rsidRPr="00FE7985" w:rsidRDefault="00D534EE" w:rsidP="00D534E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2.8</w:t>
            </w:r>
            <w:r w:rsidR="004D4BBA" w:rsidRPr="00FE7985">
              <w:rPr>
                <w:rFonts w:ascii="Times New Roman" w:hAnsi="Times New Roman" w:cs="Times New Roman"/>
              </w:rPr>
              <w:t>% (21</w:t>
            </w:r>
            <w:r>
              <w:rPr>
                <w:rFonts w:ascii="Times New Roman" w:hAnsi="Times New Roman" w:cs="Times New Roman"/>
              </w:rPr>
              <w:t>.2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49AA4C0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BAF52C3" w14:textId="54728249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</w:tcPr>
          <w:p w14:paraId="3006C3BB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E8F9BF4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5.1% (5.7)</w:t>
            </w:r>
          </w:p>
          <w:p w14:paraId="365E89E7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8.2% (5.8)</w:t>
            </w:r>
          </w:p>
        </w:tc>
        <w:tc>
          <w:tcPr>
            <w:tcW w:w="900" w:type="dxa"/>
          </w:tcPr>
          <w:p w14:paraId="63DD277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64054E1" w14:textId="47FD0495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</w:tr>
      <w:tr w:rsidR="004D4BBA" w:rsidRPr="00FE7985" w14:paraId="1E639941" w14:textId="77777777" w:rsidTr="00153620">
        <w:trPr>
          <w:trHeight w:val="152"/>
        </w:trPr>
        <w:tc>
          <w:tcPr>
            <w:tcW w:w="1525" w:type="dxa"/>
          </w:tcPr>
          <w:p w14:paraId="243401CE" w14:textId="21FB1C0E" w:rsidR="004D4BBA" w:rsidRPr="00FE7985" w:rsidRDefault="00616A9E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Certification</w:t>
            </w:r>
          </w:p>
          <w:p w14:paraId="7A360A4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≤15 years</w:t>
            </w:r>
          </w:p>
          <w:p w14:paraId="0635732E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&gt;15 years</w:t>
            </w:r>
          </w:p>
        </w:tc>
        <w:tc>
          <w:tcPr>
            <w:tcW w:w="1440" w:type="dxa"/>
          </w:tcPr>
          <w:p w14:paraId="4B906B7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1A208126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E77F0E5" w14:textId="2A82C491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27</w:t>
            </w:r>
            <w:r w:rsidR="00AB549C">
              <w:rPr>
                <w:rFonts w:ascii="Times New Roman" w:hAnsi="Times New Roman" w:cs="Times New Roman"/>
              </w:rPr>
              <w:t>.2</w:t>
            </w:r>
            <w:r w:rsidRPr="00FE7985">
              <w:rPr>
                <w:rFonts w:ascii="Times New Roman" w:hAnsi="Times New Roman" w:cs="Times New Roman"/>
              </w:rPr>
              <w:t>% (19</w:t>
            </w:r>
            <w:r w:rsidR="00AB549C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5A618FA1" w14:textId="1519D436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21</w:t>
            </w:r>
            <w:r w:rsidR="00AB549C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% (16</w:t>
            </w:r>
            <w:r w:rsidR="00AB549C">
              <w:rPr>
                <w:rFonts w:ascii="Times New Roman" w:hAnsi="Times New Roman" w:cs="Times New Roman"/>
              </w:rPr>
              <w:t>.4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6BCFF8D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6DB773A1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48B2D46" w14:textId="50A5AEB4" w:rsidR="004D4BBA" w:rsidRPr="00FE7985" w:rsidRDefault="004D4BBA" w:rsidP="00AB549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00" w:type="dxa"/>
          </w:tcPr>
          <w:p w14:paraId="0A549AFE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5785FA66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ACABD77" w14:textId="1CAE81A0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33</w:t>
            </w:r>
            <w:r w:rsidR="00AB549C">
              <w:rPr>
                <w:rFonts w:ascii="Times New Roman" w:hAnsi="Times New Roman" w:cs="Times New Roman"/>
              </w:rPr>
              <w:t>.3</w:t>
            </w:r>
            <w:r w:rsidRPr="00FE7985">
              <w:rPr>
                <w:rFonts w:ascii="Times New Roman" w:hAnsi="Times New Roman" w:cs="Times New Roman"/>
              </w:rPr>
              <w:t>% (21</w:t>
            </w:r>
            <w:r w:rsidR="00AB549C">
              <w:rPr>
                <w:rFonts w:ascii="Times New Roman" w:hAnsi="Times New Roman" w:cs="Times New Roman"/>
              </w:rPr>
              <w:t>.2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7ED36B19" w14:textId="1792900F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28</w:t>
            </w:r>
            <w:r w:rsidR="00AB549C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% (20</w:t>
            </w:r>
            <w:r w:rsidR="00AB549C">
              <w:rPr>
                <w:rFonts w:ascii="Times New Roman" w:hAnsi="Times New Roman" w:cs="Times New Roman"/>
              </w:rPr>
              <w:t>.3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0FC09B71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4A0E5D2A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B17ED2E" w14:textId="7F2C22C7" w:rsidR="004D4BBA" w:rsidRPr="00FE7985" w:rsidRDefault="004D4BBA" w:rsidP="00AB549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90" w:type="dxa"/>
          </w:tcPr>
          <w:p w14:paraId="0FF2E13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B0E6B47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3B6DD35" w14:textId="2418EB7A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6.0% (5.8)</w:t>
            </w:r>
          </w:p>
          <w:p w14:paraId="49513F7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6.8% (6.2)</w:t>
            </w:r>
          </w:p>
        </w:tc>
        <w:tc>
          <w:tcPr>
            <w:tcW w:w="900" w:type="dxa"/>
          </w:tcPr>
          <w:p w14:paraId="4CFD03A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BD97323" w14:textId="77777777" w:rsidR="00616A9E" w:rsidRDefault="00616A9E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1824A28" w14:textId="5B3F2201" w:rsidR="004D4BBA" w:rsidRPr="00FE7985" w:rsidRDefault="004D4BBA" w:rsidP="00AB549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0.03</w:t>
            </w:r>
          </w:p>
        </w:tc>
      </w:tr>
      <w:tr w:rsidR="004D4BBA" w:rsidRPr="00FE7985" w14:paraId="69102DE7" w14:textId="77777777" w:rsidTr="00153620">
        <w:trPr>
          <w:trHeight w:val="899"/>
        </w:trPr>
        <w:tc>
          <w:tcPr>
            <w:tcW w:w="1525" w:type="dxa"/>
          </w:tcPr>
          <w:p w14:paraId="6DFB195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t>Teaching status</w:t>
            </w:r>
          </w:p>
          <w:p w14:paraId="550830C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 xml:space="preserve">Teaching </w:t>
            </w:r>
          </w:p>
          <w:p w14:paraId="36449DE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Nonteaching</w:t>
            </w:r>
          </w:p>
        </w:tc>
        <w:tc>
          <w:tcPr>
            <w:tcW w:w="1440" w:type="dxa"/>
          </w:tcPr>
          <w:p w14:paraId="016AB60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A0F173C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5D62832" w14:textId="39812256" w:rsidR="004D4BBA" w:rsidRPr="00FE7985" w:rsidRDefault="00AB549C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0.7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>
              <w:rPr>
                <w:rFonts w:ascii="Times New Roman" w:hAnsi="Times New Roman" w:cs="Times New Roman"/>
              </w:rPr>
              <w:t>6.8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33D0F775" w14:textId="3C6711EA" w:rsidR="004D4BBA" w:rsidRPr="00FE7985" w:rsidRDefault="00AB549C" w:rsidP="00AB549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1.8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>
              <w:rPr>
                <w:rFonts w:ascii="Times New Roman" w:hAnsi="Times New Roman" w:cs="Times New Roman"/>
              </w:rPr>
              <w:t>17.9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72B21B1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DF00124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5C64E85" w14:textId="1FFB120B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00" w:type="dxa"/>
          </w:tcPr>
          <w:p w14:paraId="13BF2640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B5148BA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72B283D" w14:textId="7B68B76A" w:rsidR="004D4BBA" w:rsidRPr="00FE7985" w:rsidRDefault="00AB549C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3.6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>
              <w:rPr>
                <w:rFonts w:ascii="Times New Roman" w:hAnsi="Times New Roman" w:cs="Times New Roman"/>
              </w:rPr>
              <w:t>8.7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3DB36E79" w14:textId="72E3E899" w:rsidR="004D4BBA" w:rsidRPr="00FE7985" w:rsidRDefault="00AB549C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</w:t>
            </w:r>
            <w:r w:rsidR="004D4BBA" w:rsidRPr="00FE7985">
              <w:rPr>
                <w:rFonts w:ascii="Times New Roman" w:hAnsi="Times New Roman" w:cs="Times New Roman"/>
              </w:rPr>
              <w:t>% (19</w:t>
            </w:r>
            <w:r>
              <w:rPr>
                <w:rFonts w:ascii="Times New Roman" w:hAnsi="Times New Roman" w:cs="Times New Roman"/>
              </w:rPr>
              <w:t>.4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7A1E84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6AF8D56" w14:textId="77777777" w:rsidR="00153620" w:rsidRDefault="00153620" w:rsidP="00AB549C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958E136" w14:textId="78600512" w:rsidR="004D4BBA" w:rsidRPr="00FE7985" w:rsidRDefault="004D4BBA" w:rsidP="00AB549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</w:tcPr>
          <w:p w14:paraId="31C479EF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DE014ED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9868AD5" w14:textId="67CDD13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2.9% (4.8)</w:t>
            </w:r>
          </w:p>
          <w:p w14:paraId="1988F263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8.1% (5.7)</w:t>
            </w:r>
          </w:p>
        </w:tc>
        <w:tc>
          <w:tcPr>
            <w:tcW w:w="900" w:type="dxa"/>
          </w:tcPr>
          <w:p w14:paraId="35C76DBF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E184E40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ECA118D" w14:textId="788FC22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</w:tr>
      <w:tr w:rsidR="004D4BBA" w:rsidRPr="00FE7985" w14:paraId="3EC670E9" w14:textId="77777777" w:rsidTr="00153620">
        <w:trPr>
          <w:trHeight w:val="899"/>
        </w:trPr>
        <w:tc>
          <w:tcPr>
            <w:tcW w:w="1525" w:type="dxa"/>
          </w:tcPr>
          <w:p w14:paraId="2CBDF566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  <w:b/>
              </w:rPr>
              <w:lastRenderedPageBreak/>
              <w:t>Practice setting</w:t>
            </w:r>
          </w:p>
          <w:p w14:paraId="0E7C14E9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 xml:space="preserve">Urban </w:t>
            </w:r>
          </w:p>
          <w:p w14:paraId="493AF3B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E7985">
              <w:rPr>
                <w:rFonts w:ascii="Times New Roman" w:hAnsi="Times New Roman" w:cs="Times New Roman"/>
              </w:rPr>
              <w:t xml:space="preserve">Nonurban </w:t>
            </w:r>
          </w:p>
        </w:tc>
        <w:tc>
          <w:tcPr>
            <w:tcW w:w="1440" w:type="dxa"/>
          </w:tcPr>
          <w:p w14:paraId="75A5128A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A7D9C7B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8C52E85" w14:textId="457EBF4C" w:rsidR="004D4BBA" w:rsidRPr="00FE7985" w:rsidRDefault="00E35DB9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  <w:r w:rsidR="004D4BBA" w:rsidRPr="00FE7985">
              <w:rPr>
                <w:rFonts w:ascii="Times New Roman" w:hAnsi="Times New Roman" w:cs="Times New Roman"/>
              </w:rPr>
              <w:t>% (11</w:t>
            </w:r>
            <w:r>
              <w:rPr>
                <w:rFonts w:ascii="Times New Roman" w:hAnsi="Times New Roman" w:cs="Times New Roman"/>
              </w:rPr>
              <w:t>.1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  <w:p w14:paraId="1F967DDC" w14:textId="501B2A1A" w:rsidR="004D4BBA" w:rsidRPr="00FE7985" w:rsidRDefault="00E35DB9" w:rsidP="00E35D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5.8</w:t>
            </w:r>
            <w:r w:rsidR="004D4BBA" w:rsidRPr="00FE7985">
              <w:rPr>
                <w:rFonts w:ascii="Times New Roman" w:hAnsi="Times New Roman" w:cs="Times New Roman"/>
              </w:rPr>
              <w:t>% (</w:t>
            </w:r>
            <w:r w:rsidRPr="00FE79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7.8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14:paraId="6B6716B8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22581F7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CDF7AB7" w14:textId="2FE8D44E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00" w:type="dxa"/>
          </w:tcPr>
          <w:p w14:paraId="5473B1A5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D05FB08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572E7D2" w14:textId="43F79B1A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18</w:t>
            </w:r>
            <w:r w:rsidR="00E35DB9">
              <w:rPr>
                <w:rFonts w:ascii="Times New Roman" w:hAnsi="Times New Roman" w:cs="Times New Roman"/>
              </w:rPr>
              <w:t>.5</w:t>
            </w:r>
            <w:r w:rsidRPr="00FE7985">
              <w:rPr>
                <w:rFonts w:ascii="Times New Roman" w:hAnsi="Times New Roman" w:cs="Times New Roman"/>
              </w:rPr>
              <w:t>% (13</w:t>
            </w:r>
            <w:r w:rsidR="00E35DB9">
              <w:rPr>
                <w:rFonts w:ascii="Times New Roman" w:hAnsi="Times New Roman" w:cs="Times New Roman"/>
              </w:rPr>
              <w:t>.1</w:t>
            </w:r>
            <w:r w:rsidRPr="00FE7985">
              <w:rPr>
                <w:rFonts w:ascii="Times New Roman" w:hAnsi="Times New Roman" w:cs="Times New Roman"/>
              </w:rPr>
              <w:t>)</w:t>
            </w:r>
          </w:p>
          <w:p w14:paraId="54345E2C" w14:textId="3D2B14EB" w:rsidR="004D4BBA" w:rsidRPr="00FE7985" w:rsidRDefault="00E35DB9" w:rsidP="00E35D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4.9</w:t>
            </w:r>
            <w:r w:rsidR="004D4BBA" w:rsidRPr="00FE7985">
              <w:rPr>
                <w:rFonts w:ascii="Times New Roman" w:hAnsi="Times New Roman" w:cs="Times New Roman"/>
              </w:rPr>
              <w:t>% (18</w:t>
            </w:r>
            <w:r>
              <w:rPr>
                <w:rFonts w:ascii="Times New Roman" w:hAnsi="Times New Roman" w:cs="Times New Roman"/>
              </w:rPr>
              <w:t>.4</w:t>
            </w:r>
            <w:r w:rsidR="004D4BBA" w:rsidRPr="00FE79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780D93A0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8E85B4A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BE55291" w14:textId="397C196E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1890" w:type="dxa"/>
          </w:tcPr>
          <w:p w14:paraId="679D5ED0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502D2177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B4B3F1C" w14:textId="350306EA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3.9% (5.0)</w:t>
            </w:r>
          </w:p>
          <w:p w14:paraId="30C0DE14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9.1% (5.7)</w:t>
            </w:r>
          </w:p>
        </w:tc>
        <w:tc>
          <w:tcPr>
            <w:tcW w:w="900" w:type="dxa"/>
          </w:tcPr>
          <w:p w14:paraId="721474FD" w14:textId="77777777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51DD5AD" w14:textId="77777777" w:rsidR="00153620" w:rsidRDefault="00153620" w:rsidP="00272185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5D8F1F1" w14:textId="6E699FA1" w:rsidR="004D4BBA" w:rsidRPr="00FE7985" w:rsidRDefault="004D4BBA" w:rsidP="0027218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E7985">
              <w:rPr>
                <w:rFonts w:ascii="Times New Roman" w:hAnsi="Times New Roman" w:cs="Times New Roman"/>
              </w:rPr>
              <w:t>&lt;0.01</w:t>
            </w:r>
          </w:p>
        </w:tc>
      </w:tr>
    </w:tbl>
    <w:p w14:paraId="5DE663A0" w14:textId="77777777" w:rsidR="00272185" w:rsidRPr="00FE7985" w:rsidRDefault="00272185" w:rsidP="00272185">
      <w:pPr>
        <w:spacing w:after="0" w:line="480" w:lineRule="auto"/>
        <w:rPr>
          <w:rFonts w:ascii="Times New Roman" w:hAnsi="Times New Roman" w:cs="Times New Roman"/>
        </w:rPr>
      </w:pPr>
    </w:p>
    <w:p w14:paraId="6A88C7D1" w14:textId="38CE3D4F" w:rsidR="00330519" w:rsidRPr="00616A9E" w:rsidRDefault="004C36C9" w:rsidP="00616A9E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</w:rPr>
      </w:pPr>
      <w:r w:rsidRPr="00616A9E">
        <w:rPr>
          <w:rFonts w:ascii="Times New Roman" w:hAnsi="Times New Roman" w:cs="Times New Roman"/>
        </w:rPr>
        <w:t xml:space="preserve">Abbreviations: </w:t>
      </w:r>
      <w:r w:rsidR="004D4BBA" w:rsidRPr="00616A9E">
        <w:rPr>
          <w:rFonts w:ascii="Times New Roman" w:hAnsi="Times New Roman" w:cs="Times New Roman"/>
        </w:rPr>
        <w:t>APP = advanced practice provider; IM = internal medicine; FM = family medicine</w:t>
      </w:r>
    </w:p>
    <w:p w14:paraId="1C667CD6" w14:textId="77777777" w:rsidR="00330519" w:rsidRDefault="0033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CFE467" w14:textId="0CCE0565" w:rsidR="00330519" w:rsidRPr="00AB4F6E" w:rsidRDefault="00330519" w:rsidP="00330519">
      <w:pPr>
        <w:spacing w:line="480" w:lineRule="auto"/>
        <w:rPr>
          <w:rFonts w:ascii="Times New Roman" w:eastAsia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AB4F6E">
        <w:rPr>
          <w:rFonts w:ascii="Times New Roman" w:hAnsi="Times New Roman" w:cs="Times New Roman"/>
          <w:b/>
        </w:rPr>
        <w:t>Table 4</w:t>
      </w:r>
      <w:r w:rsidRPr="00AB4F6E">
        <w:rPr>
          <w:rFonts w:ascii="Times New Roman" w:hAnsi="Times New Roman" w:cs="Times New Roman"/>
        </w:rPr>
        <w:t>. Prescriber demographic characteristics and association with inappropriate antibiotic prescribing for 60 randomly selected providers</w:t>
      </w:r>
      <w:r w:rsidR="007E1431">
        <w:rPr>
          <w:rFonts w:ascii="Times New Roman" w:hAnsi="Times New Roman" w:cs="Times New Roman"/>
        </w:rPr>
        <w:t xml:space="preserve"> (random cohort)</w:t>
      </w:r>
      <w:r w:rsidR="00225312">
        <w:rPr>
          <w:rFonts w:ascii="Times New Roman" w:hAnsi="Times New Roman" w:cs="Times New Roman"/>
        </w:rPr>
        <w:t xml:space="preserve"> compared by standardized difference (SD)</w:t>
      </w:r>
      <w:r w:rsidRPr="00AB4F6E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330519" w:rsidRPr="00AB4F6E" w14:paraId="07B8ADE7" w14:textId="77777777" w:rsidTr="00680E50">
        <w:tc>
          <w:tcPr>
            <w:tcW w:w="2336" w:type="dxa"/>
            <w:shd w:val="clear" w:color="auto" w:fill="A6A6A6" w:themeFill="background1" w:themeFillShade="A6"/>
          </w:tcPr>
          <w:p w14:paraId="1C7A01E9" w14:textId="37DB7358" w:rsidR="00330519" w:rsidRPr="00AB4F6E" w:rsidRDefault="00330519" w:rsidP="00616A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>P</w:t>
            </w:r>
            <w:r w:rsidR="00616A9E">
              <w:rPr>
                <w:rFonts w:ascii="Times New Roman" w:hAnsi="Times New Roman" w:cs="Times New Roman"/>
                <w:b/>
              </w:rPr>
              <w:t>rescriber characteristic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0FA80DDB" w14:textId="77777777" w:rsidR="00330519" w:rsidRPr="00AB4F6E" w:rsidRDefault="00330519" w:rsidP="00013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>N (%)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3D28459A" w14:textId="77777777" w:rsidR="00330519" w:rsidRPr="00AB4F6E" w:rsidRDefault="00330519" w:rsidP="00013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>Median % inappropriate (interquartile range)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4D0303E1" w14:textId="77777777" w:rsidR="00330519" w:rsidRPr="00AB4F6E" w:rsidRDefault="00330519" w:rsidP="000136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>p-value</w:t>
            </w:r>
          </w:p>
        </w:tc>
      </w:tr>
      <w:tr w:rsidR="00330519" w:rsidRPr="00AB4F6E" w14:paraId="7A398B50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2F41E41" w14:textId="634127D6" w:rsidR="00330519" w:rsidRPr="00AB4F6E" w:rsidRDefault="00330519" w:rsidP="00203C87">
            <w:pPr>
              <w:tabs>
                <w:tab w:val="left" w:pos="3583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 xml:space="preserve">Prescriber </w:t>
            </w:r>
            <w:r w:rsidR="00203C87">
              <w:rPr>
                <w:rFonts w:ascii="Times New Roman" w:hAnsi="Times New Roman" w:cs="Times New Roman"/>
                <w:b/>
              </w:rPr>
              <w:t>degree</w:t>
            </w:r>
            <w:r w:rsidRPr="00AB4F6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53620" w:rsidRPr="00AB4F6E" w14:paraId="4AC0F34A" w14:textId="77777777" w:rsidTr="00153620">
        <w:tc>
          <w:tcPr>
            <w:tcW w:w="2336" w:type="dxa"/>
          </w:tcPr>
          <w:p w14:paraId="0CA264E4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Physician</w:t>
            </w:r>
          </w:p>
        </w:tc>
        <w:tc>
          <w:tcPr>
            <w:tcW w:w="2338" w:type="dxa"/>
          </w:tcPr>
          <w:p w14:paraId="4D0536CD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45 (75%)</w:t>
            </w:r>
          </w:p>
        </w:tc>
        <w:tc>
          <w:tcPr>
            <w:tcW w:w="2338" w:type="dxa"/>
          </w:tcPr>
          <w:p w14:paraId="5C14243F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65% (55-73)</w:t>
            </w:r>
          </w:p>
        </w:tc>
        <w:tc>
          <w:tcPr>
            <w:tcW w:w="2338" w:type="dxa"/>
            <w:vMerge w:val="restart"/>
          </w:tcPr>
          <w:p w14:paraId="0BBF738F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</w:tr>
      <w:tr w:rsidR="00153620" w:rsidRPr="00AB4F6E" w14:paraId="65A7F338" w14:textId="77777777" w:rsidTr="00153620">
        <w:tc>
          <w:tcPr>
            <w:tcW w:w="2336" w:type="dxa"/>
          </w:tcPr>
          <w:p w14:paraId="67423C84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2338" w:type="dxa"/>
          </w:tcPr>
          <w:p w14:paraId="73187D99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15 (25%)</w:t>
            </w:r>
          </w:p>
        </w:tc>
        <w:tc>
          <w:tcPr>
            <w:tcW w:w="2338" w:type="dxa"/>
          </w:tcPr>
          <w:p w14:paraId="0D975B22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70% (55-85)</w:t>
            </w:r>
          </w:p>
        </w:tc>
        <w:tc>
          <w:tcPr>
            <w:tcW w:w="2338" w:type="dxa"/>
            <w:vMerge/>
          </w:tcPr>
          <w:p w14:paraId="028FE745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19" w:rsidRPr="00AB4F6E" w14:paraId="362A3A67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72A8B2D" w14:textId="77777777" w:rsidR="00330519" w:rsidRPr="00AB4F6E" w:rsidRDefault="00330519" w:rsidP="0001367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B4F6E">
              <w:rPr>
                <w:rFonts w:ascii="Times New Roman" w:hAnsi="Times New Roman" w:cs="Times New Roman"/>
                <w:b/>
              </w:rPr>
              <w:t>Prescriber gender</w:t>
            </w:r>
          </w:p>
        </w:tc>
      </w:tr>
      <w:tr w:rsidR="00153620" w:rsidRPr="00AB4F6E" w14:paraId="505A59D6" w14:textId="77777777" w:rsidTr="00153620">
        <w:tc>
          <w:tcPr>
            <w:tcW w:w="2336" w:type="dxa"/>
          </w:tcPr>
          <w:p w14:paraId="0D0F6168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38" w:type="dxa"/>
          </w:tcPr>
          <w:p w14:paraId="22187A0C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22 (37%)</w:t>
            </w:r>
          </w:p>
        </w:tc>
        <w:tc>
          <w:tcPr>
            <w:tcW w:w="2338" w:type="dxa"/>
          </w:tcPr>
          <w:p w14:paraId="200ED8BB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68% (51-80)</w:t>
            </w:r>
          </w:p>
        </w:tc>
        <w:tc>
          <w:tcPr>
            <w:tcW w:w="2338" w:type="dxa"/>
            <w:vMerge w:val="restart"/>
          </w:tcPr>
          <w:p w14:paraId="749D4483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0.06</w:t>
            </w:r>
          </w:p>
        </w:tc>
      </w:tr>
      <w:tr w:rsidR="00153620" w:rsidRPr="00AB4F6E" w14:paraId="3F2B6A41" w14:textId="77777777" w:rsidTr="00153620">
        <w:tc>
          <w:tcPr>
            <w:tcW w:w="2336" w:type="dxa"/>
          </w:tcPr>
          <w:p w14:paraId="35355783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338" w:type="dxa"/>
          </w:tcPr>
          <w:p w14:paraId="5A6AFE3A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38 (63%)</w:t>
            </w:r>
          </w:p>
        </w:tc>
        <w:tc>
          <w:tcPr>
            <w:tcW w:w="2338" w:type="dxa"/>
          </w:tcPr>
          <w:p w14:paraId="55A7D567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78% (61-85)</w:t>
            </w:r>
          </w:p>
        </w:tc>
        <w:tc>
          <w:tcPr>
            <w:tcW w:w="2338" w:type="dxa"/>
            <w:vMerge/>
          </w:tcPr>
          <w:p w14:paraId="22B2C48F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19" w:rsidRPr="00AB4F6E" w14:paraId="0AB61610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F982450" w14:textId="77777777" w:rsidR="00330519" w:rsidRPr="00AB4F6E" w:rsidRDefault="00330519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  <w:b/>
              </w:rPr>
              <w:t>Prescriber specialty</w:t>
            </w:r>
          </w:p>
        </w:tc>
      </w:tr>
      <w:tr w:rsidR="00153620" w:rsidRPr="00AB4F6E" w14:paraId="1D045249" w14:textId="77777777" w:rsidTr="00153620">
        <w:tc>
          <w:tcPr>
            <w:tcW w:w="2336" w:type="dxa"/>
          </w:tcPr>
          <w:p w14:paraId="0679272D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Internal medicine</w:t>
            </w:r>
          </w:p>
        </w:tc>
        <w:tc>
          <w:tcPr>
            <w:tcW w:w="2338" w:type="dxa"/>
          </w:tcPr>
          <w:p w14:paraId="70E0A823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38 (63%)</w:t>
            </w:r>
          </w:p>
        </w:tc>
        <w:tc>
          <w:tcPr>
            <w:tcW w:w="2338" w:type="dxa"/>
          </w:tcPr>
          <w:p w14:paraId="759F28CB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65% (50-80)</w:t>
            </w:r>
          </w:p>
        </w:tc>
        <w:tc>
          <w:tcPr>
            <w:tcW w:w="2338" w:type="dxa"/>
            <w:vMerge w:val="restart"/>
          </w:tcPr>
          <w:p w14:paraId="75ECEB1B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0.02</w:t>
            </w:r>
          </w:p>
        </w:tc>
      </w:tr>
      <w:tr w:rsidR="00153620" w:rsidRPr="00AB4F6E" w14:paraId="2AE1D307" w14:textId="77777777" w:rsidTr="00153620">
        <w:tc>
          <w:tcPr>
            <w:tcW w:w="2336" w:type="dxa"/>
          </w:tcPr>
          <w:p w14:paraId="49D58E84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Family medicine</w:t>
            </w:r>
          </w:p>
        </w:tc>
        <w:tc>
          <w:tcPr>
            <w:tcW w:w="2338" w:type="dxa"/>
          </w:tcPr>
          <w:p w14:paraId="20C9292F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22 (37%)</w:t>
            </w:r>
          </w:p>
        </w:tc>
        <w:tc>
          <w:tcPr>
            <w:tcW w:w="2338" w:type="dxa"/>
          </w:tcPr>
          <w:p w14:paraId="603DB1A3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80% (66-85)</w:t>
            </w:r>
          </w:p>
        </w:tc>
        <w:tc>
          <w:tcPr>
            <w:tcW w:w="2338" w:type="dxa"/>
            <w:vMerge/>
          </w:tcPr>
          <w:p w14:paraId="39D49195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19" w:rsidRPr="00AB4F6E" w14:paraId="4DB2B92F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4697B7A" w14:textId="307B1F2A" w:rsidR="00330519" w:rsidRPr="00AB4F6E" w:rsidRDefault="00616A9E" w:rsidP="00616A9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Board certification</w:t>
            </w:r>
          </w:p>
        </w:tc>
      </w:tr>
      <w:tr w:rsidR="00153620" w:rsidRPr="00AB4F6E" w14:paraId="308C11E7" w14:textId="77777777" w:rsidTr="00153620">
        <w:tc>
          <w:tcPr>
            <w:tcW w:w="2336" w:type="dxa"/>
          </w:tcPr>
          <w:p w14:paraId="5C770CF3" w14:textId="58F83A5F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&gt;15 years</w:t>
            </w:r>
          </w:p>
        </w:tc>
        <w:tc>
          <w:tcPr>
            <w:tcW w:w="2338" w:type="dxa"/>
          </w:tcPr>
          <w:p w14:paraId="5E38AE0D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28 (47%)</w:t>
            </w:r>
          </w:p>
        </w:tc>
        <w:tc>
          <w:tcPr>
            <w:tcW w:w="2338" w:type="dxa"/>
          </w:tcPr>
          <w:p w14:paraId="3F7A1884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73% (55-85)</w:t>
            </w:r>
          </w:p>
        </w:tc>
        <w:tc>
          <w:tcPr>
            <w:tcW w:w="2338" w:type="dxa"/>
            <w:vMerge w:val="restart"/>
          </w:tcPr>
          <w:p w14:paraId="4A0B5A17" w14:textId="3E8EC9B8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3620" w:rsidRPr="00AB4F6E" w14:paraId="76ADBDAF" w14:textId="77777777" w:rsidTr="00153620">
        <w:tc>
          <w:tcPr>
            <w:tcW w:w="2336" w:type="dxa"/>
          </w:tcPr>
          <w:p w14:paraId="089793D4" w14:textId="48A8769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≤15 years</w:t>
            </w:r>
          </w:p>
        </w:tc>
        <w:tc>
          <w:tcPr>
            <w:tcW w:w="2338" w:type="dxa"/>
          </w:tcPr>
          <w:p w14:paraId="3A0ED560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32 (53%)</w:t>
            </w:r>
          </w:p>
        </w:tc>
        <w:tc>
          <w:tcPr>
            <w:tcW w:w="2338" w:type="dxa"/>
          </w:tcPr>
          <w:p w14:paraId="661CA7E7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65% (53-80)</w:t>
            </w:r>
          </w:p>
        </w:tc>
        <w:tc>
          <w:tcPr>
            <w:tcW w:w="2338" w:type="dxa"/>
            <w:vMerge/>
          </w:tcPr>
          <w:p w14:paraId="74623590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19" w:rsidRPr="00AB4F6E" w14:paraId="40FAFC3B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0252E3D4" w14:textId="77777777" w:rsidR="00330519" w:rsidRPr="00AB4F6E" w:rsidRDefault="00330519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  <w:b/>
              </w:rPr>
              <w:t>Teaching status</w:t>
            </w:r>
          </w:p>
        </w:tc>
      </w:tr>
      <w:tr w:rsidR="00153620" w:rsidRPr="00AB4F6E" w14:paraId="782C84A5" w14:textId="77777777" w:rsidTr="00153620">
        <w:tc>
          <w:tcPr>
            <w:tcW w:w="2336" w:type="dxa"/>
          </w:tcPr>
          <w:p w14:paraId="77AB3076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Teaching practice</w:t>
            </w:r>
          </w:p>
        </w:tc>
        <w:tc>
          <w:tcPr>
            <w:tcW w:w="2338" w:type="dxa"/>
          </w:tcPr>
          <w:p w14:paraId="7D6F0537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12 (20%)</w:t>
            </w:r>
          </w:p>
        </w:tc>
        <w:tc>
          <w:tcPr>
            <w:tcW w:w="2338" w:type="dxa"/>
          </w:tcPr>
          <w:p w14:paraId="272813FB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45% (30-50)</w:t>
            </w:r>
          </w:p>
        </w:tc>
        <w:tc>
          <w:tcPr>
            <w:tcW w:w="2338" w:type="dxa"/>
            <w:vMerge w:val="restart"/>
          </w:tcPr>
          <w:p w14:paraId="4793478B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</w:tr>
      <w:tr w:rsidR="00153620" w:rsidRPr="00AB4F6E" w14:paraId="4DB538B2" w14:textId="77777777" w:rsidTr="00153620">
        <w:tc>
          <w:tcPr>
            <w:tcW w:w="2336" w:type="dxa"/>
          </w:tcPr>
          <w:p w14:paraId="5EE9B662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Nonteaching practice</w:t>
            </w:r>
          </w:p>
        </w:tc>
        <w:tc>
          <w:tcPr>
            <w:tcW w:w="2338" w:type="dxa"/>
          </w:tcPr>
          <w:p w14:paraId="4706C4F6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48 (80%)</w:t>
            </w:r>
          </w:p>
        </w:tc>
        <w:tc>
          <w:tcPr>
            <w:tcW w:w="2338" w:type="dxa"/>
          </w:tcPr>
          <w:p w14:paraId="69BEF8C4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75% (65-85)</w:t>
            </w:r>
          </w:p>
        </w:tc>
        <w:tc>
          <w:tcPr>
            <w:tcW w:w="2338" w:type="dxa"/>
            <w:vMerge/>
          </w:tcPr>
          <w:p w14:paraId="5E5A6A84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19" w:rsidRPr="00AB4F6E" w14:paraId="6EACEDC1" w14:textId="77777777" w:rsidTr="0015362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C4CF056" w14:textId="77777777" w:rsidR="00330519" w:rsidRPr="00AB4F6E" w:rsidRDefault="00330519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  <w:b/>
              </w:rPr>
              <w:t>Practice setting</w:t>
            </w:r>
          </w:p>
        </w:tc>
      </w:tr>
      <w:tr w:rsidR="00153620" w:rsidRPr="00AB4F6E" w14:paraId="47FFF1B3" w14:textId="77777777" w:rsidTr="00153620">
        <w:tc>
          <w:tcPr>
            <w:tcW w:w="2336" w:type="dxa"/>
          </w:tcPr>
          <w:p w14:paraId="7B29EF22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Urban practice</w:t>
            </w:r>
          </w:p>
        </w:tc>
        <w:tc>
          <w:tcPr>
            <w:tcW w:w="2338" w:type="dxa"/>
          </w:tcPr>
          <w:p w14:paraId="12C7EC75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26 (43%)</w:t>
            </w:r>
          </w:p>
        </w:tc>
        <w:tc>
          <w:tcPr>
            <w:tcW w:w="2338" w:type="dxa"/>
          </w:tcPr>
          <w:p w14:paraId="1AC6F6C9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55% (45-70)</w:t>
            </w:r>
          </w:p>
        </w:tc>
        <w:tc>
          <w:tcPr>
            <w:tcW w:w="2338" w:type="dxa"/>
            <w:vMerge w:val="restart"/>
          </w:tcPr>
          <w:p w14:paraId="5DF62BEC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</w:tr>
      <w:tr w:rsidR="00153620" w:rsidRPr="00AB4F6E" w14:paraId="724E2B39" w14:textId="77777777" w:rsidTr="00153620">
        <w:tc>
          <w:tcPr>
            <w:tcW w:w="2336" w:type="dxa"/>
          </w:tcPr>
          <w:p w14:paraId="40E82842" w14:textId="77777777" w:rsidR="00153620" w:rsidRPr="00AB4F6E" w:rsidRDefault="00153620" w:rsidP="0001367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Nonurban practice</w:t>
            </w:r>
          </w:p>
        </w:tc>
        <w:tc>
          <w:tcPr>
            <w:tcW w:w="2338" w:type="dxa"/>
          </w:tcPr>
          <w:p w14:paraId="255D49B7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34 (57%)</w:t>
            </w:r>
          </w:p>
        </w:tc>
        <w:tc>
          <w:tcPr>
            <w:tcW w:w="2338" w:type="dxa"/>
          </w:tcPr>
          <w:p w14:paraId="06E1ADE0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80% (70-85)</w:t>
            </w:r>
          </w:p>
        </w:tc>
        <w:tc>
          <w:tcPr>
            <w:tcW w:w="2338" w:type="dxa"/>
            <w:vMerge/>
          </w:tcPr>
          <w:p w14:paraId="1AD82D4A" w14:textId="77777777" w:rsidR="00153620" w:rsidRPr="00AB4F6E" w:rsidRDefault="00153620" w:rsidP="0001367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DD2484" w14:textId="77777777" w:rsidR="00330519" w:rsidRPr="00AB4F6E" w:rsidRDefault="00330519" w:rsidP="00330519">
      <w:pPr>
        <w:rPr>
          <w:rFonts w:ascii="Times New Roman" w:hAnsi="Times New Roman" w:cs="Times New Roman"/>
          <w:highlight w:val="cyan"/>
        </w:rPr>
      </w:pPr>
      <w:r w:rsidRPr="00AB4F6E">
        <w:rPr>
          <w:rFonts w:ascii="Times New Roman" w:hAnsi="Times New Roman" w:cs="Times New Roman"/>
          <w:highlight w:val="cyan"/>
        </w:rPr>
        <w:br w:type="page"/>
      </w:r>
    </w:p>
    <w:p w14:paraId="6C77918E" w14:textId="6ABC591E" w:rsidR="00F35F5D" w:rsidRPr="00150367" w:rsidRDefault="00330519" w:rsidP="0015036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AB4F6E">
        <w:rPr>
          <w:rFonts w:ascii="Times New Roman" w:hAnsi="Times New Roman" w:cs="Times New Roman"/>
          <w:b/>
        </w:rPr>
        <w:t xml:space="preserve">Table 5. </w:t>
      </w:r>
      <w:r w:rsidR="00D2573F">
        <w:rPr>
          <w:rFonts w:ascii="Times New Roman" w:hAnsi="Times New Roman" w:cs="Times New Roman"/>
        </w:rPr>
        <w:t>Univaria</w:t>
      </w:r>
      <w:r w:rsidR="00A05299">
        <w:rPr>
          <w:rFonts w:ascii="Times New Roman" w:hAnsi="Times New Roman" w:cs="Times New Roman"/>
        </w:rPr>
        <w:t>bl</w:t>
      </w:r>
      <w:r w:rsidR="00D2573F">
        <w:rPr>
          <w:rFonts w:ascii="Times New Roman" w:hAnsi="Times New Roman" w:cs="Times New Roman"/>
        </w:rPr>
        <w:t>e analysis</w:t>
      </w:r>
      <w:r w:rsidRPr="00AB4F6E">
        <w:rPr>
          <w:rFonts w:ascii="Times New Roman" w:hAnsi="Times New Roman" w:cs="Times New Roman"/>
        </w:rPr>
        <w:t xml:space="preserve"> of</w:t>
      </w:r>
      <w:r w:rsidR="00D2573F">
        <w:rPr>
          <w:rFonts w:ascii="Times New Roman" w:hAnsi="Times New Roman" w:cs="Times New Roman"/>
        </w:rPr>
        <w:t xml:space="preserve"> association of</w:t>
      </w:r>
      <w:r w:rsidRPr="00AB4F6E">
        <w:rPr>
          <w:rFonts w:ascii="Times New Roman" w:hAnsi="Times New Roman" w:cs="Times New Roman"/>
        </w:rPr>
        <w:t xml:space="preserve"> </w:t>
      </w:r>
      <w:r w:rsidR="00013679">
        <w:rPr>
          <w:rFonts w:ascii="Times New Roman" w:hAnsi="Times New Roman" w:cs="Times New Roman"/>
        </w:rPr>
        <w:t xml:space="preserve">potential administrative </w:t>
      </w:r>
      <w:r w:rsidRPr="00AB4F6E">
        <w:rPr>
          <w:rFonts w:ascii="Times New Roman" w:hAnsi="Times New Roman" w:cs="Times New Roman"/>
        </w:rPr>
        <w:t xml:space="preserve">respiratory tract diagnosis (RTD) metrics with </w:t>
      </w:r>
      <w:r w:rsidR="00013679">
        <w:rPr>
          <w:rFonts w:ascii="Times New Roman" w:hAnsi="Times New Roman" w:cs="Times New Roman"/>
        </w:rPr>
        <w:t xml:space="preserve">inappropriate </w:t>
      </w:r>
      <w:r w:rsidRPr="00AB4F6E">
        <w:rPr>
          <w:rFonts w:ascii="Times New Roman" w:hAnsi="Times New Roman" w:cs="Times New Roman"/>
        </w:rPr>
        <w:t xml:space="preserve">antibiotic prescribing </w:t>
      </w:r>
      <w:r w:rsidR="00013679">
        <w:rPr>
          <w:rFonts w:ascii="Times New Roman" w:hAnsi="Times New Roman" w:cs="Times New Roman"/>
        </w:rPr>
        <w:t xml:space="preserve">based on </w:t>
      </w:r>
      <w:r w:rsidR="00071DE5">
        <w:rPr>
          <w:rFonts w:ascii="Times New Roman" w:hAnsi="Times New Roman" w:cs="Times New Roman"/>
        </w:rPr>
        <w:t>manual medical record</w:t>
      </w:r>
      <w:r w:rsidR="00013679">
        <w:rPr>
          <w:rFonts w:ascii="Times New Roman" w:hAnsi="Times New Roman" w:cs="Times New Roman"/>
        </w:rPr>
        <w:t xml:space="preserve"> review </w:t>
      </w:r>
      <w:r w:rsidRPr="00AB4F6E">
        <w:rPr>
          <w:rFonts w:ascii="Times New Roman" w:hAnsi="Times New Roman" w:cs="Times New Roman"/>
        </w:rPr>
        <w:t>for 60 randomly selected prescribers.</w:t>
      </w:r>
      <w:r w:rsidRPr="00AB4F6E">
        <w:rPr>
          <w:rFonts w:ascii="Times New Roman" w:hAnsi="Times New Roman" w:cs="Times New Roman"/>
          <w:vertAlign w:val="superscript"/>
        </w:rPr>
        <w:t>1</w:t>
      </w:r>
      <w:r w:rsidR="00616A9E">
        <w:rPr>
          <w:rFonts w:ascii="Times New Roman" w:hAnsi="Times New Roman" w:cs="Times New Roman"/>
          <w:vertAlign w:val="superscript"/>
        </w:rPr>
        <w:t>,2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24"/>
        <w:gridCol w:w="1260"/>
        <w:gridCol w:w="1510"/>
        <w:gridCol w:w="1072"/>
        <w:gridCol w:w="889"/>
      </w:tblGrid>
      <w:tr w:rsidR="00125F40" w:rsidRPr="00AB4F6E" w14:paraId="499243C3" w14:textId="77777777" w:rsidTr="006231E1">
        <w:tc>
          <w:tcPr>
            <w:tcW w:w="4624" w:type="dxa"/>
            <w:shd w:val="clear" w:color="auto" w:fill="BFBFBF" w:themeFill="background1" w:themeFillShade="BF"/>
          </w:tcPr>
          <w:p w14:paraId="0BEA9E4B" w14:textId="5F7878C5" w:rsidR="00125F40" w:rsidRPr="00B52846" w:rsidRDefault="00125F40" w:rsidP="00B5284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Independent Variables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2C75171" w14:textId="77777777" w:rsidR="00125F40" w:rsidRPr="00B52846" w:rsidRDefault="00125F40" w:rsidP="000B1A4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Regression coefficient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738C21FE" w14:textId="77777777" w:rsidR="00125F40" w:rsidRPr="00B52846" w:rsidRDefault="00125F40" w:rsidP="000B1A4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765525EC" w14:textId="79F77E02" w:rsidR="00125F40" w:rsidRPr="00B52846" w:rsidRDefault="00125F40" w:rsidP="000B1A4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p-</w:t>
            </w:r>
            <w:r w:rsidRPr="00B52846">
              <w:rPr>
                <w:rFonts w:ascii="Times New Roman" w:hAnsi="Times New Roman" w:cs="Times New Roman"/>
                <w:b/>
              </w:rPr>
              <w:t>value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14:paraId="55EBF46E" w14:textId="4E142826" w:rsidR="00125F40" w:rsidRPr="00B52846" w:rsidRDefault="00125F40" w:rsidP="000B1A4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Pseudo R</w:t>
            </w:r>
            <w:r w:rsidRPr="00B5284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125F40" w:rsidRPr="00AB4F6E" w14:paraId="60C29759" w14:textId="77777777" w:rsidTr="00125F40">
        <w:trPr>
          <w:trHeight w:val="233"/>
        </w:trPr>
        <w:tc>
          <w:tcPr>
            <w:tcW w:w="9355" w:type="dxa"/>
            <w:gridSpan w:val="5"/>
            <w:shd w:val="pct10" w:color="auto" w:fill="auto"/>
          </w:tcPr>
          <w:p w14:paraId="0A59B7E6" w14:textId="77E0B2A2" w:rsidR="00125F40" w:rsidRPr="00B52846" w:rsidRDefault="00125F40" w:rsidP="00B5284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Candidate Metrics</w:t>
            </w:r>
          </w:p>
        </w:tc>
      </w:tr>
      <w:tr w:rsidR="00125F40" w:rsidRPr="00AB4F6E" w14:paraId="5C2D8562" w14:textId="77777777" w:rsidTr="006231E1">
        <w:tc>
          <w:tcPr>
            <w:tcW w:w="4624" w:type="dxa"/>
          </w:tcPr>
          <w:p w14:paraId="6BF58D99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 xml:space="preserve">Percent Prescribing for tier </w:t>
            </w:r>
            <w:r>
              <w:rPr>
                <w:rFonts w:ascii="Times New Roman" w:hAnsi="Times New Roman" w:cs="Times New Roman"/>
              </w:rPr>
              <w:t>1</w:t>
            </w:r>
            <w:r w:rsidRPr="00AB4F6E">
              <w:rPr>
                <w:rFonts w:ascii="Times New Roman" w:hAnsi="Times New Roman" w:cs="Times New Roman"/>
              </w:rPr>
              <w:t xml:space="preserve"> RTDs</w:t>
            </w:r>
          </w:p>
        </w:tc>
        <w:tc>
          <w:tcPr>
            <w:tcW w:w="1260" w:type="dxa"/>
          </w:tcPr>
          <w:p w14:paraId="46460F1B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</w:t>
            </w:r>
          </w:p>
        </w:tc>
        <w:tc>
          <w:tcPr>
            <w:tcW w:w="1510" w:type="dxa"/>
          </w:tcPr>
          <w:p w14:paraId="08BE67A3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-1.14-0.37</w:t>
            </w:r>
          </w:p>
        </w:tc>
        <w:tc>
          <w:tcPr>
            <w:tcW w:w="1072" w:type="dxa"/>
          </w:tcPr>
          <w:p w14:paraId="63AAD538" w14:textId="1AB405F0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89" w:type="dxa"/>
          </w:tcPr>
          <w:p w14:paraId="2C75C5DC" w14:textId="2EF0B70A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 w:rsidR="00125F40" w:rsidRPr="00AB4F6E" w14:paraId="6CC400FD" w14:textId="77777777" w:rsidTr="006231E1">
        <w:tc>
          <w:tcPr>
            <w:tcW w:w="4624" w:type="dxa"/>
          </w:tcPr>
          <w:p w14:paraId="5962F02B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 xml:space="preserve">Percent Prescribing for tier </w:t>
            </w:r>
            <w:r>
              <w:rPr>
                <w:rFonts w:ascii="Times New Roman" w:hAnsi="Times New Roman" w:cs="Times New Roman"/>
              </w:rPr>
              <w:t>2</w:t>
            </w:r>
            <w:r w:rsidRPr="00AB4F6E">
              <w:rPr>
                <w:rFonts w:ascii="Times New Roman" w:hAnsi="Times New Roman" w:cs="Times New Roman"/>
              </w:rPr>
              <w:t xml:space="preserve"> RTDs</w:t>
            </w:r>
          </w:p>
        </w:tc>
        <w:tc>
          <w:tcPr>
            <w:tcW w:w="1260" w:type="dxa"/>
          </w:tcPr>
          <w:p w14:paraId="43A48D38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510" w:type="dxa"/>
          </w:tcPr>
          <w:p w14:paraId="1ACA70E4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0.55-2.26</w:t>
            </w:r>
          </w:p>
        </w:tc>
        <w:tc>
          <w:tcPr>
            <w:tcW w:w="1072" w:type="dxa"/>
          </w:tcPr>
          <w:p w14:paraId="67D9D7C8" w14:textId="07547D9D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1B174309" w14:textId="2BC2B656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125F40" w:rsidRPr="00AB4F6E" w14:paraId="597DE1B4" w14:textId="77777777" w:rsidTr="006231E1">
        <w:tc>
          <w:tcPr>
            <w:tcW w:w="4624" w:type="dxa"/>
          </w:tcPr>
          <w:p w14:paraId="3666E8FD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Percent Prescribing for tier 3 RTDs</w:t>
            </w:r>
          </w:p>
        </w:tc>
        <w:tc>
          <w:tcPr>
            <w:tcW w:w="1260" w:type="dxa"/>
          </w:tcPr>
          <w:p w14:paraId="25050E26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510" w:type="dxa"/>
          </w:tcPr>
          <w:p w14:paraId="4DFC9248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0.03-0.05</w:t>
            </w:r>
          </w:p>
        </w:tc>
        <w:tc>
          <w:tcPr>
            <w:tcW w:w="1072" w:type="dxa"/>
          </w:tcPr>
          <w:p w14:paraId="2030DE2D" w14:textId="4F63B711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75BA918E" w14:textId="2B380BFE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125F40" w:rsidRPr="00AB4F6E" w14:paraId="4DF1423B" w14:textId="77777777" w:rsidTr="006231E1">
        <w:tc>
          <w:tcPr>
            <w:tcW w:w="4624" w:type="dxa"/>
          </w:tcPr>
          <w:p w14:paraId="4D48A0B7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Percent Prescribing for all RTDs</w:t>
            </w:r>
          </w:p>
        </w:tc>
        <w:tc>
          <w:tcPr>
            <w:tcW w:w="1260" w:type="dxa"/>
          </w:tcPr>
          <w:p w14:paraId="764A5CA7" w14:textId="0EC7BA94" w:rsidR="00125F40" w:rsidRPr="00AB4F6E" w:rsidRDefault="009B516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510" w:type="dxa"/>
          </w:tcPr>
          <w:p w14:paraId="1DD15A25" w14:textId="34C9E633" w:rsidR="00125F40" w:rsidRPr="00AB4F6E" w:rsidRDefault="009B516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0.02-0.03</w:t>
            </w:r>
          </w:p>
        </w:tc>
        <w:tc>
          <w:tcPr>
            <w:tcW w:w="1072" w:type="dxa"/>
          </w:tcPr>
          <w:p w14:paraId="51D0999B" w14:textId="3F72E882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64A6E9AF" w14:textId="1C3ABD95" w:rsidR="00125F40" w:rsidRPr="00AB4F6E" w:rsidRDefault="00125F40" w:rsidP="004C36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0.</w:t>
            </w:r>
            <w:r w:rsidR="004C36C9">
              <w:rPr>
                <w:rFonts w:ascii="Times New Roman" w:hAnsi="Times New Roman" w:cs="Times New Roman"/>
              </w:rPr>
              <w:t>04</w:t>
            </w:r>
          </w:p>
        </w:tc>
      </w:tr>
      <w:tr w:rsidR="00125F40" w:rsidRPr="00AB4F6E" w14:paraId="0BF0324D" w14:textId="77777777" w:rsidTr="006231E1">
        <w:tc>
          <w:tcPr>
            <w:tcW w:w="4624" w:type="dxa"/>
          </w:tcPr>
          <w:p w14:paraId="5862C630" w14:textId="6389170D" w:rsidR="00125F40" w:rsidRPr="00AB4F6E" w:rsidRDefault="00125F40" w:rsidP="00616A9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Seasonal prescribing variance</w:t>
            </w:r>
            <w:r w:rsidR="00616A9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60" w:type="dxa"/>
          </w:tcPr>
          <w:p w14:paraId="605A032A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510" w:type="dxa"/>
          </w:tcPr>
          <w:p w14:paraId="78385964" w14:textId="77777777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0.02-0.10</w:t>
            </w:r>
          </w:p>
        </w:tc>
        <w:tc>
          <w:tcPr>
            <w:tcW w:w="1072" w:type="dxa"/>
          </w:tcPr>
          <w:p w14:paraId="143CC588" w14:textId="00A48A16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5EFA8CEF" w14:textId="1A38E884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125F40" w:rsidRPr="00AB4F6E" w14:paraId="29AD4E83" w14:textId="77777777" w:rsidTr="00125F40">
        <w:tc>
          <w:tcPr>
            <w:tcW w:w="9355" w:type="dxa"/>
            <w:gridSpan w:val="5"/>
            <w:shd w:val="pct10" w:color="auto" w:fill="auto"/>
          </w:tcPr>
          <w:p w14:paraId="1A97C92F" w14:textId="5D5DB5D5" w:rsidR="00125F40" w:rsidRPr="00B52846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Candidate Covariates</w:t>
            </w:r>
          </w:p>
        </w:tc>
      </w:tr>
      <w:tr w:rsidR="00125F40" w:rsidRPr="00AB4F6E" w14:paraId="5880C196" w14:textId="77777777" w:rsidTr="006231E1">
        <w:tc>
          <w:tcPr>
            <w:tcW w:w="4624" w:type="dxa"/>
          </w:tcPr>
          <w:p w14:paraId="157CCF99" w14:textId="7227BD70" w:rsidR="00125F40" w:rsidRPr="00AB4F6E" w:rsidRDefault="00125F40" w:rsidP="005E711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Charlson comorbidity</w:t>
            </w:r>
            <w:r w:rsidR="005E7111">
              <w:rPr>
                <w:rFonts w:ascii="Times New Roman" w:hAnsi="Times New Roman" w:cs="Times New Roman"/>
              </w:rPr>
              <w:t xml:space="preserve"> index</w:t>
            </w:r>
            <w:r>
              <w:rPr>
                <w:rFonts w:ascii="Times New Roman" w:hAnsi="Times New Roman" w:cs="Times New Roman"/>
              </w:rPr>
              <w:t xml:space="preserve"> for prescriber</w:t>
            </w:r>
            <w:r w:rsidR="005E7111">
              <w:rPr>
                <w:rFonts w:ascii="Times New Roman" w:hAnsi="Times New Roman" w:cs="Times New Roman"/>
              </w:rPr>
              <w:t>’s RTD patients</w:t>
            </w:r>
          </w:p>
        </w:tc>
        <w:tc>
          <w:tcPr>
            <w:tcW w:w="1260" w:type="dxa"/>
          </w:tcPr>
          <w:p w14:paraId="7034EF08" w14:textId="31666C82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1510" w:type="dxa"/>
          </w:tcPr>
          <w:p w14:paraId="39C2E691" w14:textId="415D8B39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-1.04- -0.21</w:t>
            </w:r>
          </w:p>
        </w:tc>
        <w:tc>
          <w:tcPr>
            <w:tcW w:w="1072" w:type="dxa"/>
          </w:tcPr>
          <w:p w14:paraId="46EB8BB4" w14:textId="48DEC74B" w:rsidR="00125F40" w:rsidRDefault="00AB706B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89" w:type="dxa"/>
          </w:tcPr>
          <w:p w14:paraId="05140872" w14:textId="4C0DC280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125F40" w:rsidRPr="00AB4F6E" w14:paraId="0C733A5E" w14:textId="77777777" w:rsidTr="006231E1">
        <w:tc>
          <w:tcPr>
            <w:tcW w:w="4624" w:type="dxa"/>
          </w:tcPr>
          <w:p w14:paraId="551ACADF" w14:textId="1D808564" w:rsidR="00125F40" w:rsidRPr="00AB4F6E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status (teaching v. non-teaching)</w:t>
            </w:r>
          </w:p>
        </w:tc>
        <w:tc>
          <w:tcPr>
            <w:tcW w:w="1260" w:type="dxa"/>
          </w:tcPr>
          <w:p w14:paraId="7FE5B17D" w14:textId="6B06716E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-1.35</w:t>
            </w:r>
          </w:p>
        </w:tc>
        <w:tc>
          <w:tcPr>
            <w:tcW w:w="1510" w:type="dxa"/>
          </w:tcPr>
          <w:p w14:paraId="29D70F82" w14:textId="7D8F8323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-1.68</w:t>
            </w:r>
            <w:r w:rsidR="00125F40">
              <w:rPr>
                <w:rFonts w:ascii="Times New Roman" w:hAnsi="Times New Roman" w:cs="Times New Roman"/>
              </w:rPr>
              <w:t>- -</w:t>
            </w: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72" w:type="dxa"/>
          </w:tcPr>
          <w:p w14:paraId="2E42D284" w14:textId="0A17B62F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3A7AB4E2" w14:textId="011B1446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125F40" w:rsidRPr="00AB4F6E" w14:paraId="3DCF77AB" w14:textId="77777777" w:rsidTr="006231E1">
        <w:tc>
          <w:tcPr>
            <w:tcW w:w="4624" w:type="dxa"/>
          </w:tcPr>
          <w:p w14:paraId="668ACE1E" w14:textId="2D665682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location (urban v. non-urban)</w:t>
            </w:r>
          </w:p>
        </w:tc>
        <w:tc>
          <w:tcPr>
            <w:tcW w:w="1260" w:type="dxa"/>
          </w:tcPr>
          <w:p w14:paraId="7612491C" w14:textId="13F78C34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1510" w:type="dxa"/>
          </w:tcPr>
          <w:p w14:paraId="368BACCF" w14:textId="0E13E9DD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-1.33- -0.56</w:t>
            </w:r>
          </w:p>
        </w:tc>
        <w:tc>
          <w:tcPr>
            <w:tcW w:w="1072" w:type="dxa"/>
          </w:tcPr>
          <w:p w14:paraId="22F3E1DA" w14:textId="4AB4D92E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889" w:type="dxa"/>
          </w:tcPr>
          <w:p w14:paraId="277161EF" w14:textId="2556A005" w:rsidR="00125F40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125F40" w:rsidRPr="00AB4F6E" w14:paraId="051CA261" w14:textId="77777777" w:rsidTr="006231E1">
        <w:tc>
          <w:tcPr>
            <w:tcW w:w="4624" w:type="dxa"/>
          </w:tcPr>
          <w:p w14:paraId="53AFB082" w14:textId="2DA80963" w:rsidR="00125F40" w:rsidRDefault="00616A9E" w:rsidP="004C36C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5F40">
              <w:rPr>
                <w:rFonts w:ascii="Times New Roman" w:hAnsi="Times New Roman" w:cs="Times New Roman"/>
              </w:rPr>
              <w:t>egree (</w:t>
            </w:r>
            <w:r w:rsidR="004C36C9">
              <w:rPr>
                <w:rFonts w:ascii="Times New Roman" w:hAnsi="Times New Roman" w:cs="Times New Roman"/>
              </w:rPr>
              <w:t>physician</w:t>
            </w:r>
            <w:r w:rsidR="00802F98">
              <w:rPr>
                <w:rFonts w:ascii="Times New Roman" w:hAnsi="Times New Roman" w:cs="Times New Roman"/>
              </w:rPr>
              <w:t xml:space="preserve"> v. </w:t>
            </w:r>
            <w:r w:rsidR="004C36C9">
              <w:rPr>
                <w:rFonts w:ascii="Times New Roman" w:hAnsi="Times New Roman" w:cs="Times New Roman"/>
              </w:rPr>
              <w:t>APP</w:t>
            </w:r>
            <w:r w:rsidR="00125F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1613503C" w14:textId="3E2133D1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1510" w:type="dxa"/>
          </w:tcPr>
          <w:p w14:paraId="7DF9BB93" w14:textId="5DE3E99D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-0.80-0.14</w:t>
            </w:r>
          </w:p>
        </w:tc>
        <w:tc>
          <w:tcPr>
            <w:tcW w:w="1072" w:type="dxa"/>
          </w:tcPr>
          <w:p w14:paraId="170E460D" w14:textId="78C52BEB" w:rsidR="00125F40" w:rsidRDefault="002D4D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89" w:type="dxa"/>
          </w:tcPr>
          <w:p w14:paraId="709DF5ED" w14:textId="574DD5BA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802F98">
              <w:rPr>
                <w:rFonts w:ascii="Times New Roman" w:hAnsi="Times New Roman" w:cs="Times New Roman"/>
              </w:rPr>
              <w:t>1</w:t>
            </w:r>
          </w:p>
        </w:tc>
      </w:tr>
      <w:tr w:rsidR="00BB4782" w:rsidRPr="00AB4F6E" w14:paraId="71EB27EE" w14:textId="77777777" w:rsidTr="006231E1">
        <w:tc>
          <w:tcPr>
            <w:tcW w:w="4624" w:type="dxa"/>
          </w:tcPr>
          <w:p w14:paraId="7B578551" w14:textId="2A5327DA" w:rsidR="00BB4782" w:rsidRDefault="00616A9E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B4782">
              <w:rPr>
                <w:rFonts w:ascii="Times New Roman" w:hAnsi="Times New Roman" w:cs="Times New Roman"/>
              </w:rPr>
              <w:t>pecialty (IM v. FM)</w:t>
            </w:r>
          </w:p>
        </w:tc>
        <w:tc>
          <w:tcPr>
            <w:tcW w:w="1260" w:type="dxa"/>
          </w:tcPr>
          <w:p w14:paraId="67A27CDE" w14:textId="3C66B374" w:rsidR="00BB4782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510" w:type="dxa"/>
          </w:tcPr>
          <w:p w14:paraId="5F9D4802" w14:textId="5205153A" w:rsidR="00BB4782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-0.86-0.03</w:t>
            </w:r>
          </w:p>
        </w:tc>
        <w:tc>
          <w:tcPr>
            <w:tcW w:w="1072" w:type="dxa"/>
          </w:tcPr>
          <w:p w14:paraId="2FE05C21" w14:textId="0C4A6C43" w:rsidR="00BB4782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89" w:type="dxa"/>
          </w:tcPr>
          <w:p w14:paraId="4D3B2AF0" w14:textId="6B36C169" w:rsidR="00BB4782" w:rsidRDefault="00BB4782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125F40" w:rsidRPr="00AB4F6E" w14:paraId="300CCF7F" w14:textId="77777777" w:rsidTr="006231E1">
        <w:tc>
          <w:tcPr>
            <w:tcW w:w="4624" w:type="dxa"/>
          </w:tcPr>
          <w:p w14:paraId="28F155C1" w14:textId="7250931F" w:rsidR="00125F40" w:rsidRPr="00AB4F6E" w:rsidRDefault="00616A9E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25F40">
              <w:rPr>
                <w:rFonts w:ascii="Times New Roman" w:hAnsi="Times New Roman" w:cs="Times New Roman"/>
              </w:rPr>
              <w:t>ender (female v. male)</w:t>
            </w:r>
          </w:p>
        </w:tc>
        <w:tc>
          <w:tcPr>
            <w:tcW w:w="1260" w:type="dxa"/>
          </w:tcPr>
          <w:p w14:paraId="4D739199" w14:textId="6255D9DD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510" w:type="dxa"/>
          </w:tcPr>
          <w:p w14:paraId="65A5752B" w14:textId="1DD186C9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0.04-0.90</w:t>
            </w:r>
          </w:p>
        </w:tc>
        <w:tc>
          <w:tcPr>
            <w:tcW w:w="1072" w:type="dxa"/>
          </w:tcPr>
          <w:p w14:paraId="7CBC655E" w14:textId="707C3380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89" w:type="dxa"/>
          </w:tcPr>
          <w:p w14:paraId="178CE39E" w14:textId="19A226EF" w:rsidR="00125F40" w:rsidRDefault="00125F40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125F40" w:rsidRPr="00AB4F6E" w14:paraId="7AD53992" w14:textId="77777777" w:rsidTr="006231E1">
        <w:tc>
          <w:tcPr>
            <w:tcW w:w="4624" w:type="dxa"/>
          </w:tcPr>
          <w:p w14:paraId="0C5BDC18" w14:textId="45931A9C" w:rsidR="00125F40" w:rsidRDefault="00A95428" w:rsidP="00A9542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25F40">
              <w:rPr>
                <w:rFonts w:ascii="Times New Roman" w:hAnsi="Times New Roman" w:cs="Times New Roman"/>
              </w:rPr>
              <w:t>oard certification year (</w:t>
            </w:r>
            <w:r w:rsidR="00616A9E">
              <w:rPr>
                <w:rFonts w:ascii="Times New Roman" w:hAnsi="Times New Roman" w:cs="Times New Roman"/>
              </w:rPr>
              <w:t>≤15 years</w:t>
            </w:r>
            <w:r w:rsidR="00125F40">
              <w:rPr>
                <w:rFonts w:ascii="Times New Roman" w:hAnsi="Times New Roman" w:cs="Times New Roman"/>
              </w:rPr>
              <w:t xml:space="preserve"> v. </w:t>
            </w:r>
            <w:r>
              <w:rPr>
                <w:rFonts w:ascii="Times New Roman" w:hAnsi="Times New Roman" w:cs="Times New Roman"/>
              </w:rPr>
              <w:t>&gt;15 years</w:t>
            </w:r>
            <w:r w:rsidR="00125F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3B173F50" w14:textId="1A33CA05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510" w:type="dxa"/>
          </w:tcPr>
          <w:p w14:paraId="05E4BB8E" w14:textId="3B648031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-0.17-0.72</w:t>
            </w:r>
          </w:p>
        </w:tc>
        <w:tc>
          <w:tcPr>
            <w:tcW w:w="1072" w:type="dxa"/>
          </w:tcPr>
          <w:p w14:paraId="57E7499E" w14:textId="36159F6D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889" w:type="dxa"/>
          </w:tcPr>
          <w:p w14:paraId="32FBE1BF" w14:textId="47680F85" w:rsidR="00125F40" w:rsidRDefault="00802F98" w:rsidP="00125F4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</w:tbl>
    <w:p w14:paraId="18C66341" w14:textId="77777777" w:rsidR="00330519" w:rsidRPr="00AB4F6E" w:rsidRDefault="00330519" w:rsidP="0033051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14:paraId="0DDA7FB2" w14:textId="5199B19E" w:rsidR="00BE078C" w:rsidRDefault="00330519" w:rsidP="003305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AB4F6E">
        <w:rPr>
          <w:rFonts w:ascii="Times New Roman" w:hAnsi="Times New Roman" w:cs="Times New Roman"/>
        </w:rPr>
        <w:t>Univaria</w:t>
      </w:r>
      <w:r w:rsidR="00A05299">
        <w:rPr>
          <w:rFonts w:ascii="Times New Roman" w:hAnsi="Times New Roman" w:cs="Times New Roman"/>
        </w:rPr>
        <w:t>bl</w:t>
      </w:r>
      <w:r w:rsidRPr="00AB4F6E">
        <w:rPr>
          <w:rFonts w:ascii="Times New Roman" w:hAnsi="Times New Roman" w:cs="Times New Roman"/>
        </w:rPr>
        <w:t xml:space="preserve">e </w:t>
      </w:r>
      <w:r w:rsidR="003F6765">
        <w:rPr>
          <w:rFonts w:ascii="Times New Roman" w:hAnsi="Times New Roman" w:cs="Times New Roman"/>
        </w:rPr>
        <w:t>fractional logistic</w:t>
      </w:r>
      <w:r w:rsidRPr="00AB4F6E">
        <w:rPr>
          <w:rFonts w:ascii="Times New Roman" w:hAnsi="Times New Roman" w:cs="Times New Roman"/>
        </w:rPr>
        <w:t xml:space="preserve"> regression used to determine association of several metrics with the </w:t>
      </w:r>
      <w:r w:rsidR="003F6765">
        <w:rPr>
          <w:rFonts w:ascii="Times New Roman" w:hAnsi="Times New Roman" w:cs="Times New Roman"/>
        </w:rPr>
        <w:t>dependent</w:t>
      </w:r>
      <w:r w:rsidRPr="00AB4F6E">
        <w:rPr>
          <w:rFonts w:ascii="Times New Roman" w:hAnsi="Times New Roman" w:cs="Times New Roman"/>
        </w:rPr>
        <w:t xml:space="preserve"> variable inappropriate antibiotic prescribing for RTDs as determined by manual </w:t>
      </w:r>
      <w:r w:rsidR="00C64076">
        <w:rPr>
          <w:rFonts w:ascii="Times New Roman" w:hAnsi="Times New Roman" w:cs="Times New Roman"/>
        </w:rPr>
        <w:t>medical record</w:t>
      </w:r>
      <w:r w:rsidRPr="00AB4F6E">
        <w:rPr>
          <w:rFonts w:ascii="Times New Roman" w:hAnsi="Times New Roman" w:cs="Times New Roman"/>
        </w:rPr>
        <w:t xml:space="preserve"> review.</w:t>
      </w:r>
    </w:p>
    <w:p w14:paraId="2EC9C590" w14:textId="0DACEBE6" w:rsidR="00616A9E" w:rsidRDefault="00616A9E" w:rsidP="00616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616A9E">
        <w:rPr>
          <w:rFonts w:ascii="Times New Roman" w:hAnsi="Times New Roman" w:cs="Times New Roman"/>
        </w:rPr>
        <w:lastRenderedPageBreak/>
        <w:t>Abbreviations: APP = advanced practice provider; IM = internal medicine; FM = family medicine</w:t>
      </w:r>
    </w:p>
    <w:p w14:paraId="66CBB019" w14:textId="4769EF88" w:rsidR="004C36C9" w:rsidRPr="00616A9E" w:rsidRDefault="009E59D6" w:rsidP="00616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between percent antibiotic p</w:t>
      </w:r>
      <w:r w:rsidRPr="00AB4F6E">
        <w:rPr>
          <w:rFonts w:ascii="Times New Roman" w:hAnsi="Times New Roman" w:cs="Times New Roman"/>
        </w:rPr>
        <w:t>rescribing</w:t>
      </w:r>
      <w:r>
        <w:rPr>
          <w:rFonts w:ascii="Times New Roman" w:hAnsi="Times New Roman" w:cs="Times New Roman"/>
        </w:rPr>
        <w:t xml:space="preserve"> for RTDs</w:t>
      </w:r>
      <w:r w:rsidRPr="00AB4F6E">
        <w:rPr>
          <w:rFonts w:ascii="Times New Roman" w:hAnsi="Times New Roman" w:cs="Times New Roman"/>
        </w:rPr>
        <w:t xml:space="preserve"> in winter </w:t>
      </w:r>
      <w:r>
        <w:rPr>
          <w:rFonts w:ascii="Times New Roman" w:hAnsi="Times New Roman" w:cs="Times New Roman"/>
        </w:rPr>
        <w:t>and</w:t>
      </w:r>
      <w:r w:rsidRPr="00AB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percent</w:t>
      </w:r>
      <w:r w:rsidRPr="00AB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antibiotic </w:t>
      </w:r>
      <w:r w:rsidRPr="00AB4F6E">
        <w:rPr>
          <w:rFonts w:ascii="Times New Roman" w:hAnsi="Times New Roman" w:cs="Times New Roman"/>
        </w:rPr>
        <w:t xml:space="preserve">prescribing </w:t>
      </w:r>
      <w:r>
        <w:rPr>
          <w:rFonts w:ascii="Times New Roman" w:hAnsi="Times New Roman" w:cs="Times New Roman"/>
        </w:rPr>
        <w:t>for RTDs</w:t>
      </w:r>
      <w:r w:rsidRPr="00AB4F6E">
        <w:rPr>
          <w:rFonts w:ascii="Times New Roman" w:hAnsi="Times New Roman" w:cs="Times New Roman"/>
        </w:rPr>
        <w:t xml:space="preserve"> in summer</w:t>
      </w:r>
    </w:p>
    <w:p w14:paraId="5F118AE0" w14:textId="0D7FE717" w:rsidR="00A56245" w:rsidRDefault="00A56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037015" w14:textId="6C7BD32B" w:rsidR="00A56245" w:rsidRPr="00150367" w:rsidRDefault="00A56245" w:rsidP="00A5624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AB4F6E">
        <w:rPr>
          <w:rFonts w:ascii="Times New Roman" w:hAnsi="Times New Roman" w:cs="Times New Roman"/>
          <w:b/>
        </w:rPr>
        <w:t xml:space="preserve">Table </w:t>
      </w:r>
      <w:r w:rsidR="001F63A8">
        <w:rPr>
          <w:rFonts w:ascii="Times New Roman" w:hAnsi="Times New Roman" w:cs="Times New Roman"/>
          <w:b/>
        </w:rPr>
        <w:t>6</w:t>
      </w:r>
      <w:r w:rsidRPr="00AB4F6E">
        <w:rPr>
          <w:rFonts w:ascii="Times New Roman" w:hAnsi="Times New Roman" w:cs="Times New Roman"/>
          <w:b/>
        </w:rPr>
        <w:t xml:space="preserve">. </w:t>
      </w:r>
      <w:r w:rsidR="001F63A8" w:rsidRPr="001F63A8">
        <w:rPr>
          <w:rFonts w:ascii="Times New Roman" w:hAnsi="Times New Roman" w:cs="Times New Roman"/>
        </w:rPr>
        <w:t xml:space="preserve">Final </w:t>
      </w:r>
      <w:r w:rsidR="001F63A8">
        <w:rPr>
          <w:rFonts w:ascii="Times New Roman" w:hAnsi="Times New Roman" w:cs="Times New Roman"/>
        </w:rPr>
        <w:t>multi</w:t>
      </w:r>
      <w:r>
        <w:rPr>
          <w:rFonts w:ascii="Times New Roman" w:hAnsi="Times New Roman" w:cs="Times New Roman"/>
        </w:rPr>
        <w:t>varia</w:t>
      </w:r>
      <w:r w:rsidR="00395569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 xml:space="preserve">e </w:t>
      </w:r>
      <w:r w:rsidR="001F63A8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>s</w:t>
      </w:r>
      <w:r w:rsidRPr="00AB4F6E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association of</w:t>
      </w:r>
      <w:r w:rsidRPr="00AB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potential administrative </w:t>
      </w:r>
      <w:r w:rsidRPr="00AB4F6E">
        <w:rPr>
          <w:rFonts w:ascii="Times New Roman" w:hAnsi="Times New Roman" w:cs="Times New Roman"/>
        </w:rPr>
        <w:t xml:space="preserve">respiratory tract diagnosis (RTD) metrics with </w:t>
      </w:r>
      <w:r>
        <w:rPr>
          <w:rFonts w:ascii="Times New Roman" w:hAnsi="Times New Roman" w:cs="Times New Roman"/>
        </w:rPr>
        <w:t xml:space="preserve">inappropriate </w:t>
      </w:r>
      <w:r w:rsidRPr="00AB4F6E">
        <w:rPr>
          <w:rFonts w:ascii="Times New Roman" w:hAnsi="Times New Roman" w:cs="Times New Roman"/>
        </w:rPr>
        <w:t xml:space="preserve">antibiotic prescribing </w:t>
      </w:r>
      <w:r>
        <w:rPr>
          <w:rFonts w:ascii="Times New Roman" w:hAnsi="Times New Roman" w:cs="Times New Roman"/>
        </w:rPr>
        <w:t xml:space="preserve">based on </w:t>
      </w:r>
      <w:r w:rsidR="00A8212B">
        <w:rPr>
          <w:rFonts w:ascii="Times New Roman" w:hAnsi="Times New Roman" w:cs="Times New Roman"/>
        </w:rPr>
        <w:t>manual medical record</w:t>
      </w:r>
      <w:r>
        <w:rPr>
          <w:rFonts w:ascii="Times New Roman" w:hAnsi="Times New Roman" w:cs="Times New Roman"/>
        </w:rPr>
        <w:t xml:space="preserve"> review </w:t>
      </w:r>
      <w:r w:rsidRPr="00AB4F6E">
        <w:rPr>
          <w:rFonts w:ascii="Times New Roman" w:hAnsi="Times New Roman" w:cs="Times New Roman"/>
        </w:rPr>
        <w:t>for 60 randomly selected prescribers.</w:t>
      </w:r>
      <w:r w:rsidRPr="00AB4F6E">
        <w:rPr>
          <w:rFonts w:ascii="Times New Roman" w:hAnsi="Times New Roman" w:cs="Times New Roman"/>
          <w:vertAlign w:val="superscript"/>
        </w:rPr>
        <w:t>1</w:t>
      </w:r>
      <w:r w:rsidR="00AD0A2A">
        <w:rPr>
          <w:rFonts w:ascii="Times New Roman" w:hAnsi="Times New Roman" w:cs="Times New Roman"/>
          <w:vertAlign w:val="superscript"/>
        </w:rPr>
        <w:t>,2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73"/>
        <w:gridCol w:w="1247"/>
        <w:gridCol w:w="1501"/>
        <w:gridCol w:w="1243"/>
        <w:gridCol w:w="981"/>
      </w:tblGrid>
      <w:tr w:rsidR="00A56245" w:rsidRPr="00AB4F6E" w14:paraId="11EA7E9E" w14:textId="77777777" w:rsidTr="005678AF">
        <w:tc>
          <w:tcPr>
            <w:tcW w:w="4473" w:type="dxa"/>
            <w:shd w:val="clear" w:color="auto" w:fill="BFBFBF" w:themeFill="background1" w:themeFillShade="BF"/>
          </w:tcPr>
          <w:p w14:paraId="76EFACC4" w14:textId="343B5781" w:rsidR="00A56245" w:rsidRPr="00B52846" w:rsidRDefault="005678AF" w:rsidP="0039556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Candidate metric listed with </w:t>
            </w:r>
            <w:r w:rsidR="000B7E7C">
              <w:rPr>
                <w:rFonts w:ascii="Times New Roman" w:hAnsi="Times New Roman" w:cs="Times New Roman"/>
                <w:b/>
              </w:rPr>
              <w:t xml:space="preserve">prescriber characteristic </w:t>
            </w:r>
            <w:r>
              <w:rPr>
                <w:rFonts w:ascii="Times New Roman" w:hAnsi="Times New Roman" w:cs="Times New Roman"/>
                <w:b/>
              </w:rPr>
              <w:t>covariates from</w:t>
            </w:r>
            <w:r w:rsidR="000B7E7C">
              <w:rPr>
                <w:rFonts w:ascii="Times New Roman" w:hAnsi="Times New Roman" w:cs="Times New Roman"/>
                <w:b/>
              </w:rPr>
              <w:t xml:space="preserve"> final</w:t>
            </w:r>
            <w:r>
              <w:rPr>
                <w:rFonts w:ascii="Times New Roman" w:hAnsi="Times New Roman" w:cs="Times New Roman"/>
                <w:b/>
              </w:rPr>
              <w:t xml:space="preserve"> multivaria</w:t>
            </w:r>
            <w:r w:rsidR="00395569">
              <w:rPr>
                <w:rFonts w:ascii="Times New Roman" w:hAnsi="Times New Roman" w:cs="Times New Roman"/>
                <w:b/>
              </w:rPr>
              <w:t>bl</w:t>
            </w:r>
            <w:r>
              <w:rPr>
                <w:rFonts w:ascii="Times New Roman" w:hAnsi="Times New Roman" w:cs="Times New Roman"/>
                <w:b/>
              </w:rPr>
              <w:t>e model</w:t>
            </w:r>
            <w:r w:rsidR="00A47671" w:rsidRPr="00A47671"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63C3E4EB" w14:textId="4C03AF4B" w:rsidR="00A56245" w:rsidRPr="00B52846" w:rsidRDefault="005678AF" w:rsidP="00AF11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Regression coefficient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6D32062D" w14:textId="77777777" w:rsidR="00A56245" w:rsidRPr="00B52846" w:rsidRDefault="00A56245" w:rsidP="00AF11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95% CI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14:paraId="3323E163" w14:textId="0A9991CF" w:rsidR="00A56245" w:rsidRPr="00B52846" w:rsidRDefault="005678AF" w:rsidP="00AF11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p-</w:t>
            </w:r>
            <w:r w:rsidRPr="00B52846">
              <w:rPr>
                <w:rFonts w:ascii="Times New Roman" w:hAnsi="Times New Roman" w:cs="Times New Roman"/>
                <w:b/>
              </w:rPr>
              <w:t>value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028A6251" w14:textId="73BD9A0F" w:rsidR="00A56245" w:rsidRPr="00B52846" w:rsidRDefault="005678AF" w:rsidP="00AF11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846">
              <w:rPr>
                <w:rFonts w:ascii="Times New Roman" w:hAnsi="Times New Roman" w:cs="Times New Roman"/>
                <w:b/>
              </w:rPr>
              <w:t>Pseudo R</w:t>
            </w:r>
            <w:r w:rsidRPr="00B52846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A56245" w:rsidRPr="00AB4F6E" w14:paraId="2EA8C1DA" w14:textId="77777777" w:rsidTr="005678AF">
        <w:tc>
          <w:tcPr>
            <w:tcW w:w="4473" w:type="dxa"/>
          </w:tcPr>
          <w:p w14:paraId="35695CC7" w14:textId="2217062E" w:rsidR="00A56245" w:rsidRDefault="00A56245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 xml:space="preserve">Percent Prescribing for tier </w:t>
            </w:r>
            <w:r>
              <w:rPr>
                <w:rFonts w:ascii="Times New Roman" w:hAnsi="Times New Roman" w:cs="Times New Roman"/>
              </w:rPr>
              <w:t>2</w:t>
            </w:r>
            <w:r w:rsidRPr="00AB4F6E">
              <w:rPr>
                <w:rFonts w:ascii="Times New Roman" w:hAnsi="Times New Roman" w:cs="Times New Roman"/>
              </w:rPr>
              <w:t xml:space="preserve"> RTDs</w:t>
            </w:r>
          </w:p>
          <w:p w14:paraId="627CDF7C" w14:textId="0C488A65" w:rsidR="005678AF" w:rsidRDefault="00A47671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678AF">
              <w:rPr>
                <w:rFonts w:ascii="Times New Roman" w:hAnsi="Times New Roman" w:cs="Times New Roman"/>
              </w:rPr>
              <w:t>Teaching status (teaching v. non-teaching)</w:t>
            </w:r>
          </w:p>
          <w:p w14:paraId="37CDE804" w14:textId="743C71F2" w:rsidR="005678AF" w:rsidRPr="00AB4F6E" w:rsidRDefault="00A47671" w:rsidP="000B7E7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B7E7C">
              <w:rPr>
                <w:rFonts w:ascii="Times New Roman" w:hAnsi="Times New Roman" w:cs="Times New Roman"/>
              </w:rPr>
              <w:t>G</w:t>
            </w:r>
            <w:r w:rsidR="005678AF">
              <w:rPr>
                <w:rFonts w:ascii="Times New Roman" w:hAnsi="Times New Roman" w:cs="Times New Roman"/>
              </w:rPr>
              <w:t>ender (female v. male)</w:t>
            </w:r>
          </w:p>
        </w:tc>
        <w:tc>
          <w:tcPr>
            <w:tcW w:w="1247" w:type="dxa"/>
          </w:tcPr>
          <w:p w14:paraId="230363D0" w14:textId="77777777" w:rsidR="00A56245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  <w:p w14:paraId="5512504C" w14:textId="77777777" w:rsidR="005678AF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-1.12</w:t>
            </w:r>
          </w:p>
          <w:p w14:paraId="714ABF8F" w14:textId="243C6642" w:rsidR="005678AF" w:rsidRPr="00AB4F6E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01" w:type="dxa"/>
          </w:tcPr>
          <w:p w14:paraId="013F0790" w14:textId="77777777" w:rsidR="00A56245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-0.07-1.67</w:t>
            </w:r>
          </w:p>
          <w:p w14:paraId="753CF95B" w14:textId="77777777" w:rsidR="005678AF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-1.50- -0.73</w:t>
            </w:r>
          </w:p>
          <w:p w14:paraId="5BA3D68C" w14:textId="54CACCD9" w:rsidR="005678AF" w:rsidRPr="00AB4F6E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0.26-0.95</w:t>
            </w:r>
          </w:p>
        </w:tc>
        <w:tc>
          <w:tcPr>
            <w:tcW w:w="1243" w:type="dxa"/>
          </w:tcPr>
          <w:p w14:paraId="09E10FC2" w14:textId="77777777" w:rsidR="00A56245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  <w:p w14:paraId="360D0E6D" w14:textId="77777777" w:rsidR="005678AF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  <w:p w14:paraId="376A8D9B" w14:textId="0FF72C33" w:rsidR="005678AF" w:rsidRPr="00AB4F6E" w:rsidRDefault="005678AF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981" w:type="dxa"/>
          </w:tcPr>
          <w:p w14:paraId="0DC7377F" w14:textId="1144EE95" w:rsidR="00A56245" w:rsidRPr="00AB4F6E" w:rsidRDefault="00347D4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 w:rsidR="00A56245" w:rsidRPr="00AB4F6E" w14:paraId="44F2D887" w14:textId="77777777" w:rsidTr="005678AF">
        <w:tc>
          <w:tcPr>
            <w:tcW w:w="4473" w:type="dxa"/>
          </w:tcPr>
          <w:p w14:paraId="4E0EA78B" w14:textId="77777777" w:rsidR="00A56245" w:rsidRDefault="00A56245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Percent Prescribing for tier 3 RTDs</w:t>
            </w:r>
          </w:p>
          <w:p w14:paraId="42107542" w14:textId="4B868904" w:rsidR="005678AF" w:rsidRDefault="00A47671" w:rsidP="005678A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678AF">
              <w:rPr>
                <w:rFonts w:ascii="Times New Roman" w:hAnsi="Times New Roman" w:cs="Times New Roman"/>
              </w:rPr>
              <w:t>Teaching status (teaching v. non-teaching)</w:t>
            </w:r>
          </w:p>
          <w:p w14:paraId="1B21A350" w14:textId="79C64D8C" w:rsidR="005678AF" w:rsidRPr="00AB4F6E" w:rsidRDefault="00A47671" w:rsidP="000B7E7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B7E7C">
              <w:rPr>
                <w:rFonts w:ascii="Times New Roman" w:hAnsi="Times New Roman" w:cs="Times New Roman"/>
              </w:rPr>
              <w:t>G</w:t>
            </w:r>
            <w:r w:rsidR="005678AF">
              <w:rPr>
                <w:rFonts w:ascii="Times New Roman" w:hAnsi="Times New Roman" w:cs="Times New Roman"/>
              </w:rPr>
              <w:t>ender (female v. male)</w:t>
            </w:r>
          </w:p>
        </w:tc>
        <w:tc>
          <w:tcPr>
            <w:tcW w:w="1247" w:type="dxa"/>
          </w:tcPr>
          <w:p w14:paraId="55FE6CD7" w14:textId="295421AD" w:rsidR="00A56245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  <w:p w14:paraId="72D48D73" w14:textId="44A8E1A5" w:rsidR="00A72024" w:rsidRDefault="005F1FF3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-1.01</w:t>
            </w:r>
          </w:p>
          <w:p w14:paraId="7482E2BD" w14:textId="427F6AD1" w:rsidR="005F1FF3" w:rsidRPr="00AB4F6E" w:rsidRDefault="005F1FF3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501" w:type="dxa"/>
          </w:tcPr>
          <w:p w14:paraId="669EE177" w14:textId="77777777" w:rsidR="00A56245" w:rsidRDefault="00A56245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A72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-0.0</w:t>
            </w:r>
            <w:r w:rsidR="00A72024">
              <w:rPr>
                <w:rFonts w:ascii="Times New Roman" w:hAnsi="Times New Roman" w:cs="Times New Roman"/>
              </w:rPr>
              <w:t>4</w:t>
            </w:r>
          </w:p>
          <w:p w14:paraId="46D31D9C" w14:textId="6C3D2ED9" w:rsidR="005F1FF3" w:rsidRDefault="005F1FF3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-1.43- -0.51</w:t>
            </w:r>
          </w:p>
          <w:p w14:paraId="5C417315" w14:textId="4DBFEB16" w:rsidR="005F1FF3" w:rsidRPr="00AB4F6E" w:rsidRDefault="005F1FF3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0.24-0.75</w:t>
            </w:r>
          </w:p>
        </w:tc>
        <w:tc>
          <w:tcPr>
            <w:tcW w:w="1243" w:type="dxa"/>
          </w:tcPr>
          <w:p w14:paraId="67A8262F" w14:textId="77777777" w:rsidR="00A56245" w:rsidRDefault="005575ED" w:rsidP="005575E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</w:t>
            </w:r>
            <w:r w:rsidR="00A56245" w:rsidRPr="00AB4F6E">
              <w:rPr>
                <w:rFonts w:ascii="Times New Roman" w:hAnsi="Times New Roman" w:cs="Times New Roman"/>
              </w:rPr>
              <w:t>0.</w:t>
            </w:r>
            <w:r w:rsidR="00A562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4BE18CCB" w14:textId="6DF703E7" w:rsidR="005F1FF3" w:rsidRDefault="005F1FF3" w:rsidP="005575E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  <w:p w14:paraId="55E8C15F" w14:textId="46E74D45" w:rsidR="005F1FF3" w:rsidRPr="00AB4F6E" w:rsidRDefault="005F1FF3" w:rsidP="005575E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981" w:type="dxa"/>
          </w:tcPr>
          <w:p w14:paraId="5D4F440F" w14:textId="1AF54A77" w:rsidR="00A56245" w:rsidRPr="00AB4F6E" w:rsidRDefault="00A62A3E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</w:tr>
      <w:tr w:rsidR="00A56245" w:rsidRPr="00AB4F6E" w14:paraId="487F7F4B" w14:textId="77777777" w:rsidTr="005678AF">
        <w:tc>
          <w:tcPr>
            <w:tcW w:w="4473" w:type="dxa"/>
          </w:tcPr>
          <w:p w14:paraId="4D9242E0" w14:textId="2927F2C6" w:rsidR="007038CF" w:rsidRDefault="00A56245" w:rsidP="007038C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Percent Prescribing for all RTDs</w:t>
            </w:r>
            <w:r w:rsidR="007038CF">
              <w:rPr>
                <w:rFonts w:ascii="Times New Roman" w:hAnsi="Times New Roman" w:cs="Times New Roman"/>
              </w:rPr>
              <w:t xml:space="preserve"> </w:t>
            </w:r>
          </w:p>
          <w:p w14:paraId="7F1C5F4B" w14:textId="4D6F1E3B" w:rsidR="007038CF" w:rsidRDefault="00A47671" w:rsidP="007038C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038CF">
              <w:rPr>
                <w:rFonts w:ascii="Times New Roman" w:hAnsi="Times New Roman" w:cs="Times New Roman"/>
              </w:rPr>
              <w:t>Teaching status (teaching v. non-teaching)</w:t>
            </w:r>
          </w:p>
          <w:p w14:paraId="33698E28" w14:textId="5DA757DB" w:rsidR="00A56245" w:rsidRPr="00AB4F6E" w:rsidRDefault="00A47671" w:rsidP="007038C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038CF">
              <w:rPr>
                <w:rFonts w:ascii="Times New Roman" w:hAnsi="Times New Roman" w:cs="Times New Roman"/>
              </w:rPr>
              <w:t>Prescriber gender (female v. male)</w:t>
            </w:r>
          </w:p>
        </w:tc>
        <w:tc>
          <w:tcPr>
            <w:tcW w:w="1247" w:type="dxa"/>
          </w:tcPr>
          <w:p w14:paraId="252B00FD" w14:textId="2748F31E" w:rsidR="00A56245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  <w:p w14:paraId="7043C098" w14:textId="4B41B39B" w:rsidR="004637B8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-0.89</w:t>
            </w:r>
          </w:p>
          <w:p w14:paraId="737F6992" w14:textId="4CA384B2" w:rsidR="004637B8" w:rsidRPr="00AB4F6E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  <w:r w:rsidR="00463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</w:tcPr>
          <w:p w14:paraId="653DAB61" w14:textId="6899E502" w:rsidR="00A56245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0.01-0.03</w:t>
            </w:r>
          </w:p>
          <w:p w14:paraId="1268E66D" w14:textId="05017C03" w:rsidR="004637B8" w:rsidRDefault="00CF5C19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-1.28- -0.4</w:t>
            </w:r>
            <w:r w:rsidR="004637B8">
              <w:rPr>
                <w:rFonts w:ascii="Times New Roman" w:hAnsi="Times New Roman" w:cs="Times New Roman"/>
              </w:rPr>
              <w:t>9</w:t>
            </w:r>
          </w:p>
          <w:p w14:paraId="7A020C75" w14:textId="41047AF7" w:rsidR="004637B8" w:rsidRPr="00AB4F6E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0.31-0.92</w:t>
            </w:r>
          </w:p>
        </w:tc>
        <w:tc>
          <w:tcPr>
            <w:tcW w:w="1243" w:type="dxa"/>
          </w:tcPr>
          <w:p w14:paraId="0A0DB836" w14:textId="77777777" w:rsidR="00A56245" w:rsidRDefault="00A62A3E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  <w:p w14:paraId="364D5B06" w14:textId="77777777" w:rsidR="004637B8" w:rsidRDefault="004637B8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  <w:p w14:paraId="3BA4DF9D" w14:textId="1ECEE29F" w:rsidR="004637B8" w:rsidRPr="00AB4F6E" w:rsidRDefault="004637B8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981" w:type="dxa"/>
          </w:tcPr>
          <w:p w14:paraId="3F234E4C" w14:textId="615FA40C" w:rsidR="00A56245" w:rsidRPr="00AB4F6E" w:rsidRDefault="009B5162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  <w:tr w:rsidR="00A56245" w:rsidRPr="00AB4F6E" w14:paraId="4DE188E1" w14:textId="77777777" w:rsidTr="005678AF">
        <w:tc>
          <w:tcPr>
            <w:tcW w:w="4473" w:type="dxa"/>
          </w:tcPr>
          <w:p w14:paraId="41333817" w14:textId="78150EF4" w:rsidR="00A72024" w:rsidRDefault="00A56245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AB4F6E">
              <w:rPr>
                <w:rFonts w:ascii="Times New Roman" w:hAnsi="Times New Roman" w:cs="Times New Roman"/>
              </w:rPr>
              <w:t>Seasonal prescribing variance</w:t>
            </w:r>
            <w:r w:rsidR="00A72024">
              <w:rPr>
                <w:rFonts w:ascii="Times New Roman" w:hAnsi="Times New Roman" w:cs="Times New Roman"/>
              </w:rPr>
              <w:t xml:space="preserve"> </w:t>
            </w:r>
          </w:p>
          <w:p w14:paraId="64FBA65E" w14:textId="4530EAF7" w:rsidR="00A72024" w:rsidRDefault="00A47671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2024">
              <w:rPr>
                <w:rFonts w:ascii="Times New Roman" w:hAnsi="Times New Roman" w:cs="Times New Roman"/>
              </w:rPr>
              <w:t>Teaching status (teaching v. non-teaching)</w:t>
            </w:r>
          </w:p>
          <w:p w14:paraId="6FEF0E86" w14:textId="5A935F0E" w:rsidR="00A56245" w:rsidRPr="00AB4F6E" w:rsidRDefault="00A47671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72024">
              <w:rPr>
                <w:rFonts w:ascii="Times New Roman" w:hAnsi="Times New Roman" w:cs="Times New Roman"/>
              </w:rPr>
              <w:t>Prescriber gender (female v. male)</w:t>
            </w:r>
          </w:p>
        </w:tc>
        <w:tc>
          <w:tcPr>
            <w:tcW w:w="1247" w:type="dxa"/>
          </w:tcPr>
          <w:p w14:paraId="7950CF3C" w14:textId="1D38C08C" w:rsidR="00A72024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  <w:p w14:paraId="5E01202F" w14:textId="77777777" w:rsidR="00A72024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-1.21</w:t>
            </w:r>
          </w:p>
          <w:p w14:paraId="410D1022" w14:textId="4904AB5C" w:rsidR="00A72024" w:rsidRPr="00AB4F6E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501" w:type="dxa"/>
          </w:tcPr>
          <w:p w14:paraId="6D710D0E" w14:textId="0E110410" w:rsidR="00A72024" w:rsidRDefault="00A56245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A720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-0.</w:t>
            </w:r>
            <w:r w:rsidR="00A72024">
              <w:rPr>
                <w:rFonts w:ascii="Times New Roman" w:hAnsi="Times New Roman" w:cs="Times New Roman"/>
              </w:rPr>
              <w:t>07</w:t>
            </w:r>
          </w:p>
          <w:p w14:paraId="0620F4B8" w14:textId="77777777" w:rsidR="00A72024" w:rsidRDefault="00A72024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-1.57- -0.85</w:t>
            </w:r>
          </w:p>
          <w:p w14:paraId="2D30C018" w14:textId="46F3C77E" w:rsidR="00A72024" w:rsidRPr="00AB4F6E" w:rsidRDefault="00A72024" w:rsidP="00A720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0.20-0.83</w:t>
            </w:r>
          </w:p>
        </w:tc>
        <w:tc>
          <w:tcPr>
            <w:tcW w:w="1243" w:type="dxa"/>
          </w:tcPr>
          <w:p w14:paraId="6FE05BEC" w14:textId="464C2E07" w:rsidR="00A72024" w:rsidRDefault="00A56245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2024">
              <w:rPr>
                <w:rFonts w:ascii="Times New Roman" w:hAnsi="Times New Roman" w:cs="Times New Roman"/>
              </w:rPr>
              <w:t>.04</w:t>
            </w:r>
          </w:p>
          <w:p w14:paraId="70FE4EA4" w14:textId="77777777" w:rsidR="00A72024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  <w:p w14:paraId="42462718" w14:textId="3C2C66CB" w:rsidR="00A72024" w:rsidRPr="00AB4F6E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981" w:type="dxa"/>
          </w:tcPr>
          <w:p w14:paraId="18569D69" w14:textId="5F55E56E" w:rsidR="00A56245" w:rsidRPr="00AB4F6E" w:rsidRDefault="00A72024" w:rsidP="00AF114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</w:tr>
    </w:tbl>
    <w:p w14:paraId="7ED1219D" w14:textId="0DE54887" w:rsidR="00A56245" w:rsidRDefault="00A56245" w:rsidP="00A5624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14:paraId="301C2C06" w14:textId="379AFC6E" w:rsidR="00AD0A2A" w:rsidRDefault="00AD0A2A" w:rsidP="00AD0A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Multivaria</w:t>
      </w:r>
      <w:r w:rsidR="00395569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>e</w:t>
      </w:r>
      <w:r w:rsidRPr="00AD0A2A">
        <w:rPr>
          <w:rFonts w:ascii="Times New Roman" w:hAnsi="Times New Roman" w:cs="Times New Roman"/>
        </w:rPr>
        <w:t xml:space="preserve"> fractional logistic regression</w:t>
      </w:r>
      <w:r w:rsidR="003127D0">
        <w:rPr>
          <w:rFonts w:ascii="Times New Roman" w:hAnsi="Times New Roman" w:cs="Times New Roman"/>
        </w:rPr>
        <w:t xml:space="preserve"> was</w:t>
      </w:r>
      <w:r w:rsidRPr="00AD0A2A">
        <w:rPr>
          <w:rFonts w:ascii="Times New Roman" w:hAnsi="Times New Roman" w:cs="Times New Roman"/>
        </w:rPr>
        <w:t xml:space="preserve"> used to determine association of several metrics with the dependent variable inappropriate antibiotic prescribing for RTDs as determined by manual </w:t>
      </w:r>
      <w:r w:rsidR="0039257F">
        <w:rPr>
          <w:rFonts w:ascii="Times New Roman" w:hAnsi="Times New Roman" w:cs="Times New Roman"/>
        </w:rPr>
        <w:t>medical record</w:t>
      </w:r>
      <w:bookmarkStart w:id="0" w:name="_GoBack"/>
      <w:bookmarkEnd w:id="0"/>
      <w:r w:rsidRPr="00AD0A2A">
        <w:rPr>
          <w:rFonts w:ascii="Times New Roman" w:hAnsi="Times New Roman" w:cs="Times New Roman"/>
        </w:rPr>
        <w:t xml:space="preserve"> review.</w:t>
      </w:r>
    </w:p>
    <w:p w14:paraId="76CD77EE" w14:textId="5C9144F3" w:rsidR="00AD0A2A" w:rsidRDefault="00AD0A2A" w:rsidP="00AD0A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Candidate covariate prescriber board certification year </w:t>
      </w:r>
      <w:r w:rsidR="000B7E7C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not included in </w:t>
      </w:r>
      <w:r w:rsidR="003127D0">
        <w:rPr>
          <w:rFonts w:ascii="Times New Roman" w:hAnsi="Times New Roman" w:cs="Times New Roman"/>
        </w:rPr>
        <w:t>final multivaria</w:t>
      </w:r>
      <w:r w:rsidR="00395569">
        <w:rPr>
          <w:rFonts w:ascii="Times New Roman" w:hAnsi="Times New Roman" w:cs="Times New Roman"/>
        </w:rPr>
        <w:t>bl</w:t>
      </w:r>
      <w:r w:rsidR="003127D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model</w:t>
      </w:r>
      <w:r w:rsidR="000B7E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because p&gt;0.20</w:t>
      </w:r>
      <w:r w:rsidR="003127D0">
        <w:rPr>
          <w:rFonts w:ascii="Times New Roman" w:hAnsi="Times New Roman" w:cs="Times New Roman"/>
        </w:rPr>
        <w:t xml:space="preserve"> in univaria</w:t>
      </w:r>
      <w:r w:rsidR="00A05299">
        <w:rPr>
          <w:rFonts w:ascii="Times New Roman" w:hAnsi="Times New Roman" w:cs="Times New Roman"/>
        </w:rPr>
        <w:t>bl</w:t>
      </w:r>
      <w:r w:rsidR="003127D0">
        <w:rPr>
          <w:rFonts w:ascii="Times New Roman" w:hAnsi="Times New Roman" w:cs="Times New Roman"/>
        </w:rPr>
        <w:t>e analysis</w:t>
      </w:r>
      <w:r>
        <w:rPr>
          <w:rFonts w:ascii="Times New Roman" w:hAnsi="Times New Roman" w:cs="Times New Roman"/>
        </w:rPr>
        <w:t xml:space="preserve">; candidate covariates </w:t>
      </w:r>
      <w:r>
        <w:rPr>
          <w:rFonts w:ascii="Times New Roman" w:hAnsi="Times New Roman" w:cs="Times New Roman"/>
        </w:rPr>
        <w:lastRenderedPageBreak/>
        <w:t>prescriber degree, prescriber specialty, and median Charlson comorbidity</w:t>
      </w:r>
      <w:r w:rsidR="003127D0">
        <w:rPr>
          <w:rFonts w:ascii="Times New Roman" w:hAnsi="Times New Roman" w:cs="Times New Roman"/>
        </w:rPr>
        <w:t xml:space="preserve"> index</w:t>
      </w:r>
      <w:r>
        <w:rPr>
          <w:rFonts w:ascii="Times New Roman" w:hAnsi="Times New Roman" w:cs="Times New Roman"/>
        </w:rPr>
        <w:t xml:space="preserve"> </w:t>
      </w:r>
      <w:r w:rsidR="000B7E7C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not included in final multivaria</w:t>
      </w:r>
      <w:r w:rsidR="00395569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 xml:space="preserve">e models because </w:t>
      </w:r>
      <w:r w:rsidR="00CF5C19">
        <w:rPr>
          <w:rFonts w:ascii="Times New Roman" w:hAnsi="Times New Roman" w:cs="Times New Roman"/>
        </w:rPr>
        <w:t xml:space="preserve">they were </w:t>
      </w:r>
      <w:r>
        <w:rPr>
          <w:rFonts w:ascii="Times New Roman" w:hAnsi="Times New Roman" w:cs="Times New Roman"/>
        </w:rPr>
        <w:t>not statistically significant when included in multivaria</w:t>
      </w:r>
      <w:r w:rsidR="00395569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>e model</w:t>
      </w:r>
      <w:r w:rsidR="000B7E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;</w:t>
      </w:r>
      <w:r w:rsidR="000B7E7C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candidate covariate practice location </w:t>
      </w:r>
      <w:r w:rsidR="000B7E7C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>not included in final multivaria</w:t>
      </w:r>
      <w:r w:rsidR="00395569">
        <w:rPr>
          <w:rFonts w:ascii="Times New Roman" w:hAnsi="Times New Roman" w:cs="Times New Roman"/>
        </w:rPr>
        <w:t>bl</w:t>
      </w:r>
      <w:r>
        <w:rPr>
          <w:rFonts w:ascii="Times New Roman" w:hAnsi="Times New Roman" w:cs="Times New Roman"/>
        </w:rPr>
        <w:t>e model</w:t>
      </w:r>
      <w:r w:rsidR="000B7E7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because</w:t>
      </w:r>
      <w:r w:rsidR="000B7E7C">
        <w:rPr>
          <w:rFonts w:ascii="Times New Roman" w:hAnsi="Times New Roman" w:cs="Times New Roman"/>
        </w:rPr>
        <w:t xml:space="preserve"> it was</w:t>
      </w:r>
      <w:r>
        <w:rPr>
          <w:rFonts w:ascii="Times New Roman" w:hAnsi="Times New Roman" w:cs="Times New Roman"/>
        </w:rPr>
        <w:t xml:space="preserve"> co-linear with teaching status</w:t>
      </w:r>
      <w:r w:rsidR="00070CDF">
        <w:rPr>
          <w:rFonts w:ascii="Times New Roman" w:hAnsi="Times New Roman" w:cs="Times New Roman"/>
        </w:rPr>
        <w:t>.</w:t>
      </w:r>
    </w:p>
    <w:p w14:paraId="7AF0B626" w14:textId="3ED18C33" w:rsidR="00070CDF" w:rsidRPr="00AD0A2A" w:rsidRDefault="00070CDF" w:rsidP="00AD0A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between percent antibiotic p</w:t>
      </w:r>
      <w:r w:rsidRPr="00AB4F6E">
        <w:rPr>
          <w:rFonts w:ascii="Times New Roman" w:hAnsi="Times New Roman" w:cs="Times New Roman"/>
        </w:rPr>
        <w:t>rescribing</w:t>
      </w:r>
      <w:r>
        <w:rPr>
          <w:rFonts w:ascii="Times New Roman" w:hAnsi="Times New Roman" w:cs="Times New Roman"/>
        </w:rPr>
        <w:t xml:space="preserve"> for RTDs</w:t>
      </w:r>
      <w:r w:rsidRPr="00AB4F6E">
        <w:rPr>
          <w:rFonts w:ascii="Times New Roman" w:hAnsi="Times New Roman" w:cs="Times New Roman"/>
        </w:rPr>
        <w:t xml:space="preserve"> in winter </w:t>
      </w:r>
      <w:r>
        <w:rPr>
          <w:rFonts w:ascii="Times New Roman" w:hAnsi="Times New Roman" w:cs="Times New Roman"/>
        </w:rPr>
        <w:t>and</w:t>
      </w:r>
      <w:r w:rsidRPr="00AB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percent</w:t>
      </w:r>
      <w:r w:rsidRPr="00AB4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antibiotic </w:t>
      </w:r>
      <w:r w:rsidRPr="00AB4F6E">
        <w:rPr>
          <w:rFonts w:ascii="Times New Roman" w:hAnsi="Times New Roman" w:cs="Times New Roman"/>
        </w:rPr>
        <w:t xml:space="preserve">prescribing </w:t>
      </w:r>
      <w:r>
        <w:rPr>
          <w:rFonts w:ascii="Times New Roman" w:hAnsi="Times New Roman" w:cs="Times New Roman"/>
        </w:rPr>
        <w:t>for RTDs</w:t>
      </w:r>
      <w:r w:rsidRPr="00AB4F6E">
        <w:rPr>
          <w:rFonts w:ascii="Times New Roman" w:hAnsi="Times New Roman" w:cs="Times New Roman"/>
        </w:rPr>
        <w:t xml:space="preserve"> in summer</w:t>
      </w:r>
      <w:r>
        <w:rPr>
          <w:rFonts w:ascii="Times New Roman" w:hAnsi="Times New Roman" w:cs="Times New Roman"/>
        </w:rPr>
        <w:t>.</w:t>
      </w:r>
    </w:p>
    <w:sectPr w:rsidR="00070CDF" w:rsidRPr="00AD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725D"/>
    <w:multiLevelType w:val="hybridMultilevel"/>
    <w:tmpl w:val="614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18DD"/>
    <w:multiLevelType w:val="hybridMultilevel"/>
    <w:tmpl w:val="55F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D9C"/>
    <w:multiLevelType w:val="hybridMultilevel"/>
    <w:tmpl w:val="3958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B52"/>
    <w:multiLevelType w:val="hybridMultilevel"/>
    <w:tmpl w:val="5E28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6F38"/>
    <w:multiLevelType w:val="hybridMultilevel"/>
    <w:tmpl w:val="A586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3263E"/>
    <w:multiLevelType w:val="hybridMultilevel"/>
    <w:tmpl w:val="8372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2249"/>
    <w:multiLevelType w:val="hybridMultilevel"/>
    <w:tmpl w:val="2402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7686"/>
    <w:multiLevelType w:val="hybridMultilevel"/>
    <w:tmpl w:val="8A1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82D43"/>
    <w:multiLevelType w:val="hybridMultilevel"/>
    <w:tmpl w:val="4C22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E7FC1"/>
    <w:multiLevelType w:val="hybridMultilevel"/>
    <w:tmpl w:val="712A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67C1B"/>
    <w:multiLevelType w:val="hybridMultilevel"/>
    <w:tmpl w:val="B5B4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D6AB9"/>
    <w:multiLevelType w:val="hybridMultilevel"/>
    <w:tmpl w:val="3036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A5DF0"/>
    <w:multiLevelType w:val="hybridMultilevel"/>
    <w:tmpl w:val="464A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BA"/>
    <w:rsid w:val="00013417"/>
    <w:rsid w:val="00013679"/>
    <w:rsid w:val="00014E7F"/>
    <w:rsid w:val="00041362"/>
    <w:rsid w:val="00046256"/>
    <w:rsid w:val="00070CDF"/>
    <w:rsid w:val="00071DE5"/>
    <w:rsid w:val="00081BDF"/>
    <w:rsid w:val="000A7733"/>
    <w:rsid w:val="000B1A4A"/>
    <w:rsid w:val="000B7E7C"/>
    <w:rsid w:val="00125F40"/>
    <w:rsid w:val="00150367"/>
    <w:rsid w:val="00153620"/>
    <w:rsid w:val="0019686C"/>
    <w:rsid w:val="001B7E82"/>
    <w:rsid w:val="001D6920"/>
    <w:rsid w:val="001F63A8"/>
    <w:rsid w:val="00203C87"/>
    <w:rsid w:val="00225312"/>
    <w:rsid w:val="002356C6"/>
    <w:rsid w:val="00250FFB"/>
    <w:rsid w:val="00272185"/>
    <w:rsid w:val="00275D8F"/>
    <w:rsid w:val="002D4D98"/>
    <w:rsid w:val="003013A8"/>
    <w:rsid w:val="0030344B"/>
    <w:rsid w:val="003127D0"/>
    <w:rsid w:val="00330519"/>
    <w:rsid w:val="00347D42"/>
    <w:rsid w:val="00384EFE"/>
    <w:rsid w:val="0039257F"/>
    <w:rsid w:val="00395569"/>
    <w:rsid w:val="003B7944"/>
    <w:rsid w:val="003F6765"/>
    <w:rsid w:val="00412509"/>
    <w:rsid w:val="00452DC4"/>
    <w:rsid w:val="004637B8"/>
    <w:rsid w:val="00464231"/>
    <w:rsid w:val="004A0D9A"/>
    <w:rsid w:val="004C0785"/>
    <w:rsid w:val="004C36C9"/>
    <w:rsid w:val="004D4BBA"/>
    <w:rsid w:val="004F56F3"/>
    <w:rsid w:val="005575ED"/>
    <w:rsid w:val="005678AF"/>
    <w:rsid w:val="005870C5"/>
    <w:rsid w:val="00592105"/>
    <w:rsid w:val="005C5991"/>
    <w:rsid w:val="005E7111"/>
    <w:rsid w:val="005F1034"/>
    <w:rsid w:val="005F1FF3"/>
    <w:rsid w:val="005F5651"/>
    <w:rsid w:val="00604D21"/>
    <w:rsid w:val="00616A9E"/>
    <w:rsid w:val="00620B63"/>
    <w:rsid w:val="006231E1"/>
    <w:rsid w:val="00624EB2"/>
    <w:rsid w:val="00680E50"/>
    <w:rsid w:val="006871DD"/>
    <w:rsid w:val="006F0C7A"/>
    <w:rsid w:val="007038CF"/>
    <w:rsid w:val="00785AB0"/>
    <w:rsid w:val="007D16D0"/>
    <w:rsid w:val="007E1431"/>
    <w:rsid w:val="007E7AD2"/>
    <w:rsid w:val="007F7533"/>
    <w:rsid w:val="00802F98"/>
    <w:rsid w:val="008338F6"/>
    <w:rsid w:val="00880DF5"/>
    <w:rsid w:val="00891520"/>
    <w:rsid w:val="0090704F"/>
    <w:rsid w:val="009B5162"/>
    <w:rsid w:val="009E59D6"/>
    <w:rsid w:val="00A05299"/>
    <w:rsid w:val="00A47671"/>
    <w:rsid w:val="00A56245"/>
    <w:rsid w:val="00A62A3E"/>
    <w:rsid w:val="00A71D4A"/>
    <w:rsid w:val="00A72024"/>
    <w:rsid w:val="00A8212B"/>
    <w:rsid w:val="00A86775"/>
    <w:rsid w:val="00A95428"/>
    <w:rsid w:val="00AB549C"/>
    <w:rsid w:val="00AB706B"/>
    <w:rsid w:val="00AD0A2A"/>
    <w:rsid w:val="00AF1149"/>
    <w:rsid w:val="00B52846"/>
    <w:rsid w:val="00BB4782"/>
    <w:rsid w:val="00BE078C"/>
    <w:rsid w:val="00C56077"/>
    <w:rsid w:val="00C64076"/>
    <w:rsid w:val="00C677B9"/>
    <w:rsid w:val="00C815D1"/>
    <w:rsid w:val="00C934DA"/>
    <w:rsid w:val="00CD00E1"/>
    <w:rsid w:val="00CF0053"/>
    <w:rsid w:val="00CF5C19"/>
    <w:rsid w:val="00D2573F"/>
    <w:rsid w:val="00D534EE"/>
    <w:rsid w:val="00D94157"/>
    <w:rsid w:val="00DD1B92"/>
    <w:rsid w:val="00DF3200"/>
    <w:rsid w:val="00E2628E"/>
    <w:rsid w:val="00E35DB9"/>
    <w:rsid w:val="00EA4611"/>
    <w:rsid w:val="00EB1458"/>
    <w:rsid w:val="00F00EA3"/>
    <w:rsid w:val="00F35F5D"/>
    <w:rsid w:val="00F7324B"/>
    <w:rsid w:val="00F91D39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2D13"/>
  <w15:chartTrackingRefBased/>
  <w15:docId w15:val="{51A23315-9445-4FEB-8368-203984F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51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F5D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04D21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04D21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4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pertussis/surv-report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6434-2A74-4D92-943F-A3A2222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Keith</dc:creator>
  <cp:keywords/>
  <dc:description/>
  <cp:lastModifiedBy>Hamilton, Keith</cp:lastModifiedBy>
  <cp:revision>15</cp:revision>
  <dcterms:created xsi:type="dcterms:W3CDTF">2023-06-13T06:29:00Z</dcterms:created>
  <dcterms:modified xsi:type="dcterms:W3CDTF">2023-06-14T23:35:00Z</dcterms:modified>
</cp:coreProperties>
</file>