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AE0E" w14:textId="7525C14C" w:rsidR="005D492C" w:rsidRDefault="003A4CA3" w:rsidP="00BF549C">
      <w:pPr>
        <w:spacing w:line="240" w:lineRule="auto"/>
        <w:jc w:val="center"/>
        <w:rPr>
          <w:rFonts w:ascii="Arial" w:hAnsi="Arial" w:cs="Arial"/>
          <w:sz w:val="24"/>
          <w:szCs w:val="24"/>
        </w:rPr>
      </w:pPr>
      <w:r>
        <w:rPr>
          <w:rFonts w:ascii="Arial" w:hAnsi="Arial" w:cs="Arial"/>
          <w:sz w:val="24"/>
          <w:szCs w:val="24"/>
        </w:rPr>
        <w:t>Supplement to: Risk Factors for Healthcare-associated Candidemia in Adults Hospitalized with SARS-CoV-2 Infection</w:t>
      </w:r>
    </w:p>
    <w:p w14:paraId="5C4CE025" w14:textId="77777777" w:rsidR="003A4CA3" w:rsidRDefault="003A4CA3" w:rsidP="00BF549C">
      <w:pPr>
        <w:spacing w:line="240" w:lineRule="auto"/>
        <w:rPr>
          <w:rFonts w:ascii="Arial" w:hAnsi="Arial" w:cs="Arial"/>
          <w:sz w:val="24"/>
          <w:szCs w:val="24"/>
        </w:rPr>
      </w:pPr>
    </w:p>
    <w:p w14:paraId="70126C55" w14:textId="4F596DAE" w:rsidR="00C73965" w:rsidRDefault="00C73965" w:rsidP="00BF549C">
      <w:pPr>
        <w:spacing w:line="240" w:lineRule="auto"/>
        <w:rPr>
          <w:rFonts w:ascii="Arial" w:hAnsi="Arial" w:cs="Arial"/>
          <w:sz w:val="24"/>
          <w:szCs w:val="24"/>
        </w:rPr>
      </w:pPr>
      <w:r>
        <w:rPr>
          <w:rFonts w:ascii="Arial" w:hAnsi="Arial" w:cs="Arial"/>
          <w:sz w:val="24"/>
          <w:szCs w:val="24"/>
        </w:rPr>
        <w:t>Supplemental Methods:</w:t>
      </w:r>
    </w:p>
    <w:p w14:paraId="2A72D563" w14:textId="0A8BE0C9" w:rsidR="004A2AAF" w:rsidRDefault="009C5874" w:rsidP="00BF549C">
      <w:pPr>
        <w:spacing w:line="240" w:lineRule="auto"/>
        <w:rPr>
          <w:rFonts w:ascii="Arial" w:hAnsi="Arial" w:cs="Arial"/>
          <w:sz w:val="24"/>
          <w:szCs w:val="24"/>
        </w:rPr>
      </w:pPr>
      <w:r>
        <w:rPr>
          <w:rFonts w:ascii="Arial" w:hAnsi="Arial" w:cs="Arial"/>
          <w:sz w:val="24"/>
          <w:szCs w:val="24"/>
        </w:rPr>
        <w:t>Further specification on selection of the study population</w:t>
      </w:r>
      <w:r w:rsidR="0074288D">
        <w:rPr>
          <w:rFonts w:ascii="Arial" w:hAnsi="Arial" w:cs="Arial"/>
          <w:sz w:val="24"/>
          <w:szCs w:val="24"/>
        </w:rPr>
        <w:t>:</w:t>
      </w:r>
    </w:p>
    <w:p w14:paraId="7F4C97FB" w14:textId="4E8125EF" w:rsidR="0074288D" w:rsidRDefault="0074288D" w:rsidP="0074288D">
      <w:pPr>
        <w:pStyle w:val="ListParagraph"/>
        <w:numPr>
          <w:ilvl w:val="0"/>
          <w:numId w:val="2"/>
        </w:numPr>
        <w:spacing w:line="240" w:lineRule="auto"/>
        <w:rPr>
          <w:rFonts w:ascii="Arial" w:hAnsi="Arial" w:cs="Arial"/>
          <w:sz w:val="24"/>
          <w:szCs w:val="24"/>
        </w:rPr>
      </w:pPr>
      <w:r>
        <w:rPr>
          <w:rFonts w:ascii="Arial" w:hAnsi="Arial" w:cs="Arial"/>
          <w:sz w:val="24"/>
          <w:szCs w:val="24"/>
        </w:rPr>
        <w:t>The database did not have reliable discharge dates so infections within 30 days of a SARS-CoV-2 associated hospital admission were used as a proxy for infections occurring during the index hospitalization.</w:t>
      </w:r>
    </w:p>
    <w:p w14:paraId="57F584A6" w14:textId="7E73D962" w:rsidR="009A590A" w:rsidRDefault="009A590A" w:rsidP="0074288D">
      <w:pPr>
        <w:pStyle w:val="ListParagraph"/>
        <w:numPr>
          <w:ilvl w:val="0"/>
          <w:numId w:val="2"/>
        </w:numPr>
        <w:spacing w:line="240" w:lineRule="auto"/>
        <w:rPr>
          <w:rFonts w:ascii="Arial" w:hAnsi="Arial" w:cs="Arial"/>
          <w:sz w:val="24"/>
          <w:szCs w:val="24"/>
        </w:rPr>
      </w:pPr>
      <w:r w:rsidRPr="1E95C873">
        <w:rPr>
          <w:rFonts w:ascii="Arial" w:hAnsi="Arial" w:cs="Arial"/>
          <w:sz w:val="24"/>
          <w:szCs w:val="24"/>
        </w:rPr>
        <w:t xml:space="preserve">We </w:t>
      </w:r>
      <w:r>
        <w:rPr>
          <w:rFonts w:ascii="Arial" w:hAnsi="Arial" w:cs="Arial"/>
          <w:sz w:val="24"/>
          <w:szCs w:val="24"/>
        </w:rPr>
        <w:t>only used</w:t>
      </w:r>
      <w:r w:rsidRPr="1E95C873">
        <w:rPr>
          <w:rFonts w:ascii="Arial" w:hAnsi="Arial" w:cs="Arial"/>
          <w:sz w:val="24"/>
          <w:szCs w:val="24"/>
        </w:rPr>
        <w:t xml:space="preserve"> b</w:t>
      </w:r>
      <w:r>
        <w:rPr>
          <w:rFonts w:ascii="Arial" w:hAnsi="Arial" w:cs="Arial"/>
          <w:sz w:val="24"/>
          <w:szCs w:val="24"/>
        </w:rPr>
        <w:t>lood culture</w:t>
      </w:r>
      <w:r w:rsidRPr="1D4F067B">
        <w:rPr>
          <w:rFonts w:ascii="Arial" w:hAnsi="Arial" w:cs="Arial"/>
          <w:sz w:val="24"/>
          <w:szCs w:val="24"/>
        </w:rPr>
        <w:t xml:space="preserve"> result</w:t>
      </w:r>
      <w:r>
        <w:rPr>
          <w:rFonts w:ascii="Arial" w:hAnsi="Arial" w:cs="Arial"/>
          <w:sz w:val="24"/>
          <w:szCs w:val="24"/>
        </w:rPr>
        <w:t xml:space="preserve">s because </w:t>
      </w:r>
      <w:r w:rsidRPr="1D4F067B">
        <w:rPr>
          <w:rFonts w:ascii="Arial" w:hAnsi="Arial" w:cs="Arial"/>
          <w:sz w:val="24"/>
          <w:szCs w:val="24"/>
        </w:rPr>
        <w:t xml:space="preserve">cultures from </w:t>
      </w:r>
      <w:r>
        <w:rPr>
          <w:rFonts w:ascii="Arial" w:hAnsi="Arial" w:cs="Arial"/>
          <w:sz w:val="24"/>
          <w:szCs w:val="24"/>
        </w:rPr>
        <w:t>non-sterile collection sites do not definitively establish infection and positive cultures from other sterile sites were rare in the data.</w:t>
      </w:r>
    </w:p>
    <w:p w14:paraId="7B047B24" w14:textId="75F5085D" w:rsidR="00D0000C" w:rsidRDefault="00D0000C" w:rsidP="0074288D">
      <w:pPr>
        <w:pStyle w:val="ListParagraph"/>
        <w:numPr>
          <w:ilvl w:val="0"/>
          <w:numId w:val="2"/>
        </w:numPr>
        <w:spacing w:line="240" w:lineRule="auto"/>
        <w:rPr>
          <w:rFonts w:ascii="Arial" w:hAnsi="Arial" w:cs="Arial"/>
          <w:sz w:val="24"/>
          <w:szCs w:val="24"/>
        </w:rPr>
      </w:pPr>
      <w:r>
        <w:rPr>
          <w:rFonts w:ascii="Arial" w:hAnsi="Arial" w:cs="Arial"/>
          <w:sz w:val="24"/>
          <w:szCs w:val="24"/>
        </w:rPr>
        <w:t>Controls with positive blood cultures were used because they</w:t>
      </w:r>
      <w:r w:rsidRPr="1D4F067B">
        <w:rPr>
          <w:rFonts w:ascii="Arial" w:hAnsi="Arial" w:cs="Arial"/>
          <w:sz w:val="24"/>
          <w:szCs w:val="24"/>
        </w:rPr>
        <w:t xml:space="preserve"> 1)</w:t>
      </w:r>
      <w:r>
        <w:rPr>
          <w:rFonts w:ascii="Arial" w:hAnsi="Arial" w:cs="Arial"/>
          <w:sz w:val="24"/>
          <w:szCs w:val="24"/>
        </w:rPr>
        <w:t xml:space="preserve"> served as proven test negative controls (definitively did not have candidemia) and </w:t>
      </w:r>
      <w:r w:rsidRPr="1D4F067B">
        <w:rPr>
          <w:rFonts w:ascii="Arial" w:hAnsi="Arial" w:cs="Arial"/>
          <w:sz w:val="24"/>
          <w:szCs w:val="24"/>
        </w:rPr>
        <w:t xml:space="preserve">2) </w:t>
      </w:r>
      <w:r>
        <w:rPr>
          <w:rFonts w:ascii="Arial" w:hAnsi="Arial" w:cs="Arial"/>
          <w:sz w:val="24"/>
          <w:szCs w:val="24"/>
        </w:rPr>
        <w:t>likely had similar indications for obtaining blood cultures.</w:t>
      </w:r>
    </w:p>
    <w:p w14:paraId="4F157BDB" w14:textId="6B701927" w:rsidR="00742F49" w:rsidRDefault="00742F49" w:rsidP="0074288D">
      <w:pPr>
        <w:pStyle w:val="ListParagraph"/>
        <w:numPr>
          <w:ilvl w:val="0"/>
          <w:numId w:val="2"/>
        </w:numPr>
        <w:spacing w:line="240" w:lineRule="auto"/>
        <w:rPr>
          <w:rFonts w:ascii="Arial" w:hAnsi="Arial" w:cs="Arial"/>
          <w:sz w:val="24"/>
          <w:szCs w:val="24"/>
        </w:rPr>
      </w:pPr>
      <w:r w:rsidRPr="1D4F067B">
        <w:rPr>
          <w:rFonts w:ascii="Arial" w:hAnsi="Arial" w:cs="Arial"/>
          <w:sz w:val="24"/>
          <w:szCs w:val="24"/>
        </w:rPr>
        <w:t>Individuals with</w:t>
      </w:r>
      <w:r>
        <w:rPr>
          <w:rFonts w:ascii="Arial" w:hAnsi="Arial" w:cs="Arial"/>
          <w:sz w:val="24"/>
          <w:szCs w:val="24"/>
        </w:rPr>
        <w:t xml:space="preserve"> separate blood cultures positive for </w:t>
      </w:r>
      <w:r w:rsidRPr="1E95C873">
        <w:rPr>
          <w:rFonts w:ascii="Arial" w:hAnsi="Arial" w:cs="Arial"/>
          <w:i/>
          <w:iCs/>
          <w:sz w:val="24"/>
          <w:szCs w:val="24"/>
        </w:rPr>
        <w:t>Candida</w:t>
      </w:r>
      <w:r>
        <w:rPr>
          <w:rFonts w:ascii="Arial" w:hAnsi="Arial" w:cs="Arial"/>
          <w:sz w:val="24"/>
          <w:szCs w:val="24"/>
        </w:rPr>
        <w:t xml:space="preserve"> spp. and another organism during the same hospitalization were included as case</w:t>
      </w:r>
      <w:r w:rsidRPr="1D4F067B">
        <w:rPr>
          <w:rFonts w:ascii="Arial" w:hAnsi="Arial" w:cs="Arial"/>
          <w:sz w:val="24"/>
          <w:szCs w:val="24"/>
        </w:rPr>
        <w:t>s</w:t>
      </w:r>
      <w:r w:rsidR="009B50DE">
        <w:rPr>
          <w:rFonts w:ascii="Arial" w:hAnsi="Arial" w:cs="Arial"/>
          <w:sz w:val="24"/>
          <w:szCs w:val="24"/>
        </w:rPr>
        <w:t xml:space="preserve">, and the index date was the date of the first positive blood culture for </w:t>
      </w:r>
      <w:r w:rsidR="009B50DE">
        <w:rPr>
          <w:rFonts w:ascii="Arial" w:hAnsi="Arial" w:cs="Arial"/>
          <w:i/>
          <w:iCs/>
          <w:sz w:val="24"/>
          <w:szCs w:val="24"/>
        </w:rPr>
        <w:t>Candida</w:t>
      </w:r>
      <w:r w:rsidR="009B50DE">
        <w:rPr>
          <w:rFonts w:ascii="Arial" w:hAnsi="Arial" w:cs="Arial"/>
          <w:sz w:val="24"/>
          <w:szCs w:val="24"/>
        </w:rPr>
        <w:t xml:space="preserve"> spp.</w:t>
      </w:r>
    </w:p>
    <w:p w14:paraId="670F9CC7" w14:textId="5CFE7667" w:rsidR="0021441A" w:rsidRDefault="0021441A" w:rsidP="0074288D">
      <w:pPr>
        <w:pStyle w:val="ListParagraph"/>
        <w:numPr>
          <w:ilvl w:val="0"/>
          <w:numId w:val="2"/>
        </w:numPr>
        <w:spacing w:line="240" w:lineRule="auto"/>
        <w:rPr>
          <w:rFonts w:ascii="Arial" w:hAnsi="Arial" w:cs="Arial"/>
          <w:sz w:val="24"/>
          <w:szCs w:val="24"/>
        </w:rPr>
      </w:pPr>
      <w:r w:rsidRPr="1E95C873">
        <w:rPr>
          <w:rFonts w:ascii="Arial" w:hAnsi="Arial" w:cs="Arial"/>
          <w:sz w:val="24"/>
          <w:szCs w:val="24"/>
        </w:rPr>
        <w:t xml:space="preserve">For variables </w:t>
      </w:r>
      <w:r>
        <w:rPr>
          <w:rFonts w:ascii="Arial" w:hAnsi="Arial" w:cs="Arial"/>
          <w:sz w:val="24"/>
          <w:szCs w:val="24"/>
        </w:rPr>
        <w:t>with</w:t>
      </w:r>
      <w:r w:rsidRPr="1E95C873">
        <w:rPr>
          <w:rFonts w:ascii="Arial" w:hAnsi="Arial" w:cs="Arial"/>
          <w:sz w:val="24"/>
          <w:szCs w:val="24"/>
        </w:rPr>
        <w:t xml:space="preserve"> only a small amount of </w:t>
      </w:r>
      <w:r>
        <w:rPr>
          <w:rFonts w:ascii="Arial" w:hAnsi="Arial" w:cs="Arial"/>
          <w:sz w:val="24"/>
          <w:szCs w:val="24"/>
        </w:rPr>
        <w:t xml:space="preserve">missing </w:t>
      </w:r>
      <w:r w:rsidRPr="1E95C873">
        <w:rPr>
          <w:rFonts w:ascii="Arial" w:hAnsi="Arial" w:cs="Arial"/>
          <w:sz w:val="24"/>
          <w:szCs w:val="24"/>
        </w:rPr>
        <w:t>data, individuals were excluded from the analysis if they had missing data.</w:t>
      </w:r>
    </w:p>
    <w:p w14:paraId="5630828C" w14:textId="16A97C9F" w:rsidR="001E7FB2" w:rsidRPr="0074288D" w:rsidRDefault="001E7FB2" w:rsidP="0074288D">
      <w:pPr>
        <w:pStyle w:val="ListParagraph"/>
        <w:numPr>
          <w:ilvl w:val="0"/>
          <w:numId w:val="2"/>
        </w:numPr>
        <w:spacing w:line="240" w:lineRule="auto"/>
        <w:rPr>
          <w:rFonts w:ascii="Arial" w:hAnsi="Arial" w:cs="Arial"/>
          <w:sz w:val="24"/>
          <w:szCs w:val="24"/>
        </w:rPr>
      </w:pPr>
      <w:r>
        <w:rPr>
          <w:rFonts w:ascii="Arial" w:hAnsi="Arial" w:cs="Arial"/>
          <w:sz w:val="24"/>
          <w:szCs w:val="24"/>
        </w:rPr>
        <w:t>B</w:t>
      </w:r>
      <w:r w:rsidRPr="1E95C873">
        <w:rPr>
          <w:rFonts w:ascii="Arial" w:hAnsi="Arial" w:cs="Arial"/>
          <w:sz w:val="24"/>
          <w:szCs w:val="24"/>
        </w:rPr>
        <w:t>ackward stepwise selection</w:t>
      </w:r>
      <w:r>
        <w:rPr>
          <w:rFonts w:ascii="Arial" w:hAnsi="Arial" w:cs="Arial"/>
          <w:sz w:val="24"/>
          <w:szCs w:val="24"/>
        </w:rPr>
        <w:t>: in the multivariable model we</w:t>
      </w:r>
      <w:r w:rsidRPr="1E95C873">
        <w:rPr>
          <w:rFonts w:ascii="Arial" w:hAnsi="Arial" w:cs="Arial"/>
          <w:sz w:val="24"/>
          <w:szCs w:val="24"/>
        </w:rPr>
        <w:t xml:space="preserve"> initially includ</w:t>
      </w:r>
      <w:r>
        <w:rPr>
          <w:rFonts w:ascii="Arial" w:hAnsi="Arial" w:cs="Arial"/>
          <w:sz w:val="24"/>
          <w:szCs w:val="24"/>
        </w:rPr>
        <w:t>ed</w:t>
      </w:r>
      <w:r w:rsidRPr="1E95C873">
        <w:rPr>
          <w:rFonts w:ascii="Arial" w:hAnsi="Arial" w:cs="Arial"/>
          <w:sz w:val="24"/>
          <w:szCs w:val="24"/>
        </w:rPr>
        <w:t xml:space="preserve"> all variables with </w:t>
      </w:r>
      <w:r w:rsidRPr="1E95C873">
        <w:rPr>
          <w:rFonts w:ascii="Arial" w:hAnsi="Arial" w:cs="Arial"/>
          <w:i/>
          <w:iCs/>
          <w:sz w:val="24"/>
          <w:szCs w:val="24"/>
        </w:rPr>
        <w:t>P</w:t>
      </w:r>
      <w:r w:rsidRPr="1E95C873">
        <w:rPr>
          <w:rFonts w:ascii="Arial" w:hAnsi="Arial" w:cs="Arial"/>
          <w:sz w:val="24"/>
          <w:szCs w:val="24"/>
        </w:rPr>
        <w:t xml:space="preserve">&lt;0.10 in univariable regression, then </w:t>
      </w:r>
      <w:r>
        <w:rPr>
          <w:rFonts w:ascii="Arial" w:hAnsi="Arial" w:cs="Arial"/>
          <w:sz w:val="24"/>
          <w:szCs w:val="24"/>
        </w:rPr>
        <w:t>removed</w:t>
      </w:r>
      <w:r w:rsidRPr="1E95C873">
        <w:rPr>
          <w:rFonts w:ascii="Arial" w:hAnsi="Arial" w:cs="Arial"/>
          <w:sz w:val="24"/>
          <w:szCs w:val="24"/>
        </w:rPr>
        <w:t xml:space="preserve"> all variables with </w:t>
      </w:r>
      <w:r w:rsidRPr="1E95C873">
        <w:rPr>
          <w:rFonts w:ascii="Arial" w:hAnsi="Arial" w:cs="Arial"/>
          <w:i/>
          <w:iCs/>
          <w:sz w:val="24"/>
          <w:szCs w:val="24"/>
        </w:rPr>
        <w:t>P</w:t>
      </w:r>
      <w:r w:rsidRPr="1E95C873">
        <w:rPr>
          <w:rFonts w:ascii="Arial" w:hAnsi="Arial" w:cs="Arial"/>
          <w:sz w:val="24"/>
          <w:szCs w:val="24"/>
        </w:rPr>
        <w:t>&gt;0.10 sequentially from the model.</w:t>
      </w:r>
    </w:p>
    <w:p w14:paraId="58618E39" w14:textId="77777777" w:rsidR="009C5874" w:rsidRDefault="009C5874" w:rsidP="00BF549C">
      <w:pPr>
        <w:spacing w:line="240" w:lineRule="auto"/>
        <w:rPr>
          <w:rFonts w:ascii="Arial" w:hAnsi="Arial" w:cs="Arial"/>
          <w:sz w:val="24"/>
          <w:szCs w:val="24"/>
        </w:rPr>
      </w:pPr>
    </w:p>
    <w:p w14:paraId="4BF5E66F" w14:textId="0E2E8A0D" w:rsidR="00BF549C" w:rsidRDefault="00BF549C" w:rsidP="00BF549C">
      <w:pPr>
        <w:spacing w:line="240" w:lineRule="auto"/>
        <w:rPr>
          <w:rFonts w:ascii="Arial" w:hAnsi="Arial" w:cs="Arial"/>
          <w:sz w:val="24"/>
          <w:szCs w:val="24"/>
        </w:rPr>
      </w:pPr>
      <w:r w:rsidRPr="0F2EDD93">
        <w:rPr>
          <w:rFonts w:ascii="Arial" w:hAnsi="Arial" w:cs="Arial"/>
          <w:sz w:val="24"/>
          <w:szCs w:val="24"/>
        </w:rPr>
        <w:t xml:space="preserve">We evaluated </w:t>
      </w:r>
      <w:r>
        <w:rPr>
          <w:rFonts w:ascii="Arial" w:hAnsi="Arial" w:cs="Arial"/>
          <w:sz w:val="24"/>
          <w:szCs w:val="24"/>
        </w:rPr>
        <w:t>the following</w:t>
      </w:r>
      <w:r w:rsidRPr="0F2EDD93">
        <w:rPr>
          <w:rFonts w:ascii="Arial" w:hAnsi="Arial" w:cs="Arial"/>
          <w:sz w:val="24"/>
          <w:szCs w:val="24"/>
        </w:rPr>
        <w:t xml:space="preserve"> </w:t>
      </w:r>
      <w:r>
        <w:rPr>
          <w:rFonts w:ascii="Arial" w:hAnsi="Arial" w:cs="Arial"/>
          <w:sz w:val="24"/>
          <w:szCs w:val="24"/>
        </w:rPr>
        <w:t xml:space="preserve">potential risk factors: </w:t>
      </w:r>
    </w:p>
    <w:p w14:paraId="53DC23BF" w14:textId="77777777" w:rsidR="00BF549C" w:rsidRDefault="00BF549C" w:rsidP="00BF549C">
      <w:pPr>
        <w:pStyle w:val="ListParagraph"/>
        <w:numPr>
          <w:ilvl w:val="0"/>
          <w:numId w:val="1"/>
        </w:numPr>
        <w:spacing w:line="240" w:lineRule="auto"/>
        <w:rPr>
          <w:rFonts w:ascii="Arial" w:hAnsi="Arial" w:cs="Arial"/>
          <w:sz w:val="24"/>
          <w:szCs w:val="24"/>
        </w:rPr>
      </w:pPr>
      <w:r w:rsidRPr="00BF549C">
        <w:rPr>
          <w:rFonts w:ascii="Arial" w:hAnsi="Arial" w:cs="Arial"/>
          <w:sz w:val="24"/>
          <w:szCs w:val="24"/>
        </w:rPr>
        <w:t>demographics (age, sex, race/ethnicity),</w:t>
      </w:r>
    </w:p>
    <w:p w14:paraId="3BC56894" w14:textId="77777777" w:rsidR="00BF549C" w:rsidRDefault="00BF549C" w:rsidP="00BF549C">
      <w:pPr>
        <w:pStyle w:val="ListParagraph"/>
        <w:numPr>
          <w:ilvl w:val="0"/>
          <w:numId w:val="1"/>
        </w:numPr>
        <w:spacing w:line="240" w:lineRule="auto"/>
        <w:rPr>
          <w:rFonts w:ascii="Arial" w:hAnsi="Arial" w:cs="Arial"/>
          <w:sz w:val="24"/>
          <w:szCs w:val="24"/>
        </w:rPr>
      </w:pPr>
      <w:r w:rsidRPr="00BF549C">
        <w:rPr>
          <w:rFonts w:ascii="Arial" w:hAnsi="Arial" w:cs="Arial"/>
          <w:sz w:val="24"/>
          <w:szCs w:val="24"/>
        </w:rPr>
        <w:t>obesity,</w:t>
      </w:r>
    </w:p>
    <w:p w14:paraId="58087F95" w14:textId="77777777" w:rsidR="00BF549C" w:rsidRDefault="00BF549C" w:rsidP="00BF549C">
      <w:pPr>
        <w:pStyle w:val="ListParagraph"/>
        <w:numPr>
          <w:ilvl w:val="0"/>
          <w:numId w:val="1"/>
        </w:numPr>
        <w:spacing w:line="240" w:lineRule="auto"/>
        <w:rPr>
          <w:rFonts w:ascii="Arial" w:hAnsi="Arial" w:cs="Arial"/>
          <w:sz w:val="24"/>
          <w:szCs w:val="24"/>
        </w:rPr>
      </w:pPr>
      <w:r w:rsidRPr="00BF549C">
        <w:rPr>
          <w:rFonts w:ascii="Arial" w:hAnsi="Arial" w:cs="Arial"/>
          <w:sz w:val="24"/>
          <w:szCs w:val="24"/>
        </w:rPr>
        <w:t>smoking status</w:t>
      </w:r>
    </w:p>
    <w:p w14:paraId="3D683C2B" w14:textId="77777777" w:rsidR="00BF549C" w:rsidRDefault="00BF549C" w:rsidP="00BF549C">
      <w:pPr>
        <w:pStyle w:val="ListParagraph"/>
        <w:numPr>
          <w:ilvl w:val="0"/>
          <w:numId w:val="1"/>
        </w:numPr>
        <w:spacing w:line="240" w:lineRule="auto"/>
        <w:rPr>
          <w:rFonts w:ascii="Arial" w:hAnsi="Arial" w:cs="Arial"/>
          <w:sz w:val="24"/>
          <w:szCs w:val="24"/>
        </w:rPr>
      </w:pPr>
      <w:r w:rsidRPr="00BF549C">
        <w:rPr>
          <w:rFonts w:ascii="Arial" w:hAnsi="Arial" w:cs="Arial"/>
          <w:sz w:val="24"/>
          <w:szCs w:val="24"/>
        </w:rPr>
        <w:t>medical comorbidities</w:t>
      </w:r>
    </w:p>
    <w:p w14:paraId="0062CD72" w14:textId="77777777" w:rsidR="00BF549C" w:rsidRDefault="00BF549C" w:rsidP="00BF549C">
      <w:pPr>
        <w:pStyle w:val="ListParagraph"/>
        <w:numPr>
          <w:ilvl w:val="0"/>
          <w:numId w:val="1"/>
        </w:numPr>
        <w:spacing w:line="240" w:lineRule="auto"/>
        <w:rPr>
          <w:rFonts w:ascii="Arial" w:hAnsi="Arial" w:cs="Arial"/>
          <w:sz w:val="24"/>
          <w:szCs w:val="24"/>
        </w:rPr>
      </w:pPr>
      <w:r w:rsidRPr="00BF549C">
        <w:rPr>
          <w:rFonts w:ascii="Arial" w:hAnsi="Arial" w:cs="Arial"/>
          <w:sz w:val="24"/>
          <w:szCs w:val="24"/>
        </w:rPr>
        <w:t>total parental nutrition (TPN) administration</w:t>
      </w:r>
    </w:p>
    <w:p w14:paraId="714392A2" w14:textId="77777777" w:rsidR="00BF549C" w:rsidRDefault="00BF549C" w:rsidP="00BF549C">
      <w:pPr>
        <w:pStyle w:val="ListParagraph"/>
        <w:numPr>
          <w:ilvl w:val="0"/>
          <w:numId w:val="1"/>
        </w:numPr>
        <w:spacing w:line="240" w:lineRule="auto"/>
        <w:rPr>
          <w:rFonts w:ascii="Arial" w:hAnsi="Arial" w:cs="Arial"/>
          <w:sz w:val="24"/>
          <w:szCs w:val="24"/>
        </w:rPr>
      </w:pPr>
      <w:r w:rsidRPr="00BF549C">
        <w:rPr>
          <w:rFonts w:ascii="Arial" w:hAnsi="Arial" w:cs="Arial"/>
          <w:sz w:val="24"/>
          <w:szCs w:val="24"/>
        </w:rPr>
        <w:t>medical interventions (hemodialysis, antibiotic use, IL-6 inhibitor use, Janus kinase (JAK) inhibitor use, and corticosteroid use)</w:t>
      </w:r>
    </w:p>
    <w:p w14:paraId="100FB2E1" w14:textId="77777777" w:rsidR="00BF549C" w:rsidRDefault="00BF549C" w:rsidP="00BF549C">
      <w:pPr>
        <w:pStyle w:val="ListParagraph"/>
        <w:numPr>
          <w:ilvl w:val="0"/>
          <w:numId w:val="1"/>
        </w:numPr>
        <w:spacing w:line="240" w:lineRule="auto"/>
        <w:rPr>
          <w:rFonts w:ascii="Arial" w:hAnsi="Arial" w:cs="Arial"/>
          <w:sz w:val="24"/>
          <w:szCs w:val="24"/>
        </w:rPr>
      </w:pPr>
      <w:r w:rsidRPr="00BF549C">
        <w:rPr>
          <w:rFonts w:ascii="Arial" w:hAnsi="Arial" w:cs="Arial"/>
          <w:sz w:val="24"/>
          <w:szCs w:val="24"/>
        </w:rPr>
        <w:t>intensive care unit (ICU) stay</w:t>
      </w:r>
    </w:p>
    <w:p w14:paraId="26902311" w14:textId="77777777" w:rsidR="00BF549C" w:rsidRDefault="00BF549C" w:rsidP="00BF549C">
      <w:pPr>
        <w:pStyle w:val="ListParagraph"/>
        <w:numPr>
          <w:ilvl w:val="0"/>
          <w:numId w:val="1"/>
        </w:numPr>
        <w:spacing w:line="240" w:lineRule="auto"/>
        <w:rPr>
          <w:rFonts w:ascii="Arial" w:hAnsi="Arial" w:cs="Arial"/>
          <w:sz w:val="24"/>
          <w:szCs w:val="24"/>
        </w:rPr>
      </w:pPr>
      <w:r w:rsidRPr="00BF549C">
        <w:rPr>
          <w:rFonts w:ascii="Arial" w:hAnsi="Arial" w:cs="Arial"/>
          <w:sz w:val="24"/>
          <w:szCs w:val="24"/>
        </w:rPr>
        <w:t>presence of a central venous catheter (CVC)</w:t>
      </w:r>
    </w:p>
    <w:p w14:paraId="017C9CEB" w14:textId="5931B99E" w:rsidR="00BF549C" w:rsidRPr="00BF549C" w:rsidRDefault="00BF549C" w:rsidP="00BF549C">
      <w:pPr>
        <w:pStyle w:val="ListParagraph"/>
        <w:numPr>
          <w:ilvl w:val="0"/>
          <w:numId w:val="1"/>
        </w:numPr>
        <w:spacing w:line="240" w:lineRule="auto"/>
        <w:rPr>
          <w:rFonts w:ascii="Arial" w:hAnsi="Arial" w:cs="Arial"/>
          <w:sz w:val="24"/>
          <w:szCs w:val="24"/>
        </w:rPr>
      </w:pPr>
      <w:r w:rsidRPr="00BF549C">
        <w:rPr>
          <w:rFonts w:ascii="Arial" w:hAnsi="Arial" w:cs="Arial"/>
          <w:sz w:val="24"/>
          <w:szCs w:val="24"/>
        </w:rPr>
        <w:t xml:space="preserve">severity of COVID-19. </w:t>
      </w:r>
    </w:p>
    <w:p w14:paraId="37B81A5B" w14:textId="0932EB61" w:rsidR="00BF549C" w:rsidRPr="00BF549C" w:rsidRDefault="00BF549C" w:rsidP="00BF549C">
      <w:pPr>
        <w:spacing w:line="240" w:lineRule="auto"/>
        <w:ind w:left="360"/>
        <w:rPr>
          <w:rFonts w:ascii="Arial" w:hAnsi="Arial" w:cs="Arial"/>
          <w:sz w:val="24"/>
          <w:szCs w:val="24"/>
        </w:rPr>
      </w:pPr>
      <w:r w:rsidRPr="00BF549C">
        <w:rPr>
          <w:rFonts w:ascii="Arial" w:hAnsi="Arial" w:cs="Arial"/>
          <w:sz w:val="24"/>
          <w:szCs w:val="24"/>
        </w:rPr>
        <w:t>Age was grouped into three categories as labeled in the Optum</w:t>
      </w:r>
      <w:r w:rsidRPr="00BF549C">
        <w:rPr>
          <w:rFonts w:ascii="Arial" w:hAnsi="Arial" w:cs="Arial"/>
          <w:sz w:val="24"/>
          <w:szCs w:val="24"/>
          <w:vertAlign w:val="superscript"/>
        </w:rPr>
        <w:t>®</w:t>
      </w:r>
      <w:r w:rsidRPr="00BF549C">
        <w:rPr>
          <w:rFonts w:ascii="Arial" w:hAnsi="Arial" w:cs="Arial"/>
          <w:sz w:val="24"/>
          <w:szCs w:val="24"/>
        </w:rPr>
        <w:t xml:space="preserve"> COVID-19 data (18-49 years, 50-64 years, 65+ years). We combined race and ethnicity into groups as labeled in Optum</w:t>
      </w:r>
      <w:r w:rsidRPr="00BF549C">
        <w:rPr>
          <w:rFonts w:ascii="Arial" w:hAnsi="Arial" w:cs="Arial"/>
          <w:sz w:val="24"/>
          <w:szCs w:val="24"/>
          <w:vertAlign w:val="superscript"/>
        </w:rPr>
        <w:t>®</w:t>
      </w:r>
      <w:r w:rsidRPr="00BF549C">
        <w:rPr>
          <w:rFonts w:ascii="Arial" w:hAnsi="Arial" w:cs="Arial"/>
          <w:sz w:val="24"/>
          <w:szCs w:val="24"/>
        </w:rPr>
        <w:t xml:space="preserve"> COVID-19 data (Hispanic, Non-Hispanic African American, Non-Hispanic Caucasian, Asian, Other). </w:t>
      </w:r>
      <w:r w:rsidRPr="00BF549C" w:rsidDel="00C53F7E">
        <w:rPr>
          <w:rFonts w:ascii="Arial" w:hAnsi="Arial" w:cs="Arial"/>
          <w:sz w:val="24"/>
          <w:szCs w:val="24"/>
        </w:rPr>
        <w:t xml:space="preserve">We </w:t>
      </w:r>
      <w:r w:rsidRPr="00BF549C">
        <w:rPr>
          <w:rFonts w:ascii="Arial" w:hAnsi="Arial" w:cs="Arial"/>
          <w:sz w:val="24"/>
          <w:szCs w:val="24"/>
        </w:rPr>
        <w:t>classified</w:t>
      </w:r>
      <w:r w:rsidRPr="00BF549C" w:rsidDel="00C53F7E">
        <w:rPr>
          <w:rFonts w:ascii="Arial" w:hAnsi="Arial" w:cs="Arial"/>
          <w:sz w:val="24"/>
          <w:szCs w:val="24"/>
        </w:rPr>
        <w:t xml:space="preserve"> </w:t>
      </w:r>
      <w:r w:rsidRPr="00BF549C">
        <w:rPr>
          <w:rFonts w:ascii="Arial" w:hAnsi="Arial" w:cs="Arial"/>
          <w:sz w:val="24"/>
          <w:szCs w:val="24"/>
        </w:rPr>
        <w:t xml:space="preserve">body mass index (BMI) into four categories (underweight, </w:t>
      </w:r>
      <w:proofErr w:type="spellStart"/>
      <w:r w:rsidRPr="00BF549C">
        <w:rPr>
          <w:rFonts w:ascii="Arial" w:hAnsi="Arial" w:cs="Arial"/>
          <w:sz w:val="24"/>
          <w:szCs w:val="24"/>
        </w:rPr>
        <w:t>normoweight</w:t>
      </w:r>
      <w:proofErr w:type="spellEnd"/>
      <w:r w:rsidRPr="00BF549C">
        <w:rPr>
          <w:rFonts w:ascii="Arial" w:hAnsi="Arial" w:cs="Arial"/>
          <w:sz w:val="24"/>
          <w:szCs w:val="24"/>
        </w:rPr>
        <w:t xml:space="preserve">, obesity class 1 or 2, obesity class 3). Smoking status was listed as current smoker or not current smoker. Individual comorbidities and the Charlson comorbidity index (CCI) were captured. TPN, </w:t>
      </w:r>
      <w:r w:rsidRPr="00BF549C">
        <w:rPr>
          <w:rFonts w:ascii="Arial" w:hAnsi="Arial" w:cs="Arial"/>
          <w:sz w:val="24"/>
          <w:szCs w:val="24"/>
        </w:rPr>
        <w:lastRenderedPageBreak/>
        <w:t>hemodialysis catheter, CVC, antibiotic use, IL- 6 inhibitor use, JAK inhibitor use, corticosteroid use, and ICU stay of one or more days were all coded dichotomously and extracted from procedure code dates, medication administration, or care area data. These variables were considered between admission to (and including) the hospital day prior to the index date. Corticosteroids were defined as at least one administration of: dexamethasone, prednisone, prednisolone, or methylprednisolone of any dose. Illness severity was an ordinal variable with three levels: no ICU stay, ICU stay</w:t>
      </w:r>
      <w:r w:rsidRPr="00BF549C" w:rsidDel="000835AD">
        <w:rPr>
          <w:rFonts w:ascii="Arial" w:hAnsi="Arial" w:cs="Arial"/>
          <w:sz w:val="24"/>
          <w:szCs w:val="24"/>
        </w:rPr>
        <w:t xml:space="preserve"> and no mechanical ventilation </w:t>
      </w:r>
      <w:r w:rsidRPr="00BF549C">
        <w:rPr>
          <w:rFonts w:ascii="Arial" w:hAnsi="Arial" w:cs="Arial"/>
          <w:sz w:val="24"/>
          <w:szCs w:val="24"/>
        </w:rPr>
        <w:t xml:space="preserve">or ECMO, and </w:t>
      </w:r>
      <w:r w:rsidRPr="00BF549C" w:rsidDel="000835AD">
        <w:rPr>
          <w:rFonts w:ascii="Arial" w:hAnsi="Arial" w:cs="Arial"/>
          <w:sz w:val="24"/>
          <w:szCs w:val="24"/>
        </w:rPr>
        <w:t xml:space="preserve">mechanical ventilation or </w:t>
      </w:r>
      <w:r w:rsidRPr="00BF549C">
        <w:rPr>
          <w:rFonts w:ascii="Arial" w:hAnsi="Arial" w:cs="Arial"/>
          <w:sz w:val="24"/>
          <w:szCs w:val="24"/>
        </w:rPr>
        <w:t>ECMO.</w:t>
      </w:r>
    </w:p>
    <w:p w14:paraId="654FAF8C" w14:textId="77777777" w:rsidR="00C73965" w:rsidRPr="003A4CA3" w:rsidRDefault="00C73965" w:rsidP="003A4CA3">
      <w:pPr>
        <w:rPr>
          <w:rFonts w:ascii="Arial" w:hAnsi="Arial" w:cs="Arial"/>
          <w:sz w:val="24"/>
          <w:szCs w:val="24"/>
        </w:rPr>
      </w:pPr>
    </w:p>
    <w:sectPr w:rsidR="00C73965" w:rsidRPr="003A4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5AAC"/>
    <w:multiLevelType w:val="hybridMultilevel"/>
    <w:tmpl w:val="9E0E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D04AD9"/>
    <w:multiLevelType w:val="hybridMultilevel"/>
    <w:tmpl w:val="7A0C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411010">
    <w:abstractNumId w:val="0"/>
  </w:num>
  <w:num w:numId="2" w16cid:durableId="943927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A3"/>
    <w:rsid w:val="000E24F4"/>
    <w:rsid w:val="001E7FB2"/>
    <w:rsid w:val="0021441A"/>
    <w:rsid w:val="003A4CA3"/>
    <w:rsid w:val="004A2AAF"/>
    <w:rsid w:val="005D492C"/>
    <w:rsid w:val="0074288D"/>
    <w:rsid w:val="00742F49"/>
    <w:rsid w:val="009A590A"/>
    <w:rsid w:val="009B50DE"/>
    <w:rsid w:val="009C5874"/>
    <w:rsid w:val="00BF549C"/>
    <w:rsid w:val="00C73965"/>
    <w:rsid w:val="00D0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DFE6"/>
  <w15:chartTrackingRefBased/>
  <w15:docId w15:val="{36EC4916-683A-44A2-98C6-29927E49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Most</dc:creator>
  <cp:keywords/>
  <dc:description/>
  <cp:lastModifiedBy>Zachary Most</cp:lastModifiedBy>
  <cp:revision>12</cp:revision>
  <dcterms:created xsi:type="dcterms:W3CDTF">2023-10-24T18:35:00Z</dcterms:created>
  <dcterms:modified xsi:type="dcterms:W3CDTF">2023-11-03T15:43:00Z</dcterms:modified>
</cp:coreProperties>
</file>