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6DA8" w14:textId="77777777" w:rsidR="00803298" w:rsidRPr="005B6652" w:rsidRDefault="00803298" w:rsidP="00803298">
      <w:pPr>
        <w:rPr>
          <w:rFonts w:cstheme="minorHAnsi"/>
          <w:color w:val="000000"/>
        </w:rPr>
      </w:pPr>
      <w:r w:rsidRPr="005B6652">
        <w:rPr>
          <w:rFonts w:cstheme="minorHAnsi"/>
          <w:b/>
          <w:bCs/>
        </w:rPr>
        <w:t xml:space="preserve">Supplement Table </w:t>
      </w:r>
      <w:r>
        <w:rPr>
          <w:rFonts w:cstheme="minorHAnsi"/>
          <w:b/>
          <w:bCs/>
        </w:rPr>
        <w:t>1</w:t>
      </w:r>
      <w:r w:rsidRPr="005B6652">
        <w:rPr>
          <w:rFonts w:cstheme="minorHAnsi"/>
          <w:b/>
          <w:bCs/>
        </w:rPr>
        <w:t>.</w:t>
      </w:r>
      <w:r w:rsidRPr="005B6652">
        <w:rPr>
          <w:rFonts w:cstheme="minorHAnsi"/>
        </w:rPr>
        <w:t xml:space="preserve"> Provider-selected antibiotic indications during study period </w:t>
      </w:r>
    </w:p>
    <w:p w14:paraId="1DDBBB26" w14:textId="77777777" w:rsidR="00803298" w:rsidRPr="005B6652" w:rsidRDefault="00803298" w:rsidP="00803298">
      <w:pPr>
        <w:rPr>
          <w:rFonts w:cstheme="minorHAnsi"/>
          <w:color w:val="000000"/>
          <w:sz w:val="22"/>
          <w:szCs w:val="22"/>
        </w:rPr>
      </w:pPr>
    </w:p>
    <w:tbl>
      <w:tblPr>
        <w:tblStyle w:val="TableGrid"/>
        <w:tblW w:w="5000" w:type="pct"/>
        <w:tblLook w:val="04A0" w:firstRow="1" w:lastRow="0" w:firstColumn="1" w:lastColumn="0" w:noHBand="0" w:noVBand="1"/>
      </w:tblPr>
      <w:tblGrid>
        <w:gridCol w:w="9350"/>
      </w:tblGrid>
      <w:tr w:rsidR="00803298" w:rsidRPr="00707C85" w14:paraId="5ACC462A" w14:textId="77777777" w:rsidTr="008742C7">
        <w:tc>
          <w:tcPr>
            <w:tcW w:w="5000" w:type="pct"/>
          </w:tcPr>
          <w:p w14:paraId="11A7509D" w14:textId="77777777" w:rsidR="00803298" w:rsidRPr="005B6652" w:rsidRDefault="00803298" w:rsidP="008742C7">
            <w:pPr>
              <w:jc w:val="center"/>
              <w:rPr>
                <w:rFonts w:cstheme="minorHAnsi"/>
                <w:b/>
                <w:bCs/>
                <w:color w:val="000000" w:themeColor="text1"/>
              </w:rPr>
            </w:pPr>
            <w:r w:rsidRPr="005B6652">
              <w:rPr>
                <w:rFonts w:cstheme="minorHAnsi"/>
                <w:b/>
                <w:bCs/>
                <w:color w:val="000000" w:themeColor="text1"/>
              </w:rPr>
              <w:t>Provider Selected Antibiotic Indications</w:t>
            </w:r>
          </w:p>
        </w:tc>
      </w:tr>
      <w:tr w:rsidR="00803298" w:rsidRPr="00707C85" w14:paraId="4C870D3F" w14:textId="77777777" w:rsidTr="008742C7">
        <w:tc>
          <w:tcPr>
            <w:tcW w:w="5000" w:type="pct"/>
          </w:tcPr>
          <w:p w14:paraId="69AC9CC3"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Pneumonia/Lower respiratory infection</w:t>
            </w:r>
          </w:p>
          <w:p w14:paraId="1E06C713" w14:textId="44556651" w:rsidR="00803298" w:rsidRPr="005B6652" w:rsidRDefault="00803298" w:rsidP="008742C7">
            <w:pPr>
              <w:pStyle w:val="ListParagraph"/>
              <w:numPr>
                <w:ilvl w:val="0"/>
                <w:numId w:val="1"/>
              </w:numPr>
              <w:shd w:val="clear" w:color="auto" w:fill="FFFFFF"/>
              <w:rPr>
                <w:rFonts w:cstheme="minorHAnsi"/>
                <w:color w:val="000000" w:themeColor="text1"/>
              </w:rPr>
            </w:pPr>
            <w:r w:rsidRPr="005B6652">
              <w:rPr>
                <w:rFonts w:cstheme="minorHAnsi"/>
                <w:color w:val="000000" w:themeColor="text1"/>
              </w:rPr>
              <w:t>Community</w:t>
            </w:r>
            <w:r w:rsidR="004202C0">
              <w:rPr>
                <w:rFonts w:cstheme="minorHAnsi"/>
                <w:color w:val="000000" w:themeColor="text1"/>
              </w:rPr>
              <w:t>-acquired</w:t>
            </w:r>
            <w:r w:rsidRPr="005B6652">
              <w:rPr>
                <w:rFonts w:cstheme="minorHAnsi"/>
                <w:color w:val="000000" w:themeColor="text1"/>
              </w:rPr>
              <w:t xml:space="preserve"> (onset &lt; 72 hours after admission, no recent healthcare exposure)</w:t>
            </w:r>
          </w:p>
          <w:p w14:paraId="050FDC67" w14:textId="77777777" w:rsidR="00803298" w:rsidRPr="005B6652" w:rsidRDefault="00803298" w:rsidP="008742C7">
            <w:pPr>
              <w:pStyle w:val="ListParagraph"/>
              <w:numPr>
                <w:ilvl w:val="0"/>
                <w:numId w:val="1"/>
              </w:numPr>
              <w:shd w:val="clear" w:color="auto" w:fill="FFFFFF"/>
              <w:rPr>
                <w:rFonts w:cstheme="minorHAnsi"/>
                <w:color w:val="000000" w:themeColor="text1"/>
              </w:rPr>
            </w:pPr>
            <w:r w:rsidRPr="005B6652">
              <w:rPr>
                <w:rFonts w:cstheme="minorHAnsi"/>
                <w:color w:val="000000" w:themeColor="text1"/>
              </w:rPr>
              <w:t>Healthcare-associated (onset = 72 hours after admission or recent healthcare exposure)</w:t>
            </w:r>
          </w:p>
        </w:tc>
      </w:tr>
      <w:tr w:rsidR="00803298" w:rsidRPr="00707C85" w14:paraId="26E5F869" w14:textId="77777777" w:rsidTr="008742C7">
        <w:tc>
          <w:tcPr>
            <w:tcW w:w="5000" w:type="pct"/>
          </w:tcPr>
          <w:p w14:paraId="7413FBB5"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Abdominal/pelvic</w:t>
            </w:r>
          </w:p>
          <w:p w14:paraId="3DAC3615" w14:textId="77777777" w:rsidR="00803298" w:rsidRPr="005B6652" w:rsidRDefault="00803298" w:rsidP="008742C7">
            <w:pPr>
              <w:pStyle w:val="ListParagraph"/>
              <w:numPr>
                <w:ilvl w:val="0"/>
                <w:numId w:val="2"/>
              </w:numPr>
              <w:shd w:val="clear" w:color="auto" w:fill="FFFFFF"/>
              <w:rPr>
                <w:rFonts w:cstheme="minorHAnsi"/>
                <w:color w:val="000000" w:themeColor="text1"/>
              </w:rPr>
            </w:pPr>
            <w:r w:rsidRPr="005B6652">
              <w:rPr>
                <w:rFonts w:cstheme="minorHAnsi"/>
                <w:color w:val="000000" w:themeColor="text1"/>
              </w:rPr>
              <w:t>Community-acquired (onset &lt;</w:t>
            </w:r>
            <w:r>
              <w:rPr>
                <w:rFonts w:cstheme="minorHAnsi"/>
                <w:color w:val="000000" w:themeColor="text1"/>
              </w:rPr>
              <w:t xml:space="preserve"> </w:t>
            </w:r>
            <w:r w:rsidRPr="005B6652">
              <w:rPr>
                <w:rFonts w:cstheme="minorHAnsi"/>
                <w:color w:val="000000" w:themeColor="text1"/>
              </w:rPr>
              <w:t>72 hours after admission, no recent healthcare exposure)</w:t>
            </w:r>
          </w:p>
          <w:p w14:paraId="12A389B1" w14:textId="77777777" w:rsidR="00803298" w:rsidRPr="005B6652" w:rsidRDefault="00803298" w:rsidP="008742C7">
            <w:pPr>
              <w:pStyle w:val="ListParagraph"/>
              <w:numPr>
                <w:ilvl w:val="0"/>
                <w:numId w:val="2"/>
              </w:numPr>
              <w:shd w:val="clear" w:color="auto" w:fill="FFFFFF"/>
              <w:rPr>
                <w:rFonts w:cstheme="minorHAnsi"/>
                <w:color w:val="000000" w:themeColor="text1"/>
              </w:rPr>
            </w:pPr>
            <w:r w:rsidRPr="005B6652">
              <w:rPr>
                <w:rFonts w:cstheme="minorHAnsi"/>
                <w:color w:val="000000" w:themeColor="text1"/>
              </w:rPr>
              <w:t>Healthcare-associated (onset = 72 hours after admission or recent healthcare exposure)</w:t>
            </w:r>
          </w:p>
        </w:tc>
      </w:tr>
      <w:tr w:rsidR="00803298" w:rsidRPr="00707C85" w14:paraId="099A596B" w14:textId="77777777" w:rsidTr="008742C7">
        <w:tc>
          <w:tcPr>
            <w:tcW w:w="5000" w:type="pct"/>
          </w:tcPr>
          <w:p w14:paraId="5F7794F5" w14:textId="77777777" w:rsidR="00803298" w:rsidRPr="005B6652" w:rsidRDefault="00803298" w:rsidP="008742C7">
            <w:pPr>
              <w:pStyle w:val="ListParagraph"/>
              <w:shd w:val="clear" w:color="auto" w:fill="FFFFFF"/>
              <w:ind w:left="0"/>
              <w:rPr>
                <w:rFonts w:cstheme="minorHAnsi"/>
                <w:color w:val="000000" w:themeColor="text1"/>
              </w:rPr>
            </w:pPr>
            <w:r w:rsidRPr="005B6652">
              <w:rPr>
                <w:rFonts w:cstheme="minorHAnsi"/>
                <w:color w:val="000000" w:themeColor="text1"/>
              </w:rPr>
              <w:t>Bloodstream infection</w:t>
            </w:r>
          </w:p>
        </w:tc>
      </w:tr>
      <w:tr w:rsidR="00803298" w:rsidRPr="00707C85" w14:paraId="1C93DDCD" w14:textId="77777777" w:rsidTr="008742C7">
        <w:tc>
          <w:tcPr>
            <w:tcW w:w="5000" w:type="pct"/>
          </w:tcPr>
          <w:p w14:paraId="01650C41" w14:textId="77777777" w:rsidR="00803298" w:rsidRPr="005B6652" w:rsidRDefault="00803298" w:rsidP="008742C7">
            <w:pPr>
              <w:rPr>
                <w:rFonts w:cstheme="minorHAnsi"/>
                <w:color w:val="000000" w:themeColor="text1"/>
              </w:rPr>
            </w:pPr>
            <w:r w:rsidRPr="005B6652">
              <w:rPr>
                <w:rFonts w:cstheme="minorHAnsi"/>
                <w:color w:val="000000" w:themeColor="text1"/>
              </w:rPr>
              <w:t>Bone/joint infection</w:t>
            </w:r>
          </w:p>
        </w:tc>
      </w:tr>
      <w:tr w:rsidR="00803298" w:rsidRPr="00707C85" w14:paraId="6AC9D80D" w14:textId="77777777" w:rsidTr="008742C7">
        <w:tc>
          <w:tcPr>
            <w:tcW w:w="5000" w:type="pct"/>
          </w:tcPr>
          <w:p w14:paraId="6FB0C030" w14:textId="77777777" w:rsidR="00803298" w:rsidRPr="005B6652" w:rsidRDefault="00803298" w:rsidP="008742C7">
            <w:pPr>
              <w:rPr>
                <w:rFonts w:cstheme="minorHAnsi"/>
                <w:color w:val="000000" w:themeColor="text1"/>
              </w:rPr>
            </w:pPr>
            <w:r w:rsidRPr="005B6652">
              <w:rPr>
                <w:rFonts w:cstheme="minorHAnsi"/>
                <w:color w:val="000000" w:themeColor="text1"/>
              </w:rPr>
              <w:t>Central nervous system</w:t>
            </w:r>
          </w:p>
        </w:tc>
      </w:tr>
      <w:tr w:rsidR="00803298" w:rsidRPr="00707C85" w14:paraId="283888FD" w14:textId="77777777" w:rsidTr="008742C7">
        <w:tc>
          <w:tcPr>
            <w:tcW w:w="5000" w:type="pct"/>
          </w:tcPr>
          <w:p w14:paraId="5C724E73" w14:textId="77777777" w:rsidR="00803298" w:rsidRPr="005B6652" w:rsidRDefault="00803298" w:rsidP="008742C7">
            <w:pPr>
              <w:rPr>
                <w:rFonts w:cstheme="minorHAnsi"/>
                <w:color w:val="000000" w:themeColor="text1"/>
              </w:rPr>
            </w:pPr>
            <w:r w:rsidRPr="005B6652">
              <w:rPr>
                <w:rFonts w:cstheme="minorHAnsi"/>
                <w:color w:val="000000" w:themeColor="text1"/>
              </w:rPr>
              <w:t>Endocarditis</w:t>
            </w:r>
          </w:p>
        </w:tc>
      </w:tr>
      <w:tr w:rsidR="00803298" w:rsidRPr="00707C85" w14:paraId="4E48D711" w14:textId="77777777" w:rsidTr="008742C7">
        <w:tc>
          <w:tcPr>
            <w:tcW w:w="5000" w:type="pct"/>
          </w:tcPr>
          <w:p w14:paraId="1BEC2B61"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ENT/OMFS/</w:t>
            </w:r>
            <w:proofErr w:type="spellStart"/>
            <w:r w:rsidRPr="005B6652">
              <w:rPr>
                <w:rFonts w:cstheme="minorHAnsi"/>
                <w:color w:val="000000" w:themeColor="text1"/>
              </w:rPr>
              <w:t>Ophtho</w:t>
            </w:r>
            <w:proofErr w:type="spellEnd"/>
          </w:p>
        </w:tc>
      </w:tr>
      <w:tr w:rsidR="00803298" w:rsidRPr="00707C85" w14:paraId="62BA8556" w14:textId="77777777" w:rsidTr="008742C7">
        <w:trPr>
          <w:trHeight w:val="350"/>
        </w:trPr>
        <w:tc>
          <w:tcPr>
            <w:tcW w:w="5000" w:type="pct"/>
          </w:tcPr>
          <w:p w14:paraId="5B6F952B"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Genital infection</w:t>
            </w:r>
          </w:p>
        </w:tc>
      </w:tr>
      <w:tr w:rsidR="00803298" w:rsidRPr="00707C85" w14:paraId="39A22739" w14:textId="77777777" w:rsidTr="008742C7">
        <w:tc>
          <w:tcPr>
            <w:tcW w:w="5000" w:type="pct"/>
          </w:tcPr>
          <w:p w14:paraId="289A119B" w14:textId="77777777" w:rsidR="00803298" w:rsidRPr="005B6652" w:rsidRDefault="00803298" w:rsidP="008742C7">
            <w:pPr>
              <w:rPr>
                <w:rFonts w:cstheme="minorHAnsi"/>
                <w:b/>
                <w:bCs/>
                <w:color w:val="000000" w:themeColor="text1"/>
              </w:rPr>
            </w:pPr>
            <w:r w:rsidRPr="005B6652">
              <w:rPr>
                <w:rFonts w:cstheme="minorHAnsi"/>
                <w:color w:val="000000" w:themeColor="text1"/>
              </w:rPr>
              <w:t>Gastrointestinal</w:t>
            </w:r>
          </w:p>
        </w:tc>
      </w:tr>
      <w:tr w:rsidR="00803298" w:rsidRPr="00707C85" w14:paraId="2E81A38B" w14:textId="77777777" w:rsidTr="008742C7">
        <w:tc>
          <w:tcPr>
            <w:tcW w:w="5000" w:type="pct"/>
          </w:tcPr>
          <w:p w14:paraId="1CC78D3A"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Neutropenic fever</w:t>
            </w:r>
          </w:p>
        </w:tc>
      </w:tr>
      <w:tr w:rsidR="00803298" w:rsidRPr="00F022B2" w14:paraId="7407BF8E" w14:textId="77777777" w:rsidTr="008742C7">
        <w:tc>
          <w:tcPr>
            <w:tcW w:w="5000" w:type="pct"/>
          </w:tcPr>
          <w:p w14:paraId="3E6BCB30"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Other (specify below)</w:t>
            </w:r>
          </w:p>
          <w:p w14:paraId="485EB30C" w14:textId="77777777" w:rsidR="00803298" w:rsidRPr="005B6652" w:rsidRDefault="00803298" w:rsidP="008742C7">
            <w:pPr>
              <w:pStyle w:val="ListParagraph"/>
              <w:numPr>
                <w:ilvl w:val="0"/>
                <w:numId w:val="4"/>
              </w:numPr>
              <w:shd w:val="clear" w:color="auto" w:fill="FFFFFF"/>
              <w:rPr>
                <w:rFonts w:cstheme="minorHAnsi"/>
                <w:color w:val="000000" w:themeColor="text1"/>
              </w:rPr>
            </w:pPr>
            <w:r w:rsidRPr="005B6652">
              <w:rPr>
                <w:rFonts w:cstheme="minorHAnsi"/>
                <w:color w:val="000000" w:themeColor="text1"/>
              </w:rPr>
              <w:t>Free text</w:t>
            </w:r>
          </w:p>
        </w:tc>
      </w:tr>
      <w:tr w:rsidR="00803298" w:rsidRPr="00707C85" w14:paraId="5C2A8834" w14:textId="77777777" w:rsidTr="008742C7">
        <w:tc>
          <w:tcPr>
            <w:tcW w:w="5000" w:type="pct"/>
          </w:tcPr>
          <w:p w14:paraId="684C8F83"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Prophylaxis for immunosuppression</w:t>
            </w:r>
          </w:p>
        </w:tc>
      </w:tr>
      <w:tr w:rsidR="00803298" w:rsidRPr="00707C85" w14:paraId="3F5CC1A1" w14:textId="77777777" w:rsidTr="008742C7">
        <w:tc>
          <w:tcPr>
            <w:tcW w:w="5000" w:type="pct"/>
          </w:tcPr>
          <w:p w14:paraId="66B81725" w14:textId="77777777" w:rsidR="00803298" w:rsidRPr="005B6652" w:rsidRDefault="00803298" w:rsidP="008742C7">
            <w:pPr>
              <w:rPr>
                <w:rFonts w:cstheme="minorHAnsi"/>
                <w:color w:val="000000" w:themeColor="text1"/>
              </w:rPr>
            </w:pPr>
            <w:r>
              <w:rPr>
                <w:rFonts w:cstheme="minorHAnsi"/>
                <w:color w:val="000000" w:themeColor="text1"/>
              </w:rPr>
              <w:t>Severe sepsis/septic shock</w:t>
            </w:r>
          </w:p>
        </w:tc>
      </w:tr>
      <w:tr w:rsidR="00803298" w:rsidRPr="00707C85" w14:paraId="2E481F70" w14:textId="77777777" w:rsidTr="008742C7">
        <w:tc>
          <w:tcPr>
            <w:tcW w:w="5000" w:type="pct"/>
          </w:tcPr>
          <w:p w14:paraId="647D1980" w14:textId="77777777" w:rsidR="00803298" w:rsidRPr="005B6652" w:rsidRDefault="00803298" w:rsidP="008742C7">
            <w:pPr>
              <w:rPr>
                <w:rFonts w:cstheme="minorHAnsi"/>
                <w:b/>
                <w:bCs/>
                <w:color w:val="000000" w:themeColor="text1"/>
              </w:rPr>
            </w:pPr>
            <w:r w:rsidRPr="005B6652">
              <w:rPr>
                <w:rFonts w:cstheme="minorHAnsi"/>
                <w:color w:val="000000" w:themeColor="text1"/>
              </w:rPr>
              <w:t>Skin and soft tissue infection</w:t>
            </w:r>
          </w:p>
        </w:tc>
      </w:tr>
      <w:tr w:rsidR="00803298" w:rsidRPr="00707C85" w14:paraId="10B96620" w14:textId="77777777" w:rsidTr="008742C7">
        <w:tc>
          <w:tcPr>
            <w:tcW w:w="5000" w:type="pct"/>
          </w:tcPr>
          <w:p w14:paraId="1FEAE0A9"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Upper respiratory tract infection</w:t>
            </w:r>
          </w:p>
        </w:tc>
      </w:tr>
      <w:tr w:rsidR="00803298" w:rsidRPr="00707C85" w14:paraId="24F9D20F" w14:textId="77777777" w:rsidTr="008742C7">
        <w:tc>
          <w:tcPr>
            <w:tcW w:w="5000" w:type="pct"/>
          </w:tcPr>
          <w:p w14:paraId="338F8BFA" w14:textId="77777777" w:rsidR="00803298" w:rsidRPr="005B6652" w:rsidRDefault="00803298" w:rsidP="008742C7">
            <w:pPr>
              <w:rPr>
                <w:rFonts w:cstheme="minorHAnsi"/>
                <w:b/>
                <w:bCs/>
                <w:color w:val="000000" w:themeColor="text1"/>
              </w:rPr>
            </w:pPr>
            <w:r w:rsidRPr="005B6652">
              <w:rPr>
                <w:rFonts w:cstheme="minorHAnsi"/>
                <w:color w:val="000000" w:themeColor="text1"/>
              </w:rPr>
              <w:t>Prophylaxis for surgery</w:t>
            </w:r>
          </w:p>
        </w:tc>
      </w:tr>
      <w:tr w:rsidR="00803298" w:rsidRPr="00707C85" w14:paraId="40F8FACF" w14:textId="77777777" w:rsidTr="008742C7">
        <w:tc>
          <w:tcPr>
            <w:tcW w:w="5000" w:type="pct"/>
          </w:tcPr>
          <w:p w14:paraId="1EFC53EE"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Urinary tract infection</w:t>
            </w:r>
          </w:p>
          <w:p w14:paraId="512C9A11" w14:textId="77777777" w:rsidR="00803298" w:rsidRPr="005B6652" w:rsidRDefault="00803298" w:rsidP="008742C7">
            <w:pPr>
              <w:pStyle w:val="ListParagraph"/>
              <w:numPr>
                <w:ilvl w:val="0"/>
                <w:numId w:val="3"/>
              </w:numPr>
              <w:shd w:val="clear" w:color="auto" w:fill="FFFFFF"/>
              <w:rPr>
                <w:rFonts w:cstheme="minorHAnsi"/>
              </w:rPr>
            </w:pPr>
            <w:r w:rsidRPr="005B6652">
              <w:rPr>
                <w:rFonts w:cstheme="minorHAnsi"/>
              </w:rPr>
              <w:t>Uncomplicated cystitis, community-acquired (onset &lt;72 hours after admission, no recent healthcare exposure)</w:t>
            </w:r>
          </w:p>
          <w:p w14:paraId="371F5864" w14:textId="77777777" w:rsidR="00803298" w:rsidRPr="005B6652" w:rsidRDefault="00803298" w:rsidP="008742C7">
            <w:pPr>
              <w:pStyle w:val="ListParagraph"/>
              <w:numPr>
                <w:ilvl w:val="0"/>
                <w:numId w:val="3"/>
              </w:numPr>
              <w:shd w:val="clear" w:color="auto" w:fill="FFFFFF"/>
              <w:rPr>
                <w:rFonts w:cstheme="minorHAnsi"/>
              </w:rPr>
            </w:pPr>
            <w:r w:rsidRPr="005B6652">
              <w:rPr>
                <w:rFonts w:cstheme="minorHAnsi"/>
              </w:rPr>
              <w:t>Complicated cystitis, community-acquired (onset &lt;72 hours after admission, no recent healthcare exposure)</w:t>
            </w:r>
          </w:p>
          <w:p w14:paraId="488EC27A" w14:textId="77777777" w:rsidR="00803298" w:rsidRPr="005B6652" w:rsidRDefault="00803298" w:rsidP="008742C7">
            <w:pPr>
              <w:pStyle w:val="ListParagraph"/>
              <w:numPr>
                <w:ilvl w:val="0"/>
                <w:numId w:val="3"/>
              </w:numPr>
              <w:shd w:val="clear" w:color="auto" w:fill="FFFFFF"/>
              <w:rPr>
                <w:rFonts w:cstheme="minorHAnsi"/>
              </w:rPr>
            </w:pPr>
            <w:r w:rsidRPr="005B6652">
              <w:rPr>
                <w:rFonts w:cstheme="minorHAnsi"/>
              </w:rPr>
              <w:t>Pyelonephritis, community-acquired (onset &lt;72 hours after admission, no recent healthcare exposure)</w:t>
            </w:r>
          </w:p>
          <w:p w14:paraId="27C7AD78" w14:textId="77777777" w:rsidR="00803298" w:rsidRPr="005B6652" w:rsidRDefault="00803298" w:rsidP="008742C7">
            <w:pPr>
              <w:pStyle w:val="ListParagraph"/>
              <w:numPr>
                <w:ilvl w:val="0"/>
                <w:numId w:val="3"/>
              </w:numPr>
              <w:shd w:val="clear" w:color="auto" w:fill="FFFFFF"/>
              <w:rPr>
                <w:rFonts w:cstheme="minorHAnsi"/>
              </w:rPr>
            </w:pPr>
            <w:r w:rsidRPr="005B6652">
              <w:rPr>
                <w:rFonts w:cstheme="minorHAnsi"/>
              </w:rPr>
              <w:t>Healthcare-associated cystitis or pyelonephritis</w:t>
            </w:r>
          </w:p>
          <w:p w14:paraId="3256A4B1" w14:textId="77777777" w:rsidR="00803298" w:rsidRPr="005B6652" w:rsidRDefault="00803298" w:rsidP="008742C7">
            <w:pPr>
              <w:shd w:val="clear" w:color="auto" w:fill="FFFFFF"/>
              <w:rPr>
                <w:rFonts w:cstheme="minorHAnsi"/>
                <w:color w:val="000000" w:themeColor="text1"/>
              </w:rPr>
            </w:pPr>
          </w:p>
        </w:tc>
      </w:tr>
      <w:tr w:rsidR="00803298" w:rsidRPr="00707C85" w14:paraId="56E1A168" w14:textId="77777777" w:rsidTr="008742C7">
        <w:tc>
          <w:tcPr>
            <w:tcW w:w="5000" w:type="pct"/>
          </w:tcPr>
          <w:p w14:paraId="2ABAAF3E" w14:textId="77777777" w:rsidR="00803298" w:rsidRPr="005B6652" w:rsidRDefault="00803298" w:rsidP="008742C7">
            <w:pPr>
              <w:shd w:val="clear" w:color="auto" w:fill="FFFFFF"/>
              <w:rPr>
                <w:rFonts w:cstheme="minorHAnsi"/>
                <w:color w:val="000000" w:themeColor="text1"/>
              </w:rPr>
            </w:pPr>
            <w:r w:rsidRPr="005B6652">
              <w:rPr>
                <w:rFonts w:cstheme="minorHAnsi"/>
                <w:color w:val="000000" w:themeColor="text1"/>
              </w:rPr>
              <w:t>Unknown source</w:t>
            </w:r>
          </w:p>
        </w:tc>
      </w:tr>
    </w:tbl>
    <w:p w14:paraId="1DEEF502" w14:textId="77777777" w:rsidR="00803298" w:rsidRDefault="00803298" w:rsidP="0091318C">
      <w:pPr>
        <w:rPr>
          <w:rFonts w:cstheme="minorHAnsi"/>
          <w:b/>
          <w:bCs/>
        </w:rPr>
      </w:pPr>
    </w:p>
    <w:p w14:paraId="17520B44" w14:textId="77777777" w:rsidR="00803298" w:rsidRDefault="00803298">
      <w:pPr>
        <w:rPr>
          <w:rFonts w:cstheme="minorHAnsi"/>
          <w:b/>
          <w:bCs/>
        </w:rPr>
      </w:pPr>
      <w:r>
        <w:rPr>
          <w:rFonts w:cstheme="minorHAnsi"/>
          <w:b/>
          <w:bCs/>
        </w:rPr>
        <w:br w:type="page"/>
      </w:r>
    </w:p>
    <w:p w14:paraId="10E73B36" w14:textId="5ED063B1" w:rsidR="00803298" w:rsidRDefault="00803298" w:rsidP="00803298">
      <w:pPr>
        <w:rPr>
          <w:rFonts w:cstheme="minorHAnsi"/>
        </w:rPr>
      </w:pPr>
      <w:r w:rsidRPr="005B6652">
        <w:rPr>
          <w:rFonts w:cstheme="minorHAnsi"/>
          <w:b/>
          <w:bCs/>
        </w:rPr>
        <w:lastRenderedPageBreak/>
        <w:t xml:space="preserve">Supplement Table </w:t>
      </w:r>
      <w:r>
        <w:rPr>
          <w:rFonts w:cstheme="minorHAnsi"/>
          <w:b/>
          <w:bCs/>
        </w:rPr>
        <w:t>2</w:t>
      </w:r>
      <w:r w:rsidRPr="005B6652">
        <w:rPr>
          <w:rFonts w:cstheme="minorHAnsi"/>
          <w:b/>
          <w:bCs/>
        </w:rPr>
        <w:t>.</w:t>
      </w:r>
      <w:r w:rsidRPr="005B6652">
        <w:rPr>
          <w:rFonts w:cstheme="minorHAnsi"/>
        </w:rPr>
        <w:t xml:space="preserve"> </w:t>
      </w:r>
      <w:r>
        <w:rPr>
          <w:rFonts w:cstheme="minorHAnsi"/>
        </w:rPr>
        <w:t xml:space="preserve">List of systemic antibiotics that were not counted when defining the inclusion criteria. All other systemic (oral, enteral, intravenous, and intramuscular routes) were included in the list for the inclusion criteria. </w:t>
      </w:r>
    </w:p>
    <w:p w14:paraId="11D74197" w14:textId="77777777" w:rsidR="00803298" w:rsidRDefault="00803298" w:rsidP="00803298">
      <w:pPr>
        <w:rPr>
          <w:rFonts w:cstheme="minorHAnsi"/>
        </w:rPr>
      </w:pPr>
    </w:p>
    <w:tbl>
      <w:tblPr>
        <w:tblW w:w="3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5846"/>
      </w:tblGrid>
      <w:tr w:rsidR="00803298" w:rsidRPr="00623107" w14:paraId="211E3EC9" w14:textId="77777777" w:rsidTr="008742C7">
        <w:trPr>
          <w:trHeight w:val="125"/>
        </w:trPr>
        <w:tc>
          <w:tcPr>
            <w:tcW w:w="5000" w:type="pct"/>
            <w:vAlign w:val="center"/>
          </w:tcPr>
          <w:p w14:paraId="09FBEF76" w14:textId="77777777" w:rsidR="00803298" w:rsidRPr="0091318C" w:rsidRDefault="00803298" w:rsidP="008742C7">
            <w:pPr>
              <w:pStyle w:val="Compact"/>
              <w:spacing w:before="0" w:after="0"/>
              <w:rPr>
                <w:rFonts w:cstheme="minorHAnsi"/>
                <w:b/>
                <w:color w:val="000000" w:themeColor="text1"/>
              </w:rPr>
            </w:pPr>
            <w:r>
              <w:rPr>
                <w:rFonts w:cstheme="minorHAnsi"/>
                <w:b/>
                <w:color w:val="000000" w:themeColor="text1"/>
              </w:rPr>
              <w:t>Systemic Antibiotics Excluded from Inclusion Criteria</w:t>
            </w:r>
          </w:p>
        </w:tc>
      </w:tr>
      <w:tr w:rsidR="00803298" w:rsidRPr="00623107" w14:paraId="3E2960CB" w14:textId="77777777" w:rsidTr="004202C0">
        <w:trPr>
          <w:trHeight w:val="3914"/>
        </w:trPr>
        <w:tc>
          <w:tcPr>
            <w:tcW w:w="5000" w:type="pct"/>
          </w:tcPr>
          <w:p w14:paraId="4C887FDE" w14:textId="77777777" w:rsidR="00803298" w:rsidRPr="005B6652" w:rsidRDefault="00803298" w:rsidP="008742C7">
            <w:pPr>
              <w:shd w:val="clear" w:color="auto" w:fill="FFFFFF"/>
              <w:rPr>
                <w:rFonts w:ascii="Calibri" w:hAnsi="Calibri" w:cs="Calibri"/>
                <w:color w:val="000000"/>
              </w:rPr>
            </w:pPr>
            <w:r w:rsidRPr="005B6652">
              <w:rPr>
                <w:rFonts w:ascii="Calibri" w:hAnsi="Calibri" w:cs="Calibri"/>
                <w:color w:val="000000"/>
              </w:rPr>
              <w:t>Daptomycin</w:t>
            </w:r>
          </w:p>
          <w:p w14:paraId="4268A104" w14:textId="77777777" w:rsidR="00DA612D" w:rsidRDefault="00DA612D" w:rsidP="008742C7">
            <w:pPr>
              <w:shd w:val="clear" w:color="auto" w:fill="FFFFFF"/>
              <w:rPr>
                <w:rFonts w:ascii="Calibri" w:hAnsi="Calibri" w:cs="Calibri"/>
                <w:color w:val="000000"/>
              </w:rPr>
            </w:pPr>
            <w:r w:rsidRPr="005B6652">
              <w:rPr>
                <w:rFonts w:ascii="Calibri" w:hAnsi="Calibri" w:cs="Calibri"/>
                <w:color w:val="000000"/>
              </w:rPr>
              <w:t xml:space="preserve">Erythromycin </w:t>
            </w:r>
          </w:p>
          <w:p w14:paraId="3E288E08" w14:textId="77777777" w:rsidR="00DA612D" w:rsidRPr="005B6652" w:rsidRDefault="00DA612D" w:rsidP="00DA612D">
            <w:pPr>
              <w:shd w:val="clear" w:color="auto" w:fill="FFFFFF"/>
              <w:rPr>
                <w:rFonts w:ascii="Calibri" w:hAnsi="Calibri" w:cs="Calibri"/>
                <w:color w:val="000000"/>
              </w:rPr>
            </w:pPr>
            <w:r w:rsidRPr="005B6652">
              <w:rPr>
                <w:rFonts w:ascii="Calibri" w:hAnsi="Calibri" w:cs="Calibri"/>
                <w:color w:val="000000"/>
              </w:rPr>
              <w:t>Ethambutol</w:t>
            </w:r>
          </w:p>
          <w:p w14:paraId="23599DE1" w14:textId="77777777" w:rsidR="00DA612D" w:rsidRPr="005B6652" w:rsidRDefault="00DA612D" w:rsidP="00DA612D">
            <w:pPr>
              <w:shd w:val="clear" w:color="auto" w:fill="FFFFFF"/>
              <w:rPr>
                <w:rFonts w:ascii="Calibri" w:hAnsi="Calibri" w:cs="Calibri"/>
                <w:color w:val="000000"/>
              </w:rPr>
            </w:pPr>
            <w:r w:rsidRPr="005B6652">
              <w:rPr>
                <w:rFonts w:ascii="Calibri" w:hAnsi="Calibri" w:cs="Calibri"/>
                <w:color w:val="000000"/>
              </w:rPr>
              <w:t>Fidaxomicin</w:t>
            </w:r>
          </w:p>
          <w:p w14:paraId="3F1660FC" w14:textId="77777777" w:rsidR="00DA612D" w:rsidRPr="005B6652" w:rsidRDefault="00DA612D" w:rsidP="00DA612D">
            <w:pPr>
              <w:shd w:val="clear" w:color="auto" w:fill="FFFFFF"/>
              <w:rPr>
                <w:rFonts w:ascii="Calibri" w:hAnsi="Calibri" w:cs="Calibri"/>
                <w:color w:val="000000"/>
              </w:rPr>
            </w:pPr>
            <w:r w:rsidRPr="005B6652">
              <w:rPr>
                <w:rFonts w:ascii="Calibri" w:hAnsi="Calibri" w:cs="Calibri"/>
                <w:color w:val="000000"/>
              </w:rPr>
              <w:t>Fosfomycin</w:t>
            </w:r>
          </w:p>
          <w:p w14:paraId="2372BFC0" w14:textId="77777777" w:rsidR="00DA612D" w:rsidRPr="005B6652" w:rsidRDefault="00DA612D" w:rsidP="00DA612D">
            <w:pPr>
              <w:shd w:val="clear" w:color="auto" w:fill="FFFFFF"/>
              <w:rPr>
                <w:rFonts w:ascii="Calibri" w:hAnsi="Calibri" w:cs="Calibri"/>
                <w:color w:val="000000"/>
              </w:rPr>
            </w:pPr>
            <w:r w:rsidRPr="005B6652">
              <w:rPr>
                <w:rFonts w:ascii="Calibri" w:hAnsi="Calibri" w:cs="Calibri"/>
                <w:color w:val="000000"/>
              </w:rPr>
              <w:t>Isoniazid</w:t>
            </w:r>
          </w:p>
          <w:p w14:paraId="2B9E4409" w14:textId="17CD84B4" w:rsidR="00803298" w:rsidRPr="005B6652" w:rsidRDefault="00803298" w:rsidP="008742C7">
            <w:pPr>
              <w:shd w:val="clear" w:color="auto" w:fill="FFFFFF"/>
              <w:rPr>
                <w:rFonts w:ascii="Calibri" w:hAnsi="Calibri" w:cs="Calibri"/>
                <w:color w:val="000000"/>
              </w:rPr>
            </w:pPr>
            <w:r w:rsidRPr="005B6652">
              <w:rPr>
                <w:rFonts w:ascii="Calibri" w:hAnsi="Calibri" w:cs="Calibri"/>
                <w:color w:val="000000"/>
              </w:rPr>
              <w:t>Nitrofurantoin</w:t>
            </w:r>
          </w:p>
          <w:p w14:paraId="72752C2A" w14:textId="77777777" w:rsidR="00DA612D" w:rsidRPr="005B6652" w:rsidRDefault="00DA612D" w:rsidP="00DA612D">
            <w:pPr>
              <w:shd w:val="clear" w:color="auto" w:fill="FFFFFF"/>
              <w:rPr>
                <w:rFonts w:ascii="Calibri" w:hAnsi="Calibri" w:cs="Calibri"/>
                <w:color w:val="000000"/>
              </w:rPr>
            </w:pPr>
            <w:r w:rsidRPr="005B6652">
              <w:rPr>
                <w:rFonts w:ascii="Calibri" w:hAnsi="Calibri" w:cs="Calibri"/>
                <w:color w:val="000000"/>
              </w:rPr>
              <w:t>Pyrazinamide</w:t>
            </w:r>
          </w:p>
          <w:p w14:paraId="76241385" w14:textId="77777777" w:rsidR="00DA612D" w:rsidRPr="005B6652" w:rsidRDefault="00DA612D" w:rsidP="00DA612D">
            <w:pPr>
              <w:shd w:val="clear" w:color="auto" w:fill="FFFFFF"/>
              <w:rPr>
                <w:rFonts w:ascii="Calibri" w:hAnsi="Calibri" w:cs="Calibri"/>
                <w:color w:val="000000"/>
              </w:rPr>
            </w:pPr>
            <w:r w:rsidRPr="005B6652">
              <w:rPr>
                <w:rFonts w:ascii="Calibri" w:hAnsi="Calibri" w:cs="Calibri"/>
                <w:color w:val="000000"/>
              </w:rPr>
              <w:t>Rifabutin</w:t>
            </w:r>
          </w:p>
          <w:p w14:paraId="1997D203" w14:textId="77777777" w:rsidR="00803298" w:rsidRPr="005B6652" w:rsidRDefault="00803298" w:rsidP="008742C7">
            <w:pPr>
              <w:shd w:val="clear" w:color="auto" w:fill="FFFFFF"/>
              <w:rPr>
                <w:rFonts w:ascii="Calibri" w:hAnsi="Calibri" w:cs="Calibri"/>
                <w:color w:val="000000"/>
              </w:rPr>
            </w:pPr>
            <w:r w:rsidRPr="005B6652">
              <w:rPr>
                <w:rFonts w:ascii="Calibri" w:hAnsi="Calibri" w:cs="Calibri"/>
                <w:color w:val="000000"/>
              </w:rPr>
              <w:t>Rifampin</w:t>
            </w:r>
          </w:p>
          <w:p w14:paraId="24FA4E12" w14:textId="77777777" w:rsidR="00DA612D" w:rsidRPr="005B6652" w:rsidRDefault="00DA612D" w:rsidP="00DA612D">
            <w:pPr>
              <w:shd w:val="clear" w:color="auto" w:fill="FFFFFF"/>
              <w:rPr>
                <w:rFonts w:ascii="Calibri" w:hAnsi="Calibri" w:cs="Calibri"/>
                <w:color w:val="000000"/>
              </w:rPr>
            </w:pPr>
            <w:r w:rsidRPr="005B6652">
              <w:rPr>
                <w:rFonts w:ascii="Calibri" w:hAnsi="Calibri" w:cs="Calibri"/>
                <w:color w:val="000000"/>
              </w:rPr>
              <w:t>Rifapentine</w:t>
            </w:r>
          </w:p>
          <w:p w14:paraId="17A9F7CA" w14:textId="77777777" w:rsidR="00DA612D" w:rsidRPr="005B6652" w:rsidRDefault="00DA612D" w:rsidP="00DA612D">
            <w:pPr>
              <w:shd w:val="clear" w:color="auto" w:fill="FFFFFF"/>
              <w:rPr>
                <w:rFonts w:ascii="Calibri" w:hAnsi="Calibri" w:cs="Calibri"/>
                <w:color w:val="000000"/>
              </w:rPr>
            </w:pPr>
            <w:r w:rsidRPr="005B6652">
              <w:rPr>
                <w:rFonts w:ascii="Calibri" w:hAnsi="Calibri" w:cs="Calibri"/>
                <w:color w:val="000000"/>
              </w:rPr>
              <w:t>Rifaximin</w:t>
            </w:r>
          </w:p>
          <w:p w14:paraId="75F7CABB" w14:textId="6433F8E6" w:rsidR="00803298" w:rsidRPr="005B6652" w:rsidRDefault="00DA612D" w:rsidP="00DA612D">
            <w:pPr>
              <w:shd w:val="clear" w:color="auto" w:fill="FFFFFF"/>
              <w:rPr>
                <w:rFonts w:ascii="Calibri" w:hAnsi="Calibri" w:cs="Calibri"/>
                <w:color w:val="000000"/>
              </w:rPr>
            </w:pPr>
            <w:r>
              <w:rPr>
                <w:rFonts w:ascii="Calibri" w:hAnsi="Calibri" w:cs="Calibri"/>
                <w:color w:val="000000"/>
              </w:rPr>
              <w:t>V</w:t>
            </w:r>
            <w:r w:rsidRPr="005B6652">
              <w:rPr>
                <w:rFonts w:ascii="Calibri" w:hAnsi="Calibri" w:cs="Calibri"/>
                <w:color w:val="000000"/>
              </w:rPr>
              <w:t xml:space="preserve">ancomycin </w:t>
            </w:r>
            <w:r>
              <w:rPr>
                <w:rFonts w:ascii="Calibri" w:hAnsi="Calibri" w:cs="Calibri"/>
                <w:color w:val="000000"/>
              </w:rPr>
              <w:t xml:space="preserve">oral/enteral </w:t>
            </w:r>
            <w:r w:rsidRPr="005B6652">
              <w:rPr>
                <w:rFonts w:ascii="Calibri" w:hAnsi="Calibri" w:cs="Calibri"/>
                <w:color w:val="000000"/>
              </w:rPr>
              <w:t>(</w:t>
            </w:r>
            <w:r>
              <w:rPr>
                <w:rFonts w:ascii="Calibri" w:hAnsi="Calibri" w:cs="Calibri"/>
                <w:color w:val="000000"/>
              </w:rPr>
              <w:t xml:space="preserve">not </w:t>
            </w:r>
            <w:r w:rsidRPr="005B6652">
              <w:rPr>
                <w:rFonts w:ascii="Calibri" w:hAnsi="Calibri" w:cs="Calibri"/>
                <w:color w:val="000000"/>
              </w:rPr>
              <w:t>IV)</w:t>
            </w:r>
          </w:p>
        </w:tc>
      </w:tr>
    </w:tbl>
    <w:p w14:paraId="06DEFED1" w14:textId="77777777" w:rsidR="00803298" w:rsidRDefault="00803298" w:rsidP="0091318C">
      <w:pPr>
        <w:rPr>
          <w:rFonts w:cstheme="minorHAnsi"/>
          <w:b/>
          <w:bCs/>
        </w:rPr>
      </w:pPr>
    </w:p>
    <w:p w14:paraId="3781E78A" w14:textId="77777777" w:rsidR="00803298" w:rsidRDefault="00803298" w:rsidP="0091318C">
      <w:pPr>
        <w:rPr>
          <w:rFonts w:cstheme="minorHAnsi"/>
          <w:b/>
          <w:bCs/>
        </w:rPr>
      </w:pPr>
    </w:p>
    <w:p w14:paraId="129278F0" w14:textId="77777777" w:rsidR="00803298" w:rsidRDefault="00803298">
      <w:pPr>
        <w:rPr>
          <w:rFonts w:cstheme="minorHAnsi"/>
          <w:b/>
          <w:bCs/>
        </w:rPr>
      </w:pPr>
      <w:r>
        <w:rPr>
          <w:rFonts w:cstheme="minorHAnsi"/>
          <w:b/>
          <w:bCs/>
        </w:rPr>
        <w:br w:type="page"/>
      </w:r>
    </w:p>
    <w:p w14:paraId="40324EC7" w14:textId="38E085F1" w:rsidR="00AF0AA8" w:rsidRPr="005B6652" w:rsidRDefault="007373FD" w:rsidP="0091318C">
      <w:pPr>
        <w:rPr>
          <w:rFonts w:ascii="Arial" w:hAnsi="Arial" w:cs="Arial"/>
          <w:color w:val="000000"/>
        </w:rPr>
      </w:pPr>
      <w:r w:rsidRPr="005B6652">
        <w:rPr>
          <w:rFonts w:cstheme="minorHAnsi"/>
          <w:b/>
          <w:bCs/>
        </w:rPr>
        <w:lastRenderedPageBreak/>
        <w:t>Supplement</w:t>
      </w:r>
      <w:r w:rsidR="003D711A" w:rsidRPr="005B6652">
        <w:rPr>
          <w:rFonts w:cstheme="minorHAnsi"/>
          <w:b/>
          <w:bCs/>
        </w:rPr>
        <w:t xml:space="preserve"> Table </w:t>
      </w:r>
      <w:r w:rsidR="00803298">
        <w:rPr>
          <w:rFonts w:cstheme="minorHAnsi"/>
          <w:b/>
          <w:bCs/>
        </w:rPr>
        <w:t>3</w:t>
      </w:r>
      <w:r w:rsidR="003D711A" w:rsidRPr="005B6652">
        <w:rPr>
          <w:rFonts w:cstheme="minorHAnsi"/>
          <w:b/>
          <w:bCs/>
        </w:rPr>
        <w:t>.</w:t>
      </w:r>
      <w:r w:rsidR="003D711A" w:rsidRPr="005B6652">
        <w:rPr>
          <w:rFonts w:cstheme="minorHAnsi"/>
        </w:rPr>
        <w:t xml:space="preserve"> </w:t>
      </w:r>
      <w:r w:rsidR="001429C3" w:rsidRPr="005B6652">
        <w:rPr>
          <w:rFonts w:cstheme="minorHAnsi"/>
        </w:rPr>
        <w:t xml:space="preserve">ICD-10 codes for </w:t>
      </w:r>
      <w:r w:rsidR="001429C3" w:rsidRPr="005B6652">
        <w:rPr>
          <w:rFonts w:cstheme="minorHAnsi"/>
          <w:color w:val="000000"/>
        </w:rPr>
        <w:t>pneumonia</w:t>
      </w:r>
      <w:r w:rsidR="001429C3" w:rsidRPr="005B6652">
        <w:rPr>
          <w:rFonts w:ascii="Arial" w:hAnsi="Arial" w:cs="Arial"/>
          <w:color w:val="000000"/>
        </w:rPr>
        <w:t xml:space="preserve"> </w:t>
      </w:r>
    </w:p>
    <w:p w14:paraId="131C815F" w14:textId="77777777" w:rsidR="0091318C" w:rsidRDefault="0091318C" w:rsidP="0091318C">
      <w:pPr>
        <w:rPr>
          <w:rFonts w:cstheme="minorHAnsi"/>
          <w:u w:val="single"/>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9986"/>
      </w:tblGrid>
      <w:tr w:rsidR="00AF0AA8" w:rsidRPr="00623107" w14:paraId="6499E255" w14:textId="77777777" w:rsidTr="001429C3">
        <w:trPr>
          <w:trHeight w:val="125"/>
        </w:trPr>
        <w:tc>
          <w:tcPr>
            <w:tcW w:w="5000" w:type="pct"/>
            <w:vAlign w:val="center"/>
          </w:tcPr>
          <w:p w14:paraId="567339DF" w14:textId="0B20289C" w:rsidR="00AF0AA8" w:rsidRPr="0091318C" w:rsidRDefault="00AF0AA8" w:rsidP="0091318C">
            <w:pPr>
              <w:pStyle w:val="Compact"/>
              <w:spacing w:before="0" w:after="0"/>
              <w:jc w:val="center"/>
              <w:rPr>
                <w:rFonts w:cstheme="minorHAnsi"/>
                <w:b/>
                <w:color w:val="000000" w:themeColor="text1"/>
              </w:rPr>
            </w:pPr>
            <w:r w:rsidRPr="0091318C">
              <w:rPr>
                <w:rFonts w:cstheme="minorHAnsi"/>
                <w:b/>
                <w:color w:val="000000" w:themeColor="text1"/>
              </w:rPr>
              <w:t>ICD-10 Code for Pneumonia</w:t>
            </w:r>
          </w:p>
        </w:tc>
      </w:tr>
      <w:tr w:rsidR="00AF0AA8" w:rsidRPr="00623107" w14:paraId="39365CD4" w14:textId="77777777" w:rsidTr="001429C3">
        <w:trPr>
          <w:trHeight w:val="863"/>
        </w:trPr>
        <w:tc>
          <w:tcPr>
            <w:tcW w:w="5000" w:type="pct"/>
          </w:tcPr>
          <w:p w14:paraId="7E8CB6A2" w14:textId="1A49AE22" w:rsidR="00AF0AA8" w:rsidRPr="0091318C" w:rsidRDefault="00AF0AA8" w:rsidP="0091318C">
            <w:pPr>
              <w:pStyle w:val="Compact"/>
              <w:spacing w:before="0" w:after="0"/>
              <w:rPr>
                <w:rFonts w:cstheme="minorHAnsi"/>
                <w:color w:val="000000" w:themeColor="text1"/>
              </w:rPr>
            </w:pPr>
            <w:r w:rsidRPr="0091318C">
              <w:rPr>
                <w:rFonts w:cstheme="minorHAnsi"/>
                <w:color w:val="000000" w:themeColor="text1"/>
              </w:rPr>
              <w:t>J09.X1, J10.00, J10.01, J10.08, J11.00, J11.08, J12.0, J12.1, J12.2, J12.3, J12.8, J12.81, J12.82, J12.89, J12.9, J13, J14, J15, J15.1, J15.2, J15.21, J15.211, J15.212, J15.29, J15.3, J15.4, J15.5, J15.6, J15.7, J15.8, J15.9, J16.8, J16.0, J17, J18.0, J18.1, J18.8, J18.9, A37.01, A37.11, A37.81, A37.91, A48.1, J22</w:t>
            </w:r>
          </w:p>
        </w:tc>
      </w:tr>
    </w:tbl>
    <w:p w14:paraId="22F52456" w14:textId="77777777" w:rsidR="005B6652" w:rsidRDefault="005B6652" w:rsidP="00C77699">
      <w:pPr>
        <w:rPr>
          <w:rFonts w:cstheme="minorHAnsi"/>
          <w:b/>
          <w:bCs/>
        </w:rPr>
      </w:pPr>
    </w:p>
    <w:p w14:paraId="58CBAC52" w14:textId="77777777" w:rsidR="00935F73" w:rsidRDefault="00935F73" w:rsidP="00C77699">
      <w:pPr>
        <w:rPr>
          <w:rFonts w:cstheme="minorHAnsi"/>
          <w:b/>
          <w:bCs/>
        </w:rPr>
      </w:pPr>
    </w:p>
    <w:p w14:paraId="2F64B7E5" w14:textId="77777777" w:rsidR="00935F73" w:rsidRDefault="00935F73">
      <w:pPr>
        <w:rPr>
          <w:rFonts w:cstheme="minorHAnsi"/>
          <w:b/>
          <w:bCs/>
        </w:rPr>
      </w:pPr>
      <w:r>
        <w:rPr>
          <w:rFonts w:cstheme="minorHAnsi"/>
          <w:b/>
          <w:bCs/>
        </w:rPr>
        <w:br w:type="page"/>
      </w:r>
    </w:p>
    <w:p w14:paraId="439C4939" w14:textId="73781051" w:rsidR="005B6652" w:rsidRPr="005B6652" w:rsidRDefault="005B6652" w:rsidP="005B6652">
      <w:pPr>
        <w:rPr>
          <w:rFonts w:cstheme="minorHAnsi"/>
          <w:color w:val="000000"/>
        </w:rPr>
      </w:pPr>
    </w:p>
    <w:p w14:paraId="24DB74BA" w14:textId="77D7907C" w:rsidR="007373FD" w:rsidRDefault="001429C3" w:rsidP="004202C0">
      <w:pPr>
        <w:rPr>
          <w:rFonts w:cstheme="minorHAnsi"/>
          <w:u w:val="single"/>
        </w:rPr>
      </w:pPr>
      <w:r w:rsidRPr="00583DBC">
        <w:rPr>
          <w:rFonts w:cstheme="minorHAnsi"/>
          <w:b/>
          <w:bCs/>
        </w:rPr>
        <w:t>Supplement Figure 1.</w:t>
      </w:r>
      <w:r w:rsidRPr="00583DBC">
        <w:rPr>
          <w:rFonts w:cstheme="minorHAnsi"/>
        </w:rPr>
        <w:t xml:space="preserve"> </w:t>
      </w:r>
      <w:r w:rsidR="0045514D" w:rsidRPr="00583DBC">
        <w:t>Proportion</w:t>
      </w:r>
      <w:r w:rsidR="0045514D">
        <w:t xml:space="preserve"> of patients with infiltrates on c</w:t>
      </w:r>
      <w:r w:rsidR="00611058">
        <w:t xml:space="preserve">hest </w:t>
      </w:r>
      <w:r w:rsidR="0045514D">
        <w:t>imaging by</w:t>
      </w:r>
      <w:r w:rsidR="00611058">
        <w:t xml:space="preserve"> method of identification</w:t>
      </w:r>
      <w:r w:rsidR="0045514D">
        <w:t xml:space="preserve"> of community acquired pneumonia (CAP)</w:t>
      </w:r>
    </w:p>
    <w:p w14:paraId="1219B8EC" w14:textId="77777777" w:rsidR="007373FD" w:rsidRDefault="007373FD" w:rsidP="007373FD">
      <w:pPr>
        <w:spacing w:before="240" w:after="240"/>
        <w:rPr>
          <w:rFonts w:cstheme="minorHAnsi"/>
          <w:u w:val="single"/>
        </w:rPr>
      </w:pPr>
      <w:r>
        <w:rPr>
          <w:noProof/>
        </w:rPr>
        <w:drawing>
          <wp:inline distT="0" distB="0" distL="0" distR="0" wp14:anchorId="3111DBA4" wp14:editId="1523F35B">
            <wp:extent cx="6310053" cy="3424687"/>
            <wp:effectExtent l="0" t="0" r="1905" b="444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5"/>
                    <a:stretch>
                      <a:fillRect/>
                    </a:stretch>
                  </pic:blipFill>
                  <pic:spPr>
                    <a:xfrm>
                      <a:off x="0" y="0"/>
                      <a:ext cx="6321367" cy="3430827"/>
                    </a:xfrm>
                    <a:prstGeom prst="rect">
                      <a:avLst/>
                    </a:prstGeom>
                  </pic:spPr>
                </pic:pic>
              </a:graphicData>
            </a:graphic>
          </wp:inline>
        </w:drawing>
      </w:r>
    </w:p>
    <w:p w14:paraId="09EB0CC3" w14:textId="10B92A00" w:rsidR="00611058" w:rsidRDefault="00C94866" w:rsidP="005B6652">
      <w:pPr>
        <w:autoSpaceDE w:val="0"/>
        <w:autoSpaceDN w:val="0"/>
        <w:adjustRightInd w:val="0"/>
        <w:rPr>
          <w:rFonts w:ascii="AppleSystemUIFont" w:hAnsi="AppleSystemUIFont" w:cs="AppleSystemUIFont"/>
          <w:sz w:val="26"/>
          <w:szCs w:val="26"/>
        </w:rPr>
      </w:pPr>
      <w:r>
        <w:rPr>
          <w:sz w:val="22"/>
          <w:szCs w:val="22"/>
        </w:rPr>
        <w:t>CAP, community-acquired pneumonia; HAP, healthcare-associated pneumonia</w:t>
      </w:r>
    </w:p>
    <w:p w14:paraId="0027732A" w14:textId="77777777" w:rsidR="005B6652" w:rsidRPr="005B6652" w:rsidRDefault="005B6652" w:rsidP="005B6652">
      <w:pPr>
        <w:autoSpaceDE w:val="0"/>
        <w:autoSpaceDN w:val="0"/>
        <w:adjustRightInd w:val="0"/>
        <w:rPr>
          <w:rFonts w:ascii="AppleSystemUIFont" w:hAnsi="AppleSystemUIFont" w:cs="AppleSystemUIFont"/>
          <w:sz w:val="26"/>
          <w:szCs w:val="26"/>
        </w:rPr>
      </w:pPr>
    </w:p>
    <w:p w14:paraId="02EEE006" w14:textId="77777777" w:rsidR="00935F73" w:rsidRDefault="00935F73">
      <w:pPr>
        <w:rPr>
          <w:b/>
          <w:bCs/>
        </w:rPr>
      </w:pPr>
      <w:r>
        <w:rPr>
          <w:b/>
          <w:bCs/>
        </w:rPr>
        <w:br w:type="page"/>
      </w:r>
    </w:p>
    <w:p w14:paraId="53D4EAA0" w14:textId="0D048F01" w:rsidR="007373FD" w:rsidRDefault="00611058" w:rsidP="007373FD">
      <w:pPr>
        <w:spacing w:before="240" w:after="240"/>
        <w:rPr>
          <w:rFonts w:cstheme="minorHAnsi"/>
          <w:color w:val="FF0000"/>
        </w:rPr>
      </w:pPr>
      <w:r w:rsidRPr="007957D3">
        <w:rPr>
          <w:b/>
          <w:bCs/>
        </w:rPr>
        <w:lastRenderedPageBreak/>
        <w:t>Supplement Figure 2</w:t>
      </w:r>
      <w:r w:rsidR="007957D3" w:rsidRPr="007957D3">
        <w:rPr>
          <w:b/>
          <w:bCs/>
        </w:rPr>
        <w:t>.</w:t>
      </w:r>
      <w:r>
        <w:t xml:space="preserve"> </w:t>
      </w:r>
      <w:r w:rsidR="001907E8">
        <w:t xml:space="preserve">Distribution of pneumonia terminology among sixty-four patients with pneumonia by chart review </w:t>
      </w:r>
    </w:p>
    <w:p w14:paraId="19555714" w14:textId="77777777" w:rsidR="007373FD" w:rsidRDefault="007373FD" w:rsidP="007373FD">
      <w:pPr>
        <w:spacing w:before="240" w:after="240"/>
        <w:rPr>
          <w:rFonts w:cstheme="minorHAnsi"/>
          <w:color w:val="FF0000"/>
        </w:rPr>
      </w:pPr>
      <w:r>
        <w:rPr>
          <w:noProof/>
        </w:rPr>
        <w:drawing>
          <wp:inline distT="0" distB="0" distL="0" distR="0" wp14:anchorId="5E33D927" wp14:editId="061EA369">
            <wp:extent cx="6344030" cy="3623417"/>
            <wp:effectExtent l="0" t="0" r="6350" b="0"/>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6"/>
                    <a:stretch>
                      <a:fillRect/>
                    </a:stretch>
                  </pic:blipFill>
                  <pic:spPr>
                    <a:xfrm>
                      <a:off x="0" y="0"/>
                      <a:ext cx="6391884" cy="3650749"/>
                    </a:xfrm>
                    <a:prstGeom prst="rect">
                      <a:avLst/>
                    </a:prstGeom>
                  </pic:spPr>
                </pic:pic>
              </a:graphicData>
            </a:graphic>
          </wp:inline>
        </w:drawing>
      </w:r>
    </w:p>
    <w:p w14:paraId="5FA1FE5C" w14:textId="5D8CF42D" w:rsidR="00361677" w:rsidRDefault="00361677" w:rsidP="00E736CC">
      <w:r>
        <w:rPr>
          <w:sz w:val="22"/>
          <w:szCs w:val="22"/>
        </w:rPr>
        <w:t>PNA, pneumonia</w:t>
      </w:r>
    </w:p>
    <w:p w14:paraId="43BC4F21" w14:textId="43D50EB5" w:rsidR="00E736CC" w:rsidRDefault="00826988" w:rsidP="00E736CC">
      <w:r>
        <w:t>Note: t</w:t>
      </w:r>
      <w:r w:rsidR="00E736CC">
        <w:t xml:space="preserve">he “other” category </w:t>
      </w:r>
      <w:r w:rsidR="00E736CC" w:rsidRPr="00FF0493">
        <w:rPr>
          <w:rFonts w:ascii="Calibri" w:hAnsi="Calibri" w:cs="Calibri"/>
        </w:rPr>
        <w:t>includes the following: COVID-19 pneumonia, 9</w:t>
      </w:r>
      <w:r w:rsidR="00E736CC">
        <w:rPr>
          <w:rFonts w:ascii="Calibri" w:hAnsi="Calibri" w:cs="Calibri"/>
        </w:rPr>
        <w:t xml:space="preserve"> </w:t>
      </w:r>
      <w:r w:rsidR="00E736CC" w:rsidRPr="00FF0493">
        <w:rPr>
          <w:rFonts w:ascii="Calibri" w:hAnsi="Calibri" w:cs="Calibri"/>
        </w:rPr>
        <w:t xml:space="preserve">(64.3%); </w:t>
      </w:r>
      <w:r w:rsidR="000B1D7C">
        <w:rPr>
          <w:rFonts w:ascii="Calibri" w:hAnsi="Calibri" w:cs="Calibri"/>
        </w:rPr>
        <w:t>p</w:t>
      </w:r>
      <w:r w:rsidR="00E736CC" w:rsidRPr="00FF0493">
        <w:rPr>
          <w:rFonts w:ascii="Calibri" w:hAnsi="Calibri" w:cs="Calibri"/>
        </w:rPr>
        <w:t>ost-obstructive pneumonia, 2</w:t>
      </w:r>
      <w:r w:rsidR="00E736CC">
        <w:rPr>
          <w:rFonts w:ascii="Calibri" w:hAnsi="Calibri" w:cs="Calibri"/>
        </w:rPr>
        <w:t xml:space="preserve"> </w:t>
      </w:r>
      <w:r w:rsidR="00E736CC" w:rsidRPr="00FF0493">
        <w:rPr>
          <w:rFonts w:ascii="Calibri" w:hAnsi="Calibri" w:cs="Calibri"/>
        </w:rPr>
        <w:t>(14.3%)</w:t>
      </w:r>
      <w:r w:rsidR="00E736CC">
        <w:rPr>
          <w:rFonts w:ascii="Calibri" w:hAnsi="Calibri" w:cs="Calibri"/>
        </w:rPr>
        <w:t xml:space="preserve">; </w:t>
      </w:r>
      <w:r w:rsidR="00E736CC" w:rsidRPr="000B1D7C">
        <w:rPr>
          <w:rFonts w:ascii="Calibri" w:hAnsi="Calibri" w:cs="Calibri"/>
          <w:i/>
          <w:iCs/>
          <w:color w:val="040C28"/>
        </w:rPr>
        <w:t xml:space="preserve">Pneumocystis </w:t>
      </w:r>
      <w:proofErr w:type="spellStart"/>
      <w:r w:rsidR="00E736CC" w:rsidRPr="000B1D7C">
        <w:rPr>
          <w:rFonts w:ascii="Calibri" w:hAnsi="Calibri" w:cs="Calibri"/>
          <w:i/>
          <w:iCs/>
          <w:color w:val="040C28"/>
        </w:rPr>
        <w:t>jiroveci</w:t>
      </w:r>
      <w:proofErr w:type="spellEnd"/>
      <w:r w:rsidR="00E736CC">
        <w:rPr>
          <w:rFonts w:ascii="Calibri" w:hAnsi="Calibri" w:cs="Calibri"/>
          <w:color w:val="040C28"/>
        </w:rPr>
        <w:t xml:space="preserve"> pneumonia, 1 (7.1%); </w:t>
      </w:r>
      <w:r w:rsidR="000B1D7C">
        <w:rPr>
          <w:rFonts w:ascii="Calibri" w:hAnsi="Calibri" w:cs="Calibri"/>
          <w:color w:val="040C28"/>
        </w:rPr>
        <w:t>h</w:t>
      </w:r>
      <w:r w:rsidR="00E736CC">
        <w:rPr>
          <w:rFonts w:ascii="Calibri" w:hAnsi="Calibri" w:cs="Calibri"/>
          <w:color w:val="040C28"/>
        </w:rPr>
        <w:t xml:space="preserve">emorrhagic pneumonia, 1 (7.1%); </w:t>
      </w:r>
      <w:r w:rsidR="000B1D7C">
        <w:rPr>
          <w:rFonts w:ascii="Calibri" w:hAnsi="Calibri" w:cs="Calibri"/>
          <w:color w:val="040C28"/>
        </w:rPr>
        <w:t>p</w:t>
      </w:r>
      <w:r w:rsidR="00E736CC">
        <w:rPr>
          <w:rFonts w:ascii="Calibri" w:hAnsi="Calibri" w:cs="Calibri"/>
          <w:color w:val="040C28"/>
        </w:rPr>
        <w:t>ost-viral bacterial pneumonia, 1 (7.1%)</w:t>
      </w:r>
    </w:p>
    <w:p w14:paraId="3D14E3FC" w14:textId="77777777" w:rsidR="00E736CC" w:rsidRDefault="00E736CC" w:rsidP="007373FD">
      <w:pPr>
        <w:spacing w:before="240" w:after="240"/>
        <w:rPr>
          <w:rFonts w:cstheme="minorHAnsi"/>
          <w:color w:val="FF0000"/>
        </w:rPr>
      </w:pPr>
    </w:p>
    <w:p w14:paraId="0D889F4E" w14:textId="142493F5" w:rsidR="00FF0493" w:rsidRDefault="00FF0493" w:rsidP="007373FD">
      <w:pPr>
        <w:spacing w:before="240" w:after="240"/>
        <w:rPr>
          <w:rFonts w:ascii="Menlo" w:hAnsi="Menlo" w:cs="Menlo"/>
          <w:color w:val="000000"/>
          <w:sz w:val="22"/>
          <w:szCs w:val="22"/>
        </w:rPr>
      </w:pPr>
    </w:p>
    <w:p w14:paraId="60399095" w14:textId="77777777" w:rsidR="00FF0493" w:rsidRDefault="00FF0493" w:rsidP="007373FD">
      <w:pPr>
        <w:spacing w:before="240" w:after="240"/>
        <w:rPr>
          <w:rFonts w:ascii="Calibri" w:hAnsi="Calibri" w:cs="Calibri"/>
          <w:color w:val="000000"/>
          <w:sz w:val="22"/>
          <w:szCs w:val="22"/>
        </w:rPr>
      </w:pPr>
    </w:p>
    <w:p w14:paraId="22A43726" w14:textId="71EC399B" w:rsidR="00FF0493" w:rsidRPr="00FF0493" w:rsidRDefault="00FF0493" w:rsidP="00E736CC">
      <w:pPr>
        <w:spacing w:before="240" w:after="240"/>
        <w:rPr>
          <w:rFonts w:ascii="Calibri" w:hAnsi="Calibri" w:cs="Calibri"/>
          <w:color w:val="000000"/>
          <w:sz w:val="22"/>
          <w:szCs w:val="22"/>
        </w:rPr>
      </w:pPr>
      <w:r w:rsidRPr="00B35E18">
        <w:rPr>
          <w:rFonts w:ascii="Calibri" w:hAnsi="Calibri" w:cs="Calibri"/>
          <w:color w:val="FF0000"/>
          <w:sz w:val="22"/>
          <w:szCs w:val="22"/>
        </w:rPr>
        <w:t>“</w:t>
      </w:r>
    </w:p>
    <w:p w14:paraId="2E5C6284" w14:textId="77777777" w:rsidR="00FF0493" w:rsidRDefault="00FF0493" w:rsidP="007373FD">
      <w:pPr>
        <w:spacing w:before="240" w:after="240"/>
        <w:rPr>
          <w:rFonts w:ascii="Menlo" w:hAnsi="Menlo" w:cs="Menlo"/>
          <w:color w:val="000000"/>
          <w:sz w:val="22"/>
          <w:szCs w:val="22"/>
        </w:rPr>
      </w:pPr>
    </w:p>
    <w:p w14:paraId="02EC192B" w14:textId="77777777" w:rsidR="00FF0493" w:rsidRDefault="00FF0493" w:rsidP="007373FD">
      <w:pPr>
        <w:spacing w:before="240" w:after="240"/>
        <w:rPr>
          <w:rFonts w:ascii="Menlo" w:hAnsi="Menlo" w:cs="Menlo"/>
          <w:color w:val="000000"/>
          <w:sz w:val="22"/>
          <w:szCs w:val="22"/>
        </w:rPr>
      </w:pPr>
    </w:p>
    <w:p w14:paraId="3DB7B458" w14:textId="55B4A6DB" w:rsidR="007373FD" w:rsidRPr="0093055A" w:rsidRDefault="007373FD" w:rsidP="007373FD">
      <w:pPr>
        <w:spacing w:before="240" w:after="240"/>
        <w:rPr>
          <w:rFonts w:cstheme="minorHAnsi"/>
          <w:color w:val="FF0000"/>
        </w:rPr>
      </w:pPr>
      <w:r w:rsidRPr="0093055A">
        <w:rPr>
          <w:rFonts w:cstheme="minorHAnsi"/>
          <w:color w:val="FF0000"/>
        </w:rPr>
        <w:t xml:space="preserve">. </w:t>
      </w:r>
    </w:p>
    <w:p w14:paraId="4B8E66FD" w14:textId="77777777" w:rsidR="007373FD" w:rsidRPr="00256306" w:rsidRDefault="007373FD" w:rsidP="007373FD">
      <w:pPr>
        <w:spacing w:before="240" w:after="240"/>
        <w:rPr>
          <w:rFonts w:cstheme="minorHAnsi"/>
          <w:u w:val="single"/>
        </w:rPr>
      </w:pPr>
    </w:p>
    <w:p w14:paraId="7D988AA7" w14:textId="77777777" w:rsidR="00F72448" w:rsidRDefault="00F72448"/>
    <w:sectPr w:rsidR="00F72448" w:rsidSect="0020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6C83"/>
    <w:multiLevelType w:val="hybridMultilevel"/>
    <w:tmpl w:val="B1383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F6FC4"/>
    <w:multiLevelType w:val="multilevel"/>
    <w:tmpl w:val="0BAC1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94A5E"/>
    <w:multiLevelType w:val="hybridMultilevel"/>
    <w:tmpl w:val="3BD8592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C5F5383"/>
    <w:multiLevelType w:val="hybridMultilevel"/>
    <w:tmpl w:val="3C7CE7F4"/>
    <w:lvl w:ilvl="0" w:tplc="66A41F2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6691B"/>
    <w:multiLevelType w:val="hybridMultilevel"/>
    <w:tmpl w:val="401493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5745">
    <w:abstractNumId w:val="0"/>
  </w:num>
  <w:num w:numId="2" w16cid:durableId="560794853">
    <w:abstractNumId w:val="4"/>
  </w:num>
  <w:num w:numId="3" w16cid:durableId="1530796993">
    <w:abstractNumId w:val="2"/>
  </w:num>
  <w:num w:numId="4" w16cid:durableId="1917788987">
    <w:abstractNumId w:val="3"/>
  </w:num>
  <w:num w:numId="5" w16cid:durableId="1242065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01"/>
    <w:rsid w:val="00047403"/>
    <w:rsid w:val="00075135"/>
    <w:rsid w:val="000A5317"/>
    <w:rsid w:val="000B1D7C"/>
    <w:rsid w:val="000B21A2"/>
    <w:rsid w:val="00102F69"/>
    <w:rsid w:val="001429C3"/>
    <w:rsid w:val="00150F58"/>
    <w:rsid w:val="00177BF8"/>
    <w:rsid w:val="00181698"/>
    <w:rsid w:val="001907E8"/>
    <w:rsid w:val="001B7DE6"/>
    <w:rsid w:val="001B7E60"/>
    <w:rsid w:val="0020181C"/>
    <w:rsid w:val="00206D60"/>
    <w:rsid w:val="00217723"/>
    <w:rsid w:val="00227C30"/>
    <w:rsid w:val="00231FCB"/>
    <w:rsid w:val="002B7AD9"/>
    <w:rsid w:val="002C239C"/>
    <w:rsid w:val="003448FC"/>
    <w:rsid w:val="00361677"/>
    <w:rsid w:val="003A6B34"/>
    <w:rsid w:val="003D711A"/>
    <w:rsid w:val="003F1187"/>
    <w:rsid w:val="004202C0"/>
    <w:rsid w:val="004259A1"/>
    <w:rsid w:val="0045514D"/>
    <w:rsid w:val="00473D32"/>
    <w:rsid w:val="004918B3"/>
    <w:rsid w:val="004A1501"/>
    <w:rsid w:val="004A55FC"/>
    <w:rsid w:val="004E0FCB"/>
    <w:rsid w:val="004F60FD"/>
    <w:rsid w:val="005218BE"/>
    <w:rsid w:val="00583DBC"/>
    <w:rsid w:val="005B1B87"/>
    <w:rsid w:val="005B33D8"/>
    <w:rsid w:val="005B6652"/>
    <w:rsid w:val="00602F0C"/>
    <w:rsid w:val="006100CC"/>
    <w:rsid w:val="00611058"/>
    <w:rsid w:val="00637B6E"/>
    <w:rsid w:val="00652CBD"/>
    <w:rsid w:val="00657C67"/>
    <w:rsid w:val="00670981"/>
    <w:rsid w:val="007047BE"/>
    <w:rsid w:val="007373FD"/>
    <w:rsid w:val="00750625"/>
    <w:rsid w:val="007632DB"/>
    <w:rsid w:val="0077254A"/>
    <w:rsid w:val="00774662"/>
    <w:rsid w:val="00791C4B"/>
    <w:rsid w:val="007957D3"/>
    <w:rsid w:val="007A0A96"/>
    <w:rsid w:val="007B15EF"/>
    <w:rsid w:val="00803298"/>
    <w:rsid w:val="00826988"/>
    <w:rsid w:val="008335AD"/>
    <w:rsid w:val="00870551"/>
    <w:rsid w:val="008B2DDB"/>
    <w:rsid w:val="0091318C"/>
    <w:rsid w:val="00935F73"/>
    <w:rsid w:val="00967415"/>
    <w:rsid w:val="00985CA7"/>
    <w:rsid w:val="009C3FB9"/>
    <w:rsid w:val="009E684F"/>
    <w:rsid w:val="00A344F8"/>
    <w:rsid w:val="00A51F1B"/>
    <w:rsid w:val="00A9395C"/>
    <w:rsid w:val="00AD69DC"/>
    <w:rsid w:val="00AF0AA8"/>
    <w:rsid w:val="00B35E18"/>
    <w:rsid w:val="00B42001"/>
    <w:rsid w:val="00B57EAE"/>
    <w:rsid w:val="00B74E0B"/>
    <w:rsid w:val="00B87860"/>
    <w:rsid w:val="00BB123F"/>
    <w:rsid w:val="00C0124B"/>
    <w:rsid w:val="00C2776B"/>
    <w:rsid w:val="00C77699"/>
    <w:rsid w:val="00C90BB7"/>
    <w:rsid w:val="00C94866"/>
    <w:rsid w:val="00CF34EC"/>
    <w:rsid w:val="00D04471"/>
    <w:rsid w:val="00D1032D"/>
    <w:rsid w:val="00D404A0"/>
    <w:rsid w:val="00D9067F"/>
    <w:rsid w:val="00D93C55"/>
    <w:rsid w:val="00DA612D"/>
    <w:rsid w:val="00DF33D6"/>
    <w:rsid w:val="00E736CC"/>
    <w:rsid w:val="00EA6B65"/>
    <w:rsid w:val="00EC122E"/>
    <w:rsid w:val="00F00892"/>
    <w:rsid w:val="00F60885"/>
    <w:rsid w:val="00F61579"/>
    <w:rsid w:val="00F72448"/>
    <w:rsid w:val="00FF04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E8F8"/>
  <w14:defaultImageDpi w14:val="32767"/>
  <w15:chartTrackingRefBased/>
  <w15:docId w15:val="{068E7A7C-B376-164A-BD3C-B9ADC5C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7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D711A"/>
  </w:style>
  <w:style w:type="paragraph" w:customStyle="1" w:styleId="Compact">
    <w:name w:val="Compact"/>
    <w:basedOn w:val="BodyText"/>
    <w:qFormat/>
    <w:rsid w:val="00AF0AA8"/>
    <w:pPr>
      <w:spacing w:before="36" w:after="36"/>
    </w:pPr>
  </w:style>
  <w:style w:type="paragraph" w:styleId="BodyText">
    <w:name w:val="Body Text"/>
    <w:basedOn w:val="Normal"/>
    <w:link w:val="BodyTextChar"/>
    <w:uiPriority w:val="99"/>
    <w:semiHidden/>
    <w:unhideWhenUsed/>
    <w:rsid w:val="00AF0AA8"/>
    <w:pPr>
      <w:spacing w:after="120"/>
    </w:pPr>
  </w:style>
  <w:style w:type="character" w:customStyle="1" w:styleId="BodyTextChar">
    <w:name w:val="Body Text Char"/>
    <w:basedOn w:val="DefaultParagraphFont"/>
    <w:link w:val="BodyText"/>
    <w:uiPriority w:val="99"/>
    <w:semiHidden/>
    <w:rsid w:val="00AF0AA8"/>
  </w:style>
  <w:style w:type="character" w:styleId="CommentReference">
    <w:name w:val="annotation reference"/>
    <w:basedOn w:val="DefaultParagraphFont"/>
    <w:uiPriority w:val="99"/>
    <w:semiHidden/>
    <w:unhideWhenUsed/>
    <w:rsid w:val="00EC122E"/>
    <w:rPr>
      <w:sz w:val="16"/>
      <w:szCs w:val="16"/>
    </w:rPr>
  </w:style>
  <w:style w:type="paragraph" w:styleId="CommentText">
    <w:name w:val="annotation text"/>
    <w:basedOn w:val="Normal"/>
    <w:link w:val="CommentTextChar"/>
    <w:uiPriority w:val="99"/>
    <w:semiHidden/>
    <w:unhideWhenUsed/>
    <w:rsid w:val="00EC122E"/>
    <w:rPr>
      <w:sz w:val="20"/>
      <w:szCs w:val="20"/>
    </w:rPr>
  </w:style>
  <w:style w:type="character" w:customStyle="1" w:styleId="CommentTextChar">
    <w:name w:val="Comment Text Char"/>
    <w:basedOn w:val="DefaultParagraphFont"/>
    <w:link w:val="CommentText"/>
    <w:uiPriority w:val="99"/>
    <w:semiHidden/>
    <w:rsid w:val="00EC122E"/>
    <w:rPr>
      <w:sz w:val="20"/>
      <w:szCs w:val="20"/>
    </w:rPr>
  </w:style>
  <w:style w:type="paragraph" w:styleId="CommentSubject">
    <w:name w:val="annotation subject"/>
    <w:basedOn w:val="CommentText"/>
    <w:next w:val="CommentText"/>
    <w:link w:val="CommentSubjectChar"/>
    <w:uiPriority w:val="99"/>
    <w:semiHidden/>
    <w:unhideWhenUsed/>
    <w:rsid w:val="00EC122E"/>
    <w:rPr>
      <w:b/>
      <w:bCs/>
    </w:rPr>
  </w:style>
  <w:style w:type="character" w:customStyle="1" w:styleId="CommentSubjectChar">
    <w:name w:val="Comment Subject Char"/>
    <w:basedOn w:val="CommentTextChar"/>
    <w:link w:val="CommentSubject"/>
    <w:uiPriority w:val="99"/>
    <w:semiHidden/>
    <w:rsid w:val="00EC122E"/>
    <w:rPr>
      <w:b/>
      <w:bCs/>
      <w:sz w:val="20"/>
      <w:szCs w:val="20"/>
    </w:rPr>
  </w:style>
  <w:style w:type="paragraph" w:styleId="ListParagraph">
    <w:name w:val="List Paragraph"/>
    <w:basedOn w:val="Normal"/>
    <w:uiPriority w:val="34"/>
    <w:qFormat/>
    <w:rsid w:val="00C77699"/>
    <w:pPr>
      <w:ind w:left="720"/>
      <w:contextualSpacing/>
    </w:pPr>
  </w:style>
  <w:style w:type="table" w:styleId="TableGrid">
    <w:name w:val="Table Grid"/>
    <w:basedOn w:val="TableNormal"/>
    <w:uiPriority w:val="39"/>
    <w:rsid w:val="00C77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7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Dutcher</dc:creator>
  <cp:keywords/>
  <dc:description/>
  <cp:lastModifiedBy>Dutcher, Lauren</cp:lastModifiedBy>
  <cp:revision>2</cp:revision>
  <dcterms:created xsi:type="dcterms:W3CDTF">2024-02-29T22:07:00Z</dcterms:created>
  <dcterms:modified xsi:type="dcterms:W3CDTF">2024-02-29T22:07:00Z</dcterms:modified>
</cp:coreProperties>
</file>