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D126" w14:textId="3D1FEBB4" w:rsidR="009F2868" w:rsidRPr="00FC43C5" w:rsidRDefault="009F2868" w:rsidP="008C47FF">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b/>
          <w:bCs/>
          <w:color w:val="000000"/>
          <w:kern w:val="0"/>
          <w:sz w:val="24"/>
          <w:szCs w:val="24"/>
        </w:rPr>
        <w:t xml:space="preserve">Supplementary </w:t>
      </w:r>
      <w:r w:rsidR="00EE3FC3">
        <w:rPr>
          <w:rFonts w:ascii="Times New Roman" w:eastAsia="Yu Gothic" w:hAnsi="Times New Roman" w:cs="Times New Roman"/>
          <w:b/>
          <w:bCs/>
          <w:color w:val="000000"/>
          <w:kern w:val="0"/>
          <w:sz w:val="24"/>
          <w:szCs w:val="24"/>
        </w:rPr>
        <w:t>M</w:t>
      </w:r>
      <w:r w:rsidRPr="00FC43C5">
        <w:rPr>
          <w:rFonts w:ascii="Times New Roman" w:eastAsia="Yu Gothic" w:hAnsi="Times New Roman" w:cs="Times New Roman"/>
          <w:b/>
          <w:bCs/>
          <w:color w:val="000000"/>
          <w:kern w:val="0"/>
          <w:sz w:val="24"/>
          <w:szCs w:val="24"/>
        </w:rPr>
        <w:t xml:space="preserve">ethod 1. Identification of fungal strains. </w:t>
      </w:r>
      <w:r w:rsidRPr="00FC43C5">
        <w:rPr>
          <w:rFonts w:ascii="Times New Roman" w:eastAsia="Yu Gothic" w:hAnsi="Times New Roman" w:cs="Times New Roman"/>
          <w:color w:val="000000"/>
          <w:kern w:val="0"/>
          <w:sz w:val="24"/>
          <w:szCs w:val="24"/>
        </w:rPr>
        <w:t xml:space="preserve">The clinical and environmental samples were inoculated onto </w:t>
      </w:r>
      <w:r w:rsidR="001C1706" w:rsidRPr="00FC43C5">
        <w:rPr>
          <w:rFonts w:ascii="Times New Roman" w:eastAsia="Yu Gothic" w:hAnsi="Times New Roman" w:cs="Times New Roman"/>
          <w:color w:val="000000"/>
          <w:kern w:val="0"/>
          <w:sz w:val="24"/>
          <w:szCs w:val="24"/>
        </w:rPr>
        <w:t>Chromogram</w:t>
      </w:r>
      <w:r w:rsidRPr="00FC43C5">
        <w:rPr>
          <w:rFonts w:ascii="Times New Roman" w:eastAsia="Yu Gothic" w:hAnsi="Times New Roman" w:cs="Times New Roman"/>
          <w:color w:val="000000"/>
          <w:kern w:val="0"/>
          <w:sz w:val="24"/>
          <w:szCs w:val="24"/>
        </w:rPr>
        <w:t>™ Candida media (Kanto Chemical Co., Tokyo, Japan) and incubated at 37°C for 48 h. Colonies were identified based on morphology, and a representative colony was selected and stored in 10% skimmed milk at -30℃.</w:t>
      </w:r>
    </w:p>
    <w:p w14:paraId="79BCC27F" w14:textId="77777777" w:rsidR="009F2868" w:rsidRPr="00FC43C5" w:rsidRDefault="009F2868" w:rsidP="008C47FF">
      <w:pPr>
        <w:widowControl/>
        <w:spacing w:line="480" w:lineRule="auto"/>
        <w:rPr>
          <w:rFonts w:ascii="Times New Roman" w:eastAsia="Yu Gothic" w:hAnsi="Times New Roman" w:cs="Times New Roman"/>
          <w:color w:val="000000"/>
          <w:kern w:val="0"/>
          <w:sz w:val="24"/>
          <w:szCs w:val="24"/>
        </w:rPr>
      </w:pPr>
    </w:p>
    <w:p w14:paraId="66C5450E" w14:textId="46DAE2AE" w:rsidR="009F2868" w:rsidRPr="00FC43C5" w:rsidRDefault="009F2868" w:rsidP="008C47FF">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b/>
          <w:bCs/>
          <w:color w:val="000000"/>
          <w:kern w:val="0"/>
          <w:sz w:val="24"/>
          <w:szCs w:val="24"/>
        </w:rPr>
        <w:t xml:space="preserve">Supplementary </w:t>
      </w:r>
      <w:r w:rsidR="00EE3FC3">
        <w:rPr>
          <w:rFonts w:ascii="Times New Roman" w:eastAsia="Yu Gothic" w:hAnsi="Times New Roman" w:cs="Times New Roman"/>
          <w:b/>
          <w:bCs/>
          <w:color w:val="000000"/>
          <w:kern w:val="0"/>
          <w:sz w:val="24"/>
          <w:szCs w:val="24"/>
        </w:rPr>
        <w:t>M</w:t>
      </w:r>
      <w:r w:rsidRPr="00FC43C5">
        <w:rPr>
          <w:rFonts w:ascii="Times New Roman" w:eastAsia="Yu Gothic" w:hAnsi="Times New Roman" w:cs="Times New Roman"/>
          <w:b/>
          <w:bCs/>
          <w:color w:val="000000"/>
          <w:kern w:val="0"/>
          <w:sz w:val="24"/>
          <w:szCs w:val="24"/>
        </w:rPr>
        <w:t xml:space="preserve">ethod 2. </w:t>
      </w:r>
      <w:r w:rsidR="00D505F7" w:rsidRPr="00FC43C5">
        <w:rPr>
          <w:rFonts w:ascii="Times New Roman" w:eastAsia="Yu Gothic" w:hAnsi="Times New Roman" w:cs="Times New Roman"/>
          <w:b/>
          <w:bCs/>
          <w:color w:val="000000"/>
          <w:kern w:val="0"/>
          <w:sz w:val="24"/>
          <w:szCs w:val="24"/>
        </w:rPr>
        <w:t>Microsatellite genotyping.</w:t>
      </w:r>
      <w:r w:rsidR="00D505F7" w:rsidRPr="00FC43C5">
        <w:rPr>
          <w:rFonts w:ascii="Times New Roman" w:eastAsia="Yu Gothic" w:hAnsi="Times New Roman" w:cs="Times New Roman"/>
          <w:color w:val="000000"/>
          <w:kern w:val="0"/>
          <w:sz w:val="24"/>
          <w:szCs w:val="24"/>
        </w:rPr>
        <w:t xml:space="preserve"> Genomic DNA of all the fluconazole-resistant </w:t>
      </w:r>
      <w:r w:rsidR="00D505F7" w:rsidRPr="00FC43C5">
        <w:rPr>
          <w:rFonts w:ascii="Times New Roman" w:eastAsia="Yu Gothic" w:hAnsi="Times New Roman" w:cs="Times New Roman"/>
          <w:i/>
          <w:iCs/>
          <w:color w:val="000000"/>
          <w:kern w:val="0"/>
          <w:sz w:val="24"/>
          <w:szCs w:val="24"/>
        </w:rPr>
        <w:t xml:space="preserve">Candida </w:t>
      </w:r>
      <w:proofErr w:type="spellStart"/>
      <w:r w:rsidR="00D505F7" w:rsidRPr="00FC43C5">
        <w:rPr>
          <w:rFonts w:ascii="Times New Roman" w:eastAsia="Yu Gothic" w:hAnsi="Times New Roman" w:cs="Times New Roman"/>
          <w:i/>
          <w:iCs/>
          <w:color w:val="000000"/>
          <w:kern w:val="0"/>
          <w:sz w:val="24"/>
          <w:szCs w:val="24"/>
        </w:rPr>
        <w:t>parapsilosis</w:t>
      </w:r>
      <w:proofErr w:type="spellEnd"/>
      <w:r w:rsidR="00D505F7" w:rsidRPr="00FC43C5">
        <w:rPr>
          <w:rFonts w:ascii="Times New Roman" w:eastAsia="Yu Gothic" w:hAnsi="Times New Roman" w:cs="Times New Roman"/>
          <w:color w:val="000000"/>
          <w:kern w:val="0"/>
          <w:sz w:val="24"/>
          <w:szCs w:val="24"/>
        </w:rPr>
        <w:t xml:space="preserve"> strains was extracted by the Single-tube </w:t>
      </w:r>
      <w:proofErr w:type="spellStart"/>
      <w:r w:rsidR="00D505F7" w:rsidRPr="00FC43C5">
        <w:rPr>
          <w:rFonts w:ascii="Times New Roman" w:eastAsia="Yu Gothic" w:hAnsi="Times New Roman" w:cs="Times New Roman"/>
          <w:color w:val="000000"/>
          <w:kern w:val="0"/>
          <w:sz w:val="24"/>
          <w:szCs w:val="24"/>
        </w:rPr>
        <w:t>LiOAc</w:t>
      </w:r>
      <w:proofErr w:type="spellEnd"/>
      <w:r w:rsidR="00D505F7" w:rsidRPr="00FC43C5">
        <w:rPr>
          <w:rFonts w:ascii="Times New Roman" w:eastAsia="Yu Gothic" w:hAnsi="Times New Roman" w:cs="Times New Roman"/>
          <w:color w:val="000000"/>
          <w:kern w:val="0"/>
          <w:sz w:val="24"/>
          <w:szCs w:val="24"/>
        </w:rPr>
        <w:t>-SDS lysis method</w:t>
      </w:r>
      <w:r w:rsidR="004C0193" w:rsidRPr="00FC43C5">
        <w:rPr>
          <w:rFonts w:ascii="Times New Roman" w:eastAsia="Yu Gothic" w:hAnsi="Times New Roman" w:cs="Times New Roman"/>
          <w:color w:val="000000"/>
          <w:kern w:val="0"/>
          <w:sz w:val="24"/>
          <w:szCs w:val="24"/>
          <w:vertAlign w:val="superscript"/>
        </w:rPr>
        <w:t>1</w:t>
      </w:r>
      <w:r w:rsidR="00D505F7" w:rsidRPr="00FC43C5">
        <w:rPr>
          <w:rFonts w:ascii="Times New Roman" w:eastAsia="Yu Gothic" w:hAnsi="Times New Roman" w:cs="Times New Roman"/>
          <w:color w:val="000000"/>
          <w:kern w:val="0"/>
          <w:sz w:val="24"/>
          <w:szCs w:val="24"/>
        </w:rPr>
        <w:t xml:space="preserve">. The four loci, CP1, CP4, CP6, and B5, were amplified using </w:t>
      </w:r>
      <w:proofErr w:type="spellStart"/>
      <w:r w:rsidR="00D505F7" w:rsidRPr="00FC43C5">
        <w:rPr>
          <w:rFonts w:ascii="Times New Roman" w:eastAsia="Yu Gothic" w:hAnsi="Times New Roman" w:cs="Times New Roman"/>
          <w:color w:val="000000"/>
          <w:kern w:val="0"/>
          <w:sz w:val="24"/>
          <w:szCs w:val="24"/>
        </w:rPr>
        <w:t>monoplex</w:t>
      </w:r>
      <w:proofErr w:type="spellEnd"/>
      <w:r w:rsidR="00D505F7" w:rsidRPr="00FC43C5">
        <w:rPr>
          <w:rFonts w:ascii="Times New Roman" w:eastAsia="Yu Gothic" w:hAnsi="Times New Roman" w:cs="Times New Roman"/>
          <w:color w:val="000000"/>
          <w:kern w:val="0"/>
          <w:sz w:val="24"/>
          <w:szCs w:val="24"/>
        </w:rPr>
        <w:t xml:space="preserve"> PCR. After PCR, amplicons were diluted 10-fold with distilled water, and 1µl aliquots were added to 9.5 µL formamide and 0.5 µL internal size standard (Internal Lane Standard 600; Promega). Samples were denatured at 95°C for 5 min and cooled rapidly on ice. Samples were analyzed by an ABI Prism 3130 Genetic analyzer (Applied Biosystems). The sizes of these amplicons were determined by using Peak Scanner (version 2) analysis software (https://www.thermofisher.com/order/catalog/product/4381867).</w:t>
      </w:r>
    </w:p>
    <w:p w14:paraId="76530B84" w14:textId="77777777" w:rsidR="004A7B1C" w:rsidRPr="00FC43C5" w:rsidRDefault="004A7B1C" w:rsidP="001C1706">
      <w:pPr>
        <w:spacing w:line="480" w:lineRule="auto"/>
        <w:rPr>
          <w:rFonts w:ascii="Times New Roman" w:hAnsi="Times New Roman" w:cs="Times New Roman"/>
          <w:sz w:val="24"/>
          <w:szCs w:val="24"/>
        </w:rPr>
      </w:pPr>
    </w:p>
    <w:p w14:paraId="330AAED7" w14:textId="1FD1FAFC" w:rsidR="004A7B1C" w:rsidRPr="00FC43C5" w:rsidRDefault="004A7B1C" w:rsidP="001C1706">
      <w:pPr>
        <w:spacing w:line="480" w:lineRule="auto"/>
        <w:rPr>
          <w:rFonts w:ascii="Times New Roman" w:hAnsi="Times New Roman" w:cs="Times New Roman"/>
          <w:sz w:val="24"/>
          <w:szCs w:val="24"/>
        </w:rPr>
      </w:pPr>
      <w:r w:rsidRPr="00FC43C5">
        <w:rPr>
          <w:rFonts w:ascii="Times New Roman" w:hAnsi="Times New Roman" w:cs="Times New Roman"/>
          <w:sz w:val="24"/>
          <w:szCs w:val="24"/>
        </w:rPr>
        <w:t>Supplementary References</w:t>
      </w:r>
    </w:p>
    <w:p w14:paraId="3BE240C0" w14:textId="77A4324F" w:rsidR="004A7B1C" w:rsidRPr="00FC43C5" w:rsidRDefault="004A7B1C" w:rsidP="001C1706">
      <w:pPr>
        <w:widowControl/>
        <w:autoSpaceDE w:val="0"/>
        <w:autoSpaceDN w:val="0"/>
        <w:spacing w:line="480" w:lineRule="auto"/>
        <w:ind w:left="720" w:hangingChars="300" w:hanging="720"/>
        <w:rPr>
          <w:rFonts w:ascii="Times New Roman" w:hAnsi="Times New Roman" w:cs="Times New Roman"/>
          <w:kern w:val="0"/>
          <w:sz w:val="24"/>
          <w:szCs w:val="24"/>
        </w:rPr>
      </w:pPr>
      <w:r w:rsidRPr="00FC43C5">
        <w:rPr>
          <w:rFonts w:ascii="Times New Roman" w:hAnsi="Times New Roman" w:cs="Times New Roman"/>
          <w:sz w:val="24"/>
          <w:szCs w:val="24"/>
        </w:rPr>
        <w:t xml:space="preserve">1. </w:t>
      </w:r>
      <w:r w:rsidRPr="00FC43C5">
        <w:rPr>
          <w:rFonts w:ascii="Times New Roman" w:hAnsi="Times New Roman" w:cs="Times New Roman"/>
          <w:sz w:val="24"/>
          <w:szCs w:val="24"/>
        </w:rPr>
        <w:tab/>
      </w:r>
      <w:proofErr w:type="spellStart"/>
      <w:r w:rsidRPr="00FC43C5">
        <w:rPr>
          <w:rFonts w:ascii="Times New Roman" w:hAnsi="Times New Roman" w:cs="Times New Roman"/>
          <w:sz w:val="24"/>
          <w:szCs w:val="24"/>
        </w:rPr>
        <w:t>Lõoke</w:t>
      </w:r>
      <w:proofErr w:type="spellEnd"/>
      <w:r w:rsidRPr="00FC43C5">
        <w:rPr>
          <w:rFonts w:ascii="Times New Roman" w:hAnsi="Times New Roman" w:cs="Times New Roman"/>
          <w:sz w:val="24"/>
          <w:szCs w:val="24"/>
        </w:rPr>
        <w:t xml:space="preserve"> M, </w:t>
      </w:r>
      <w:proofErr w:type="spellStart"/>
      <w:r w:rsidRPr="00FC43C5">
        <w:rPr>
          <w:rFonts w:ascii="Times New Roman" w:hAnsi="Times New Roman" w:cs="Times New Roman"/>
          <w:sz w:val="24"/>
          <w:szCs w:val="24"/>
        </w:rPr>
        <w:t>Kristjuhan</w:t>
      </w:r>
      <w:proofErr w:type="spellEnd"/>
      <w:r w:rsidRPr="00FC43C5">
        <w:rPr>
          <w:rFonts w:ascii="Times New Roman" w:hAnsi="Times New Roman" w:cs="Times New Roman"/>
          <w:sz w:val="24"/>
          <w:szCs w:val="24"/>
        </w:rPr>
        <w:t xml:space="preserve"> K, </w:t>
      </w:r>
      <w:proofErr w:type="spellStart"/>
      <w:r w:rsidRPr="00FC43C5">
        <w:rPr>
          <w:rFonts w:ascii="Times New Roman" w:hAnsi="Times New Roman" w:cs="Times New Roman"/>
          <w:sz w:val="24"/>
          <w:szCs w:val="24"/>
        </w:rPr>
        <w:t>Kristjuhan</w:t>
      </w:r>
      <w:proofErr w:type="spellEnd"/>
      <w:r w:rsidRPr="00FC43C5">
        <w:rPr>
          <w:rFonts w:ascii="Times New Roman" w:hAnsi="Times New Roman" w:cs="Times New Roman"/>
          <w:sz w:val="24"/>
          <w:szCs w:val="24"/>
        </w:rPr>
        <w:t xml:space="preserve"> A. Extraction of genomic DNA from yeasts for PCR-based applications. </w:t>
      </w:r>
      <w:r w:rsidRPr="00FC43C5">
        <w:rPr>
          <w:rFonts w:ascii="Times New Roman" w:hAnsi="Times New Roman" w:cs="Times New Roman"/>
          <w:i/>
          <w:iCs/>
          <w:sz w:val="24"/>
          <w:szCs w:val="24"/>
        </w:rPr>
        <w:t>Biotechniques</w:t>
      </w:r>
      <w:r w:rsidRPr="00FC43C5">
        <w:rPr>
          <w:rFonts w:ascii="Times New Roman" w:hAnsi="Times New Roman" w:cs="Times New Roman"/>
          <w:sz w:val="24"/>
          <w:szCs w:val="24"/>
        </w:rPr>
        <w:t>. 2011;50(5):325-328.</w:t>
      </w:r>
    </w:p>
    <w:p w14:paraId="71DAED00" w14:textId="7F4E3DC2" w:rsidR="004A7B1C" w:rsidRPr="00FC43C5" w:rsidRDefault="004A7B1C" w:rsidP="001C1706">
      <w:pPr>
        <w:spacing w:line="480" w:lineRule="auto"/>
        <w:rPr>
          <w:rFonts w:ascii="Times New Roman" w:hAnsi="Times New Roman" w:cs="Times New Roman"/>
          <w:sz w:val="24"/>
          <w:szCs w:val="24"/>
        </w:rPr>
      </w:pPr>
      <w:r w:rsidRPr="00FC43C5">
        <w:rPr>
          <w:rFonts w:ascii="Times New Roman" w:hAnsi="Times New Roman" w:cs="Times New Roman"/>
          <w:sz w:val="24"/>
          <w:szCs w:val="24"/>
        </w:rPr>
        <w:t> </w:t>
      </w:r>
    </w:p>
    <w:p w14:paraId="75351912" w14:textId="78DBC058" w:rsidR="009F2868" w:rsidRPr="00FC43C5" w:rsidRDefault="009F2868" w:rsidP="001C1706">
      <w:pPr>
        <w:widowControl/>
        <w:spacing w:line="480" w:lineRule="auto"/>
        <w:jc w:val="left"/>
        <w:rPr>
          <w:rFonts w:ascii="Times New Roman" w:eastAsia="Yu Gothic" w:hAnsi="Times New Roman" w:cs="Times New Roman"/>
          <w:b/>
          <w:bCs/>
          <w:color w:val="000000"/>
          <w:kern w:val="0"/>
          <w:sz w:val="24"/>
          <w:szCs w:val="24"/>
        </w:rPr>
      </w:pPr>
      <w:r w:rsidRPr="00FC43C5">
        <w:rPr>
          <w:rFonts w:ascii="Times New Roman" w:eastAsia="Yu Gothic" w:hAnsi="Times New Roman" w:cs="Times New Roman"/>
          <w:b/>
          <w:bCs/>
          <w:color w:val="000000"/>
          <w:kern w:val="0"/>
          <w:sz w:val="24"/>
          <w:szCs w:val="24"/>
        </w:rPr>
        <w:br w:type="page"/>
      </w:r>
    </w:p>
    <w:p w14:paraId="167494F0" w14:textId="77777777" w:rsidR="009F2868" w:rsidRPr="00FC43C5" w:rsidRDefault="009F2868" w:rsidP="008C47FF">
      <w:pPr>
        <w:widowControl/>
        <w:spacing w:line="480" w:lineRule="auto"/>
        <w:rPr>
          <w:rFonts w:ascii="Times New Roman" w:eastAsia="Yu Gothic" w:hAnsi="Times New Roman" w:cs="Times New Roman"/>
          <w:b/>
          <w:bCs/>
          <w:color w:val="000000"/>
          <w:kern w:val="0"/>
          <w:sz w:val="24"/>
          <w:szCs w:val="24"/>
        </w:rPr>
        <w:sectPr w:rsidR="009F2868" w:rsidRPr="00FC43C5" w:rsidSect="006B3E04">
          <w:pgSz w:w="11906" w:h="16838"/>
          <w:pgMar w:top="1440" w:right="1080" w:bottom="1440" w:left="1080" w:header="851" w:footer="992" w:gutter="0"/>
          <w:cols w:space="425"/>
          <w:docGrid w:type="lines" w:linePitch="360"/>
        </w:sectPr>
      </w:pPr>
    </w:p>
    <w:p w14:paraId="17901D53" w14:textId="2678D624" w:rsidR="00E60527" w:rsidRPr="00FC43C5" w:rsidRDefault="00A25241" w:rsidP="008C47FF">
      <w:pPr>
        <w:widowControl/>
        <w:spacing w:line="480" w:lineRule="auto"/>
        <w:rPr>
          <w:rFonts w:ascii="Times New Roman" w:eastAsia="Yu Gothic" w:hAnsi="Times New Roman" w:cs="Times New Roman"/>
          <w:b/>
          <w:bCs/>
          <w:color w:val="000000"/>
          <w:kern w:val="0"/>
          <w:sz w:val="24"/>
          <w:szCs w:val="24"/>
        </w:rPr>
      </w:pPr>
      <w:r w:rsidRPr="00FC43C5">
        <w:rPr>
          <w:rFonts w:ascii="Times New Roman" w:eastAsia="Yu Gothic" w:hAnsi="Times New Roman" w:cs="Times New Roman"/>
          <w:b/>
          <w:bCs/>
          <w:color w:val="000000"/>
          <w:kern w:val="0"/>
          <w:sz w:val="24"/>
          <w:szCs w:val="24"/>
        </w:rPr>
        <w:lastRenderedPageBreak/>
        <w:t xml:space="preserve">Supplementary </w:t>
      </w:r>
      <w:r w:rsidR="006B4D5D" w:rsidRPr="00FC43C5">
        <w:rPr>
          <w:rFonts w:ascii="Times New Roman" w:eastAsia="Yu Gothic" w:hAnsi="Times New Roman" w:cs="Times New Roman"/>
          <w:b/>
          <w:bCs/>
          <w:color w:val="000000"/>
          <w:kern w:val="0"/>
          <w:sz w:val="24"/>
          <w:szCs w:val="24"/>
        </w:rPr>
        <w:t>T</w:t>
      </w:r>
      <w:r w:rsidR="00E60527" w:rsidRPr="00FC43C5">
        <w:rPr>
          <w:rFonts w:ascii="Times New Roman" w:eastAsia="Yu Gothic" w:hAnsi="Times New Roman" w:cs="Times New Roman"/>
          <w:b/>
          <w:bCs/>
          <w:color w:val="000000"/>
          <w:kern w:val="0"/>
          <w:sz w:val="24"/>
          <w:szCs w:val="24"/>
        </w:rPr>
        <w:t>able</w:t>
      </w:r>
      <w:r w:rsidR="00562CEB" w:rsidRPr="00FC43C5">
        <w:rPr>
          <w:rFonts w:ascii="Times New Roman" w:eastAsia="Yu Gothic" w:hAnsi="Times New Roman" w:cs="Times New Roman"/>
          <w:b/>
          <w:bCs/>
          <w:color w:val="000000"/>
          <w:kern w:val="0"/>
          <w:sz w:val="24"/>
          <w:szCs w:val="24"/>
        </w:rPr>
        <w:t xml:space="preserve"> 1</w:t>
      </w:r>
      <w:r w:rsidR="00E60527" w:rsidRPr="00FC43C5">
        <w:rPr>
          <w:rFonts w:ascii="Times New Roman" w:eastAsia="Yu Gothic" w:hAnsi="Times New Roman" w:cs="Times New Roman"/>
          <w:b/>
          <w:bCs/>
          <w:color w:val="000000"/>
          <w:kern w:val="0"/>
          <w:sz w:val="24"/>
          <w:szCs w:val="24"/>
        </w:rPr>
        <w:t xml:space="preserve">. The clinical setting, population characteristics, and infection control interventions associated with the fluconazole-resistant </w:t>
      </w:r>
      <w:r w:rsidR="00E60527" w:rsidRPr="00FC43C5">
        <w:rPr>
          <w:rFonts w:ascii="Times New Roman" w:eastAsia="Yu Gothic" w:hAnsi="Times New Roman" w:cs="Times New Roman"/>
          <w:b/>
          <w:bCs/>
          <w:i/>
          <w:iCs/>
          <w:color w:val="000000"/>
          <w:kern w:val="0"/>
          <w:sz w:val="24"/>
          <w:szCs w:val="24"/>
        </w:rPr>
        <w:t xml:space="preserve">Candida </w:t>
      </w:r>
      <w:proofErr w:type="spellStart"/>
      <w:r w:rsidR="00E60527" w:rsidRPr="00FC43C5">
        <w:rPr>
          <w:rFonts w:ascii="Times New Roman" w:eastAsia="Yu Gothic" w:hAnsi="Times New Roman" w:cs="Times New Roman"/>
          <w:b/>
          <w:bCs/>
          <w:i/>
          <w:iCs/>
          <w:color w:val="000000"/>
          <w:kern w:val="0"/>
          <w:sz w:val="24"/>
          <w:szCs w:val="24"/>
        </w:rPr>
        <w:t>parapsilosis</w:t>
      </w:r>
      <w:proofErr w:type="spellEnd"/>
      <w:r w:rsidR="00E60527" w:rsidRPr="00FC43C5">
        <w:rPr>
          <w:rFonts w:ascii="Times New Roman" w:eastAsia="Yu Gothic" w:hAnsi="Times New Roman" w:cs="Times New Roman"/>
          <w:b/>
          <w:bCs/>
          <w:color w:val="000000"/>
          <w:kern w:val="0"/>
          <w:sz w:val="24"/>
          <w:szCs w:val="24"/>
        </w:rPr>
        <w:t xml:space="preserve"> </w:t>
      </w:r>
      <w:r w:rsidR="008F6F35">
        <w:rPr>
          <w:rFonts w:ascii="Times New Roman" w:eastAsia="Yu Gothic" w:hAnsi="Times New Roman" w:cs="Times New Roman"/>
          <w:b/>
          <w:bCs/>
          <w:color w:val="000000"/>
          <w:kern w:val="0"/>
          <w:sz w:val="24"/>
          <w:szCs w:val="24"/>
        </w:rPr>
        <w:t>cluster</w:t>
      </w:r>
      <w:r w:rsidR="00E60527" w:rsidRPr="00FC43C5">
        <w:rPr>
          <w:rFonts w:ascii="Times New Roman" w:eastAsia="Yu Gothic" w:hAnsi="Times New Roman" w:cs="Times New Roman"/>
          <w:b/>
          <w:bCs/>
          <w:color w:val="000000"/>
          <w:kern w:val="0"/>
          <w:sz w:val="24"/>
          <w:szCs w:val="24"/>
        </w:rPr>
        <w:t>.</w:t>
      </w:r>
    </w:p>
    <w:tbl>
      <w:tblPr>
        <w:tblW w:w="13178" w:type="dxa"/>
        <w:tblCellMar>
          <w:left w:w="99" w:type="dxa"/>
          <w:right w:w="99" w:type="dxa"/>
        </w:tblCellMar>
        <w:tblLook w:val="04A0" w:firstRow="1" w:lastRow="0" w:firstColumn="1" w:lastColumn="0" w:noHBand="0" w:noVBand="1"/>
      </w:tblPr>
      <w:tblGrid>
        <w:gridCol w:w="2689"/>
        <w:gridCol w:w="10489"/>
      </w:tblGrid>
      <w:tr w:rsidR="00E60527" w:rsidRPr="00FC43C5" w14:paraId="56D56194" w14:textId="77777777" w:rsidTr="00D50B29">
        <w:trPr>
          <w:trHeight w:val="72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1C728"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Setting</w:t>
            </w:r>
          </w:p>
        </w:tc>
        <w:tc>
          <w:tcPr>
            <w:tcW w:w="10489" w:type="dxa"/>
            <w:tcBorders>
              <w:top w:val="single" w:sz="4" w:space="0" w:color="auto"/>
              <w:left w:val="nil"/>
              <w:bottom w:val="single" w:sz="4" w:space="0" w:color="auto"/>
              <w:right w:val="single" w:sz="4" w:space="0" w:color="auto"/>
            </w:tcBorders>
            <w:shd w:val="clear" w:color="auto" w:fill="auto"/>
            <w:vAlign w:val="center"/>
            <w:hideMark/>
          </w:tcPr>
          <w:p w14:paraId="3B020061"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 neonatal care unit (15 beds) and a growing care unit (17 beds) in a tertiary hospital</w:t>
            </w:r>
            <w:r w:rsidRPr="00FC43C5">
              <w:rPr>
                <w:rFonts w:ascii="Times New Roman" w:eastAsia="Yu Gothic" w:hAnsi="Times New Roman" w:cs="Times New Roman"/>
                <w:color w:val="000000"/>
                <w:kern w:val="0"/>
                <w:sz w:val="24"/>
                <w:szCs w:val="24"/>
              </w:rPr>
              <w:br/>
              <w:t>with 900 deliveries and hospitalizations involving 30 very low birth weight and 40 extremely low birth weight infants</w:t>
            </w:r>
          </w:p>
        </w:tc>
      </w:tr>
      <w:tr w:rsidR="00E60527" w:rsidRPr="00FC43C5" w14:paraId="154586F0" w14:textId="77777777" w:rsidTr="00D50B29">
        <w:trPr>
          <w:trHeight w:val="7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30D4A86"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Dates</w:t>
            </w:r>
          </w:p>
        </w:tc>
        <w:tc>
          <w:tcPr>
            <w:tcW w:w="10489" w:type="dxa"/>
            <w:tcBorders>
              <w:top w:val="nil"/>
              <w:left w:val="nil"/>
              <w:bottom w:val="single" w:sz="4" w:space="0" w:color="auto"/>
              <w:right w:val="single" w:sz="4" w:space="0" w:color="auto"/>
            </w:tcBorders>
            <w:shd w:val="clear" w:color="auto" w:fill="auto"/>
            <w:noWrap/>
            <w:vAlign w:val="center"/>
            <w:hideMark/>
          </w:tcPr>
          <w:p w14:paraId="3FF0D5C4"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April 2019-March 2020</w:t>
            </w:r>
          </w:p>
        </w:tc>
      </w:tr>
      <w:tr w:rsidR="00E60527" w:rsidRPr="00FC43C5" w14:paraId="52EEF21C" w14:textId="77777777" w:rsidTr="00D50B29">
        <w:trPr>
          <w:trHeight w:val="7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7566AA6"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Population characteristics</w:t>
            </w:r>
          </w:p>
        </w:tc>
        <w:tc>
          <w:tcPr>
            <w:tcW w:w="10489" w:type="dxa"/>
            <w:tcBorders>
              <w:top w:val="nil"/>
              <w:left w:val="nil"/>
              <w:bottom w:val="single" w:sz="4" w:space="0" w:color="auto"/>
              <w:right w:val="single" w:sz="4" w:space="0" w:color="auto"/>
            </w:tcBorders>
            <w:shd w:val="clear" w:color="auto" w:fill="auto"/>
            <w:vAlign w:val="center"/>
            <w:hideMark/>
          </w:tcPr>
          <w:p w14:paraId="39462464"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 total of 201 newborns admitted to the NICU</w:t>
            </w:r>
            <w:r w:rsidRPr="00FC43C5">
              <w:rPr>
                <w:rFonts w:ascii="Times New Roman" w:eastAsia="Yu Gothic" w:hAnsi="Times New Roman" w:cs="Times New Roman"/>
                <w:color w:val="000000"/>
                <w:kern w:val="0"/>
                <w:sz w:val="24"/>
                <w:szCs w:val="24"/>
              </w:rPr>
              <w:br/>
              <w:t>(mean birth weight=2,134 g; gestational age=34 weeks)</w:t>
            </w:r>
          </w:p>
        </w:tc>
      </w:tr>
      <w:tr w:rsidR="00E60527" w:rsidRPr="00FC43C5" w14:paraId="7ED39BEE" w14:textId="77777777" w:rsidTr="00D50B29">
        <w:trPr>
          <w:trHeight w:val="7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3CAF796"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FRC screening policy</w:t>
            </w:r>
          </w:p>
        </w:tc>
        <w:tc>
          <w:tcPr>
            <w:tcW w:w="10489" w:type="dxa"/>
            <w:tcBorders>
              <w:top w:val="nil"/>
              <w:left w:val="nil"/>
              <w:bottom w:val="single" w:sz="4" w:space="0" w:color="auto"/>
              <w:right w:val="single" w:sz="4" w:space="0" w:color="auto"/>
            </w:tcBorders>
            <w:shd w:val="clear" w:color="auto" w:fill="auto"/>
            <w:noWrap/>
            <w:vAlign w:val="center"/>
            <w:hideMark/>
          </w:tcPr>
          <w:p w14:paraId="0C89000D"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Admission and weekly cultures from rectal, nasal, and skin samples</w:t>
            </w:r>
          </w:p>
        </w:tc>
      </w:tr>
      <w:tr w:rsidR="00E60527" w:rsidRPr="00FC43C5" w14:paraId="465C46B0" w14:textId="77777777" w:rsidTr="00D50B29">
        <w:trPr>
          <w:trHeight w:val="720"/>
        </w:trPr>
        <w:tc>
          <w:tcPr>
            <w:tcW w:w="26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11F5EB"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Interventions</w:t>
            </w:r>
          </w:p>
        </w:tc>
        <w:tc>
          <w:tcPr>
            <w:tcW w:w="10489" w:type="dxa"/>
            <w:tcBorders>
              <w:top w:val="nil"/>
              <w:left w:val="nil"/>
              <w:bottom w:val="single" w:sz="4" w:space="0" w:color="auto"/>
              <w:right w:val="single" w:sz="4" w:space="0" w:color="auto"/>
            </w:tcBorders>
            <w:shd w:val="clear" w:color="auto" w:fill="auto"/>
            <w:noWrap/>
            <w:vAlign w:val="center"/>
            <w:hideMark/>
          </w:tcPr>
          <w:p w14:paraId="271406F9" w14:textId="5CF87883"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 xml:space="preserve">Active surveillance (May 1, </w:t>
            </w:r>
            <w:r w:rsidR="00785E22" w:rsidRPr="00FC43C5">
              <w:rPr>
                <w:rFonts w:ascii="Times New Roman" w:eastAsia="Yu Gothic" w:hAnsi="Times New Roman" w:cs="Times New Roman"/>
                <w:color w:val="000000"/>
                <w:kern w:val="0"/>
                <w:sz w:val="24"/>
                <w:szCs w:val="24"/>
              </w:rPr>
              <w:t>2019,</w:t>
            </w:r>
            <w:r w:rsidR="00D50B29" w:rsidRPr="00FC43C5">
              <w:rPr>
                <w:rFonts w:ascii="Times New Roman" w:eastAsia="Yu Gothic" w:hAnsi="Times New Roman" w:cs="Times New Roman"/>
                <w:color w:val="000000"/>
                <w:kern w:val="0"/>
                <w:sz w:val="24"/>
                <w:szCs w:val="24"/>
              </w:rPr>
              <w:t xml:space="preserve"> to </w:t>
            </w:r>
            <w:r w:rsidRPr="00FC43C5">
              <w:rPr>
                <w:rFonts w:ascii="Times New Roman" w:eastAsia="Yu Gothic" w:hAnsi="Times New Roman" w:cs="Times New Roman"/>
                <w:color w:val="000000"/>
                <w:kern w:val="0"/>
                <w:sz w:val="24"/>
                <w:szCs w:val="24"/>
              </w:rPr>
              <w:t>March 31, 2020)</w:t>
            </w:r>
          </w:p>
        </w:tc>
      </w:tr>
      <w:tr w:rsidR="00E60527" w:rsidRPr="00FC43C5" w14:paraId="2A8CB570" w14:textId="77777777" w:rsidTr="00D50B29">
        <w:trPr>
          <w:trHeight w:val="720"/>
        </w:trPr>
        <w:tc>
          <w:tcPr>
            <w:tcW w:w="2689" w:type="dxa"/>
            <w:vMerge/>
            <w:tcBorders>
              <w:top w:val="nil"/>
              <w:left w:val="single" w:sz="4" w:space="0" w:color="auto"/>
              <w:bottom w:val="single" w:sz="4" w:space="0" w:color="000000"/>
              <w:right w:val="single" w:sz="4" w:space="0" w:color="auto"/>
            </w:tcBorders>
            <w:vAlign w:val="center"/>
            <w:hideMark/>
          </w:tcPr>
          <w:p w14:paraId="5D10ABAC"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p>
        </w:tc>
        <w:tc>
          <w:tcPr>
            <w:tcW w:w="10489" w:type="dxa"/>
            <w:tcBorders>
              <w:top w:val="nil"/>
              <w:left w:val="nil"/>
              <w:bottom w:val="single" w:sz="4" w:space="0" w:color="auto"/>
              <w:right w:val="single" w:sz="4" w:space="0" w:color="auto"/>
            </w:tcBorders>
            <w:shd w:val="clear" w:color="auto" w:fill="auto"/>
            <w:noWrap/>
            <w:vAlign w:val="center"/>
            <w:hideMark/>
          </w:tcPr>
          <w:p w14:paraId="6396C83D" w14:textId="12230BE2"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Hand</w:t>
            </w:r>
            <w:r w:rsidR="00035AB8" w:rsidRPr="00FC43C5">
              <w:rPr>
                <w:rFonts w:ascii="Times New Roman" w:eastAsia="Yu Gothic" w:hAnsi="Times New Roman" w:cs="Times New Roman"/>
                <w:color w:val="000000"/>
                <w:kern w:val="0"/>
                <w:sz w:val="24"/>
                <w:szCs w:val="24"/>
              </w:rPr>
              <w:t xml:space="preserve"> </w:t>
            </w:r>
            <w:r w:rsidRPr="00FC43C5">
              <w:rPr>
                <w:rFonts w:ascii="Times New Roman" w:eastAsia="Yu Gothic" w:hAnsi="Times New Roman" w:cs="Times New Roman"/>
                <w:color w:val="000000"/>
                <w:kern w:val="0"/>
                <w:sz w:val="24"/>
                <w:szCs w:val="24"/>
              </w:rPr>
              <w:t>hygiene education for NICU staff (</w:t>
            </w:r>
            <w:r w:rsidR="00D50B29" w:rsidRPr="00FC43C5">
              <w:rPr>
                <w:rFonts w:ascii="Times New Roman" w:eastAsia="Yu Gothic" w:hAnsi="Times New Roman" w:cs="Times New Roman"/>
                <w:color w:val="000000"/>
                <w:kern w:val="0"/>
                <w:sz w:val="24"/>
                <w:szCs w:val="24"/>
              </w:rPr>
              <w:t>July</w:t>
            </w:r>
            <w:r w:rsidRPr="00FC43C5">
              <w:rPr>
                <w:rFonts w:ascii="Times New Roman" w:eastAsia="Yu Gothic" w:hAnsi="Times New Roman" w:cs="Times New Roman"/>
                <w:color w:val="000000"/>
                <w:kern w:val="0"/>
                <w:sz w:val="24"/>
                <w:szCs w:val="24"/>
              </w:rPr>
              <w:t xml:space="preserve"> 2019)</w:t>
            </w:r>
          </w:p>
        </w:tc>
      </w:tr>
      <w:tr w:rsidR="00E60527" w:rsidRPr="00FC43C5" w14:paraId="06050373" w14:textId="77777777" w:rsidTr="00D50B29">
        <w:trPr>
          <w:trHeight w:val="720"/>
        </w:trPr>
        <w:tc>
          <w:tcPr>
            <w:tcW w:w="2689" w:type="dxa"/>
            <w:vMerge/>
            <w:tcBorders>
              <w:top w:val="nil"/>
              <w:left w:val="single" w:sz="4" w:space="0" w:color="auto"/>
              <w:bottom w:val="single" w:sz="4" w:space="0" w:color="000000"/>
              <w:right w:val="single" w:sz="4" w:space="0" w:color="auto"/>
            </w:tcBorders>
            <w:vAlign w:val="center"/>
            <w:hideMark/>
          </w:tcPr>
          <w:p w14:paraId="73194507"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p>
        </w:tc>
        <w:tc>
          <w:tcPr>
            <w:tcW w:w="10489" w:type="dxa"/>
            <w:tcBorders>
              <w:top w:val="nil"/>
              <w:left w:val="nil"/>
              <w:bottom w:val="single" w:sz="4" w:space="0" w:color="auto"/>
              <w:right w:val="single" w:sz="4" w:space="0" w:color="auto"/>
            </w:tcBorders>
            <w:shd w:val="clear" w:color="auto" w:fill="auto"/>
            <w:noWrap/>
            <w:vAlign w:val="center"/>
            <w:hideMark/>
          </w:tcPr>
          <w:p w14:paraId="2B7A185A" w14:textId="4FB43578"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Environmental investigation (September 18, 2019)</w:t>
            </w:r>
          </w:p>
        </w:tc>
      </w:tr>
      <w:tr w:rsidR="00E60527" w:rsidRPr="00FC43C5" w14:paraId="666E2E44" w14:textId="77777777" w:rsidTr="00D50B29">
        <w:trPr>
          <w:trHeight w:val="720"/>
        </w:trPr>
        <w:tc>
          <w:tcPr>
            <w:tcW w:w="2689" w:type="dxa"/>
            <w:vMerge/>
            <w:tcBorders>
              <w:top w:val="nil"/>
              <w:left w:val="single" w:sz="4" w:space="0" w:color="auto"/>
              <w:bottom w:val="single" w:sz="4" w:space="0" w:color="000000"/>
              <w:right w:val="single" w:sz="4" w:space="0" w:color="auto"/>
            </w:tcBorders>
            <w:vAlign w:val="center"/>
            <w:hideMark/>
          </w:tcPr>
          <w:p w14:paraId="09620296" w14:textId="77777777"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p>
        </w:tc>
        <w:tc>
          <w:tcPr>
            <w:tcW w:w="10489" w:type="dxa"/>
            <w:tcBorders>
              <w:top w:val="nil"/>
              <w:left w:val="nil"/>
              <w:bottom w:val="single" w:sz="4" w:space="0" w:color="auto"/>
              <w:right w:val="single" w:sz="4" w:space="0" w:color="auto"/>
            </w:tcBorders>
            <w:shd w:val="clear" w:color="auto" w:fill="auto"/>
            <w:noWrap/>
            <w:vAlign w:val="center"/>
            <w:hideMark/>
          </w:tcPr>
          <w:p w14:paraId="1009E3A0" w14:textId="50CF539F" w:rsidR="00E60527" w:rsidRPr="00FC43C5" w:rsidRDefault="00E60527" w:rsidP="008C47FF">
            <w:pPr>
              <w:widowControl/>
              <w:spacing w:line="480" w:lineRule="auto"/>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Disinfection interventions on sink surface/drains (September 30, 2019, and January 22, 2020)</w:t>
            </w:r>
          </w:p>
        </w:tc>
      </w:tr>
    </w:tbl>
    <w:p w14:paraId="2BF1C8F0" w14:textId="77777777" w:rsidR="00E60527" w:rsidRDefault="00E60527" w:rsidP="008C47FF">
      <w:pPr>
        <w:widowControl/>
        <w:spacing w:line="480" w:lineRule="auto"/>
        <w:rPr>
          <w:rFonts w:ascii="Times New Roman" w:eastAsia="Yu Gothic" w:hAnsi="Times New Roman" w:cs="Times New Roman"/>
          <w:b/>
          <w:bCs/>
          <w:color w:val="000000"/>
          <w:kern w:val="0"/>
          <w:sz w:val="24"/>
          <w:szCs w:val="24"/>
        </w:rPr>
      </w:pPr>
      <w:r w:rsidRPr="00FC43C5">
        <w:rPr>
          <w:rFonts w:ascii="Times New Roman" w:eastAsia="Yu Gothic" w:hAnsi="Times New Roman" w:cs="Times New Roman"/>
          <w:color w:val="000000"/>
          <w:kern w:val="0"/>
          <w:sz w:val="24"/>
          <w:szCs w:val="24"/>
        </w:rPr>
        <w:lastRenderedPageBreak/>
        <w:t xml:space="preserve">Abbreviations: FRC, fluconazole-resistant </w:t>
      </w:r>
      <w:r w:rsidRPr="00FC43C5">
        <w:rPr>
          <w:rFonts w:ascii="Times New Roman" w:eastAsia="Yu Gothic" w:hAnsi="Times New Roman" w:cs="Times New Roman"/>
          <w:i/>
          <w:iCs/>
          <w:color w:val="000000"/>
          <w:kern w:val="0"/>
          <w:sz w:val="24"/>
          <w:szCs w:val="24"/>
        </w:rPr>
        <w:t xml:space="preserve">Candida </w:t>
      </w:r>
      <w:proofErr w:type="spellStart"/>
      <w:r w:rsidRPr="00FC43C5">
        <w:rPr>
          <w:rFonts w:ascii="Times New Roman" w:eastAsia="Yu Gothic" w:hAnsi="Times New Roman" w:cs="Times New Roman"/>
          <w:i/>
          <w:iCs/>
          <w:color w:val="000000"/>
          <w:kern w:val="0"/>
          <w:sz w:val="24"/>
          <w:szCs w:val="24"/>
        </w:rPr>
        <w:t>parapsilosis</w:t>
      </w:r>
      <w:proofErr w:type="spellEnd"/>
      <w:r w:rsidRPr="00FC43C5">
        <w:rPr>
          <w:rFonts w:ascii="Times New Roman" w:eastAsia="Yu Gothic" w:hAnsi="Times New Roman" w:cs="Times New Roman"/>
          <w:b/>
          <w:bCs/>
          <w:color w:val="000000"/>
          <w:kern w:val="0"/>
          <w:sz w:val="24"/>
          <w:szCs w:val="24"/>
        </w:rPr>
        <w:t>.</w:t>
      </w:r>
    </w:p>
    <w:p w14:paraId="77E8BFBE" w14:textId="3710D5B6" w:rsidR="00FC43C5" w:rsidRDefault="00FC43C5">
      <w:pPr>
        <w:widowControl/>
        <w:jc w:val="left"/>
        <w:rPr>
          <w:rFonts w:ascii="Times New Roman" w:eastAsia="Yu Gothic" w:hAnsi="Times New Roman" w:cs="Times New Roman"/>
          <w:b/>
          <w:bCs/>
          <w:color w:val="000000"/>
          <w:kern w:val="0"/>
          <w:sz w:val="24"/>
          <w:szCs w:val="24"/>
        </w:rPr>
      </w:pPr>
      <w:r>
        <w:rPr>
          <w:rFonts w:ascii="Times New Roman" w:eastAsia="Yu Gothic" w:hAnsi="Times New Roman" w:cs="Times New Roman"/>
          <w:b/>
          <w:bCs/>
          <w:color w:val="000000"/>
          <w:kern w:val="0"/>
          <w:sz w:val="24"/>
          <w:szCs w:val="24"/>
        </w:rPr>
        <w:br w:type="page"/>
      </w:r>
    </w:p>
    <w:p w14:paraId="2A7D6561" w14:textId="52EB902D" w:rsidR="00562CEB" w:rsidRPr="00FC43C5" w:rsidRDefault="00562CEB" w:rsidP="008C47FF">
      <w:pPr>
        <w:widowControl/>
        <w:spacing w:line="480" w:lineRule="auto"/>
        <w:rPr>
          <w:rFonts w:ascii="Times New Roman" w:eastAsia="Yu Gothic" w:hAnsi="Times New Roman" w:cs="Times New Roman"/>
          <w:b/>
          <w:bCs/>
          <w:color w:val="000000"/>
          <w:kern w:val="0"/>
          <w:sz w:val="24"/>
          <w:szCs w:val="24"/>
        </w:rPr>
      </w:pPr>
      <w:r w:rsidRPr="00FC43C5">
        <w:rPr>
          <w:rFonts w:ascii="Times New Roman" w:eastAsia="Yu Gothic" w:hAnsi="Times New Roman" w:cs="Times New Roman"/>
          <w:b/>
          <w:bCs/>
          <w:color w:val="000000"/>
          <w:kern w:val="0"/>
          <w:sz w:val="24"/>
          <w:szCs w:val="24"/>
        </w:rPr>
        <w:lastRenderedPageBreak/>
        <w:t xml:space="preserve">Supplementary Table 2. </w:t>
      </w:r>
      <w:r w:rsidR="00E242C5" w:rsidRPr="00FC43C5">
        <w:rPr>
          <w:rFonts w:ascii="Times New Roman" w:eastAsia="Yu Gothic" w:hAnsi="Times New Roman" w:cs="Times New Roman"/>
          <w:b/>
          <w:bCs/>
          <w:color w:val="000000"/>
          <w:kern w:val="0"/>
          <w:sz w:val="24"/>
          <w:szCs w:val="24"/>
        </w:rPr>
        <w:t xml:space="preserve">A </w:t>
      </w:r>
      <w:r w:rsidR="00600DC0" w:rsidRPr="00FC43C5">
        <w:rPr>
          <w:rFonts w:ascii="Times New Roman" w:eastAsia="Yu Gothic" w:hAnsi="Times New Roman" w:cs="Times New Roman"/>
          <w:b/>
          <w:bCs/>
          <w:color w:val="000000"/>
          <w:kern w:val="0"/>
          <w:sz w:val="24"/>
          <w:szCs w:val="24"/>
        </w:rPr>
        <w:t>retrospective</w:t>
      </w:r>
      <w:r w:rsidR="00E242C5" w:rsidRPr="00FC43C5">
        <w:rPr>
          <w:rFonts w:ascii="Times New Roman" w:eastAsia="Yu Gothic" w:hAnsi="Times New Roman" w:cs="Times New Roman"/>
          <w:b/>
          <w:bCs/>
          <w:color w:val="000000"/>
          <w:kern w:val="0"/>
          <w:sz w:val="24"/>
          <w:szCs w:val="24"/>
        </w:rPr>
        <w:t xml:space="preserve"> case-control study conducted on all patients admitted to the NICU from April to August 2019</w:t>
      </w:r>
      <w:r w:rsidR="00600DC0" w:rsidRPr="00FC43C5">
        <w:rPr>
          <w:rFonts w:ascii="Times New Roman" w:eastAsia="Yu Gothic" w:hAnsi="Times New Roman" w:cs="Times New Roman"/>
          <w:b/>
          <w:bCs/>
          <w:color w:val="000000"/>
          <w:kern w:val="0"/>
          <w:sz w:val="24"/>
          <w:szCs w:val="24"/>
        </w:rPr>
        <w:t xml:space="preserve">. </w:t>
      </w:r>
      <w:r w:rsidR="00600DC0" w:rsidRPr="00FC43C5">
        <w:rPr>
          <w:rFonts w:ascii="Times New Roman" w:eastAsia="Yu Gothic" w:hAnsi="Times New Roman" w:cs="Times New Roman"/>
          <w:color w:val="000000"/>
          <w:kern w:val="0"/>
          <w:sz w:val="24"/>
          <w:szCs w:val="24"/>
        </w:rPr>
        <w:t>P</w:t>
      </w:r>
      <w:r w:rsidR="00E242C5" w:rsidRPr="00FC43C5">
        <w:rPr>
          <w:rFonts w:ascii="Times New Roman" w:eastAsia="Yu Gothic" w:hAnsi="Times New Roman" w:cs="Times New Roman"/>
          <w:color w:val="000000"/>
          <w:kern w:val="0"/>
          <w:sz w:val="24"/>
          <w:szCs w:val="24"/>
        </w:rPr>
        <w:t xml:space="preserve">atients infected or colonized with </w:t>
      </w:r>
      <w:r w:rsidR="00A308DA" w:rsidRPr="00FC43C5">
        <w:rPr>
          <w:rFonts w:ascii="Times New Roman" w:eastAsia="Yu Gothic" w:hAnsi="Times New Roman" w:cs="Times New Roman"/>
          <w:color w:val="000000"/>
          <w:kern w:val="0"/>
          <w:sz w:val="24"/>
          <w:szCs w:val="24"/>
        </w:rPr>
        <w:t xml:space="preserve">fluconazole-resistant </w:t>
      </w:r>
      <w:r w:rsidR="00A308DA" w:rsidRPr="00FC43C5">
        <w:rPr>
          <w:rFonts w:ascii="Times New Roman" w:eastAsia="Yu Gothic" w:hAnsi="Times New Roman" w:cs="Times New Roman"/>
          <w:i/>
          <w:iCs/>
          <w:color w:val="000000"/>
          <w:kern w:val="0"/>
          <w:sz w:val="24"/>
          <w:szCs w:val="24"/>
        </w:rPr>
        <w:t xml:space="preserve">C. </w:t>
      </w:r>
      <w:proofErr w:type="spellStart"/>
      <w:r w:rsidR="00A308DA" w:rsidRPr="00FC43C5">
        <w:rPr>
          <w:rFonts w:ascii="Times New Roman" w:eastAsia="Yu Gothic" w:hAnsi="Times New Roman" w:cs="Times New Roman"/>
          <w:i/>
          <w:iCs/>
          <w:color w:val="000000"/>
          <w:kern w:val="0"/>
          <w:sz w:val="24"/>
          <w:szCs w:val="24"/>
        </w:rPr>
        <w:t>parapsilosis</w:t>
      </w:r>
      <w:proofErr w:type="spellEnd"/>
      <w:r w:rsidR="00E242C5" w:rsidRPr="00FC43C5">
        <w:rPr>
          <w:rFonts w:ascii="Times New Roman" w:eastAsia="Yu Gothic" w:hAnsi="Times New Roman" w:cs="Times New Roman"/>
          <w:color w:val="000000"/>
          <w:kern w:val="0"/>
          <w:sz w:val="24"/>
          <w:szCs w:val="24"/>
        </w:rPr>
        <w:t xml:space="preserve"> </w:t>
      </w:r>
      <w:r w:rsidR="00600DC0" w:rsidRPr="00FC43C5">
        <w:rPr>
          <w:rFonts w:ascii="Times New Roman" w:eastAsia="Yu Gothic" w:hAnsi="Times New Roman" w:cs="Times New Roman"/>
          <w:color w:val="000000"/>
          <w:kern w:val="0"/>
          <w:sz w:val="24"/>
          <w:szCs w:val="24"/>
        </w:rPr>
        <w:t xml:space="preserve">were </w:t>
      </w:r>
      <w:proofErr w:type="spellStart"/>
      <w:r w:rsidR="00600DC0" w:rsidRPr="00FC43C5">
        <w:rPr>
          <w:rFonts w:ascii="Times New Roman" w:eastAsia="Yu Gothic" w:hAnsi="Times New Roman" w:cs="Times New Roman"/>
          <w:color w:val="000000"/>
          <w:kern w:val="0"/>
          <w:sz w:val="24"/>
          <w:szCs w:val="24"/>
        </w:rPr>
        <w:t>categolized</w:t>
      </w:r>
      <w:proofErr w:type="spellEnd"/>
      <w:r w:rsidR="00600DC0" w:rsidRPr="00FC43C5">
        <w:rPr>
          <w:rFonts w:ascii="Times New Roman" w:eastAsia="Yu Gothic" w:hAnsi="Times New Roman" w:cs="Times New Roman"/>
          <w:color w:val="000000"/>
          <w:kern w:val="0"/>
          <w:sz w:val="24"/>
          <w:szCs w:val="24"/>
        </w:rPr>
        <w:t xml:space="preserve"> </w:t>
      </w:r>
      <w:r w:rsidR="00E242C5" w:rsidRPr="00FC43C5">
        <w:rPr>
          <w:rFonts w:ascii="Times New Roman" w:eastAsia="Yu Gothic" w:hAnsi="Times New Roman" w:cs="Times New Roman"/>
          <w:color w:val="000000"/>
          <w:kern w:val="0"/>
          <w:sz w:val="24"/>
          <w:szCs w:val="24"/>
        </w:rPr>
        <w:t xml:space="preserve">as cases </w:t>
      </w:r>
      <w:r w:rsidR="00994BB7" w:rsidRPr="00FC43C5">
        <w:rPr>
          <w:rFonts w:ascii="Times New Roman" w:eastAsia="Yu Gothic" w:hAnsi="Times New Roman" w:cs="Times New Roman"/>
          <w:color w:val="000000"/>
          <w:kern w:val="0"/>
          <w:sz w:val="24"/>
          <w:szCs w:val="24"/>
        </w:rPr>
        <w:t xml:space="preserve">(n=11) </w:t>
      </w:r>
      <w:r w:rsidR="00E242C5" w:rsidRPr="00FC43C5">
        <w:rPr>
          <w:rFonts w:ascii="Times New Roman" w:eastAsia="Yu Gothic" w:hAnsi="Times New Roman" w:cs="Times New Roman"/>
          <w:color w:val="000000"/>
          <w:kern w:val="0"/>
          <w:sz w:val="24"/>
          <w:szCs w:val="24"/>
        </w:rPr>
        <w:t xml:space="preserve">and </w:t>
      </w:r>
      <w:r w:rsidR="00600DC0" w:rsidRPr="00FC43C5">
        <w:rPr>
          <w:rFonts w:ascii="Times New Roman" w:eastAsia="Yu Gothic" w:hAnsi="Times New Roman" w:cs="Times New Roman"/>
          <w:color w:val="000000"/>
          <w:kern w:val="0"/>
          <w:sz w:val="24"/>
          <w:szCs w:val="24"/>
        </w:rPr>
        <w:t xml:space="preserve">all other patients </w:t>
      </w:r>
      <w:r w:rsidR="00E242C5" w:rsidRPr="00FC43C5">
        <w:rPr>
          <w:rFonts w:ascii="Times New Roman" w:eastAsia="Yu Gothic" w:hAnsi="Times New Roman" w:cs="Times New Roman"/>
          <w:color w:val="000000"/>
          <w:kern w:val="0"/>
          <w:sz w:val="24"/>
          <w:szCs w:val="24"/>
        </w:rPr>
        <w:t>as controls</w:t>
      </w:r>
      <w:r w:rsidR="00994BB7" w:rsidRPr="00FC43C5">
        <w:rPr>
          <w:rFonts w:ascii="Times New Roman" w:eastAsia="Yu Gothic" w:hAnsi="Times New Roman" w:cs="Times New Roman"/>
          <w:color w:val="000000"/>
          <w:kern w:val="0"/>
          <w:sz w:val="24"/>
          <w:szCs w:val="24"/>
        </w:rPr>
        <w:t xml:space="preserve"> (n=26)</w:t>
      </w:r>
      <w:r w:rsidR="00E242C5" w:rsidRPr="00FC43C5">
        <w:rPr>
          <w:rFonts w:ascii="Times New Roman" w:eastAsia="Yu Gothic" w:hAnsi="Times New Roman" w:cs="Times New Roman"/>
          <w:color w:val="000000"/>
          <w:kern w:val="0"/>
          <w:sz w:val="24"/>
          <w:szCs w:val="24"/>
        </w:rPr>
        <w:t>.</w:t>
      </w:r>
    </w:p>
    <w:tbl>
      <w:tblPr>
        <w:tblStyle w:val="ab"/>
        <w:tblW w:w="13886" w:type="dxa"/>
        <w:tblLayout w:type="fixed"/>
        <w:tblLook w:val="04A0" w:firstRow="1" w:lastRow="0" w:firstColumn="1" w:lastColumn="0" w:noHBand="0" w:noVBand="1"/>
      </w:tblPr>
      <w:tblGrid>
        <w:gridCol w:w="4860"/>
        <w:gridCol w:w="1805"/>
        <w:gridCol w:w="1805"/>
        <w:gridCol w:w="1806"/>
        <w:gridCol w:w="1805"/>
        <w:gridCol w:w="1805"/>
      </w:tblGrid>
      <w:tr w:rsidR="00133961" w:rsidRPr="00FC43C5" w14:paraId="0CCB1512" w14:textId="3E9ED906" w:rsidTr="001C1706">
        <w:trPr>
          <w:trHeight w:val="280"/>
        </w:trPr>
        <w:tc>
          <w:tcPr>
            <w:tcW w:w="4860" w:type="dxa"/>
            <w:noWrap/>
            <w:vAlign w:val="center"/>
            <w:hideMark/>
          </w:tcPr>
          <w:p w14:paraId="0169E5A5" w14:textId="77777777" w:rsidR="00133961" w:rsidRPr="00FC43C5" w:rsidRDefault="00133961" w:rsidP="00133961">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Patient characteristics</w:t>
            </w:r>
          </w:p>
        </w:tc>
        <w:tc>
          <w:tcPr>
            <w:tcW w:w="1805" w:type="dxa"/>
            <w:noWrap/>
            <w:vAlign w:val="center"/>
            <w:hideMark/>
          </w:tcPr>
          <w:p w14:paraId="569B8B29" w14:textId="77777777"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Cases n=11</w:t>
            </w:r>
          </w:p>
        </w:tc>
        <w:tc>
          <w:tcPr>
            <w:tcW w:w="1805" w:type="dxa"/>
            <w:noWrap/>
            <w:vAlign w:val="center"/>
            <w:hideMark/>
          </w:tcPr>
          <w:p w14:paraId="283681C8" w14:textId="77777777"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Controls n=26</w:t>
            </w:r>
          </w:p>
        </w:tc>
        <w:tc>
          <w:tcPr>
            <w:tcW w:w="1806" w:type="dxa"/>
            <w:noWrap/>
            <w:vAlign w:val="center"/>
            <w:hideMark/>
          </w:tcPr>
          <w:p w14:paraId="4E1DAB73" w14:textId="6A31A86C"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OR</w:t>
            </w:r>
          </w:p>
        </w:tc>
        <w:tc>
          <w:tcPr>
            <w:tcW w:w="1805" w:type="dxa"/>
            <w:noWrap/>
            <w:vAlign w:val="center"/>
            <w:hideMark/>
          </w:tcPr>
          <w:p w14:paraId="634733CA" w14:textId="77777777"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95% CI</w:t>
            </w:r>
          </w:p>
        </w:tc>
        <w:tc>
          <w:tcPr>
            <w:tcW w:w="1805" w:type="dxa"/>
            <w:vAlign w:val="center"/>
          </w:tcPr>
          <w:p w14:paraId="44AB75CC" w14:textId="21DB5327" w:rsidR="00133961" w:rsidRPr="00FC43C5" w:rsidRDefault="00133961" w:rsidP="00133961">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i/>
                <w:iCs/>
                <w:color w:val="000000"/>
                <w:kern w:val="0"/>
                <w:sz w:val="24"/>
                <w:szCs w:val="24"/>
              </w:rPr>
              <w:t>p</w:t>
            </w:r>
            <w:r w:rsidRPr="00FC43C5">
              <w:rPr>
                <w:rFonts w:ascii="Times New Roman" w:eastAsia="Yu Gothic" w:hAnsi="Times New Roman" w:cs="Times New Roman"/>
                <w:color w:val="000000"/>
                <w:kern w:val="0"/>
                <w:sz w:val="24"/>
                <w:szCs w:val="24"/>
              </w:rPr>
              <w:t>-value</w:t>
            </w:r>
          </w:p>
        </w:tc>
      </w:tr>
      <w:tr w:rsidR="00133961" w:rsidRPr="00FC43C5" w14:paraId="223E0397" w14:textId="0DFAE4B1" w:rsidTr="001C1706">
        <w:trPr>
          <w:trHeight w:val="280"/>
        </w:trPr>
        <w:tc>
          <w:tcPr>
            <w:tcW w:w="4860" w:type="dxa"/>
            <w:noWrap/>
            <w:vAlign w:val="center"/>
            <w:hideMark/>
          </w:tcPr>
          <w:p w14:paraId="538B27DB" w14:textId="77777777" w:rsidR="00133961" w:rsidRPr="00FC43C5" w:rsidRDefault="00133961" w:rsidP="00133961">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Place of birth = inborn (%)</w:t>
            </w:r>
          </w:p>
        </w:tc>
        <w:tc>
          <w:tcPr>
            <w:tcW w:w="1805" w:type="dxa"/>
            <w:noWrap/>
            <w:vAlign w:val="center"/>
            <w:hideMark/>
          </w:tcPr>
          <w:p w14:paraId="1C84E7B5" w14:textId="77777777"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 (100%)</w:t>
            </w:r>
          </w:p>
        </w:tc>
        <w:tc>
          <w:tcPr>
            <w:tcW w:w="1805" w:type="dxa"/>
            <w:noWrap/>
            <w:vAlign w:val="center"/>
            <w:hideMark/>
          </w:tcPr>
          <w:p w14:paraId="31B9DADA" w14:textId="77777777"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25 (96%)</w:t>
            </w:r>
          </w:p>
        </w:tc>
        <w:tc>
          <w:tcPr>
            <w:tcW w:w="1806" w:type="dxa"/>
            <w:noWrap/>
            <w:vAlign w:val="center"/>
            <w:hideMark/>
          </w:tcPr>
          <w:p w14:paraId="420DBDB4" w14:textId="36EDB66E"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hideMark/>
          </w:tcPr>
          <w:p w14:paraId="24337A6F" w14:textId="48D130CA"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2262748F" w14:textId="29C226A2" w:rsidR="00133961" w:rsidRPr="00FC43C5" w:rsidRDefault="001405AD" w:rsidP="00133961">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133961" w:rsidRPr="00FC43C5" w14:paraId="68D9C8AD" w14:textId="1BA457CB" w:rsidTr="001C1706">
        <w:trPr>
          <w:trHeight w:val="380"/>
        </w:trPr>
        <w:tc>
          <w:tcPr>
            <w:tcW w:w="4860" w:type="dxa"/>
            <w:noWrap/>
            <w:vAlign w:val="center"/>
            <w:hideMark/>
          </w:tcPr>
          <w:p w14:paraId="1DB63BE3" w14:textId="7E4F3316" w:rsidR="00133961" w:rsidRPr="00FC43C5" w:rsidRDefault="00133961" w:rsidP="00133961">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 xml:space="preserve">Caesarean section </w:t>
            </w:r>
            <w:r w:rsidR="00BD6CCD" w:rsidRPr="00FC43C5">
              <w:rPr>
                <w:rFonts w:ascii="Times New Roman" w:eastAsia="Yu Gothic" w:hAnsi="Times New Roman" w:cs="Times New Roman"/>
                <w:color w:val="000000"/>
                <w:kern w:val="0"/>
                <w:sz w:val="24"/>
                <w:szCs w:val="24"/>
              </w:rPr>
              <w:t xml:space="preserve">= yes </w:t>
            </w:r>
            <w:r w:rsidRPr="00FC43C5">
              <w:rPr>
                <w:rFonts w:ascii="Times New Roman" w:eastAsia="Yu Gothic" w:hAnsi="Times New Roman" w:cs="Times New Roman"/>
                <w:color w:val="000000"/>
                <w:kern w:val="0"/>
                <w:sz w:val="24"/>
                <w:szCs w:val="24"/>
              </w:rPr>
              <w:t>(%)</w:t>
            </w:r>
          </w:p>
        </w:tc>
        <w:tc>
          <w:tcPr>
            <w:tcW w:w="1805" w:type="dxa"/>
            <w:noWrap/>
            <w:vAlign w:val="center"/>
            <w:hideMark/>
          </w:tcPr>
          <w:p w14:paraId="73244702" w14:textId="77777777"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 (100%)</w:t>
            </w:r>
          </w:p>
        </w:tc>
        <w:tc>
          <w:tcPr>
            <w:tcW w:w="1805" w:type="dxa"/>
            <w:noWrap/>
            <w:vAlign w:val="center"/>
            <w:hideMark/>
          </w:tcPr>
          <w:p w14:paraId="51C505DF" w14:textId="77777777"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25 (96%)</w:t>
            </w:r>
          </w:p>
        </w:tc>
        <w:tc>
          <w:tcPr>
            <w:tcW w:w="1806" w:type="dxa"/>
            <w:noWrap/>
            <w:vAlign w:val="center"/>
            <w:hideMark/>
          </w:tcPr>
          <w:p w14:paraId="0E7F164E" w14:textId="378AA721"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hideMark/>
          </w:tcPr>
          <w:p w14:paraId="3C875D17" w14:textId="59B7BDA2" w:rsidR="00133961" w:rsidRPr="00FC43C5" w:rsidRDefault="00133961"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478FFC43" w14:textId="3FCC0DFB" w:rsidR="00133961" w:rsidRPr="00FC43C5" w:rsidRDefault="001405AD" w:rsidP="00133961">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BD6CCD" w:rsidRPr="00FC43C5" w14:paraId="37931F7E" w14:textId="77777777" w:rsidTr="00133961">
        <w:trPr>
          <w:trHeight w:val="380"/>
        </w:trPr>
        <w:tc>
          <w:tcPr>
            <w:tcW w:w="4860" w:type="dxa"/>
            <w:noWrap/>
            <w:vAlign w:val="center"/>
          </w:tcPr>
          <w:p w14:paraId="135F605F" w14:textId="76D0E73E" w:rsidR="00BD6CCD" w:rsidRPr="00FC43C5" w:rsidRDefault="00BD6CCD" w:rsidP="00133961">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Maternal Candida vaginitis = yes (%)</w:t>
            </w:r>
          </w:p>
        </w:tc>
        <w:tc>
          <w:tcPr>
            <w:tcW w:w="1805" w:type="dxa"/>
            <w:noWrap/>
            <w:vAlign w:val="center"/>
          </w:tcPr>
          <w:p w14:paraId="4D00D562" w14:textId="6BD927B5" w:rsidR="00BD6CCD" w:rsidRPr="00FC43C5" w:rsidRDefault="00BD6CCD">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 (0%)</w:t>
            </w:r>
          </w:p>
        </w:tc>
        <w:tc>
          <w:tcPr>
            <w:tcW w:w="1805" w:type="dxa"/>
            <w:noWrap/>
            <w:vAlign w:val="center"/>
          </w:tcPr>
          <w:p w14:paraId="3406E546" w14:textId="595D36F6" w:rsidR="00BD6CCD" w:rsidRPr="00FC43C5" w:rsidRDefault="00BD6CCD">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 (0%)</w:t>
            </w:r>
          </w:p>
        </w:tc>
        <w:tc>
          <w:tcPr>
            <w:tcW w:w="1806" w:type="dxa"/>
            <w:noWrap/>
            <w:vAlign w:val="center"/>
          </w:tcPr>
          <w:p w14:paraId="07966BA6" w14:textId="5C4A7E50" w:rsidR="00BD6CCD" w:rsidRPr="00FC43C5" w:rsidRDefault="00BD6CCD">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tcPr>
          <w:p w14:paraId="30AC8224" w14:textId="1C9959DA" w:rsidR="00BD6CCD" w:rsidRPr="00FC43C5" w:rsidRDefault="00BD6CCD">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650979D0" w14:textId="1CED6186" w:rsidR="00BD6CCD" w:rsidRPr="00FC43C5" w:rsidRDefault="00BD6CCD" w:rsidP="00133961">
            <w:pPr>
              <w:widowControl/>
              <w:spacing w:line="480" w:lineRule="auto"/>
              <w:jc w:val="center"/>
              <w:rPr>
                <w:rFonts w:ascii="Times New Roman" w:eastAsia="Yu Gothic" w:hAnsi="Times New Roman" w:cs="Times New Roman"/>
                <w:color w:val="000000"/>
                <w:kern w:val="0"/>
                <w:sz w:val="24"/>
                <w:szCs w:val="24"/>
              </w:rPr>
            </w:pPr>
            <w:bookmarkStart w:id="0" w:name="OLE_LINK1"/>
            <w:bookmarkStart w:id="1" w:name="OLE_LINK2"/>
            <w:r w:rsidRPr="00FC43C5">
              <w:rPr>
                <w:rFonts w:ascii="Times New Roman" w:eastAsia="Yu Gothic" w:hAnsi="Times New Roman" w:cs="Times New Roman"/>
                <w:color w:val="000000"/>
                <w:kern w:val="0"/>
                <w:sz w:val="24"/>
                <w:szCs w:val="24"/>
              </w:rPr>
              <w:t>&gt;0.05</w:t>
            </w:r>
            <w:bookmarkEnd w:id="0"/>
            <w:bookmarkEnd w:id="1"/>
          </w:p>
        </w:tc>
      </w:tr>
      <w:tr w:rsidR="00BD6CCD" w:rsidRPr="00FC43C5" w14:paraId="698759D7" w14:textId="77777777" w:rsidTr="00133961">
        <w:trPr>
          <w:trHeight w:val="380"/>
        </w:trPr>
        <w:tc>
          <w:tcPr>
            <w:tcW w:w="4860" w:type="dxa"/>
            <w:noWrap/>
            <w:vAlign w:val="center"/>
          </w:tcPr>
          <w:p w14:paraId="548C9CDE" w14:textId="5119EA4A" w:rsidR="00BD6CCD" w:rsidRPr="00FC43C5" w:rsidRDefault="00BD6CCD" w:rsidP="00133961">
            <w:pPr>
              <w:widowControl/>
              <w:spacing w:line="480" w:lineRule="auto"/>
              <w:rPr>
                <w:rFonts w:ascii="Times New Roman" w:eastAsia="Yu Gothic" w:hAnsi="Times New Roman" w:cs="Times New Roman"/>
                <w:color w:val="000000"/>
                <w:kern w:val="0"/>
                <w:sz w:val="24"/>
                <w:szCs w:val="24"/>
              </w:rPr>
            </w:pPr>
            <w:proofErr w:type="spellStart"/>
            <w:r w:rsidRPr="00FC43C5">
              <w:rPr>
                <w:rFonts w:ascii="Times New Roman" w:eastAsia="Yu Gothic" w:hAnsi="Times New Roman" w:cs="Times New Roman"/>
                <w:color w:val="000000"/>
                <w:kern w:val="0"/>
                <w:sz w:val="24"/>
                <w:szCs w:val="24"/>
              </w:rPr>
              <w:t>Prelabor</w:t>
            </w:r>
            <w:proofErr w:type="spellEnd"/>
            <w:r w:rsidR="00655E61" w:rsidRPr="00FC43C5">
              <w:rPr>
                <w:rFonts w:ascii="Times New Roman" w:eastAsia="Yu Gothic" w:hAnsi="Times New Roman" w:cs="Times New Roman"/>
                <w:color w:val="000000"/>
                <w:kern w:val="0"/>
                <w:sz w:val="24"/>
                <w:szCs w:val="24"/>
              </w:rPr>
              <w:t xml:space="preserve"> </w:t>
            </w:r>
            <w:r w:rsidRPr="00FC43C5">
              <w:rPr>
                <w:rFonts w:ascii="Times New Roman" w:eastAsia="Yu Gothic" w:hAnsi="Times New Roman" w:cs="Times New Roman"/>
                <w:color w:val="000000"/>
                <w:kern w:val="0"/>
                <w:sz w:val="24"/>
                <w:szCs w:val="24"/>
              </w:rPr>
              <w:t>rupture of membrane</w:t>
            </w:r>
            <w:r w:rsidR="00A473BB" w:rsidRPr="00FC43C5">
              <w:rPr>
                <w:rFonts w:ascii="Times New Roman" w:eastAsia="Yu Gothic" w:hAnsi="Times New Roman" w:cs="Times New Roman"/>
                <w:color w:val="000000"/>
                <w:kern w:val="0"/>
                <w:sz w:val="24"/>
                <w:szCs w:val="24"/>
              </w:rPr>
              <w:t xml:space="preserve"> = yes (%)</w:t>
            </w:r>
          </w:p>
        </w:tc>
        <w:tc>
          <w:tcPr>
            <w:tcW w:w="1805" w:type="dxa"/>
            <w:noWrap/>
            <w:vAlign w:val="center"/>
          </w:tcPr>
          <w:p w14:paraId="316AC4CB" w14:textId="7D39F7F4" w:rsidR="00BD6CCD" w:rsidRPr="00FC43C5" w:rsidRDefault="00235759">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4 (36%)</w:t>
            </w:r>
          </w:p>
        </w:tc>
        <w:tc>
          <w:tcPr>
            <w:tcW w:w="1805" w:type="dxa"/>
            <w:noWrap/>
            <w:vAlign w:val="center"/>
          </w:tcPr>
          <w:p w14:paraId="680C78E9" w14:textId="6EE13277" w:rsidR="00BD6CCD" w:rsidRPr="00FC43C5" w:rsidRDefault="00235759">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8 (31%)</w:t>
            </w:r>
          </w:p>
        </w:tc>
        <w:tc>
          <w:tcPr>
            <w:tcW w:w="1806" w:type="dxa"/>
            <w:noWrap/>
            <w:vAlign w:val="center"/>
          </w:tcPr>
          <w:p w14:paraId="41876254" w14:textId="41438D44" w:rsidR="00BD6CCD" w:rsidRPr="00FC43C5" w:rsidRDefault="00322087">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1.29</w:t>
            </w:r>
          </w:p>
        </w:tc>
        <w:tc>
          <w:tcPr>
            <w:tcW w:w="1805" w:type="dxa"/>
            <w:noWrap/>
            <w:vAlign w:val="center"/>
          </w:tcPr>
          <w:p w14:paraId="01D408A3" w14:textId="77643A28" w:rsidR="00322087" w:rsidRPr="00FC43C5" w:rsidRDefault="00322087" w:rsidP="00322087">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0.29-5.67</w:t>
            </w:r>
          </w:p>
        </w:tc>
        <w:tc>
          <w:tcPr>
            <w:tcW w:w="1805" w:type="dxa"/>
            <w:vAlign w:val="center"/>
          </w:tcPr>
          <w:p w14:paraId="3E5BF9B5" w14:textId="6341EF51" w:rsidR="00BD6CCD" w:rsidRPr="00FC43C5" w:rsidRDefault="00322087" w:rsidP="00133961">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322087" w:rsidRPr="00FC43C5" w14:paraId="448B5EE9" w14:textId="77777777" w:rsidTr="00133961">
        <w:trPr>
          <w:trHeight w:val="380"/>
        </w:trPr>
        <w:tc>
          <w:tcPr>
            <w:tcW w:w="4860" w:type="dxa"/>
            <w:noWrap/>
            <w:vAlign w:val="center"/>
          </w:tcPr>
          <w:p w14:paraId="650D472E" w14:textId="1C606F95" w:rsidR="00322087" w:rsidRPr="00FC43C5" w:rsidRDefault="00322087" w:rsidP="00133961">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Antenatal steroids = yes (%)</w:t>
            </w:r>
          </w:p>
        </w:tc>
        <w:tc>
          <w:tcPr>
            <w:tcW w:w="1805" w:type="dxa"/>
            <w:noWrap/>
            <w:vAlign w:val="center"/>
          </w:tcPr>
          <w:p w14:paraId="49709AC9" w14:textId="723D7B2C" w:rsidR="00322087" w:rsidRPr="00FC43C5" w:rsidRDefault="00793209">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5</w:t>
            </w:r>
            <w:r w:rsidR="00322087" w:rsidRPr="00FC43C5">
              <w:rPr>
                <w:rFonts w:ascii="Times New Roman" w:eastAsia="Yu Gothic" w:hAnsi="Times New Roman" w:cs="Times New Roman"/>
                <w:color w:val="000000"/>
                <w:kern w:val="0"/>
                <w:sz w:val="24"/>
                <w:szCs w:val="24"/>
              </w:rPr>
              <w:t xml:space="preserve"> (</w:t>
            </w:r>
            <w:r w:rsidRPr="00FC43C5">
              <w:rPr>
                <w:rFonts w:ascii="Times New Roman" w:eastAsia="Yu Gothic" w:hAnsi="Times New Roman" w:cs="Times New Roman"/>
                <w:color w:val="000000"/>
                <w:kern w:val="0"/>
                <w:sz w:val="24"/>
                <w:szCs w:val="24"/>
              </w:rPr>
              <w:t>45</w:t>
            </w:r>
            <w:r w:rsidR="00322087" w:rsidRPr="00FC43C5">
              <w:rPr>
                <w:rFonts w:ascii="Times New Roman" w:eastAsia="Yu Gothic" w:hAnsi="Times New Roman" w:cs="Times New Roman"/>
                <w:color w:val="000000"/>
                <w:kern w:val="0"/>
                <w:sz w:val="24"/>
                <w:szCs w:val="24"/>
              </w:rPr>
              <w:t>%)</w:t>
            </w:r>
          </w:p>
        </w:tc>
        <w:tc>
          <w:tcPr>
            <w:tcW w:w="1805" w:type="dxa"/>
            <w:noWrap/>
            <w:vAlign w:val="center"/>
          </w:tcPr>
          <w:p w14:paraId="7FEEDA25" w14:textId="211AFE45" w:rsidR="00322087" w:rsidRPr="00FC43C5" w:rsidRDefault="00322087" w:rsidP="00322087">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 (42%)</w:t>
            </w:r>
          </w:p>
        </w:tc>
        <w:tc>
          <w:tcPr>
            <w:tcW w:w="1806" w:type="dxa"/>
            <w:noWrap/>
            <w:vAlign w:val="center"/>
          </w:tcPr>
          <w:p w14:paraId="0933C870" w14:textId="4043A373" w:rsidR="00322087" w:rsidRPr="00FC43C5" w:rsidRDefault="00322087">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1.14</w:t>
            </w:r>
          </w:p>
        </w:tc>
        <w:tc>
          <w:tcPr>
            <w:tcW w:w="1805" w:type="dxa"/>
            <w:noWrap/>
            <w:vAlign w:val="center"/>
          </w:tcPr>
          <w:p w14:paraId="229D2211" w14:textId="06CE450D" w:rsidR="00322087" w:rsidRPr="00FC43C5" w:rsidRDefault="00322087" w:rsidP="00322087">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0.27-4.7</w:t>
            </w:r>
          </w:p>
        </w:tc>
        <w:tc>
          <w:tcPr>
            <w:tcW w:w="1805" w:type="dxa"/>
            <w:vAlign w:val="center"/>
          </w:tcPr>
          <w:p w14:paraId="0130B48E" w14:textId="1AED436F" w:rsidR="00322087" w:rsidRPr="00FC43C5" w:rsidRDefault="00322087" w:rsidP="00133961">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322087" w:rsidRPr="00FC43C5" w14:paraId="552359CA" w14:textId="77777777" w:rsidTr="00133961">
        <w:trPr>
          <w:trHeight w:val="380"/>
        </w:trPr>
        <w:tc>
          <w:tcPr>
            <w:tcW w:w="4860" w:type="dxa"/>
            <w:noWrap/>
            <w:vAlign w:val="center"/>
          </w:tcPr>
          <w:p w14:paraId="4E8B4E76" w14:textId="77CB7B26" w:rsidR="00322087" w:rsidRPr="00FC43C5" w:rsidRDefault="00322087" w:rsidP="00133961">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Antenatal antibiotics = yes (%)</w:t>
            </w:r>
          </w:p>
        </w:tc>
        <w:tc>
          <w:tcPr>
            <w:tcW w:w="1805" w:type="dxa"/>
            <w:noWrap/>
            <w:vAlign w:val="center"/>
          </w:tcPr>
          <w:p w14:paraId="514DEA8B" w14:textId="1FA64CAB" w:rsidR="00322087" w:rsidRPr="00FC43C5" w:rsidRDefault="00793209">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6</w:t>
            </w:r>
            <w:r w:rsidR="00322087" w:rsidRPr="00FC43C5">
              <w:rPr>
                <w:rFonts w:ascii="Times New Roman" w:eastAsia="Yu Gothic" w:hAnsi="Times New Roman" w:cs="Times New Roman"/>
                <w:color w:val="000000"/>
                <w:kern w:val="0"/>
                <w:sz w:val="24"/>
                <w:szCs w:val="24"/>
              </w:rPr>
              <w:t xml:space="preserve"> (</w:t>
            </w:r>
            <w:r w:rsidRPr="00FC43C5">
              <w:rPr>
                <w:rFonts w:ascii="Times New Roman" w:eastAsia="Yu Gothic" w:hAnsi="Times New Roman" w:cs="Times New Roman"/>
                <w:color w:val="000000"/>
                <w:kern w:val="0"/>
                <w:sz w:val="24"/>
                <w:szCs w:val="24"/>
              </w:rPr>
              <w:t>5</w:t>
            </w:r>
            <w:r w:rsidR="00322087" w:rsidRPr="00FC43C5">
              <w:rPr>
                <w:rFonts w:ascii="Times New Roman" w:eastAsia="Yu Gothic" w:hAnsi="Times New Roman" w:cs="Times New Roman"/>
                <w:color w:val="000000"/>
                <w:kern w:val="0"/>
                <w:sz w:val="24"/>
                <w:szCs w:val="24"/>
              </w:rPr>
              <w:t>5%)</w:t>
            </w:r>
          </w:p>
        </w:tc>
        <w:tc>
          <w:tcPr>
            <w:tcW w:w="1805" w:type="dxa"/>
            <w:noWrap/>
            <w:vAlign w:val="center"/>
          </w:tcPr>
          <w:p w14:paraId="352BC2FE" w14:textId="05B30942" w:rsidR="00322087" w:rsidRPr="00FC43C5" w:rsidRDefault="00793209" w:rsidP="00322087">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9 (35%)</w:t>
            </w:r>
          </w:p>
        </w:tc>
        <w:tc>
          <w:tcPr>
            <w:tcW w:w="1806" w:type="dxa"/>
            <w:noWrap/>
            <w:vAlign w:val="center"/>
          </w:tcPr>
          <w:p w14:paraId="6AE464B6" w14:textId="0A31B9EF" w:rsidR="00322087" w:rsidRPr="00FC43C5" w:rsidRDefault="00793209">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2.27</w:t>
            </w:r>
          </w:p>
        </w:tc>
        <w:tc>
          <w:tcPr>
            <w:tcW w:w="1805" w:type="dxa"/>
            <w:noWrap/>
            <w:vAlign w:val="center"/>
          </w:tcPr>
          <w:p w14:paraId="56F87D2C" w14:textId="1352DE25" w:rsidR="00322087" w:rsidRPr="00FC43C5" w:rsidRDefault="00793209" w:rsidP="00322087">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0.54-9.53</w:t>
            </w:r>
          </w:p>
        </w:tc>
        <w:tc>
          <w:tcPr>
            <w:tcW w:w="1805" w:type="dxa"/>
            <w:vAlign w:val="center"/>
          </w:tcPr>
          <w:p w14:paraId="15E6DFC6" w14:textId="56412FF5" w:rsidR="00322087" w:rsidRPr="00FC43C5" w:rsidRDefault="00793209" w:rsidP="00133961">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6C3794DC" w14:textId="77777777" w:rsidTr="00133961">
        <w:trPr>
          <w:trHeight w:val="380"/>
        </w:trPr>
        <w:tc>
          <w:tcPr>
            <w:tcW w:w="4860" w:type="dxa"/>
            <w:noWrap/>
            <w:vAlign w:val="center"/>
          </w:tcPr>
          <w:p w14:paraId="1AAF3611" w14:textId="149011D0" w:rsidR="00DE24DB" w:rsidRPr="00FC43C5" w:rsidRDefault="00DE24DB" w:rsidP="00133961">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Incubator = yes (%)</w:t>
            </w:r>
          </w:p>
        </w:tc>
        <w:tc>
          <w:tcPr>
            <w:tcW w:w="1805" w:type="dxa"/>
            <w:noWrap/>
            <w:vAlign w:val="center"/>
          </w:tcPr>
          <w:p w14:paraId="4EB9EB10" w14:textId="56B62059" w:rsidR="00DE24DB" w:rsidRPr="00FC43C5" w:rsidRDefault="00DE24DB">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 (100%)</w:t>
            </w:r>
          </w:p>
        </w:tc>
        <w:tc>
          <w:tcPr>
            <w:tcW w:w="1805" w:type="dxa"/>
            <w:noWrap/>
            <w:vAlign w:val="center"/>
          </w:tcPr>
          <w:p w14:paraId="4D7BAA31" w14:textId="41CEB43A" w:rsidR="00DE24DB" w:rsidRPr="00FC43C5" w:rsidRDefault="00DE24DB" w:rsidP="00322087">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26 (100%)</w:t>
            </w:r>
          </w:p>
        </w:tc>
        <w:tc>
          <w:tcPr>
            <w:tcW w:w="1806" w:type="dxa"/>
            <w:noWrap/>
            <w:vAlign w:val="center"/>
          </w:tcPr>
          <w:p w14:paraId="1C3CEA6D" w14:textId="33ABD4FA" w:rsidR="00DE24DB" w:rsidRPr="00FC43C5" w:rsidRDefault="00DE24DB">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tcPr>
          <w:p w14:paraId="67FA1C28" w14:textId="0C72F7D0" w:rsidR="00DE24DB" w:rsidRPr="00FC43C5" w:rsidRDefault="00DE24DB" w:rsidP="00322087">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01170C18" w14:textId="6E1033C8" w:rsidR="00DE24DB" w:rsidRPr="00FC43C5" w:rsidRDefault="00DE24DB" w:rsidP="00133961">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0F59E434" w14:textId="55968099" w:rsidTr="001C1706">
        <w:trPr>
          <w:trHeight w:val="280"/>
        </w:trPr>
        <w:tc>
          <w:tcPr>
            <w:tcW w:w="4860" w:type="dxa"/>
            <w:noWrap/>
            <w:vAlign w:val="center"/>
            <w:hideMark/>
          </w:tcPr>
          <w:p w14:paraId="57E4E7E3" w14:textId="4888A634" w:rsidR="00DE24DB" w:rsidRPr="00FC43C5" w:rsidRDefault="00DE24DB" w:rsidP="00133961">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Mother’s milk = yes (%)</w:t>
            </w:r>
          </w:p>
        </w:tc>
        <w:tc>
          <w:tcPr>
            <w:tcW w:w="1805" w:type="dxa"/>
            <w:noWrap/>
            <w:vAlign w:val="center"/>
            <w:hideMark/>
          </w:tcPr>
          <w:p w14:paraId="03A0D945" w14:textId="30B38ECC"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 (100%)</w:t>
            </w:r>
          </w:p>
        </w:tc>
        <w:tc>
          <w:tcPr>
            <w:tcW w:w="1805" w:type="dxa"/>
            <w:noWrap/>
            <w:vAlign w:val="center"/>
            <w:hideMark/>
          </w:tcPr>
          <w:p w14:paraId="4CBBCB76" w14:textId="2A591C92"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26 (100%)</w:t>
            </w:r>
          </w:p>
        </w:tc>
        <w:tc>
          <w:tcPr>
            <w:tcW w:w="1806" w:type="dxa"/>
            <w:noWrap/>
            <w:vAlign w:val="center"/>
            <w:hideMark/>
          </w:tcPr>
          <w:p w14:paraId="5B794BD3" w14:textId="0C0557AC"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hideMark/>
          </w:tcPr>
          <w:p w14:paraId="575ED550" w14:textId="79B8E596"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5A2A1CD0" w14:textId="28556992" w:rsidR="00DE24DB" w:rsidRPr="00FC43C5" w:rsidRDefault="00DE24DB" w:rsidP="00133961">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43F8DBC8" w14:textId="16174E7F" w:rsidTr="001C1706">
        <w:trPr>
          <w:trHeight w:val="280"/>
        </w:trPr>
        <w:tc>
          <w:tcPr>
            <w:tcW w:w="4860" w:type="dxa"/>
            <w:noWrap/>
            <w:vAlign w:val="center"/>
            <w:hideMark/>
          </w:tcPr>
          <w:p w14:paraId="4FDFF1D6" w14:textId="2980C6D4" w:rsidR="00DE24DB" w:rsidRPr="00FC43C5" w:rsidRDefault="00DE24DB" w:rsidP="00133961">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Donor milk = yes (%)</w:t>
            </w:r>
          </w:p>
        </w:tc>
        <w:tc>
          <w:tcPr>
            <w:tcW w:w="1805" w:type="dxa"/>
            <w:noWrap/>
            <w:vAlign w:val="center"/>
            <w:hideMark/>
          </w:tcPr>
          <w:p w14:paraId="5D4D834B" w14:textId="7BD5C297"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9 (82%)</w:t>
            </w:r>
          </w:p>
        </w:tc>
        <w:tc>
          <w:tcPr>
            <w:tcW w:w="1805" w:type="dxa"/>
            <w:noWrap/>
            <w:vAlign w:val="center"/>
            <w:hideMark/>
          </w:tcPr>
          <w:p w14:paraId="01B2CB50" w14:textId="08B3EEAF"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10 (38%)</w:t>
            </w:r>
          </w:p>
        </w:tc>
        <w:tc>
          <w:tcPr>
            <w:tcW w:w="1806" w:type="dxa"/>
            <w:noWrap/>
            <w:vAlign w:val="center"/>
            <w:hideMark/>
          </w:tcPr>
          <w:p w14:paraId="432E613A" w14:textId="7E84CE12"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7.20</w:t>
            </w:r>
          </w:p>
        </w:tc>
        <w:tc>
          <w:tcPr>
            <w:tcW w:w="1805" w:type="dxa"/>
            <w:noWrap/>
            <w:vAlign w:val="center"/>
            <w:hideMark/>
          </w:tcPr>
          <w:p w14:paraId="6554CB82" w14:textId="583777AF"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1.28-40.37</w:t>
            </w:r>
          </w:p>
        </w:tc>
        <w:tc>
          <w:tcPr>
            <w:tcW w:w="1805" w:type="dxa"/>
            <w:vAlign w:val="center"/>
          </w:tcPr>
          <w:p w14:paraId="48CD8B81" w14:textId="45FAD97F" w:rsidR="00DE24DB" w:rsidRPr="00FC43C5" w:rsidRDefault="00DE24DB" w:rsidP="00133961">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0.029</w:t>
            </w:r>
          </w:p>
        </w:tc>
      </w:tr>
      <w:tr w:rsidR="00DE24DB" w:rsidRPr="00FC43C5" w14:paraId="787641F5" w14:textId="370C29F0" w:rsidTr="001C1706">
        <w:trPr>
          <w:trHeight w:val="280"/>
        </w:trPr>
        <w:tc>
          <w:tcPr>
            <w:tcW w:w="4860" w:type="dxa"/>
            <w:noWrap/>
            <w:vAlign w:val="center"/>
            <w:hideMark/>
          </w:tcPr>
          <w:p w14:paraId="79367BA0" w14:textId="3D16FDD4" w:rsidR="00DE24DB" w:rsidRPr="00FC43C5" w:rsidRDefault="00DE24DB" w:rsidP="00133961">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Formula = yes (%)</w:t>
            </w:r>
          </w:p>
        </w:tc>
        <w:tc>
          <w:tcPr>
            <w:tcW w:w="1805" w:type="dxa"/>
            <w:noWrap/>
            <w:vAlign w:val="center"/>
            <w:hideMark/>
          </w:tcPr>
          <w:p w14:paraId="3A319745" w14:textId="4B791C11"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6 (55%)</w:t>
            </w:r>
          </w:p>
        </w:tc>
        <w:tc>
          <w:tcPr>
            <w:tcW w:w="1805" w:type="dxa"/>
            <w:noWrap/>
            <w:vAlign w:val="center"/>
            <w:hideMark/>
          </w:tcPr>
          <w:p w14:paraId="1B850C5C" w14:textId="4B52752E"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25 (96%)</w:t>
            </w:r>
          </w:p>
        </w:tc>
        <w:tc>
          <w:tcPr>
            <w:tcW w:w="1806" w:type="dxa"/>
            <w:noWrap/>
            <w:vAlign w:val="center"/>
            <w:hideMark/>
          </w:tcPr>
          <w:p w14:paraId="5A37D42D" w14:textId="313EA626"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0.05</w:t>
            </w:r>
          </w:p>
        </w:tc>
        <w:tc>
          <w:tcPr>
            <w:tcW w:w="1805" w:type="dxa"/>
            <w:noWrap/>
            <w:vAlign w:val="center"/>
            <w:hideMark/>
          </w:tcPr>
          <w:p w14:paraId="2AD3A960" w14:textId="754E0B9A"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0.00-0.49</w:t>
            </w:r>
          </w:p>
        </w:tc>
        <w:tc>
          <w:tcPr>
            <w:tcW w:w="1805" w:type="dxa"/>
            <w:vAlign w:val="center"/>
          </w:tcPr>
          <w:p w14:paraId="64F08F7D" w14:textId="403AC297" w:rsidR="00DE24DB" w:rsidRPr="00FC43C5" w:rsidRDefault="00DE24DB" w:rsidP="00133961">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0.005</w:t>
            </w:r>
          </w:p>
        </w:tc>
      </w:tr>
      <w:tr w:rsidR="00DE24DB" w:rsidRPr="00FC43C5" w14:paraId="5A703656" w14:textId="77777777" w:rsidTr="00133961">
        <w:trPr>
          <w:trHeight w:val="280"/>
        </w:trPr>
        <w:tc>
          <w:tcPr>
            <w:tcW w:w="4860" w:type="dxa"/>
            <w:noWrap/>
            <w:vAlign w:val="center"/>
          </w:tcPr>
          <w:p w14:paraId="541FDE78" w14:textId="454467B6" w:rsidR="00DE24DB" w:rsidRPr="00FC43C5" w:rsidRDefault="00DE24DB" w:rsidP="009518A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lastRenderedPageBreak/>
              <w:t>Total parenteral nutrition = yes (%)</w:t>
            </w:r>
          </w:p>
        </w:tc>
        <w:tc>
          <w:tcPr>
            <w:tcW w:w="1805" w:type="dxa"/>
            <w:noWrap/>
            <w:vAlign w:val="center"/>
          </w:tcPr>
          <w:p w14:paraId="65A672F7" w14:textId="6B339073"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 (100%)</w:t>
            </w:r>
          </w:p>
        </w:tc>
        <w:tc>
          <w:tcPr>
            <w:tcW w:w="1805" w:type="dxa"/>
            <w:noWrap/>
            <w:vAlign w:val="center"/>
          </w:tcPr>
          <w:p w14:paraId="3D95519C" w14:textId="1EFE0AE2"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21 (81%)</w:t>
            </w:r>
          </w:p>
        </w:tc>
        <w:tc>
          <w:tcPr>
            <w:tcW w:w="1806" w:type="dxa"/>
            <w:noWrap/>
            <w:vAlign w:val="center"/>
          </w:tcPr>
          <w:p w14:paraId="2468AC62" w14:textId="4065442B"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tcPr>
          <w:p w14:paraId="5EA9F5DB" w14:textId="5A38E339"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3949ACA0" w14:textId="53C3A73A"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2C3B6CC8" w14:textId="011D44B3" w:rsidTr="001C1706">
        <w:trPr>
          <w:trHeight w:val="280"/>
        </w:trPr>
        <w:tc>
          <w:tcPr>
            <w:tcW w:w="4860" w:type="dxa"/>
            <w:noWrap/>
            <w:vAlign w:val="center"/>
          </w:tcPr>
          <w:p w14:paraId="484AC966" w14:textId="751D152A" w:rsidR="00DE24DB" w:rsidRPr="00FC43C5" w:rsidRDefault="00DE24DB" w:rsidP="009518A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Peripheral venous catheter = yes (%)</w:t>
            </w:r>
          </w:p>
        </w:tc>
        <w:tc>
          <w:tcPr>
            <w:tcW w:w="1805" w:type="dxa"/>
            <w:noWrap/>
            <w:vAlign w:val="center"/>
          </w:tcPr>
          <w:p w14:paraId="781D30E2" w14:textId="66DE0DEC"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10 (91%)</w:t>
            </w:r>
          </w:p>
        </w:tc>
        <w:tc>
          <w:tcPr>
            <w:tcW w:w="1805" w:type="dxa"/>
            <w:noWrap/>
            <w:vAlign w:val="center"/>
          </w:tcPr>
          <w:p w14:paraId="12E93E59" w14:textId="0FA750B1"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18 (69%)</w:t>
            </w:r>
          </w:p>
        </w:tc>
        <w:tc>
          <w:tcPr>
            <w:tcW w:w="1806" w:type="dxa"/>
            <w:noWrap/>
            <w:vAlign w:val="center"/>
          </w:tcPr>
          <w:p w14:paraId="1909938F" w14:textId="4C2E5EE1"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4.44</w:t>
            </w:r>
          </w:p>
        </w:tc>
        <w:tc>
          <w:tcPr>
            <w:tcW w:w="1805" w:type="dxa"/>
            <w:noWrap/>
            <w:vAlign w:val="center"/>
          </w:tcPr>
          <w:p w14:paraId="1F6E8368" w14:textId="1022944E"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0.48-40.84</w:t>
            </w:r>
          </w:p>
        </w:tc>
        <w:tc>
          <w:tcPr>
            <w:tcW w:w="1805" w:type="dxa"/>
            <w:vAlign w:val="center"/>
          </w:tcPr>
          <w:p w14:paraId="320C8651" w14:textId="32DBC8F0"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79BBC51C" w14:textId="0B523247" w:rsidTr="001C1706">
        <w:trPr>
          <w:trHeight w:val="280"/>
        </w:trPr>
        <w:tc>
          <w:tcPr>
            <w:tcW w:w="4860" w:type="dxa"/>
            <w:noWrap/>
            <w:vAlign w:val="center"/>
            <w:hideMark/>
          </w:tcPr>
          <w:p w14:paraId="3E5BEC3A" w14:textId="23FC53BC" w:rsidR="00DE24DB" w:rsidRPr="00FC43C5" w:rsidRDefault="00DE24DB" w:rsidP="009518A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Central venous catheter = yes (%)</w:t>
            </w:r>
          </w:p>
        </w:tc>
        <w:tc>
          <w:tcPr>
            <w:tcW w:w="1805" w:type="dxa"/>
            <w:noWrap/>
            <w:vAlign w:val="center"/>
            <w:hideMark/>
          </w:tcPr>
          <w:p w14:paraId="678232D4" w14:textId="03E8CFEE"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 (100%)</w:t>
            </w:r>
          </w:p>
        </w:tc>
        <w:tc>
          <w:tcPr>
            <w:tcW w:w="1805" w:type="dxa"/>
            <w:noWrap/>
            <w:vAlign w:val="center"/>
            <w:hideMark/>
          </w:tcPr>
          <w:p w14:paraId="08E4CCFB" w14:textId="0D2E18DD"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23 (88%)</w:t>
            </w:r>
          </w:p>
        </w:tc>
        <w:tc>
          <w:tcPr>
            <w:tcW w:w="1806" w:type="dxa"/>
            <w:noWrap/>
            <w:vAlign w:val="center"/>
            <w:hideMark/>
          </w:tcPr>
          <w:p w14:paraId="4C98641E" w14:textId="10AC904A"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hideMark/>
          </w:tcPr>
          <w:p w14:paraId="0D45AFD0" w14:textId="6C2B6331"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2E84957A" w14:textId="44F7212B"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49832943" w14:textId="48009BFB" w:rsidTr="001C1706">
        <w:trPr>
          <w:trHeight w:val="280"/>
        </w:trPr>
        <w:tc>
          <w:tcPr>
            <w:tcW w:w="4860" w:type="dxa"/>
            <w:noWrap/>
            <w:vAlign w:val="center"/>
            <w:hideMark/>
          </w:tcPr>
          <w:p w14:paraId="4A7D1B9B" w14:textId="071303C2" w:rsidR="00DE24DB" w:rsidRPr="00FC43C5" w:rsidRDefault="00DE24DB" w:rsidP="009518A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Umbilical catheter = yes (%)</w:t>
            </w:r>
          </w:p>
        </w:tc>
        <w:tc>
          <w:tcPr>
            <w:tcW w:w="1805" w:type="dxa"/>
            <w:noWrap/>
            <w:vAlign w:val="center"/>
            <w:hideMark/>
          </w:tcPr>
          <w:p w14:paraId="3C98DE34" w14:textId="00D46D69"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 (9%)</w:t>
            </w:r>
          </w:p>
        </w:tc>
        <w:tc>
          <w:tcPr>
            <w:tcW w:w="1805" w:type="dxa"/>
            <w:noWrap/>
            <w:vAlign w:val="center"/>
            <w:hideMark/>
          </w:tcPr>
          <w:p w14:paraId="4F914303" w14:textId="7C943DA7"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26 (100%)</w:t>
            </w:r>
          </w:p>
        </w:tc>
        <w:tc>
          <w:tcPr>
            <w:tcW w:w="1806" w:type="dxa"/>
            <w:noWrap/>
            <w:vAlign w:val="center"/>
            <w:hideMark/>
          </w:tcPr>
          <w:p w14:paraId="12C4A6EE" w14:textId="625D839A"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hideMark/>
          </w:tcPr>
          <w:p w14:paraId="1D44ADF6" w14:textId="4EF33FE8"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28238696" w14:textId="20657308"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30422E84" w14:textId="1CA1C713" w:rsidTr="001C1706">
        <w:trPr>
          <w:trHeight w:val="280"/>
        </w:trPr>
        <w:tc>
          <w:tcPr>
            <w:tcW w:w="4860" w:type="dxa"/>
            <w:noWrap/>
            <w:vAlign w:val="center"/>
            <w:hideMark/>
          </w:tcPr>
          <w:p w14:paraId="5EB48CC3" w14:textId="23362AA1" w:rsidR="00DE24DB" w:rsidRPr="00FC43C5" w:rsidRDefault="00DE24DB" w:rsidP="009518A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Surgery = yes (%)</w:t>
            </w:r>
          </w:p>
        </w:tc>
        <w:tc>
          <w:tcPr>
            <w:tcW w:w="1805" w:type="dxa"/>
            <w:noWrap/>
            <w:vAlign w:val="center"/>
            <w:hideMark/>
          </w:tcPr>
          <w:p w14:paraId="4F88F499" w14:textId="6761F6EB"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3 (27%)</w:t>
            </w:r>
          </w:p>
        </w:tc>
        <w:tc>
          <w:tcPr>
            <w:tcW w:w="1805" w:type="dxa"/>
            <w:noWrap/>
            <w:vAlign w:val="center"/>
            <w:hideMark/>
          </w:tcPr>
          <w:p w14:paraId="541C70AA" w14:textId="2900609D"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10 (38%)</w:t>
            </w:r>
          </w:p>
        </w:tc>
        <w:tc>
          <w:tcPr>
            <w:tcW w:w="1806" w:type="dxa"/>
            <w:noWrap/>
            <w:vAlign w:val="center"/>
            <w:hideMark/>
          </w:tcPr>
          <w:p w14:paraId="621B16DA" w14:textId="75D0A30B"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0.60</w:t>
            </w:r>
          </w:p>
        </w:tc>
        <w:tc>
          <w:tcPr>
            <w:tcW w:w="1805" w:type="dxa"/>
            <w:noWrap/>
            <w:vAlign w:val="center"/>
            <w:hideMark/>
          </w:tcPr>
          <w:p w14:paraId="44489504" w14:textId="4220800D"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0.13-2.81</w:t>
            </w:r>
          </w:p>
        </w:tc>
        <w:tc>
          <w:tcPr>
            <w:tcW w:w="1805" w:type="dxa"/>
            <w:vAlign w:val="center"/>
          </w:tcPr>
          <w:p w14:paraId="688D7E59" w14:textId="0ABDEE46"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0B289E95" w14:textId="24E659FA" w:rsidTr="001C1706">
        <w:trPr>
          <w:trHeight w:val="280"/>
        </w:trPr>
        <w:tc>
          <w:tcPr>
            <w:tcW w:w="4860" w:type="dxa"/>
            <w:noWrap/>
            <w:vAlign w:val="center"/>
            <w:hideMark/>
          </w:tcPr>
          <w:p w14:paraId="55ED0370" w14:textId="1EB15706" w:rsidR="00DE24DB" w:rsidRPr="00FC43C5" w:rsidRDefault="00DE24DB" w:rsidP="009518A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Respirator = yes (%)</w:t>
            </w:r>
          </w:p>
        </w:tc>
        <w:tc>
          <w:tcPr>
            <w:tcW w:w="1805" w:type="dxa"/>
            <w:noWrap/>
            <w:vAlign w:val="center"/>
            <w:hideMark/>
          </w:tcPr>
          <w:p w14:paraId="00A9D09C" w14:textId="64AF1268"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 (100%)</w:t>
            </w:r>
          </w:p>
        </w:tc>
        <w:tc>
          <w:tcPr>
            <w:tcW w:w="1805" w:type="dxa"/>
            <w:noWrap/>
            <w:vAlign w:val="center"/>
            <w:hideMark/>
          </w:tcPr>
          <w:p w14:paraId="0DB499E3" w14:textId="6B4CFC6D"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23 (88%)</w:t>
            </w:r>
          </w:p>
        </w:tc>
        <w:tc>
          <w:tcPr>
            <w:tcW w:w="1806" w:type="dxa"/>
            <w:noWrap/>
            <w:vAlign w:val="center"/>
            <w:hideMark/>
          </w:tcPr>
          <w:p w14:paraId="64804932" w14:textId="695102D2"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hideMark/>
          </w:tcPr>
          <w:p w14:paraId="2884DD31" w14:textId="0E65DD64"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69B75AE8" w14:textId="785745FA"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2DB15C7A" w14:textId="62A1E44A" w:rsidTr="001C1706">
        <w:trPr>
          <w:trHeight w:val="280"/>
        </w:trPr>
        <w:tc>
          <w:tcPr>
            <w:tcW w:w="4860" w:type="dxa"/>
            <w:noWrap/>
            <w:vAlign w:val="center"/>
            <w:hideMark/>
          </w:tcPr>
          <w:p w14:paraId="20A35213" w14:textId="5B898DB5" w:rsidR="00DE24DB" w:rsidRPr="00FC43C5" w:rsidRDefault="00DE24DB" w:rsidP="009518A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NPPV = yes (%)</w:t>
            </w:r>
          </w:p>
        </w:tc>
        <w:tc>
          <w:tcPr>
            <w:tcW w:w="1805" w:type="dxa"/>
            <w:noWrap/>
            <w:vAlign w:val="center"/>
            <w:hideMark/>
          </w:tcPr>
          <w:p w14:paraId="3490660A" w14:textId="07DA15D5"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4 (36%)</w:t>
            </w:r>
          </w:p>
        </w:tc>
        <w:tc>
          <w:tcPr>
            <w:tcW w:w="1805" w:type="dxa"/>
            <w:noWrap/>
            <w:vAlign w:val="center"/>
            <w:hideMark/>
          </w:tcPr>
          <w:p w14:paraId="22A75DE2" w14:textId="715E9D0C"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22 (85%)</w:t>
            </w:r>
          </w:p>
        </w:tc>
        <w:tc>
          <w:tcPr>
            <w:tcW w:w="1806" w:type="dxa"/>
            <w:noWrap/>
            <w:vAlign w:val="center"/>
            <w:hideMark/>
          </w:tcPr>
          <w:p w14:paraId="09C96F30" w14:textId="1E50D147"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0.10</w:t>
            </w:r>
          </w:p>
        </w:tc>
        <w:tc>
          <w:tcPr>
            <w:tcW w:w="1805" w:type="dxa"/>
            <w:noWrap/>
            <w:vAlign w:val="center"/>
            <w:hideMark/>
          </w:tcPr>
          <w:p w14:paraId="0FBB2DE0" w14:textId="50E6751B"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0.02-0.53</w:t>
            </w:r>
          </w:p>
        </w:tc>
        <w:tc>
          <w:tcPr>
            <w:tcW w:w="1805" w:type="dxa"/>
            <w:vAlign w:val="center"/>
          </w:tcPr>
          <w:p w14:paraId="15F0D09F" w14:textId="6A56F4E9"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0.006</w:t>
            </w:r>
          </w:p>
        </w:tc>
      </w:tr>
      <w:tr w:rsidR="00DE24DB" w:rsidRPr="00FC43C5" w14:paraId="020875FC" w14:textId="178B0999" w:rsidTr="001C1706">
        <w:trPr>
          <w:trHeight w:val="280"/>
        </w:trPr>
        <w:tc>
          <w:tcPr>
            <w:tcW w:w="4860" w:type="dxa"/>
            <w:noWrap/>
            <w:vAlign w:val="center"/>
            <w:hideMark/>
          </w:tcPr>
          <w:p w14:paraId="3C702800" w14:textId="503A405D" w:rsidR="00DE24DB" w:rsidRPr="00FC43C5" w:rsidRDefault="00DE24DB" w:rsidP="009518A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X-ray = yes (%)</w:t>
            </w:r>
          </w:p>
        </w:tc>
        <w:tc>
          <w:tcPr>
            <w:tcW w:w="1805" w:type="dxa"/>
            <w:noWrap/>
            <w:vAlign w:val="center"/>
            <w:hideMark/>
          </w:tcPr>
          <w:p w14:paraId="35BB5F4B" w14:textId="2D10EC88"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 (100%)</w:t>
            </w:r>
          </w:p>
        </w:tc>
        <w:tc>
          <w:tcPr>
            <w:tcW w:w="1805" w:type="dxa"/>
            <w:noWrap/>
            <w:vAlign w:val="center"/>
            <w:hideMark/>
          </w:tcPr>
          <w:p w14:paraId="70438B2C" w14:textId="563CC26A"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25 (96%)</w:t>
            </w:r>
          </w:p>
        </w:tc>
        <w:tc>
          <w:tcPr>
            <w:tcW w:w="1806" w:type="dxa"/>
            <w:noWrap/>
            <w:vAlign w:val="center"/>
            <w:hideMark/>
          </w:tcPr>
          <w:p w14:paraId="6A3F0966" w14:textId="0ADBDDEB"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hideMark/>
          </w:tcPr>
          <w:p w14:paraId="0F5875FC" w14:textId="524EF232"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164A995F" w14:textId="6E29A665"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4E2791F4" w14:textId="1DE8AEC1" w:rsidTr="001C1706">
        <w:trPr>
          <w:trHeight w:val="280"/>
        </w:trPr>
        <w:tc>
          <w:tcPr>
            <w:tcW w:w="4860" w:type="dxa"/>
            <w:noWrap/>
            <w:vAlign w:val="center"/>
            <w:hideMark/>
          </w:tcPr>
          <w:p w14:paraId="7DDC1130" w14:textId="35CC7FF2" w:rsidR="00DE24DB" w:rsidRPr="00FC43C5" w:rsidRDefault="00DE24DB" w:rsidP="009518A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Ultrasound = yes (%)</w:t>
            </w:r>
          </w:p>
        </w:tc>
        <w:tc>
          <w:tcPr>
            <w:tcW w:w="1805" w:type="dxa"/>
            <w:noWrap/>
            <w:vAlign w:val="center"/>
            <w:hideMark/>
          </w:tcPr>
          <w:p w14:paraId="7E8C6D06" w14:textId="3C0FBB67"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 (100%)</w:t>
            </w:r>
          </w:p>
        </w:tc>
        <w:tc>
          <w:tcPr>
            <w:tcW w:w="1805" w:type="dxa"/>
            <w:noWrap/>
            <w:vAlign w:val="center"/>
            <w:hideMark/>
          </w:tcPr>
          <w:p w14:paraId="6C3F727E" w14:textId="2872F7FB"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26 (100%)</w:t>
            </w:r>
          </w:p>
        </w:tc>
        <w:tc>
          <w:tcPr>
            <w:tcW w:w="1806" w:type="dxa"/>
            <w:noWrap/>
            <w:vAlign w:val="center"/>
            <w:hideMark/>
          </w:tcPr>
          <w:p w14:paraId="59183A97" w14:textId="6117169D"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hideMark/>
          </w:tcPr>
          <w:p w14:paraId="118CA593" w14:textId="12B512FE"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2E6FAA69" w14:textId="52800ABB" w:rsidR="00DE24DB" w:rsidRPr="00FC43C5" w:rsidRDefault="00DE24DB" w:rsidP="009518A3">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689AC449" w14:textId="77777777" w:rsidTr="00133961">
        <w:trPr>
          <w:trHeight w:val="280"/>
        </w:trPr>
        <w:tc>
          <w:tcPr>
            <w:tcW w:w="4860" w:type="dxa"/>
            <w:noWrap/>
            <w:vAlign w:val="center"/>
          </w:tcPr>
          <w:p w14:paraId="106D85A4" w14:textId="10C22288" w:rsidR="00DE24DB" w:rsidRPr="00FC43C5" w:rsidRDefault="00DE24DB" w:rsidP="00DE24DB">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Antibiotics during admission = yes (%)</w:t>
            </w:r>
          </w:p>
        </w:tc>
        <w:tc>
          <w:tcPr>
            <w:tcW w:w="1805" w:type="dxa"/>
            <w:noWrap/>
            <w:vAlign w:val="center"/>
          </w:tcPr>
          <w:p w14:paraId="54ACA89D" w14:textId="4082BF4E" w:rsidR="00DE24DB" w:rsidRPr="00FC43C5" w:rsidRDefault="00DE24DB" w:rsidP="00DE24DB">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 (100%)</w:t>
            </w:r>
          </w:p>
        </w:tc>
        <w:tc>
          <w:tcPr>
            <w:tcW w:w="1805" w:type="dxa"/>
            <w:noWrap/>
            <w:vAlign w:val="center"/>
          </w:tcPr>
          <w:p w14:paraId="7ECD662C" w14:textId="44056176" w:rsidR="00DE24DB" w:rsidRPr="00FC43C5" w:rsidRDefault="00DE24DB" w:rsidP="00DE24DB">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21 (81%)</w:t>
            </w:r>
          </w:p>
        </w:tc>
        <w:tc>
          <w:tcPr>
            <w:tcW w:w="1806" w:type="dxa"/>
            <w:noWrap/>
            <w:vAlign w:val="center"/>
          </w:tcPr>
          <w:p w14:paraId="28D5AFB4" w14:textId="3EF4AF07" w:rsidR="00DE24DB" w:rsidRPr="00FC43C5" w:rsidRDefault="00DE24DB" w:rsidP="00DE24DB">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tcPr>
          <w:p w14:paraId="28C260B0" w14:textId="22E47E8D" w:rsidR="00DE24DB" w:rsidRPr="00FC43C5" w:rsidRDefault="00DE24DB" w:rsidP="00DE24DB">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440400AD" w14:textId="194D1D8A" w:rsidR="00DE24DB" w:rsidRPr="00FC43C5" w:rsidRDefault="00DE24DB" w:rsidP="00DE24DB">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r w:rsidR="00DE24DB" w:rsidRPr="00FC43C5" w14:paraId="2B04DC23" w14:textId="251ACAE8" w:rsidTr="001C1706">
        <w:trPr>
          <w:trHeight w:val="280"/>
        </w:trPr>
        <w:tc>
          <w:tcPr>
            <w:tcW w:w="4860" w:type="dxa"/>
            <w:noWrap/>
            <w:vAlign w:val="center"/>
          </w:tcPr>
          <w:p w14:paraId="171D63E3" w14:textId="208AD5B3" w:rsidR="00DE24DB" w:rsidRPr="00FC43C5" w:rsidRDefault="00DE24DB" w:rsidP="00DE24DB">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Antifungal prophylaxis = yes (%)</w:t>
            </w:r>
          </w:p>
        </w:tc>
        <w:tc>
          <w:tcPr>
            <w:tcW w:w="1805" w:type="dxa"/>
            <w:noWrap/>
            <w:vAlign w:val="center"/>
          </w:tcPr>
          <w:p w14:paraId="5D8DB469" w14:textId="0934EA5B"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 (0%)</w:t>
            </w:r>
          </w:p>
        </w:tc>
        <w:tc>
          <w:tcPr>
            <w:tcW w:w="1805" w:type="dxa"/>
            <w:noWrap/>
            <w:vAlign w:val="center"/>
          </w:tcPr>
          <w:p w14:paraId="204EFBC9" w14:textId="4E0F4C9F"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 (0%)</w:t>
            </w:r>
          </w:p>
        </w:tc>
        <w:tc>
          <w:tcPr>
            <w:tcW w:w="1806" w:type="dxa"/>
            <w:noWrap/>
            <w:vAlign w:val="center"/>
          </w:tcPr>
          <w:p w14:paraId="111E071E" w14:textId="3BFB4601"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noWrap/>
            <w:vAlign w:val="center"/>
          </w:tcPr>
          <w:p w14:paraId="4803CD1C" w14:textId="31B970D3" w:rsidR="00DE24DB" w:rsidRPr="00FC43C5" w:rsidRDefault="00DE24DB"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NA</w:t>
            </w:r>
          </w:p>
        </w:tc>
        <w:tc>
          <w:tcPr>
            <w:tcW w:w="1805" w:type="dxa"/>
            <w:vAlign w:val="center"/>
          </w:tcPr>
          <w:p w14:paraId="2F135390" w14:textId="322A2E0A" w:rsidR="00DE24DB" w:rsidRPr="00FC43C5" w:rsidRDefault="00DE24DB" w:rsidP="00DE24DB">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&gt;0.05</w:t>
            </w:r>
          </w:p>
        </w:tc>
      </w:tr>
    </w:tbl>
    <w:p w14:paraId="200E2987" w14:textId="48C8AC0B" w:rsidR="00562CEB" w:rsidRPr="00FC43C5" w:rsidRDefault="00944EEA" w:rsidP="008C47FF">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 xml:space="preserve">Categorical </w:t>
      </w:r>
      <w:r w:rsidR="00823F19" w:rsidRPr="00FC43C5">
        <w:rPr>
          <w:rFonts w:ascii="Times New Roman" w:eastAsia="Yu Gothic" w:hAnsi="Times New Roman" w:cs="Times New Roman"/>
          <w:color w:val="000000"/>
          <w:kern w:val="0"/>
          <w:sz w:val="24"/>
          <w:szCs w:val="24"/>
        </w:rPr>
        <w:t>variables w</w:t>
      </w:r>
      <w:r w:rsidRPr="00FC43C5">
        <w:rPr>
          <w:rFonts w:ascii="Times New Roman" w:eastAsia="Yu Gothic" w:hAnsi="Times New Roman" w:cs="Times New Roman"/>
          <w:color w:val="000000"/>
          <w:kern w:val="0"/>
          <w:sz w:val="24"/>
          <w:szCs w:val="24"/>
        </w:rPr>
        <w:t>ere</w:t>
      </w:r>
      <w:r w:rsidR="00823F19" w:rsidRPr="00FC43C5">
        <w:rPr>
          <w:rFonts w:ascii="Times New Roman" w:eastAsia="Yu Gothic" w:hAnsi="Times New Roman" w:cs="Times New Roman"/>
          <w:color w:val="000000"/>
          <w:kern w:val="0"/>
          <w:sz w:val="24"/>
          <w:szCs w:val="24"/>
        </w:rPr>
        <w:t xml:space="preserve"> compared between cases and controls using </w:t>
      </w:r>
      <w:r w:rsidR="007357F2" w:rsidRPr="00FC43C5">
        <w:rPr>
          <w:rFonts w:ascii="Times New Roman" w:eastAsia="Yu Gothic" w:hAnsi="Times New Roman" w:cs="Times New Roman"/>
          <w:color w:val="000000"/>
          <w:kern w:val="0"/>
          <w:sz w:val="24"/>
          <w:szCs w:val="24"/>
        </w:rPr>
        <w:t>Fisher’s exact test</w:t>
      </w:r>
      <w:r w:rsidR="00823F19" w:rsidRPr="00FC43C5">
        <w:rPr>
          <w:rFonts w:ascii="Times New Roman" w:eastAsia="Yu Gothic" w:hAnsi="Times New Roman" w:cs="Times New Roman"/>
          <w:color w:val="000000"/>
          <w:kern w:val="0"/>
          <w:sz w:val="24"/>
          <w:szCs w:val="24"/>
        </w:rPr>
        <w:t>.</w:t>
      </w:r>
      <w:r w:rsidR="007357F2" w:rsidRPr="00FC43C5">
        <w:rPr>
          <w:rFonts w:ascii="Times New Roman" w:eastAsia="Yu Gothic" w:hAnsi="Times New Roman" w:cs="Times New Roman"/>
          <w:color w:val="000000"/>
          <w:kern w:val="0"/>
          <w:sz w:val="24"/>
          <w:szCs w:val="24"/>
        </w:rPr>
        <w:t xml:space="preserve"> </w:t>
      </w:r>
      <w:r w:rsidR="00B26F2D" w:rsidRPr="00FC43C5">
        <w:rPr>
          <w:rFonts w:ascii="Times New Roman" w:eastAsia="Yu Gothic" w:hAnsi="Times New Roman" w:cs="Times New Roman"/>
          <w:color w:val="000000"/>
          <w:kern w:val="0"/>
          <w:sz w:val="24"/>
          <w:szCs w:val="24"/>
        </w:rPr>
        <w:t>Analysis was performed using JMP Pro 16 statistical analysis software (SAS Institute, 2021).</w:t>
      </w:r>
    </w:p>
    <w:p w14:paraId="5F4742FD" w14:textId="62450F46" w:rsidR="00A46E95" w:rsidRPr="00FC43C5" w:rsidRDefault="00A46E95" w:rsidP="008C47FF">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lastRenderedPageBreak/>
        <w:t xml:space="preserve">Abbreviations: </w:t>
      </w:r>
      <w:proofErr w:type="gramStart"/>
      <w:r w:rsidRPr="00FC43C5">
        <w:rPr>
          <w:rFonts w:ascii="Times New Roman" w:eastAsia="Yu Gothic" w:hAnsi="Times New Roman" w:cs="Times New Roman"/>
          <w:color w:val="000000"/>
          <w:kern w:val="0"/>
          <w:sz w:val="24"/>
          <w:szCs w:val="24"/>
        </w:rPr>
        <w:t>OR,</w:t>
      </w:r>
      <w:proofErr w:type="gramEnd"/>
      <w:r w:rsidRPr="00FC43C5">
        <w:rPr>
          <w:rFonts w:ascii="Times New Roman" w:eastAsia="Yu Gothic" w:hAnsi="Times New Roman" w:cs="Times New Roman"/>
          <w:color w:val="000000"/>
          <w:kern w:val="0"/>
          <w:sz w:val="24"/>
          <w:szCs w:val="24"/>
        </w:rPr>
        <w:t xml:space="preserve"> odds ratio; CI, confidence interval; SD, standard deviation; </w:t>
      </w:r>
      <w:r w:rsidR="00133961" w:rsidRPr="00FC43C5">
        <w:rPr>
          <w:rFonts w:ascii="Times New Roman" w:eastAsia="Yu Gothic" w:hAnsi="Times New Roman" w:cs="Times New Roman"/>
          <w:color w:val="000000"/>
          <w:kern w:val="0"/>
          <w:sz w:val="24"/>
          <w:szCs w:val="24"/>
        </w:rPr>
        <w:t xml:space="preserve">NA, not applicable; </w:t>
      </w:r>
      <w:r w:rsidRPr="00FC43C5">
        <w:rPr>
          <w:rFonts w:ascii="Times New Roman" w:eastAsia="Yu Gothic" w:hAnsi="Times New Roman" w:cs="Times New Roman"/>
          <w:color w:val="000000"/>
          <w:kern w:val="0"/>
          <w:sz w:val="24"/>
          <w:szCs w:val="24"/>
        </w:rPr>
        <w:t>NPPV, non-invasive positive pressure ventilation.</w:t>
      </w:r>
    </w:p>
    <w:p w14:paraId="7F2FEC83" w14:textId="50CF90F5" w:rsidR="00DE24DB" w:rsidRPr="00FC43C5" w:rsidRDefault="00DE24DB">
      <w:pPr>
        <w:widowControl/>
        <w:jc w:val="lef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br w:type="page"/>
      </w:r>
    </w:p>
    <w:p w14:paraId="7AD070E6" w14:textId="3D7DC366" w:rsidR="00383023" w:rsidRPr="00FC43C5" w:rsidRDefault="00383023" w:rsidP="008C47FF">
      <w:pPr>
        <w:widowControl/>
        <w:spacing w:line="480" w:lineRule="auto"/>
        <w:rPr>
          <w:rFonts w:ascii="Times New Roman" w:eastAsia="Yu Gothic" w:hAnsi="Times New Roman" w:cs="Times New Roman"/>
          <w:b/>
          <w:bCs/>
          <w:color w:val="000000"/>
          <w:kern w:val="0"/>
          <w:sz w:val="24"/>
          <w:szCs w:val="24"/>
        </w:rPr>
      </w:pPr>
      <w:r w:rsidRPr="00FC43C5">
        <w:rPr>
          <w:rFonts w:ascii="Times New Roman" w:eastAsia="Yu Gothic" w:hAnsi="Times New Roman" w:cs="Times New Roman"/>
          <w:b/>
          <w:bCs/>
          <w:color w:val="000000"/>
          <w:kern w:val="0"/>
          <w:sz w:val="24"/>
          <w:szCs w:val="24"/>
        </w:rPr>
        <w:lastRenderedPageBreak/>
        <w:t xml:space="preserve">Supplementary </w:t>
      </w:r>
      <w:r w:rsidR="00B471CB" w:rsidRPr="00FC43C5">
        <w:rPr>
          <w:rFonts w:ascii="Times New Roman" w:eastAsia="Yu Gothic" w:hAnsi="Times New Roman" w:cs="Times New Roman"/>
          <w:b/>
          <w:bCs/>
          <w:color w:val="000000"/>
          <w:kern w:val="0"/>
          <w:sz w:val="24"/>
          <w:szCs w:val="24"/>
        </w:rPr>
        <w:t>T</w:t>
      </w:r>
      <w:r w:rsidRPr="00FC43C5">
        <w:rPr>
          <w:rFonts w:ascii="Times New Roman" w:eastAsia="Yu Gothic" w:hAnsi="Times New Roman" w:cs="Times New Roman"/>
          <w:b/>
          <w:bCs/>
          <w:color w:val="000000"/>
          <w:kern w:val="0"/>
          <w:sz w:val="24"/>
          <w:szCs w:val="24"/>
        </w:rPr>
        <w:t>able 3.</w:t>
      </w:r>
      <w:r w:rsidR="00B471CB" w:rsidRPr="00FC43C5">
        <w:rPr>
          <w:rFonts w:ascii="Times New Roman" w:eastAsia="Yu Gothic" w:hAnsi="Times New Roman" w:cs="Times New Roman"/>
          <w:b/>
          <w:bCs/>
          <w:color w:val="000000"/>
          <w:kern w:val="0"/>
          <w:sz w:val="24"/>
          <w:szCs w:val="24"/>
        </w:rPr>
        <w:t xml:space="preserve"> The incidence rates of invasive candidiasis caused by </w:t>
      </w:r>
      <w:r w:rsidR="00B471CB" w:rsidRPr="00FC43C5">
        <w:rPr>
          <w:rFonts w:ascii="Times New Roman" w:eastAsia="Yu Gothic" w:hAnsi="Times New Roman" w:cs="Times New Roman"/>
          <w:b/>
          <w:bCs/>
          <w:i/>
          <w:iCs/>
          <w:color w:val="000000"/>
          <w:kern w:val="0"/>
          <w:sz w:val="24"/>
          <w:szCs w:val="24"/>
        </w:rPr>
        <w:t>Candida</w:t>
      </w:r>
      <w:r w:rsidR="00B471CB" w:rsidRPr="00FC43C5">
        <w:rPr>
          <w:rFonts w:ascii="Times New Roman" w:eastAsia="Yu Gothic" w:hAnsi="Times New Roman" w:cs="Times New Roman"/>
          <w:b/>
          <w:bCs/>
          <w:color w:val="000000"/>
          <w:kern w:val="0"/>
          <w:sz w:val="24"/>
          <w:szCs w:val="24"/>
        </w:rPr>
        <w:t xml:space="preserve"> species other than fluconazole-resistant </w:t>
      </w:r>
      <w:r w:rsidR="00B471CB" w:rsidRPr="00FC43C5">
        <w:rPr>
          <w:rFonts w:ascii="Times New Roman" w:eastAsia="Yu Gothic" w:hAnsi="Times New Roman" w:cs="Times New Roman"/>
          <w:b/>
          <w:bCs/>
          <w:i/>
          <w:iCs/>
          <w:color w:val="000000"/>
          <w:kern w:val="0"/>
          <w:sz w:val="24"/>
          <w:szCs w:val="24"/>
        </w:rPr>
        <w:t xml:space="preserve">Candida </w:t>
      </w:r>
      <w:proofErr w:type="spellStart"/>
      <w:r w:rsidR="00B471CB" w:rsidRPr="00FC43C5">
        <w:rPr>
          <w:rFonts w:ascii="Times New Roman" w:eastAsia="Yu Gothic" w:hAnsi="Times New Roman" w:cs="Times New Roman"/>
          <w:b/>
          <w:bCs/>
          <w:i/>
          <w:iCs/>
          <w:color w:val="000000"/>
          <w:kern w:val="0"/>
          <w:sz w:val="24"/>
          <w:szCs w:val="24"/>
        </w:rPr>
        <w:t>parapsilosis</w:t>
      </w:r>
      <w:proofErr w:type="spellEnd"/>
      <w:r w:rsidR="00B471CB" w:rsidRPr="00FC43C5">
        <w:rPr>
          <w:rFonts w:ascii="Times New Roman" w:eastAsia="Yu Gothic" w:hAnsi="Times New Roman" w:cs="Times New Roman"/>
          <w:b/>
          <w:bCs/>
          <w:color w:val="000000"/>
          <w:kern w:val="0"/>
          <w:sz w:val="24"/>
          <w:szCs w:val="24"/>
        </w:rPr>
        <w:t>.</w:t>
      </w:r>
    </w:p>
    <w:tbl>
      <w:tblPr>
        <w:tblStyle w:val="ab"/>
        <w:tblW w:w="14879" w:type="dxa"/>
        <w:tblLayout w:type="fixed"/>
        <w:tblLook w:val="04A0" w:firstRow="1" w:lastRow="0" w:firstColumn="1" w:lastColumn="0" w:noHBand="0" w:noVBand="1"/>
      </w:tblPr>
      <w:tblGrid>
        <w:gridCol w:w="1129"/>
        <w:gridCol w:w="2127"/>
        <w:gridCol w:w="1949"/>
        <w:gridCol w:w="1949"/>
        <w:gridCol w:w="1949"/>
        <w:gridCol w:w="1949"/>
        <w:gridCol w:w="1913"/>
        <w:gridCol w:w="1914"/>
      </w:tblGrid>
      <w:tr w:rsidR="00B471CB" w:rsidRPr="00FC43C5" w14:paraId="0A077CDF" w14:textId="77777777" w:rsidTr="001C1706">
        <w:trPr>
          <w:trHeight w:val="320"/>
        </w:trPr>
        <w:tc>
          <w:tcPr>
            <w:tcW w:w="3256" w:type="dxa"/>
            <w:gridSpan w:val="2"/>
            <w:vMerge w:val="restart"/>
            <w:noWrap/>
            <w:hideMark/>
          </w:tcPr>
          <w:p w14:paraId="2DE36D21"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p>
        </w:tc>
        <w:tc>
          <w:tcPr>
            <w:tcW w:w="7796" w:type="dxa"/>
            <w:gridSpan w:val="4"/>
            <w:noWrap/>
            <w:hideMark/>
          </w:tcPr>
          <w:p w14:paraId="08DE4AFB" w14:textId="73F73CD8" w:rsidR="00383023" w:rsidRPr="00FC43C5" w:rsidRDefault="008F6F35" w:rsidP="001C1706">
            <w:pPr>
              <w:widowControl/>
              <w:spacing w:line="480" w:lineRule="auto"/>
              <w:jc w:val="center"/>
              <w:rPr>
                <w:rFonts w:ascii="Times New Roman" w:eastAsia="Yu Gothic" w:hAnsi="Times New Roman" w:cs="Times New Roman"/>
                <w:color w:val="000000"/>
                <w:kern w:val="0"/>
                <w:sz w:val="24"/>
                <w:szCs w:val="24"/>
              </w:rPr>
            </w:pPr>
            <w:r>
              <w:rPr>
                <w:rFonts w:ascii="Times New Roman" w:eastAsia="Yu Gothic" w:hAnsi="Times New Roman" w:cs="Times New Roman"/>
                <w:color w:val="000000"/>
                <w:kern w:val="0"/>
                <w:sz w:val="24"/>
                <w:szCs w:val="24"/>
              </w:rPr>
              <w:t>Before the cluster</w:t>
            </w:r>
          </w:p>
        </w:tc>
        <w:tc>
          <w:tcPr>
            <w:tcW w:w="1913" w:type="dxa"/>
            <w:noWrap/>
            <w:hideMark/>
          </w:tcPr>
          <w:p w14:paraId="52EF374E" w14:textId="63A30386" w:rsidR="00383023" w:rsidRPr="00FC43C5" w:rsidRDefault="00383023" w:rsidP="001C1706">
            <w:pPr>
              <w:widowControl/>
              <w:spacing w:line="480" w:lineRule="auto"/>
              <w:jc w:val="center"/>
              <w:rPr>
                <w:rFonts w:ascii="Times New Roman" w:eastAsia="Yu Gothic" w:hAnsi="Times New Roman" w:cs="Times New Roman"/>
                <w:color w:val="000000"/>
                <w:kern w:val="0"/>
                <w:sz w:val="24"/>
                <w:szCs w:val="24"/>
              </w:rPr>
            </w:pPr>
            <w:r w:rsidRPr="008F6F35">
              <w:rPr>
                <w:rFonts w:ascii="Times New Roman" w:eastAsia="Yu Gothic" w:hAnsi="Times New Roman" w:cs="Times New Roman"/>
                <w:color w:val="000000"/>
                <w:kern w:val="0"/>
                <w:sz w:val="22"/>
              </w:rPr>
              <w:t xml:space="preserve">During the </w:t>
            </w:r>
            <w:r w:rsidR="008F6F35" w:rsidRPr="008F6F35">
              <w:rPr>
                <w:rFonts w:ascii="Times New Roman" w:eastAsia="Yu Gothic" w:hAnsi="Times New Roman" w:cs="Times New Roman"/>
                <w:color w:val="000000"/>
                <w:kern w:val="0"/>
                <w:sz w:val="22"/>
              </w:rPr>
              <w:t>clu</w:t>
            </w:r>
            <w:r w:rsidR="008F6F35">
              <w:rPr>
                <w:rFonts w:ascii="Times New Roman" w:eastAsia="Yu Gothic" w:hAnsi="Times New Roman" w:cs="Times New Roman"/>
                <w:color w:val="000000"/>
                <w:kern w:val="0"/>
                <w:sz w:val="22"/>
              </w:rPr>
              <w:t>s</w:t>
            </w:r>
            <w:r w:rsidR="008F6F35" w:rsidRPr="008F6F35">
              <w:rPr>
                <w:rFonts w:ascii="Times New Roman" w:eastAsia="Yu Gothic" w:hAnsi="Times New Roman" w:cs="Times New Roman"/>
                <w:color w:val="000000"/>
                <w:kern w:val="0"/>
                <w:sz w:val="22"/>
              </w:rPr>
              <w:t>ter</w:t>
            </w:r>
          </w:p>
        </w:tc>
        <w:tc>
          <w:tcPr>
            <w:tcW w:w="1914" w:type="dxa"/>
            <w:noWrap/>
            <w:hideMark/>
          </w:tcPr>
          <w:p w14:paraId="3E29870C" w14:textId="508D1085" w:rsidR="00383023" w:rsidRPr="00FC43C5" w:rsidRDefault="008F6F35" w:rsidP="001C1706">
            <w:pPr>
              <w:widowControl/>
              <w:spacing w:line="480" w:lineRule="auto"/>
              <w:jc w:val="center"/>
              <w:rPr>
                <w:rFonts w:ascii="Times New Roman" w:eastAsia="Yu Gothic" w:hAnsi="Times New Roman" w:cs="Times New Roman"/>
                <w:color w:val="000000"/>
                <w:kern w:val="0"/>
                <w:sz w:val="24"/>
                <w:szCs w:val="24"/>
              </w:rPr>
            </w:pPr>
            <w:r>
              <w:rPr>
                <w:rFonts w:ascii="Times New Roman" w:eastAsia="Yu Gothic" w:hAnsi="Times New Roman" w:cs="Times New Roman"/>
                <w:color w:val="000000"/>
                <w:kern w:val="0"/>
                <w:sz w:val="24"/>
                <w:szCs w:val="24"/>
              </w:rPr>
              <w:t>After the cluster</w:t>
            </w:r>
          </w:p>
        </w:tc>
      </w:tr>
      <w:tr w:rsidR="00202D6A" w:rsidRPr="00FC43C5" w14:paraId="67864A54" w14:textId="77777777" w:rsidTr="001C1706">
        <w:trPr>
          <w:trHeight w:val="1020"/>
        </w:trPr>
        <w:tc>
          <w:tcPr>
            <w:tcW w:w="3256" w:type="dxa"/>
            <w:gridSpan w:val="2"/>
            <w:vMerge/>
            <w:hideMark/>
          </w:tcPr>
          <w:p w14:paraId="4E33AD79"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p>
        </w:tc>
        <w:tc>
          <w:tcPr>
            <w:tcW w:w="1949" w:type="dxa"/>
            <w:hideMark/>
          </w:tcPr>
          <w:p w14:paraId="2F92D28D" w14:textId="58048172" w:rsidR="00383023" w:rsidRPr="00FC43C5" w:rsidRDefault="00383023"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April 2015 to</w:t>
            </w:r>
            <w:r w:rsidRPr="00FC43C5">
              <w:rPr>
                <w:rFonts w:ascii="Times New Roman" w:eastAsia="Yu Gothic" w:hAnsi="Times New Roman" w:cs="Times New Roman"/>
                <w:color w:val="000000"/>
                <w:kern w:val="0"/>
                <w:sz w:val="24"/>
                <w:szCs w:val="24"/>
              </w:rPr>
              <w:br/>
              <w:t>March 2016</w:t>
            </w:r>
          </w:p>
        </w:tc>
        <w:tc>
          <w:tcPr>
            <w:tcW w:w="1949" w:type="dxa"/>
            <w:hideMark/>
          </w:tcPr>
          <w:p w14:paraId="2EA42BAA" w14:textId="0D0ABCFA" w:rsidR="00383023" w:rsidRPr="00FC43C5" w:rsidRDefault="00383023"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April 2016 to</w:t>
            </w:r>
            <w:r w:rsidRPr="00FC43C5">
              <w:rPr>
                <w:rFonts w:ascii="Times New Roman" w:eastAsia="Yu Gothic" w:hAnsi="Times New Roman" w:cs="Times New Roman"/>
                <w:color w:val="000000"/>
                <w:kern w:val="0"/>
                <w:sz w:val="24"/>
                <w:szCs w:val="24"/>
              </w:rPr>
              <w:br/>
              <w:t>March 2017</w:t>
            </w:r>
          </w:p>
        </w:tc>
        <w:tc>
          <w:tcPr>
            <w:tcW w:w="1949" w:type="dxa"/>
            <w:hideMark/>
          </w:tcPr>
          <w:p w14:paraId="6B2BD453" w14:textId="717BD002" w:rsidR="00383023" w:rsidRPr="00FC43C5" w:rsidRDefault="00383023"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April 2017 to</w:t>
            </w:r>
            <w:r w:rsidRPr="00FC43C5">
              <w:rPr>
                <w:rFonts w:ascii="Times New Roman" w:eastAsia="Yu Gothic" w:hAnsi="Times New Roman" w:cs="Times New Roman"/>
                <w:color w:val="000000"/>
                <w:kern w:val="0"/>
                <w:sz w:val="24"/>
                <w:szCs w:val="24"/>
              </w:rPr>
              <w:br/>
              <w:t>March 2018</w:t>
            </w:r>
          </w:p>
        </w:tc>
        <w:tc>
          <w:tcPr>
            <w:tcW w:w="1949" w:type="dxa"/>
            <w:hideMark/>
          </w:tcPr>
          <w:p w14:paraId="0B7D5D81" w14:textId="5A6FE8D5" w:rsidR="00383023" w:rsidRPr="00FC43C5" w:rsidRDefault="00383023"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April 2018 to</w:t>
            </w:r>
            <w:r w:rsidRPr="00FC43C5">
              <w:rPr>
                <w:rFonts w:ascii="Times New Roman" w:eastAsia="Yu Gothic" w:hAnsi="Times New Roman" w:cs="Times New Roman"/>
                <w:color w:val="000000"/>
                <w:kern w:val="0"/>
                <w:sz w:val="24"/>
                <w:szCs w:val="24"/>
              </w:rPr>
              <w:br/>
              <w:t>March 2019</w:t>
            </w:r>
          </w:p>
        </w:tc>
        <w:tc>
          <w:tcPr>
            <w:tcW w:w="1913" w:type="dxa"/>
            <w:hideMark/>
          </w:tcPr>
          <w:p w14:paraId="6378E02C" w14:textId="2821EFF5" w:rsidR="00383023" w:rsidRPr="00FC43C5" w:rsidRDefault="00383023"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April 2019 to</w:t>
            </w:r>
            <w:r w:rsidRPr="00FC43C5">
              <w:rPr>
                <w:rFonts w:ascii="Times New Roman" w:eastAsia="Yu Gothic" w:hAnsi="Times New Roman" w:cs="Times New Roman"/>
                <w:color w:val="000000"/>
                <w:kern w:val="0"/>
                <w:sz w:val="24"/>
                <w:szCs w:val="24"/>
              </w:rPr>
              <w:br/>
              <w:t>March 2020</w:t>
            </w:r>
          </w:p>
        </w:tc>
        <w:tc>
          <w:tcPr>
            <w:tcW w:w="1914" w:type="dxa"/>
            <w:hideMark/>
          </w:tcPr>
          <w:p w14:paraId="2F3CEEAC" w14:textId="087E63D3" w:rsidR="00383023" w:rsidRPr="00FC43C5" w:rsidRDefault="00383023" w:rsidP="001C1706">
            <w:pPr>
              <w:widowControl/>
              <w:spacing w:line="480" w:lineRule="auto"/>
              <w:jc w:val="center"/>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April 2020 to</w:t>
            </w:r>
            <w:r w:rsidRPr="00FC43C5">
              <w:rPr>
                <w:rFonts w:ascii="Times New Roman" w:eastAsia="Yu Gothic" w:hAnsi="Times New Roman" w:cs="Times New Roman"/>
                <w:color w:val="000000"/>
                <w:kern w:val="0"/>
                <w:sz w:val="24"/>
                <w:szCs w:val="24"/>
              </w:rPr>
              <w:br/>
              <w:t>March 2021</w:t>
            </w:r>
          </w:p>
        </w:tc>
      </w:tr>
      <w:tr w:rsidR="00202D6A" w:rsidRPr="00FC43C5" w14:paraId="372069FC" w14:textId="77777777" w:rsidTr="008F6F35">
        <w:trPr>
          <w:trHeight w:val="320"/>
        </w:trPr>
        <w:tc>
          <w:tcPr>
            <w:tcW w:w="1129" w:type="dxa"/>
            <w:vMerge w:val="restart"/>
            <w:noWrap/>
            <w:hideMark/>
          </w:tcPr>
          <w:p w14:paraId="56D05272"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Total</w:t>
            </w:r>
          </w:p>
        </w:tc>
        <w:tc>
          <w:tcPr>
            <w:tcW w:w="2127" w:type="dxa"/>
            <w:noWrap/>
            <w:hideMark/>
          </w:tcPr>
          <w:p w14:paraId="10F7CACA"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Inpatients (n)</w:t>
            </w:r>
          </w:p>
        </w:tc>
        <w:tc>
          <w:tcPr>
            <w:tcW w:w="1949" w:type="dxa"/>
            <w:noWrap/>
            <w:hideMark/>
          </w:tcPr>
          <w:p w14:paraId="0D2B6607"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311</w:t>
            </w:r>
          </w:p>
        </w:tc>
        <w:tc>
          <w:tcPr>
            <w:tcW w:w="1949" w:type="dxa"/>
            <w:noWrap/>
            <w:hideMark/>
          </w:tcPr>
          <w:p w14:paraId="54F5C853"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260</w:t>
            </w:r>
          </w:p>
        </w:tc>
        <w:tc>
          <w:tcPr>
            <w:tcW w:w="1949" w:type="dxa"/>
            <w:noWrap/>
            <w:hideMark/>
          </w:tcPr>
          <w:p w14:paraId="7412F150"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231</w:t>
            </w:r>
          </w:p>
        </w:tc>
        <w:tc>
          <w:tcPr>
            <w:tcW w:w="1949" w:type="dxa"/>
            <w:noWrap/>
            <w:hideMark/>
          </w:tcPr>
          <w:p w14:paraId="15C0901D"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245</w:t>
            </w:r>
          </w:p>
        </w:tc>
        <w:tc>
          <w:tcPr>
            <w:tcW w:w="1913" w:type="dxa"/>
            <w:noWrap/>
            <w:hideMark/>
          </w:tcPr>
          <w:p w14:paraId="17655A5E"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232</w:t>
            </w:r>
          </w:p>
        </w:tc>
        <w:tc>
          <w:tcPr>
            <w:tcW w:w="1914" w:type="dxa"/>
            <w:noWrap/>
            <w:hideMark/>
          </w:tcPr>
          <w:p w14:paraId="2648739C"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204</w:t>
            </w:r>
          </w:p>
        </w:tc>
      </w:tr>
      <w:tr w:rsidR="00202D6A" w:rsidRPr="00FC43C5" w14:paraId="0117B948" w14:textId="77777777" w:rsidTr="008F6F35">
        <w:trPr>
          <w:trHeight w:val="320"/>
        </w:trPr>
        <w:tc>
          <w:tcPr>
            <w:tcW w:w="1129" w:type="dxa"/>
            <w:vMerge/>
            <w:hideMark/>
          </w:tcPr>
          <w:p w14:paraId="2CF47B33"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p>
        </w:tc>
        <w:tc>
          <w:tcPr>
            <w:tcW w:w="2127" w:type="dxa"/>
            <w:noWrap/>
            <w:hideMark/>
          </w:tcPr>
          <w:p w14:paraId="3A272008"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IC cases (n)</w:t>
            </w:r>
          </w:p>
        </w:tc>
        <w:tc>
          <w:tcPr>
            <w:tcW w:w="1949" w:type="dxa"/>
            <w:noWrap/>
            <w:hideMark/>
          </w:tcPr>
          <w:p w14:paraId="0A0497D8"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4</w:t>
            </w:r>
          </w:p>
        </w:tc>
        <w:tc>
          <w:tcPr>
            <w:tcW w:w="1949" w:type="dxa"/>
            <w:noWrap/>
            <w:hideMark/>
          </w:tcPr>
          <w:p w14:paraId="6D41F123"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w:t>
            </w:r>
          </w:p>
        </w:tc>
        <w:tc>
          <w:tcPr>
            <w:tcW w:w="1949" w:type="dxa"/>
            <w:noWrap/>
            <w:hideMark/>
          </w:tcPr>
          <w:p w14:paraId="15CCCA59"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w:t>
            </w:r>
          </w:p>
        </w:tc>
        <w:tc>
          <w:tcPr>
            <w:tcW w:w="1949" w:type="dxa"/>
            <w:noWrap/>
            <w:hideMark/>
          </w:tcPr>
          <w:p w14:paraId="6C7B6AC2"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c>
          <w:tcPr>
            <w:tcW w:w="1913" w:type="dxa"/>
            <w:noWrap/>
            <w:hideMark/>
          </w:tcPr>
          <w:p w14:paraId="55BB77AE"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3</w:t>
            </w:r>
          </w:p>
        </w:tc>
        <w:tc>
          <w:tcPr>
            <w:tcW w:w="1914" w:type="dxa"/>
            <w:noWrap/>
            <w:hideMark/>
          </w:tcPr>
          <w:p w14:paraId="13EB3AEF"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w:t>
            </w:r>
          </w:p>
        </w:tc>
      </w:tr>
      <w:tr w:rsidR="00202D6A" w:rsidRPr="00FC43C5" w14:paraId="01DE47D0" w14:textId="77777777" w:rsidTr="008F6F35">
        <w:trPr>
          <w:trHeight w:val="320"/>
        </w:trPr>
        <w:tc>
          <w:tcPr>
            <w:tcW w:w="1129" w:type="dxa"/>
            <w:vMerge/>
            <w:hideMark/>
          </w:tcPr>
          <w:p w14:paraId="460BD487"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p>
        </w:tc>
        <w:tc>
          <w:tcPr>
            <w:tcW w:w="2127" w:type="dxa"/>
            <w:noWrap/>
            <w:hideMark/>
          </w:tcPr>
          <w:p w14:paraId="4EE51EF3"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Incidence rates (%)</w:t>
            </w:r>
          </w:p>
        </w:tc>
        <w:tc>
          <w:tcPr>
            <w:tcW w:w="1949" w:type="dxa"/>
            <w:noWrap/>
            <w:hideMark/>
          </w:tcPr>
          <w:p w14:paraId="46E13D4C"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1.3</w:t>
            </w:r>
          </w:p>
        </w:tc>
        <w:tc>
          <w:tcPr>
            <w:tcW w:w="1949" w:type="dxa"/>
            <w:noWrap/>
            <w:hideMark/>
          </w:tcPr>
          <w:p w14:paraId="49F97176"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0.4</w:t>
            </w:r>
          </w:p>
        </w:tc>
        <w:tc>
          <w:tcPr>
            <w:tcW w:w="1949" w:type="dxa"/>
            <w:noWrap/>
            <w:hideMark/>
          </w:tcPr>
          <w:p w14:paraId="0182A871"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0.4</w:t>
            </w:r>
          </w:p>
        </w:tc>
        <w:tc>
          <w:tcPr>
            <w:tcW w:w="1949" w:type="dxa"/>
            <w:noWrap/>
            <w:hideMark/>
          </w:tcPr>
          <w:p w14:paraId="0C84B219"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c>
          <w:tcPr>
            <w:tcW w:w="1913" w:type="dxa"/>
            <w:noWrap/>
            <w:hideMark/>
          </w:tcPr>
          <w:p w14:paraId="59B121A7"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1.3</w:t>
            </w:r>
          </w:p>
        </w:tc>
        <w:tc>
          <w:tcPr>
            <w:tcW w:w="1914" w:type="dxa"/>
            <w:noWrap/>
            <w:hideMark/>
          </w:tcPr>
          <w:p w14:paraId="7B64EE53"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1.0</w:t>
            </w:r>
          </w:p>
        </w:tc>
      </w:tr>
      <w:tr w:rsidR="00202D6A" w:rsidRPr="00FC43C5" w14:paraId="14554B8E" w14:textId="77777777" w:rsidTr="008F6F35">
        <w:trPr>
          <w:trHeight w:val="320"/>
        </w:trPr>
        <w:tc>
          <w:tcPr>
            <w:tcW w:w="1129" w:type="dxa"/>
            <w:vMerge w:val="restart"/>
            <w:noWrap/>
            <w:hideMark/>
          </w:tcPr>
          <w:p w14:paraId="4E817D34" w14:textId="1B622ED3" w:rsidR="00B471CB"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BW</w:t>
            </w:r>
          </w:p>
          <w:p w14:paraId="324EBE69" w14:textId="786825DD"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500-1,000g</w:t>
            </w:r>
          </w:p>
        </w:tc>
        <w:tc>
          <w:tcPr>
            <w:tcW w:w="2127" w:type="dxa"/>
            <w:noWrap/>
            <w:hideMark/>
          </w:tcPr>
          <w:p w14:paraId="11EB897B"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Inpatients (n)</w:t>
            </w:r>
          </w:p>
        </w:tc>
        <w:tc>
          <w:tcPr>
            <w:tcW w:w="1949" w:type="dxa"/>
            <w:noWrap/>
            <w:hideMark/>
          </w:tcPr>
          <w:p w14:paraId="1405E42A"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34</w:t>
            </w:r>
          </w:p>
        </w:tc>
        <w:tc>
          <w:tcPr>
            <w:tcW w:w="1949" w:type="dxa"/>
            <w:noWrap/>
            <w:hideMark/>
          </w:tcPr>
          <w:p w14:paraId="410EE6BD"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24</w:t>
            </w:r>
          </w:p>
        </w:tc>
        <w:tc>
          <w:tcPr>
            <w:tcW w:w="1949" w:type="dxa"/>
            <w:noWrap/>
            <w:hideMark/>
          </w:tcPr>
          <w:p w14:paraId="73B6C570"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37</w:t>
            </w:r>
          </w:p>
        </w:tc>
        <w:tc>
          <w:tcPr>
            <w:tcW w:w="1949" w:type="dxa"/>
            <w:noWrap/>
            <w:hideMark/>
          </w:tcPr>
          <w:p w14:paraId="45C13F4A"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33</w:t>
            </w:r>
          </w:p>
        </w:tc>
        <w:tc>
          <w:tcPr>
            <w:tcW w:w="1913" w:type="dxa"/>
            <w:noWrap/>
            <w:hideMark/>
          </w:tcPr>
          <w:p w14:paraId="21A5DF6A"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28</w:t>
            </w:r>
          </w:p>
        </w:tc>
        <w:tc>
          <w:tcPr>
            <w:tcW w:w="1914" w:type="dxa"/>
            <w:noWrap/>
            <w:hideMark/>
          </w:tcPr>
          <w:p w14:paraId="73789DB4"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27</w:t>
            </w:r>
          </w:p>
        </w:tc>
      </w:tr>
      <w:tr w:rsidR="00202D6A" w:rsidRPr="00FC43C5" w14:paraId="395A5F6E" w14:textId="77777777" w:rsidTr="008F6F35">
        <w:trPr>
          <w:trHeight w:val="320"/>
        </w:trPr>
        <w:tc>
          <w:tcPr>
            <w:tcW w:w="1129" w:type="dxa"/>
            <w:vMerge/>
            <w:hideMark/>
          </w:tcPr>
          <w:p w14:paraId="3BCEC5EC"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p>
        </w:tc>
        <w:tc>
          <w:tcPr>
            <w:tcW w:w="2127" w:type="dxa"/>
            <w:noWrap/>
            <w:hideMark/>
          </w:tcPr>
          <w:p w14:paraId="068BB53F"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IC cases (n)</w:t>
            </w:r>
          </w:p>
        </w:tc>
        <w:tc>
          <w:tcPr>
            <w:tcW w:w="1949" w:type="dxa"/>
            <w:noWrap/>
            <w:hideMark/>
          </w:tcPr>
          <w:p w14:paraId="38B4E271"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w:t>
            </w:r>
          </w:p>
        </w:tc>
        <w:tc>
          <w:tcPr>
            <w:tcW w:w="1949" w:type="dxa"/>
            <w:noWrap/>
            <w:hideMark/>
          </w:tcPr>
          <w:p w14:paraId="0E5FD781"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c>
          <w:tcPr>
            <w:tcW w:w="1949" w:type="dxa"/>
            <w:noWrap/>
            <w:hideMark/>
          </w:tcPr>
          <w:p w14:paraId="0DDB2A29"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w:t>
            </w:r>
          </w:p>
        </w:tc>
        <w:tc>
          <w:tcPr>
            <w:tcW w:w="1949" w:type="dxa"/>
            <w:noWrap/>
            <w:hideMark/>
          </w:tcPr>
          <w:p w14:paraId="2BED2683"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c>
          <w:tcPr>
            <w:tcW w:w="1913" w:type="dxa"/>
            <w:noWrap/>
            <w:hideMark/>
          </w:tcPr>
          <w:p w14:paraId="43EB2B3C"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w:t>
            </w:r>
          </w:p>
        </w:tc>
        <w:tc>
          <w:tcPr>
            <w:tcW w:w="1914" w:type="dxa"/>
            <w:noWrap/>
            <w:hideMark/>
          </w:tcPr>
          <w:p w14:paraId="2FE666C1"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r>
      <w:tr w:rsidR="00202D6A" w:rsidRPr="00FC43C5" w14:paraId="75E5437B" w14:textId="77777777" w:rsidTr="008F6F35">
        <w:trPr>
          <w:trHeight w:val="320"/>
        </w:trPr>
        <w:tc>
          <w:tcPr>
            <w:tcW w:w="1129" w:type="dxa"/>
            <w:vMerge/>
            <w:hideMark/>
          </w:tcPr>
          <w:p w14:paraId="77AB5908"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p>
        </w:tc>
        <w:tc>
          <w:tcPr>
            <w:tcW w:w="2127" w:type="dxa"/>
            <w:noWrap/>
            <w:hideMark/>
          </w:tcPr>
          <w:p w14:paraId="038379CD"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Incidence rates (%)</w:t>
            </w:r>
          </w:p>
        </w:tc>
        <w:tc>
          <w:tcPr>
            <w:tcW w:w="1949" w:type="dxa"/>
            <w:noWrap/>
            <w:hideMark/>
          </w:tcPr>
          <w:p w14:paraId="65E4648B"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5.9</w:t>
            </w:r>
          </w:p>
        </w:tc>
        <w:tc>
          <w:tcPr>
            <w:tcW w:w="1949" w:type="dxa"/>
            <w:noWrap/>
            <w:hideMark/>
          </w:tcPr>
          <w:p w14:paraId="05F215BF"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c>
          <w:tcPr>
            <w:tcW w:w="1949" w:type="dxa"/>
            <w:noWrap/>
            <w:hideMark/>
          </w:tcPr>
          <w:p w14:paraId="3338ED6B"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2.7</w:t>
            </w:r>
          </w:p>
        </w:tc>
        <w:tc>
          <w:tcPr>
            <w:tcW w:w="1949" w:type="dxa"/>
            <w:noWrap/>
            <w:hideMark/>
          </w:tcPr>
          <w:p w14:paraId="29F90215"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c>
          <w:tcPr>
            <w:tcW w:w="1913" w:type="dxa"/>
            <w:noWrap/>
            <w:hideMark/>
          </w:tcPr>
          <w:p w14:paraId="50D19BCC"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3.6</w:t>
            </w:r>
          </w:p>
        </w:tc>
        <w:tc>
          <w:tcPr>
            <w:tcW w:w="1914" w:type="dxa"/>
            <w:noWrap/>
            <w:hideMark/>
          </w:tcPr>
          <w:p w14:paraId="1452B57B"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r>
      <w:tr w:rsidR="00202D6A" w:rsidRPr="00FC43C5" w14:paraId="37BBB7F4" w14:textId="77777777" w:rsidTr="008F6F35">
        <w:trPr>
          <w:trHeight w:val="320"/>
        </w:trPr>
        <w:tc>
          <w:tcPr>
            <w:tcW w:w="1129" w:type="dxa"/>
            <w:vMerge w:val="restart"/>
            <w:noWrap/>
            <w:hideMark/>
          </w:tcPr>
          <w:p w14:paraId="441D2B78" w14:textId="77777777" w:rsidR="00B471CB"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BW</w:t>
            </w:r>
          </w:p>
          <w:p w14:paraId="27078AA6" w14:textId="31848633"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&lt;500g</w:t>
            </w:r>
          </w:p>
        </w:tc>
        <w:tc>
          <w:tcPr>
            <w:tcW w:w="2127" w:type="dxa"/>
            <w:noWrap/>
            <w:hideMark/>
          </w:tcPr>
          <w:p w14:paraId="675EDB8B"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Inpatients (n)</w:t>
            </w:r>
          </w:p>
        </w:tc>
        <w:tc>
          <w:tcPr>
            <w:tcW w:w="1949" w:type="dxa"/>
            <w:noWrap/>
            <w:hideMark/>
          </w:tcPr>
          <w:p w14:paraId="3D194A26"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6</w:t>
            </w:r>
          </w:p>
        </w:tc>
        <w:tc>
          <w:tcPr>
            <w:tcW w:w="1949" w:type="dxa"/>
            <w:noWrap/>
            <w:hideMark/>
          </w:tcPr>
          <w:p w14:paraId="0E3E67CD"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11</w:t>
            </w:r>
          </w:p>
        </w:tc>
        <w:tc>
          <w:tcPr>
            <w:tcW w:w="1949" w:type="dxa"/>
            <w:noWrap/>
            <w:hideMark/>
          </w:tcPr>
          <w:p w14:paraId="0B20EEB4"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9</w:t>
            </w:r>
          </w:p>
        </w:tc>
        <w:tc>
          <w:tcPr>
            <w:tcW w:w="1949" w:type="dxa"/>
            <w:noWrap/>
            <w:hideMark/>
          </w:tcPr>
          <w:p w14:paraId="097230F5"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9</w:t>
            </w:r>
          </w:p>
        </w:tc>
        <w:tc>
          <w:tcPr>
            <w:tcW w:w="1913" w:type="dxa"/>
            <w:noWrap/>
            <w:hideMark/>
          </w:tcPr>
          <w:p w14:paraId="7CCCD801"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7</w:t>
            </w:r>
          </w:p>
        </w:tc>
        <w:tc>
          <w:tcPr>
            <w:tcW w:w="1914" w:type="dxa"/>
            <w:noWrap/>
            <w:hideMark/>
          </w:tcPr>
          <w:p w14:paraId="5987969F"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8</w:t>
            </w:r>
          </w:p>
        </w:tc>
      </w:tr>
      <w:tr w:rsidR="00202D6A" w:rsidRPr="00FC43C5" w14:paraId="73CE28E2" w14:textId="77777777" w:rsidTr="008F6F35">
        <w:trPr>
          <w:trHeight w:val="320"/>
        </w:trPr>
        <w:tc>
          <w:tcPr>
            <w:tcW w:w="1129" w:type="dxa"/>
            <w:vMerge/>
            <w:hideMark/>
          </w:tcPr>
          <w:p w14:paraId="3B6B212F"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p>
        </w:tc>
        <w:tc>
          <w:tcPr>
            <w:tcW w:w="2127" w:type="dxa"/>
            <w:noWrap/>
            <w:hideMark/>
          </w:tcPr>
          <w:p w14:paraId="17E4D0D5"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IC cases (n)</w:t>
            </w:r>
          </w:p>
        </w:tc>
        <w:tc>
          <w:tcPr>
            <w:tcW w:w="1949" w:type="dxa"/>
            <w:noWrap/>
            <w:hideMark/>
          </w:tcPr>
          <w:p w14:paraId="402C3D2B"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w:t>
            </w:r>
          </w:p>
        </w:tc>
        <w:tc>
          <w:tcPr>
            <w:tcW w:w="1949" w:type="dxa"/>
            <w:noWrap/>
            <w:hideMark/>
          </w:tcPr>
          <w:p w14:paraId="7C336087"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w:t>
            </w:r>
          </w:p>
        </w:tc>
        <w:tc>
          <w:tcPr>
            <w:tcW w:w="1949" w:type="dxa"/>
            <w:noWrap/>
            <w:hideMark/>
          </w:tcPr>
          <w:p w14:paraId="5A0B06F0"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c>
          <w:tcPr>
            <w:tcW w:w="1949" w:type="dxa"/>
            <w:noWrap/>
            <w:hideMark/>
          </w:tcPr>
          <w:p w14:paraId="7416149A"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c>
          <w:tcPr>
            <w:tcW w:w="1913" w:type="dxa"/>
            <w:noWrap/>
            <w:hideMark/>
          </w:tcPr>
          <w:p w14:paraId="0E215BF9"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w:t>
            </w:r>
          </w:p>
        </w:tc>
        <w:tc>
          <w:tcPr>
            <w:tcW w:w="1914" w:type="dxa"/>
            <w:noWrap/>
            <w:hideMark/>
          </w:tcPr>
          <w:p w14:paraId="30D214E2"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w:t>
            </w:r>
          </w:p>
        </w:tc>
      </w:tr>
      <w:tr w:rsidR="00202D6A" w:rsidRPr="00FC43C5" w14:paraId="385EC8D1" w14:textId="77777777" w:rsidTr="008F6F35">
        <w:trPr>
          <w:trHeight w:val="320"/>
        </w:trPr>
        <w:tc>
          <w:tcPr>
            <w:tcW w:w="1129" w:type="dxa"/>
            <w:vMerge/>
            <w:hideMark/>
          </w:tcPr>
          <w:p w14:paraId="41379EAF"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p>
        </w:tc>
        <w:tc>
          <w:tcPr>
            <w:tcW w:w="2127" w:type="dxa"/>
            <w:noWrap/>
            <w:hideMark/>
          </w:tcPr>
          <w:p w14:paraId="0DCF778B" w14:textId="77777777" w:rsidR="00383023" w:rsidRPr="00FC43C5" w:rsidRDefault="00383023" w:rsidP="00383023">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Incidence rates (%)</w:t>
            </w:r>
          </w:p>
        </w:tc>
        <w:tc>
          <w:tcPr>
            <w:tcW w:w="1949" w:type="dxa"/>
            <w:noWrap/>
            <w:hideMark/>
          </w:tcPr>
          <w:p w14:paraId="6B29CC69"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16.7</w:t>
            </w:r>
          </w:p>
        </w:tc>
        <w:tc>
          <w:tcPr>
            <w:tcW w:w="1949" w:type="dxa"/>
            <w:noWrap/>
            <w:hideMark/>
          </w:tcPr>
          <w:p w14:paraId="3D93CBD6"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9.1</w:t>
            </w:r>
          </w:p>
        </w:tc>
        <w:tc>
          <w:tcPr>
            <w:tcW w:w="1949" w:type="dxa"/>
            <w:noWrap/>
            <w:hideMark/>
          </w:tcPr>
          <w:p w14:paraId="69FF9599"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c>
          <w:tcPr>
            <w:tcW w:w="1949" w:type="dxa"/>
            <w:noWrap/>
            <w:hideMark/>
          </w:tcPr>
          <w:p w14:paraId="0D1B0C04"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0</w:t>
            </w:r>
          </w:p>
        </w:tc>
        <w:tc>
          <w:tcPr>
            <w:tcW w:w="1913" w:type="dxa"/>
            <w:noWrap/>
            <w:hideMark/>
          </w:tcPr>
          <w:p w14:paraId="61A8AB7A"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28.6</w:t>
            </w:r>
          </w:p>
        </w:tc>
        <w:tc>
          <w:tcPr>
            <w:tcW w:w="1914" w:type="dxa"/>
            <w:noWrap/>
            <w:hideMark/>
          </w:tcPr>
          <w:p w14:paraId="1EC73FBD" w14:textId="77777777" w:rsidR="00383023" w:rsidRPr="00FC43C5" w:rsidRDefault="00383023" w:rsidP="001C1706">
            <w:pPr>
              <w:widowControl/>
              <w:spacing w:line="480" w:lineRule="auto"/>
              <w:jc w:val="right"/>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25.0</w:t>
            </w:r>
          </w:p>
        </w:tc>
      </w:tr>
    </w:tbl>
    <w:p w14:paraId="41CEE3DF" w14:textId="7470A938" w:rsidR="00856D6C" w:rsidRPr="00FC43C5" w:rsidRDefault="00944EEA" w:rsidP="00856D6C">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 xml:space="preserve">Categorical variables were compared using Fisher’s exact test. Analysis was performed using JMP Pro 16 statistical analysis software (SAS Institute, 2021). </w:t>
      </w:r>
      <w:r w:rsidR="00856D6C" w:rsidRPr="00FC43C5">
        <w:rPr>
          <w:rFonts w:ascii="Times New Roman" w:hAnsi="Times New Roman" w:cs="Times New Roman"/>
          <w:color w:val="000000" w:themeColor="text1"/>
          <w:sz w:val="24"/>
          <w:szCs w:val="24"/>
        </w:rPr>
        <w:t xml:space="preserve">The incidence rates of the invasive </w:t>
      </w:r>
      <w:r w:rsidRPr="00FC43C5">
        <w:rPr>
          <w:rFonts w:ascii="Times New Roman" w:hAnsi="Times New Roman" w:cs="Times New Roman"/>
          <w:color w:val="000000" w:themeColor="text1"/>
          <w:sz w:val="24"/>
          <w:szCs w:val="24"/>
        </w:rPr>
        <w:t>c</w:t>
      </w:r>
      <w:r w:rsidR="00856D6C" w:rsidRPr="00FC43C5">
        <w:rPr>
          <w:rFonts w:ascii="Times New Roman" w:hAnsi="Times New Roman" w:cs="Times New Roman"/>
          <w:color w:val="000000" w:themeColor="text1"/>
          <w:sz w:val="24"/>
          <w:szCs w:val="24"/>
        </w:rPr>
        <w:t xml:space="preserve">andidiasis before the </w:t>
      </w:r>
      <w:r w:rsidR="008F6F35">
        <w:rPr>
          <w:rFonts w:ascii="Times New Roman" w:hAnsi="Times New Roman" w:cs="Times New Roman"/>
          <w:color w:val="000000" w:themeColor="text1"/>
          <w:sz w:val="24"/>
          <w:szCs w:val="24"/>
        </w:rPr>
        <w:t>cluster</w:t>
      </w:r>
      <w:r w:rsidR="00856D6C" w:rsidRPr="00FC43C5">
        <w:rPr>
          <w:rFonts w:ascii="Times New Roman" w:hAnsi="Times New Roman" w:cs="Times New Roman"/>
          <w:color w:val="000000" w:themeColor="text1"/>
          <w:sz w:val="24"/>
          <w:szCs w:val="24"/>
        </w:rPr>
        <w:t xml:space="preserve">, during the </w:t>
      </w:r>
      <w:r w:rsidR="008F6F35">
        <w:rPr>
          <w:rFonts w:ascii="Times New Roman" w:hAnsi="Times New Roman" w:cs="Times New Roman"/>
          <w:color w:val="000000" w:themeColor="text1"/>
          <w:sz w:val="24"/>
          <w:szCs w:val="24"/>
        </w:rPr>
        <w:t>cluster</w:t>
      </w:r>
      <w:r w:rsidR="00856D6C" w:rsidRPr="00FC43C5">
        <w:rPr>
          <w:rFonts w:ascii="Times New Roman" w:hAnsi="Times New Roman" w:cs="Times New Roman"/>
          <w:color w:val="000000" w:themeColor="text1"/>
          <w:sz w:val="24"/>
          <w:szCs w:val="24"/>
        </w:rPr>
        <w:t xml:space="preserve">, and after the </w:t>
      </w:r>
      <w:r w:rsidR="008F6F35">
        <w:rPr>
          <w:rFonts w:ascii="Times New Roman" w:hAnsi="Times New Roman" w:cs="Times New Roman"/>
          <w:color w:val="000000" w:themeColor="text1"/>
          <w:sz w:val="24"/>
          <w:szCs w:val="24"/>
        </w:rPr>
        <w:t>cluster</w:t>
      </w:r>
      <w:r w:rsidR="00856D6C" w:rsidRPr="00FC43C5">
        <w:rPr>
          <w:rFonts w:ascii="Times New Roman" w:hAnsi="Times New Roman" w:cs="Times New Roman"/>
          <w:color w:val="000000" w:themeColor="text1"/>
          <w:sz w:val="24"/>
          <w:szCs w:val="24"/>
        </w:rPr>
        <w:t xml:space="preserve"> were not significantly different</w:t>
      </w:r>
      <w:r w:rsidR="00856D6C" w:rsidRPr="00FC43C5">
        <w:rPr>
          <w:rFonts w:ascii="Times New Roman" w:hAnsi="Times New Roman" w:cs="Times New Roman"/>
          <w:bCs/>
          <w:color w:val="000000" w:themeColor="text1"/>
          <w:sz w:val="24"/>
          <w:szCs w:val="24"/>
        </w:rPr>
        <w:t xml:space="preserve">: </w:t>
      </w:r>
      <w:r w:rsidR="00383F45" w:rsidRPr="00FC43C5">
        <w:rPr>
          <w:rFonts w:ascii="Times New Roman" w:hAnsi="Times New Roman" w:cs="Times New Roman"/>
          <w:bCs/>
          <w:color w:val="000000" w:themeColor="text1"/>
          <w:sz w:val="24"/>
          <w:szCs w:val="24"/>
        </w:rPr>
        <w:t xml:space="preserve">for total inpatients, the rates were 0.6% (0/1047), 1.3% (3/232), and 1.0% (2/204); for </w:t>
      </w:r>
      <w:r w:rsidR="00383F45" w:rsidRPr="00FC43C5">
        <w:rPr>
          <w:rFonts w:ascii="Times New Roman" w:hAnsi="Times New Roman" w:cs="Times New Roman"/>
          <w:color w:val="000000" w:themeColor="text1"/>
          <w:sz w:val="24"/>
          <w:szCs w:val="24"/>
        </w:rPr>
        <w:t>inpatients with a birthweight 500-1,000g, the rates were 2.3% (</w:t>
      </w:r>
      <w:r w:rsidR="00383F45" w:rsidRPr="00FC43C5">
        <w:rPr>
          <w:rFonts w:ascii="Times New Roman" w:hAnsi="Times New Roman" w:cs="Times New Roman"/>
          <w:bCs/>
          <w:color w:val="000000" w:themeColor="text1"/>
          <w:sz w:val="24"/>
          <w:szCs w:val="24"/>
        </w:rPr>
        <w:t xml:space="preserve">3/128), 3.6% (1/28), and 0% (0/27); </w:t>
      </w:r>
      <w:r w:rsidR="00383F45" w:rsidRPr="00FC43C5">
        <w:rPr>
          <w:rFonts w:ascii="Times New Roman" w:hAnsi="Times New Roman" w:cs="Times New Roman"/>
          <w:color w:val="000000" w:themeColor="text1"/>
          <w:sz w:val="24"/>
          <w:szCs w:val="24"/>
        </w:rPr>
        <w:t>and for inpatients with a birthweight below 500g, the rates were 5.7% (</w:t>
      </w:r>
      <w:r w:rsidR="00383F45" w:rsidRPr="00FC43C5">
        <w:rPr>
          <w:rFonts w:ascii="Times New Roman" w:hAnsi="Times New Roman" w:cs="Times New Roman"/>
          <w:bCs/>
          <w:color w:val="000000" w:themeColor="text1"/>
          <w:sz w:val="24"/>
          <w:szCs w:val="24"/>
        </w:rPr>
        <w:t>2/35), 28.6% (2/7), and 25.0% (2/8), respectively, all with</w:t>
      </w:r>
      <w:r w:rsidR="00856D6C" w:rsidRPr="00FC43C5">
        <w:rPr>
          <w:rFonts w:ascii="Times New Roman" w:eastAsia="Yu Gothic" w:hAnsi="Times New Roman" w:cs="Times New Roman"/>
          <w:color w:val="000000"/>
          <w:kern w:val="0"/>
          <w:sz w:val="24"/>
          <w:szCs w:val="24"/>
        </w:rPr>
        <w:t xml:space="preserve"> </w:t>
      </w:r>
      <w:r w:rsidRPr="00FC43C5">
        <w:rPr>
          <w:rFonts w:ascii="Times New Roman" w:hAnsi="Times New Roman" w:cs="Times New Roman"/>
          <w:bCs/>
          <w:i/>
          <w:iCs/>
          <w:color w:val="000000" w:themeColor="text1"/>
          <w:sz w:val="24"/>
          <w:szCs w:val="24"/>
        </w:rPr>
        <w:t>p</w:t>
      </w:r>
      <w:r w:rsidRPr="00FC43C5">
        <w:rPr>
          <w:rFonts w:ascii="Times New Roman" w:hAnsi="Times New Roman" w:cs="Times New Roman"/>
          <w:color w:val="000000" w:themeColor="text1"/>
          <w:sz w:val="24"/>
          <w:szCs w:val="24"/>
        </w:rPr>
        <w:t>≥</w:t>
      </w:r>
      <w:r w:rsidRPr="00FC43C5">
        <w:rPr>
          <w:rFonts w:ascii="Times New Roman" w:hAnsi="Times New Roman" w:cs="Times New Roman"/>
          <w:bCs/>
          <w:color w:val="000000" w:themeColor="text1"/>
          <w:sz w:val="24"/>
          <w:szCs w:val="24"/>
        </w:rPr>
        <w:t>0.05.</w:t>
      </w:r>
    </w:p>
    <w:p w14:paraId="16E3A9BC" w14:textId="7F6FE459" w:rsidR="00383023" w:rsidRPr="00FC43C5" w:rsidRDefault="00856D6C" w:rsidP="008C47FF">
      <w:pPr>
        <w:widowControl/>
        <w:spacing w:line="480" w:lineRule="auto"/>
        <w:rPr>
          <w:rFonts w:ascii="Times New Roman" w:eastAsia="Yu Gothic" w:hAnsi="Times New Roman" w:cs="Times New Roman"/>
          <w:color w:val="000000"/>
          <w:kern w:val="0"/>
          <w:sz w:val="24"/>
          <w:szCs w:val="24"/>
        </w:rPr>
      </w:pPr>
      <w:r w:rsidRPr="00FC43C5">
        <w:rPr>
          <w:rFonts w:ascii="Times New Roman" w:eastAsia="Yu Gothic" w:hAnsi="Times New Roman" w:cs="Times New Roman"/>
          <w:color w:val="000000"/>
          <w:kern w:val="0"/>
          <w:sz w:val="24"/>
          <w:szCs w:val="24"/>
        </w:rPr>
        <w:t>Abbreviations: BW, birthweight; IC, invasive candidiasis.</w:t>
      </w:r>
    </w:p>
    <w:p w14:paraId="3F2562EA" w14:textId="687D6F04" w:rsidR="00A25241" w:rsidRPr="00FC43C5" w:rsidRDefault="00A25241" w:rsidP="008C47FF">
      <w:pPr>
        <w:widowControl/>
        <w:spacing w:line="480" w:lineRule="auto"/>
        <w:jc w:val="left"/>
        <w:rPr>
          <w:rFonts w:ascii="Times New Roman" w:hAnsi="Times New Roman" w:cs="Times New Roman"/>
          <w:sz w:val="24"/>
          <w:szCs w:val="24"/>
        </w:rPr>
      </w:pPr>
      <w:r w:rsidRPr="00FC43C5">
        <w:rPr>
          <w:rFonts w:ascii="Times New Roman" w:hAnsi="Times New Roman" w:cs="Times New Roman"/>
          <w:sz w:val="24"/>
          <w:szCs w:val="24"/>
        </w:rPr>
        <w:br w:type="page"/>
      </w:r>
    </w:p>
    <w:p w14:paraId="296CB1C6" w14:textId="77777777" w:rsidR="00A25241" w:rsidRPr="00FC43C5" w:rsidRDefault="00A25241">
      <w:pPr>
        <w:rPr>
          <w:rFonts w:ascii="Times New Roman" w:hAnsi="Times New Roman" w:cs="Times New Roman"/>
          <w:sz w:val="24"/>
          <w:szCs w:val="24"/>
        </w:rPr>
        <w:sectPr w:rsidR="00A25241" w:rsidRPr="00FC43C5" w:rsidSect="006B3E04">
          <w:pgSz w:w="16838" w:h="11906" w:orient="landscape"/>
          <w:pgMar w:top="1080" w:right="1440" w:bottom="1080" w:left="1440" w:header="851" w:footer="992" w:gutter="0"/>
          <w:cols w:space="425"/>
          <w:docGrid w:type="lines" w:linePitch="360"/>
        </w:sectPr>
      </w:pPr>
    </w:p>
    <w:p w14:paraId="2F18EAC9" w14:textId="3013AE9C" w:rsidR="00A270A3" w:rsidRPr="00FC43C5" w:rsidRDefault="00A25241">
      <w:pPr>
        <w:rPr>
          <w:rFonts w:ascii="Times New Roman" w:hAnsi="Times New Roman" w:cs="Times New Roman"/>
          <w:b/>
          <w:bCs/>
          <w:sz w:val="24"/>
          <w:szCs w:val="24"/>
        </w:rPr>
      </w:pPr>
      <w:r w:rsidRPr="00FC43C5">
        <w:rPr>
          <w:rFonts w:ascii="Times New Roman" w:hAnsi="Times New Roman" w:cs="Times New Roman"/>
          <w:b/>
          <w:bCs/>
          <w:sz w:val="24"/>
          <w:szCs w:val="24"/>
        </w:rPr>
        <w:lastRenderedPageBreak/>
        <w:t xml:space="preserve">Supplementary </w:t>
      </w:r>
      <w:r w:rsidR="006B4D5D" w:rsidRPr="00FC43C5">
        <w:rPr>
          <w:rFonts w:ascii="Times New Roman" w:hAnsi="Times New Roman" w:cs="Times New Roman"/>
          <w:b/>
          <w:bCs/>
          <w:sz w:val="24"/>
          <w:szCs w:val="24"/>
        </w:rPr>
        <w:t>F</w:t>
      </w:r>
      <w:r w:rsidRPr="00FC43C5">
        <w:rPr>
          <w:rFonts w:ascii="Times New Roman" w:hAnsi="Times New Roman" w:cs="Times New Roman"/>
          <w:b/>
          <w:bCs/>
          <w:sz w:val="24"/>
          <w:szCs w:val="24"/>
        </w:rPr>
        <w:t xml:space="preserve">igure. The </w:t>
      </w:r>
      <w:r w:rsidR="003C6757" w:rsidRPr="00FC43C5">
        <w:rPr>
          <w:rFonts w:ascii="Times New Roman" w:hAnsi="Times New Roman" w:cs="Times New Roman"/>
          <w:b/>
          <w:bCs/>
          <w:sz w:val="24"/>
          <w:szCs w:val="24"/>
        </w:rPr>
        <w:t xml:space="preserve">standard </w:t>
      </w:r>
      <w:r w:rsidRPr="00FC43C5">
        <w:rPr>
          <w:rFonts w:ascii="Times New Roman" w:hAnsi="Times New Roman" w:cs="Times New Roman"/>
          <w:b/>
          <w:bCs/>
          <w:sz w:val="24"/>
          <w:szCs w:val="24"/>
        </w:rPr>
        <w:t>sinks in the NICU.</w:t>
      </w:r>
    </w:p>
    <w:p w14:paraId="3E5BFFAA" w14:textId="33622550" w:rsidR="00A25241" w:rsidRPr="00FC43C5" w:rsidRDefault="00A25241">
      <w:pPr>
        <w:rPr>
          <w:rFonts w:ascii="Times New Roman" w:hAnsi="Times New Roman" w:cs="Times New Roman"/>
          <w:sz w:val="24"/>
          <w:szCs w:val="24"/>
        </w:rPr>
      </w:pPr>
      <w:r w:rsidRPr="00FC43C5">
        <w:rPr>
          <w:rFonts w:ascii="Times New Roman" w:hAnsi="Times New Roman" w:cs="Times New Roman"/>
          <w:noProof/>
          <w:sz w:val="24"/>
          <w:szCs w:val="24"/>
        </w:rPr>
        <w:drawing>
          <wp:inline distT="0" distB="0" distL="0" distR="0" wp14:anchorId="573E3C8C" wp14:editId="56371450">
            <wp:extent cx="3700131" cy="5196356"/>
            <wp:effectExtent l="0" t="0" r="0" b="0"/>
            <wp:docPr id="8" name="図 7" descr="キッチンの一角にある洗面台&#10;&#10;低い精度で自動的に生成された説明">
              <a:extLst xmlns:a="http://schemas.openxmlformats.org/drawingml/2006/main">
                <a:ext uri="{FF2B5EF4-FFF2-40B4-BE49-F238E27FC236}">
                  <a16:creationId xmlns:a16="http://schemas.microsoft.com/office/drawing/2014/main" id="{E4CDD01C-C21A-38C6-CF0A-91E54DD14C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descr="キッチンの一角にある洗面台&#10;&#10;低い精度で自動的に生成された説明">
                      <a:extLst>
                        <a:ext uri="{FF2B5EF4-FFF2-40B4-BE49-F238E27FC236}">
                          <a16:creationId xmlns:a16="http://schemas.microsoft.com/office/drawing/2014/main" id="{E4CDD01C-C21A-38C6-CF0A-91E54DD14CE1}"/>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16730" cy="5219667"/>
                    </a:xfrm>
                    <a:prstGeom prst="rect">
                      <a:avLst/>
                    </a:prstGeom>
                  </pic:spPr>
                </pic:pic>
              </a:graphicData>
            </a:graphic>
          </wp:inline>
        </w:drawing>
      </w:r>
    </w:p>
    <w:p w14:paraId="1F797050" w14:textId="55965FF3" w:rsidR="00D505F7" w:rsidRPr="00FC43C5" w:rsidRDefault="00D505F7" w:rsidP="004A7B1C">
      <w:pPr>
        <w:rPr>
          <w:rFonts w:ascii="Times New Roman" w:hAnsi="Times New Roman" w:cs="Times New Roman"/>
          <w:sz w:val="24"/>
          <w:szCs w:val="24"/>
        </w:rPr>
      </w:pPr>
    </w:p>
    <w:sectPr w:rsidR="00D505F7" w:rsidRPr="00FC43C5" w:rsidSect="006B3E0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01"/>
    <w:rsid w:val="000004C4"/>
    <w:rsid w:val="00002874"/>
    <w:rsid w:val="00002B07"/>
    <w:rsid w:val="00003D96"/>
    <w:rsid w:val="000105A1"/>
    <w:rsid w:val="000168C1"/>
    <w:rsid w:val="0002067C"/>
    <w:rsid w:val="000240E7"/>
    <w:rsid w:val="00025D0B"/>
    <w:rsid w:val="00030A18"/>
    <w:rsid w:val="00035AB8"/>
    <w:rsid w:val="000472BC"/>
    <w:rsid w:val="0005212F"/>
    <w:rsid w:val="000570C8"/>
    <w:rsid w:val="00063D50"/>
    <w:rsid w:val="0006569A"/>
    <w:rsid w:val="000718D7"/>
    <w:rsid w:val="00076DD1"/>
    <w:rsid w:val="00080372"/>
    <w:rsid w:val="00083073"/>
    <w:rsid w:val="00083202"/>
    <w:rsid w:val="0009615C"/>
    <w:rsid w:val="000A572C"/>
    <w:rsid w:val="000B54CC"/>
    <w:rsid w:val="000B679F"/>
    <w:rsid w:val="000C445F"/>
    <w:rsid w:val="000C7F60"/>
    <w:rsid w:val="000D23F3"/>
    <w:rsid w:val="000D28EE"/>
    <w:rsid w:val="000D5192"/>
    <w:rsid w:val="000E0C32"/>
    <w:rsid w:val="000E5D7B"/>
    <w:rsid w:val="000E6E3D"/>
    <w:rsid w:val="000F5B4B"/>
    <w:rsid w:val="000F7D4C"/>
    <w:rsid w:val="00102A1D"/>
    <w:rsid w:val="00106F3C"/>
    <w:rsid w:val="00107D1B"/>
    <w:rsid w:val="001111D7"/>
    <w:rsid w:val="0011356B"/>
    <w:rsid w:val="0011416C"/>
    <w:rsid w:val="001161AC"/>
    <w:rsid w:val="00123069"/>
    <w:rsid w:val="0012473B"/>
    <w:rsid w:val="00125000"/>
    <w:rsid w:val="0012542E"/>
    <w:rsid w:val="00133961"/>
    <w:rsid w:val="001339E8"/>
    <w:rsid w:val="001405AD"/>
    <w:rsid w:val="00144C04"/>
    <w:rsid w:val="00146840"/>
    <w:rsid w:val="00147486"/>
    <w:rsid w:val="00151A10"/>
    <w:rsid w:val="001613B1"/>
    <w:rsid w:val="00162CBE"/>
    <w:rsid w:val="00166FBD"/>
    <w:rsid w:val="00182DA9"/>
    <w:rsid w:val="00196A55"/>
    <w:rsid w:val="001A02D8"/>
    <w:rsid w:val="001B519D"/>
    <w:rsid w:val="001C03CF"/>
    <w:rsid w:val="001C141D"/>
    <w:rsid w:val="001C1706"/>
    <w:rsid w:val="001C2BC2"/>
    <w:rsid w:val="001C4B74"/>
    <w:rsid w:val="001D02B1"/>
    <w:rsid w:val="001D075F"/>
    <w:rsid w:val="001D1059"/>
    <w:rsid w:val="001D3FD4"/>
    <w:rsid w:val="001D4F6F"/>
    <w:rsid w:val="001F19E8"/>
    <w:rsid w:val="001F3BAA"/>
    <w:rsid w:val="001F3CC6"/>
    <w:rsid w:val="001F498B"/>
    <w:rsid w:val="001F6B48"/>
    <w:rsid w:val="002019F2"/>
    <w:rsid w:val="00202D6A"/>
    <w:rsid w:val="00205406"/>
    <w:rsid w:val="00206E77"/>
    <w:rsid w:val="0020792A"/>
    <w:rsid w:val="0021087E"/>
    <w:rsid w:val="00212D15"/>
    <w:rsid w:val="002145A0"/>
    <w:rsid w:val="00216264"/>
    <w:rsid w:val="00217D30"/>
    <w:rsid w:val="002222DE"/>
    <w:rsid w:val="00224391"/>
    <w:rsid w:val="00224E2F"/>
    <w:rsid w:val="00232091"/>
    <w:rsid w:val="00233642"/>
    <w:rsid w:val="00235759"/>
    <w:rsid w:val="00241695"/>
    <w:rsid w:val="00242781"/>
    <w:rsid w:val="002456F3"/>
    <w:rsid w:val="00256881"/>
    <w:rsid w:val="00263DBA"/>
    <w:rsid w:val="00265702"/>
    <w:rsid w:val="0026578D"/>
    <w:rsid w:val="00265F6D"/>
    <w:rsid w:val="00277301"/>
    <w:rsid w:val="002956EF"/>
    <w:rsid w:val="00296844"/>
    <w:rsid w:val="002A0739"/>
    <w:rsid w:val="002A179E"/>
    <w:rsid w:val="002A238D"/>
    <w:rsid w:val="002B0F2C"/>
    <w:rsid w:val="002B1A76"/>
    <w:rsid w:val="002B2C46"/>
    <w:rsid w:val="002B3026"/>
    <w:rsid w:val="002B5168"/>
    <w:rsid w:val="002B6017"/>
    <w:rsid w:val="002C2FD2"/>
    <w:rsid w:val="002C7AC9"/>
    <w:rsid w:val="002E1F1F"/>
    <w:rsid w:val="002E571F"/>
    <w:rsid w:val="002F244C"/>
    <w:rsid w:val="002F581B"/>
    <w:rsid w:val="002F737D"/>
    <w:rsid w:val="002F7F37"/>
    <w:rsid w:val="0030395C"/>
    <w:rsid w:val="00307F6F"/>
    <w:rsid w:val="003129D3"/>
    <w:rsid w:val="0031689F"/>
    <w:rsid w:val="003206A1"/>
    <w:rsid w:val="00321671"/>
    <w:rsid w:val="00322087"/>
    <w:rsid w:val="0032264D"/>
    <w:rsid w:val="00323A52"/>
    <w:rsid w:val="0032659F"/>
    <w:rsid w:val="003303E2"/>
    <w:rsid w:val="00345CF8"/>
    <w:rsid w:val="003462A7"/>
    <w:rsid w:val="00347DB4"/>
    <w:rsid w:val="003505A1"/>
    <w:rsid w:val="00354614"/>
    <w:rsid w:val="00360BA3"/>
    <w:rsid w:val="00362A51"/>
    <w:rsid w:val="0036745F"/>
    <w:rsid w:val="00367D07"/>
    <w:rsid w:val="0037033C"/>
    <w:rsid w:val="00377B4F"/>
    <w:rsid w:val="003815E8"/>
    <w:rsid w:val="00383023"/>
    <w:rsid w:val="00383628"/>
    <w:rsid w:val="00383926"/>
    <w:rsid w:val="00383F45"/>
    <w:rsid w:val="0038654E"/>
    <w:rsid w:val="0038703F"/>
    <w:rsid w:val="00391A2E"/>
    <w:rsid w:val="00391B76"/>
    <w:rsid w:val="00394589"/>
    <w:rsid w:val="00394A18"/>
    <w:rsid w:val="003A0C66"/>
    <w:rsid w:val="003A10A2"/>
    <w:rsid w:val="003A6CFE"/>
    <w:rsid w:val="003A721E"/>
    <w:rsid w:val="003B1CB1"/>
    <w:rsid w:val="003B3F02"/>
    <w:rsid w:val="003C56FF"/>
    <w:rsid w:val="003C6757"/>
    <w:rsid w:val="003C7B43"/>
    <w:rsid w:val="003D67EE"/>
    <w:rsid w:val="003E11BD"/>
    <w:rsid w:val="003E20D3"/>
    <w:rsid w:val="003E2129"/>
    <w:rsid w:val="003E373F"/>
    <w:rsid w:val="003E70E6"/>
    <w:rsid w:val="003F1A8E"/>
    <w:rsid w:val="003F798E"/>
    <w:rsid w:val="00403DF8"/>
    <w:rsid w:val="0042379A"/>
    <w:rsid w:val="004332A7"/>
    <w:rsid w:val="00435CC3"/>
    <w:rsid w:val="00437572"/>
    <w:rsid w:val="004506E4"/>
    <w:rsid w:val="004513B9"/>
    <w:rsid w:val="00465C19"/>
    <w:rsid w:val="00476077"/>
    <w:rsid w:val="004806C0"/>
    <w:rsid w:val="00480954"/>
    <w:rsid w:val="00486527"/>
    <w:rsid w:val="00487F42"/>
    <w:rsid w:val="00493F49"/>
    <w:rsid w:val="004A763A"/>
    <w:rsid w:val="004A7B1C"/>
    <w:rsid w:val="004B188C"/>
    <w:rsid w:val="004B2F0E"/>
    <w:rsid w:val="004C0193"/>
    <w:rsid w:val="004C608B"/>
    <w:rsid w:val="004D18C5"/>
    <w:rsid w:val="004D2395"/>
    <w:rsid w:val="004D5DB2"/>
    <w:rsid w:val="004E2657"/>
    <w:rsid w:val="004E2AD7"/>
    <w:rsid w:val="004E7FA6"/>
    <w:rsid w:val="004F2360"/>
    <w:rsid w:val="004F5255"/>
    <w:rsid w:val="004F6893"/>
    <w:rsid w:val="00505268"/>
    <w:rsid w:val="005064EC"/>
    <w:rsid w:val="00507807"/>
    <w:rsid w:val="00522EE1"/>
    <w:rsid w:val="00524241"/>
    <w:rsid w:val="0052664A"/>
    <w:rsid w:val="00527E15"/>
    <w:rsid w:val="00530DD9"/>
    <w:rsid w:val="0053165F"/>
    <w:rsid w:val="00535F03"/>
    <w:rsid w:val="0053624B"/>
    <w:rsid w:val="00541B74"/>
    <w:rsid w:val="00555389"/>
    <w:rsid w:val="00561D8C"/>
    <w:rsid w:val="00562CEB"/>
    <w:rsid w:val="005673F4"/>
    <w:rsid w:val="00567701"/>
    <w:rsid w:val="00572EEC"/>
    <w:rsid w:val="00575D49"/>
    <w:rsid w:val="00583E09"/>
    <w:rsid w:val="00585F40"/>
    <w:rsid w:val="005866EE"/>
    <w:rsid w:val="005912E0"/>
    <w:rsid w:val="0059310E"/>
    <w:rsid w:val="005A17E8"/>
    <w:rsid w:val="005A209C"/>
    <w:rsid w:val="005B0768"/>
    <w:rsid w:val="005B3A29"/>
    <w:rsid w:val="005B579D"/>
    <w:rsid w:val="005B7871"/>
    <w:rsid w:val="005C0013"/>
    <w:rsid w:val="005C0B2F"/>
    <w:rsid w:val="005C6297"/>
    <w:rsid w:val="005C7DA9"/>
    <w:rsid w:val="005D0E4C"/>
    <w:rsid w:val="005D4788"/>
    <w:rsid w:val="005E1268"/>
    <w:rsid w:val="005E1D20"/>
    <w:rsid w:val="005E25B1"/>
    <w:rsid w:val="005E26C8"/>
    <w:rsid w:val="005E5084"/>
    <w:rsid w:val="005E5D71"/>
    <w:rsid w:val="005F0961"/>
    <w:rsid w:val="005F11BC"/>
    <w:rsid w:val="005F3E49"/>
    <w:rsid w:val="005F4CF4"/>
    <w:rsid w:val="005F6DC9"/>
    <w:rsid w:val="00600DC0"/>
    <w:rsid w:val="00601C6F"/>
    <w:rsid w:val="00605450"/>
    <w:rsid w:val="00606647"/>
    <w:rsid w:val="00615A7B"/>
    <w:rsid w:val="0061615D"/>
    <w:rsid w:val="0062278F"/>
    <w:rsid w:val="006250C8"/>
    <w:rsid w:val="00630E1D"/>
    <w:rsid w:val="00632923"/>
    <w:rsid w:val="00632FA5"/>
    <w:rsid w:val="00632FD1"/>
    <w:rsid w:val="0064053C"/>
    <w:rsid w:val="006423AC"/>
    <w:rsid w:val="00643B85"/>
    <w:rsid w:val="006531A1"/>
    <w:rsid w:val="00655E61"/>
    <w:rsid w:val="006601C3"/>
    <w:rsid w:val="00662AE4"/>
    <w:rsid w:val="00664810"/>
    <w:rsid w:val="00664D14"/>
    <w:rsid w:val="00665BA0"/>
    <w:rsid w:val="006672CE"/>
    <w:rsid w:val="00670F81"/>
    <w:rsid w:val="0067325F"/>
    <w:rsid w:val="00675266"/>
    <w:rsid w:val="006769B0"/>
    <w:rsid w:val="00677DE1"/>
    <w:rsid w:val="00685705"/>
    <w:rsid w:val="006918C6"/>
    <w:rsid w:val="0069479A"/>
    <w:rsid w:val="00696220"/>
    <w:rsid w:val="00696565"/>
    <w:rsid w:val="006A7597"/>
    <w:rsid w:val="006B0A16"/>
    <w:rsid w:val="006B3186"/>
    <w:rsid w:val="006B3E04"/>
    <w:rsid w:val="006B4D5D"/>
    <w:rsid w:val="006B6005"/>
    <w:rsid w:val="006B7C8E"/>
    <w:rsid w:val="006C10B2"/>
    <w:rsid w:val="006C3817"/>
    <w:rsid w:val="006C3BE0"/>
    <w:rsid w:val="006C61D5"/>
    <w:rsid w:val="006D0BAA"/>
    <w:rsid w:val="006D1202"/>
    <w:rsid w:val="006D23F9"/>
    <w:rsid w:val="006D41A4"/>
    <w:rsid w:val="006D4C8D"/>
    <w:rsid w:val="006D6138"/>
    <w:rsid w:val="006E0E4C"/>
    <w:rsid w:val="006E2B0F"/>
    <w:rsid w:val="006E4845"/>
    <w:rsid w:val="006E7A9A"/>
    <w:rsid w:val="007000E1"/>
    <w:rsid w:val="007018A1"/>
    <w:rsid w:val="00703B5D"/>
    <w:rsid w:val="0070639F"/>
    <w:rsid w:val="0071090B"/>
    <w:rsid w:val="00715AE3"/>
    <w:rsid w:val="00731E01"/>
    <w:rsid w:val="007357F2"/>
    <w:rsid w:val="007459EB"/>
    <w:rsid w:val="007501A3"/>
    <w:rsid w:val="00750F75"/>
    <w:rsid w:val="007531D3"/>
    <w:rsid w:val="00756BD5"/>
    <w:rsid w:val="00757867"/>
    <w:rsid w:val="00764E36"/>
    <w:rsid w:val="007705C8"/>
    <w:rsid w:val="00776B5D"/>
    <w:rsid w:val="00777133"/>
    <w:rsid w:val="007821F9"/>
    <w:rsid w:val="0078382D"/>
    <w:rsid w:val="00783F52"/>
    <w:rsid w:val="00785E22"/>
    <w:rsid w:val="00793209"/>
    <w:rsid w:val="007934EE"/>
    <w:rsid w:val="00796D99"/>
    <w:rsid w:val="007A29B5"/>
    <w:rsid w:val="007A385C"/>
    <w:rsid w:val="007A690B"/>
    <w:rsid w:val="007B0843"/>
    <w:rsid w:val="007B0C29"/>
    <w:rsid w:val="007B1922"/>
    <w:rsid w:val="007B3D05"/>
    <w:rsid w:val="007B5F11"/>
    <w:rsid w:val="007D03B4"/>
    <w:rsid w:val="007D2FD3"/>
    <w:rsid w:val="007D69DB"/>
    <w:rsid w:val="007E3195"/>
    <w:rsid w:val="007E5885"/>
    <w:rsid w:val="007E6DED"/>
    <w:rsid w:val="008015DC"/>
    <w:rsid w:val="008017F0"/>
    <w:rsid w:val="00801EC9"/>
    <w:rsid w:val="0080310A"/>
    <w:rsid w:val="00805341"/>
    <w:rsid w:val="00806182"/>
    <w:rsid w:val="00811AE7"/>
    <w:rsid w:val="008137DD"/>
    <w:rsid w:val="008149A5"/>
    <w:rsid w:val="00816109"/>
    <w:rsid w:val="008234EA"/>
    <w:rsid w:val="00823F19"/>
    <w:rsid w:val="00824DAD"/>
    <w:rsid w:val="00825878"/>
    <w:rsid w:val="00827A32"/>
    <w:rsid w:val="0083006C"/>
    <w:rsid w:val="0083254C"/>
    <w:rsid w:val="00833812"/>
    <w:rsid w:val="0083384D"/>
    <w:rsid w:val="0083527C"/>
    <w:rsid w:val="00835A01"/>
    <w:rsid w:val="00837D06"/>
    <w:rsid w:val="008403E5"/>
    <w:rsid w:val="008412FD"/>
    <w:rsid w:val="00850C9B"/>
    <w:rsid w:val="008527D9"/>
    <w:rsid w:val="00852A00"/>
    <w:rsid w:val="00856D6C"/>
    <w:rsid w:val="0086221E"/>
    <w:rsid w:val="0086640C"/>
    <w:rsid w:val="0086744D"/>
    <w:rsid w:val="0088332F"/>
    <w:rsid w:val="00886991"/>
    <w:rsid w:val="008A1DD0"/>
    <w:rsid w:val="008A3A58"/>
    <w:rsid w:val="008A754C"/>
    <w:rsid w:val="008B7DE8"/>
    <w:rsid w:val="008C04F8"/>
    <w:rsid w:val="008C41F4"/>
    <w:rsid w:val="008C45B8"/>
    <w:rsid w:val="008C47FF"/>
    <w:rsid w:val="008D0A24"/>
    <w:rsid w:val="008D5D53"/>
    <w:rsid w:val="008E1293"/>
    <w:rsid w:val="008E330D"/>
    <w:rsid w:val="008E4CED"/>
    <w:rsid w:val="008F0372"/>
    <w:rsid w:val="008F280B"/>
    <w:rsid w:val="008F6F35"/>
    <w:rsid w:val="00900241"/>
    <w:rsid w:val="00901561"/>
    <w:rsid w:val="009038C1"/>
    <w:rsid w:val="00906684"/>
    <w:rsid w:val="00921C5E"/>
    <w:rsid w:val="00930CF6"/>
    <w:rsid w:val="00933E68"/>
    <w:rsid w:val="009342C1"/>
    <w:rsid w:val="00934740"/>
    <w:rsid w:val="009352B6"/>
    <w:rsid w:val="00935C70"/>
    <w:rsid w:val="00941829"/>
    <w:rsid w:val="0094281F"/>
    <w:rsid w:val="009429BB"/>
    <w:rsid w:val="00943C51"/>
    <w:rsid w:val="0094401C"/>
    <w:rsid w:val="00944EEA"/>
    <w:rsid w:val="00945D27"/>
    <w:rsid w:val="009518A3"/>
    <w:rsid w:val="009524C6"/>
    <w:rsid w:val="009675E7"/>
    <w:rsid w:val="0097069B"/>
    <w:rsid w:val="009752F1"/>
    <w:rsid w:val="0098526F"/>
    <w:rsid w:val="00994BB7"/>
    <w:rsid w:val="009A56F0"/>
    <w:rsid w:val="009A67D6"/>
    <w:rsid w:val="009A7862"/>
    <w:rsid w:val="009B040D"/>
    <w:rsid w:val="009B1CB8"/>
    <w:rsid w:val="009B5AFD"/>
    <w:rsid w:val="009C3403"/>
    <w:rsid w:val="009C6E11"/>
    <w:rsid w:val="009D314C"/>
    <w:rsid w:val="009D326A"/>
    <w:rsid w:val="009D345C"/>
    <w:rsid w:val="009D5E0D"/>
    <w:rsid w:val="009F2868"/>
    <w:rsid w:val="00A01065"/>
    <w:rsid w:val="00A058C4"/>
    <w:rsid w:val="00A07FE2"/>
    <w:rsid w:val="00A119C5"/>
    <w:rsid w:val="00A22EFF"/>
    <w:rsid w:val="00A25241"/>
    <w:rsid w:val="00A270A3"/>
    <w:rsid w:val="00A308DA"/>
    <w:rsid w:val="00A3515C"/>
    <w:rsid w:val="00A352A7"/>
    <w:rsid w:val="00A369EC"/>
    <w:rsid w:val="00A46E95"/>
    <w:rsid w:val="00A473BB"/>
    <w:rsid w:val="00A50B28"/>
    <w:rsid w:val="00A512C1"/>
    <w:rsid w:val="00A56B92"/>
    <w:rsid w:val="00A70120"/>
    <w:rsid w:val="00A717DC"/>
    <w:rsid w:val="00A755E5"/>
    <w:rsid w:val="00A77789"/>
    <w:rsid w:val="00A843A1"/>
    <w:rsid w:val="00A84EEF"/>
    <w:rsid w:val="00A93752"/>
    <w:rsid w:val="00A96598"/>
    <w:rsid w:val="00A9662C"/>
    <w:rsid w:val="00A96E0F"/>
    <w:rsid w:val="00AA7BE5"/>
    <w:rsid w:val="00AB1BC0"/>
    <w:rsid w:val="00AB2226"/>
    <w:rsid w:val="00AB2732"/>
    <w:rsid w:val="00AB4B7F"/>
    <w:rsid w:val="00AB6A50"/>
    <w:rsid w:val="00AB7B5D"/>
    <w:rsid w:val="00AC006C"/>
    <w:rsid w:val="00AC15A5"/>
    <w:rsid w:val="00AC1953"/>
    <w:rsid w:val="00AC295B"/>
    <w:rsid w:val="00AC36C7"/>
    <w:rsid w:val="00AC4690"/>
    <w:rsid w:val="00AC62F3"/>
    <w:rsid w:val="00AC774C"/>
    <w:rsid w:val="00AD6315"/>
    <w:rsid w:val="00AD739C"/>
    <w:rsid w:val="00AE0413"/>
    <w:rsid w:val="00AF255C"/>
    <w:rsid w:val="00AF33C7"/>
    <w:rsid w:val="00AF4370"/>
    <w:rsid w:val="00AF6B19"/>
    <w:rsid w:val="00B00E8C"/>
    <w:rsid w:val="00B01707"/>
    <w:rsid w:val="00B034E2"/>
    <w:rsid w:val="00B06794"/>
    <w:rsid w:val="00B06F97"/>
    <w:rsid w:val="00B11F66"/>
    <w:rsid w:val="00B2658E"/>
    <w:rsid w:val="00B26F2D"/>
    <w:rsid w:val="00B31D82"/>
    <w:rsid w:val="00B32028"/>
    <w:rsid w:val="00B32DE9"/>
    <w:rsid w:val="00B35B24"/>
    <w:rsid w:val="00B41303"/>
    <w:rsid w:val="00B45CBF"/>
    <w:rsid w:val="00B471CB"/>
    <w:rsid w:val="00B57852"/>
    <w:rsid w:val="00B7759A"/>
    <w:rsid w:val="00B8070E"/>
    <w:rsid w:val="00B833E8"/>
    <w:rsid w:val="00B87292"/>
    <w:rsid w:val="00B96C7D"/>
    <w:rsid w:val="00B97D8E"/>
    <w:rsid w:val="00BA172E"/>
    <w:rsid w:val="00BB0A52"/>
    <w:rsid w:val="00BB6CA3"/>
    <w:rsid w:val="00BC16CA"/>
    <w:rsid w:val="00BC445F"/>
    <w:rsid w:val="00BD141D"/>
    <w:rsid w:val="00BD26F6"/>
    <w:rsid w:val="00BD588D"/>
    <w:rsid w:val="00BD6CCD"/>
    <w:rsid w:val="00BD7879"/>
    <w:rsid w:val="00BF0AC6"/>
    <w:rsid w:val="00BF2018"/>
    <w:rsid w:val="00BF481C"/>
    <w:rsid w:val="00BF722D"/>
    <w:rsid w:val="00C110E7"/>
    <w:rsid w:val="00C1362C"/>
    <w:rsid w:val="00C165B6"/>
    <w:rsid w:val="00C17580"/>
    <w:rsid w:val="00C20EDC"/>
    <w:rsid w:val="00C234D9"/>
    <w:rsid w:val="00C26375"/>
    <w:rsid w:val="00C30E9B"/>
    <w:rsid w:val="00C3234C"/>
    <w:rsid w:val="00C32EFA"/>
    <w:rsid w:val="00C33964"/>
    <w:rsid w:val="00C3650C"/>
    <w:rsid w:val="00C4006E"/>
    <w:rsid w:val="00C44C81"/>
    <w:rsid w:val="00C51A1C"/>
    <w:rsid w:val="00C55D8B"/>
    <w:rsid w:val="00C57DAD"/>
    <w:rsid w:val="00C662EB"/>
    <w:rsid w:val="00C671D9"/>
    <w:rsid w:val="00C6764C"/>
    <w:rsid w:val="00C67D77"/>
    <w:rsid w:val="00C7016A"/>
    <w:rsid w:val="00C73FD0"/>
    <w:rsid w:val="00C74EA0"/>
    <w:rsid w:val="00C77A31"/>
    <w:rsid w:val="00C82523"/>
    <w:rsid w:val="00C84CEB"/>
    <w:rsid w:val="00C92404"/>
    <w:rsid w:val="00C937C8"/>
    <w:rsid w:val="00CA2FAF"/>
    <w:rsid w:val="00CA5149"/>
    <w:rsid w:val="00CB14ED"/>
    <w:rsid w:val="00CB2084"/>
    <w:rsid w:val="00CB29B7"/>
    <w:rsid w:val="00CB34AB"/>
    <w:rsid w:val="00CB5BA9"/>
    <w:rsid w:val="00CB7D5B"/>
    <w:rsid w:val="00CD3B84"/>
    <w:rsid w:val="00CE1F9A"/>
    <w:rsid w:val="00CE2D53"/>
    <w:rsid w:val="00CE6015"/>
    <w:rsid w:val="00CF4A0B"/>
    <w:rsid w:val="00D01B63"/>
    <w:rsid w:val="00D03648"/>
    <w:rsid w:val="00D05FD3"/>
    <w:rsid w:val="00D07274"/>
    <w:rsid w:val="00D115BA"/>
    <w:rsid w:val="00D118D0"/>
    <w:rsid w:val="00D134FF"/>
    <w:rsid w:val="00D172A9"/>
    <w:rsid w:val="00D20405"/>
    <w:rsid w:val="00D20596"/>
    <w:rsid w:val="00D219EC"/>
    <w:rsid w:val="00D27BB4"/>
    <w:rsid w:val="00D42F3D"/>
    <w:rsid w:val="00D4330B"/>
    <w:rsid w:val="00D445CA"/>
    <w:rsid w:val="00D46080"/>
    <w:rsid w:val="00D474D5"/>
    <w:rsid w:val="00D505F7"/>
    <w:rsid w:val="00D50A90"/>
    <w:rsid w:val="00D50B29"/>
    <w:rsid w:val="00D51A74"/>
    <w:rsid w:val="00D5430A"/>
    <w:rsid w:val="00D54EC9"/>
    <w:rsid w:val="00D55085"/>
    <w:rsid w:val="00D71C2B"/>
    <w:rsid w:val="00D73A28"/>
    <w:rsid w:val="00D75E4B"/>
    <w:rsid w:val="00D84E4F"/>
    <w:rsid w:val="00D90511"/>
    <w:rsid w:val="00D930D0"/>
    <w:rsid w:val="00D9415E"/>
    <w:rsid w:val="00D96FC4"/>
    <w:rsid w:val="00DA2F09"/>
    <w:rsid w:val="00DA30E3"/>
    <w:rsid w:val="00DA3272"/>
    <w:rsid w:val="00DA6FB6"/>
    <w:rsid w:val="00DB14ED"/>
    <w:rsid w:val="00DB33F3"/>
    <w:rsid w:val="00DB6942"/>
    <w:rsid w:val="00DB6E0A"/>
    <w:rsid w:val="00DC387D"/>
    <w:rsid w:val="00DC3AAB"/>
    <w:rsid w:val="00DC3DF3"/>
    <w:rsid w:val="00DC609F"/>
    <w:rsid w:val="00DC6F46"/>
    <w:rsid w:val="00DC7179"/>
    <w:rsid w:val="00DD4D7D"/>
    <w:rsid w:val="00DD543E"/>
    <w:rsid w:val="00DE048D"/>
    <w:rsid w:val="00DE24DB"/>
    <w:rsid w:val="00DE2B58"/>
    <w:rsid w:val="00DF3958"/>
    <w:rsid w:val="00E00526"/>
    <w:rsid w:val="00E05C39"/>
    <w:rsid w:val="00E07C2A"/>
    <w:rsid w:val="00E1028A"/>
    <w:rsid w:val="00E139BB"/>
    <w:rsid w:val="00E173E2"/>
    <w:rsid w:val="00E21DC1"/>
    <w:rsid w:val="00E242C5"/>
    <w:rsid w:val="00E47D1D"/>
    <w:rsid w:val="00E51984"/>
    <w:rsid w:val="00E60527"/>
    <w:rsid w:val="00E609C4"/>
    <w:rsid w:val="00E638F4"/>
    <w:rsid w:val="00E75B30"/>
    <w:rsid w:val="00E8025F"/>
    <w:rsid w:val="00E86B51"/>
    <w:rsid w:val="00E920AD"/>
    <w:rsid w:val="00E962DC"/>
    <w:rsid w:val="00E97244"/>
    <w:rsid w:val="00EA26DD"/>
    <w:rsid w:val="00EA415F"/>
    <w:rsid w:val="00EB5537"/>
    <w:rsid w:val="00EC4F4A"/>
    <w:rsid w:val="00ED2082"/>
    <w:rsid w:val="00EE3FC3"/>
    <w:rsid w:val="00EE4225"/>
    <w:rsid w:val="00EF0B78"/>
    <w:rsid w:val="00EF51EC"/>
    <w:rsid w:val="00F10332"/>
    <w:rsid w:val="00F2710F"/>
    <w:rsid w:val="00F27B5E"/>
    <w:rsid w:val="00F30C6A"/>
    <w:rsid w:val="00F34AC5"/>
    <w:rsid w:val="00F42153"/>
    <w:rsid w:val="00F428EF"/>
    <w:rsid w:val="00F429DC"/>
    <w:rsid w:val="00F42CE0"/>
    <w:rsid w:val="00F47978"/>
    <w:rsid w:val="00F56EBB"/>
    <w:rsid w:val="00F57F83"/>
    <w:rsid w:val="00F65BC3"/>
    <w:rsid w:val="00F73596"/>
    <w:rsid w:val="00F8165A"/>
    <w:rsid w:val="00F863FF"/>
    <w:rsid w:val="00F8741F"/>
    <w:rsid w:val="00F915F5"/>
    <w:rsid w:val="00F92DBB"/>
    <w:rsid w:val="00F956E5"/>
    <w:rsid w:val="00F9570C"/>
    <w:rsid w:val="00F964F9"/>
    <w:rsid w:val="00F979F9"/>
    <w:rsid w:val="00FA629C"/>
    <w:rsid w:val="00FA6381"/>
    <w:rsid w:val="00FB1FAC"/>
    <w:rsid w:val="00FC10A8"/>
    <w:rsid w:val="00FC135E"/>
    <w:rsid w:val="00FC2D67"/>
    <w:rsid w:val="00FC3BFD"/>
    <w:rsid w:val="00FC43C5"/>
    <w:rsid w:val="00FC5F0C"/>
    <w:rsid w:val="00FD0F04"/>
    <w:rsid w:val="00FD2F01"/>
    <w:rsid w:val="00FD472F"/>
    <w:rsid w:val="00FE1947"/>
    <w:rsid w:val="00FE7B40"/>
    <w:rsid w:val="00FF137C"/>
    <w:rsid w:val="00FF7298"/>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BD7FCD"/>
  <w15:chartTrackingRefBased/>
  <w15:docId w15:val="{15D53CFB-7980-434C-B53C-9494156E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F01"/>
    <w:pPr>
      <w:widowControl w:val="0"/>
      <w:jc w:val="both"/>
    </w:pPr>
    <w:rPr>
      <w:szCs w:val="22"/>
    </w:rPr>
  </w:style>
  <w:style w:type="paragraph" w:styleId="1">
    <w:name w:val="heading 1"/>
    <w:basedOn w:val="a"/>
    <w:next w:val="a"/>
    <w:link w:val="10"/>
    <w:uiPriority w:val="9"/>
    <w:qFormat/>
    <w:rsid w:val="00FD2F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2F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2F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2F01"/>
    <w:pPr>
      <w:keepNext/>
      <w:keepLines/>
      <w:spacing w:before="80" w:after="40"/>
      <w:outlineLvl w:val="3"/>
    </w:pPr>
    <w:rPr>
      <w:rFonts w:asciiTheme="majorHAnsi" w:eastAsiaTheme="majorEastAsia" w:hAnsiTheme="majorHAnsi" w:cstheme="majorBidi"/>
      <w:color w:val="000000" w:themeColor="text1"/>
      <w:szCs w:val="24"/>
    </w:rPr>
  </w:style>
  <w:style w:type="paragraph" w:styleId="5">
    <w:name w:val="heading 5"/>
    <w:basedOn w:val="a"/>
    <w:next w:val="a"/>
    <w:link w:val="50"/>
    <w:uiPriority w:val="9"/>
    <w:semiHidden/>
    <w:unhideWhenUsed/>
    <w:qFormat/>
    <w:rsid w:val="00FD2F01"/>
    <w:pPr>
      <w:keepNext/>
      <w:keepLines/>
      <w:spacing w:before="80" w:after="40"/>
      <w:ind w:leftChars="100" w:left="100"/>
      <w:outlineLvl w:val="4"/>
    </w:pPr>
    <w:rPr>
      <w:rFonts w:asciiTheme="majorHAnsi" w:eastAsiaTheme="majorEastAsia" w:hAnsiTheme="majorHAnsi" w:cstheme="majorBidi"/>
      <w:color w:val="000000" w:themeColor="text1"/>
      <w:szCs w:val="24"/>
    </w:rPr>
  </w:style>
  <w:style w:type="paragraph" w:styleId="6">
    <w:name w:val="heading 6"/>
    <w:basedOn w:val="a"/>
    <w:next w:val="a"/>
    <w:link w:val="60"/>
    <w:uiPriority w:val="9"/>
    <w:semiHidden/>
    <w:unhideWhenUsed/>
    <w:qFormat/>
    <w:rsid w:val="00FD2F01"/>
    <w:pPr>
      <w:keepNext/>
      <w:keepLines/>
      <w:spacing w:before="80" w:after="40"/>
      <w:ind w:leftChars="200" w:left="200"/>
      <w:outlineLvl w:val="5"/>
    </w:pPr>
    <w:rPr>
      <w:rFonts w:asciiTheme="majorHAnsi" w:eastAsiaTheme="majorEastAsia" w:hAnsiTheme="majorHAnsi" w:cstheme="majorBidi"/>
      <w:color w:val="000000" w:themeColor="text1"/>
      <w:szCs w:val="24"/>
    </w:rPr>
  </w:style>
  <w:style w:type="paragraph" w:styleId="7">
    <w:name w:val="heading 7"/>
    <w:basedOn w:val="a"/>
    <w:next w:val="a"/>
    <w:link w:val="70"/>
    <w:uiPriority w:val="9"/>
    <w:semiHidden/>
    <w:unhideWhenUsed/>
    <w:qFormat/>
    <w:rsid w:val="00FD2F01"/>
    <w:pPr>
      <w:keepNext/>
      <w:keepLines/>
      <w:spacing w:before="80" w:after="40"/>
      <w:ind w:leftChars="300" w:left="300"/>
      <w:outlineLvl w:val="6"/>
    </w:pPr>
    <w:rPr>
      <w:rFonts w:asciiTheme="majorHAnsi" w:eastAsiaTheme="majorEastAsia" w:hAnsiTheme="majorHAnsi" w:cstheme="majorBidi"/>
      <w:color w:val="000000" w:themeColor="text1"/>
      <w:szCs w:val="24"/>
    </w:rPr>
  </w:style>
  <w:style w:type="paragraph" w:styleId="8">
    <w:name w:val="heading 8"/>
    <w:basedOn w:val="a"/>
    <w:next w:val="a"/>
    <w:link w:val="80"/>
    <w:uiPriority w:val="9"/>
    <w:semiHidden/>
    <w:unhideWhenUsed/>
    <w:qFormat/>
    <w:rsid w:val="00FD2F01"/>
    <w:pPr>
      <w:keepNext/>
      <w:keepLines/>
      <w:spacing w:before="80" w:after="40"/>
      <w:ind w:leftChars="400" w:left="400"/>
      <w:outlineLvl w:val="7"/>
    </w:pPr>
    <w:rPr>
      <w:rFonts w:asciiTheme="majorHAnsi" w:eastAsiaTheme="majorEastAsia" w:hAnsiTheme="majorHAnsi" w:cstheme="majorBidi"/>
      <w:color w:val="000000" w:themeColor="text1"/>
      <w:szCs w:val="24"/>
    </w:rPr>
  </w:style>
  <w:style w:type="paragraph" w:styleId="9">
    <w:name w:val="heading 9"/>
    <w:basedOn w:val="a"/>
    <w:next w:val="a"/>
    <w:link w:val="90"/>
    <w:uiPriority w:val="9"/>
    <w:semiHidden/>
    <w:unhideWhenUsed/>
    <w:qFormat/>
    <w:rsid w:val="00FD2F01"/>
    <w:pPr>
      <w:keepNext/>
      <w:keepLines/>
      <w:spacing w:before="80" w:after="40"/>
      <w:ind w:leftChars="500" w:left="500"/>
      <w:outlineLvl w:val="8"/>
    </w:pPr>
    <w:rPr>
      <w:rFonts w:asciiTheme="majorHAnsi" w:eastAsiaTheme="majorEastAsia" w:hAnsiTheme="majorHAnsi" w:cstheme="majorBidi"/>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675E7"/>
  </w:style>
  <w:style w:type="character" w:customStyle="1" w:styleId="10">
    <w:name w:val="見出し 1 (文字)"/>
    <w:basedOn w:val="a0"/>
    <w:link w:val="1"/>
    <w:uiPriority w:val="9"/>
    <w:rsid w:val="00FD2F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2F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2F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2F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2F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2F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2F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2F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2F01"/>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FD2F01"/>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FD2F0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FD2F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FD2F0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FD2F01"/>
    <w:pPr>
      <w:spacing w:before="160" w:after="160"/>
      <w:jc w:val="center"/>
    </w:pPr>
    <w:rPr>
      <w:i/>
      <w:iCs/>
      <w:color w:val="404040" w:themeColor="text1" w:themeTint="BF"/>
      <w:szCs w:val="24"/>
    </w:rPr>
  </w:style>
  <w:style w:type="character" w:customStyle="1" w:styleId="a9">
    <w:name w:val="引用文 (文字)"/>
    <w:basedOn w:val="a0"/>
    <w:link w:val="a8"/>
    <w:uiPriority w:val="29"/>
    <w:rsid w:val="00FD2F01"/>
    <w:rPr>
      <w:i/>
      <w:iCs/>
      <w:color w:val="404040" w:themeColor="text1" w:themeTint="BF"/>
    </w:rPr>
  </w:style>
  <w:style w:type="paragraph" w:styleId="aa">
    <w:name w:val="List Paragraph"/>
    <w:basedOn w:val="a"/>
    <w:uiPriority w:val="34"/>
    <w:qFormat/>
    <w:rsid w:val="00FD2F01"/>
    <w:pPr>
      <w:ind w:left="720"/>
      <w:contextualSpacing/>
    </w:pPr>
    <w:rPr>
      <w:szCs w:val="24"/>
    </w:rPr>
  </w:style>
  <w:style w:type="character" w:styleId="21">
    <w:name w:val="Intense Emphasis"/>
    <w:basedOn w:val="a0"/>
    <w:uiPriority w:val="21"/>
    <w:qFormat/>
    <w:rsid w:val="00FD2F01"/>
    <w:rPr>
      <w:i/>
      <w:iCs/>
      <w:color w:val="0F4761" w:themeColor="accent1" w:themeShade="BF"/>
    </w:rPr>
  </w:style>
  <w:style w:type="paragraph" w:styleId="22">
    <w:name w:val="Intense Quote"/>
    <w:basedOn w:val="a"/>
    <w:next w:val="a"/>
    <w:link w:val="23"/>
    <w:uiPriority w:val="30"/>
    <w:qFormat/>
    <w:rsid w:val="00FD2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rPr>
  </w:style>
  <w:style w:type="character" w:customStyle="1" w:styleId="23">
    <w:name w:val="引用文 2 (文字)"/>
    <w:basedOn w:val="a0"/>
    <w:link w:val="22"/>
    <w:uiPriority w:val="30"/>
    <w:rsid w:val="00FD2F01"/>
    <w:rPr>
      <w:i/>
      <w:iCs/>
      <w:color w:val="0F4761" w:themeColor="accent1" w:themeShade="BF"/>
    </w:rPr>
  </w:style>
  <w:style w:type="character" w:styleId="24">
    <w:name w:val="Intense Reference"/>
    <w:basedOn w:val="a0"/>
    <w:uiPriority w:val="32"/>
    <w:qFormat/>
    <w:rsid w:val="00FD2F01"/>
    <w:rPr>
      <w:b/>
      <w:bCs/>
      <w:smallCaps/>
      <w:color w:val="0F4761" w:themeColor="accent1" w:themeShade="BF"/>
      <w:spacing w:val="5"/>
    </w:rPr>
  </w:style>
  <w:style w:type="table" w:styleId="ab">
    <w:name w:val="Table Grid"/>
    <w:basedOn w:val="a1"/>
    <w:uiPriority w:val="39"/>
    <w:rsid w:val="0056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D505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40843">
      <w:bodyDiv w:val="1"/>
      <w:marLeft w:val="0"/>
      <w:marRight w:val="0"/>
      <w:marTop w:val="0"/>
      <w:marBottom w:val="0"/>
      <w:divBdr>
        <w:top w:val="none" w:sz="0" w:space="0" w:color="auto"/>
        <w:left w:val="none" w:sz="0" w:space="0" w:color="auto"/>
        <w:bottom w:val="none" w:sz="0" w:space="0" w:color="auto"/>
        <w:right w:val="none" w:sz="0" w:space="0" w:color="auto"/>
      </w:divBdr>
    </w:div>
    <w:div w:id="847215922">
      <w:bodyDiv w:val="1"/>
      <w:marLeft w:val="0"/>
      <w:marRight w:val="0"/>
      <w:marTop w:val="0"/>
      <w:marBottom w:val="0"/>
      <w:divBdr>
        <w:top w:val="none" w:sz="0" w:space="0" w:color="auto"/>
        <w:left w:val="none" w:sz="0" w:space="0" w:color="auto"/>
        <w:bottom w:val="none" w:sz="0" w:space="0" w:color="auto"/>
        <w:right w:val="none" w:sz="0" w:space="0" w:color="auto"/>
      </w:divBdr>
    </w:div>
    <w:div w:id="897667810">
      <w:bodyDiv w:val="1"/>
      <w:marLeft w:val="0"/>
      <w:marRight w:val="0"/>
      <w:marTop w:val="0"/>
      <w:marBottom w:val="0"/>
      <w:divBdr>
        <w:top w:val="none" w:sz="0" w:space="0" w:color="auto"/>
        <w:left w:val="none" w:sz="0" w:space="0" w:color="auto"/>
        <w:bottom w:val="none" w:sz="0" w:space="0" w:color="auto"/>
        <w:right w:val="none" w:sz="0" w:space="0" w:color="auto"/>
      </w:divBdr>
    </w:div>
    <w:div w:id="912936992">
      <w:bodyDiv w:val="1"/>
      <w:marLeft w:val="0"/>
      <w:marRight w:val="0"/>
      <w:marTop w:val="0"/>
      <w:marBottom w:val="0"/>
      <w:divBdr>
        <w:top w:val="none" w:sz="0" w:space="0" w:color="auto"/>
        <w:left w:val="none" w:sz="0" w:space="0" w:color="auto"/>
        <w:bottom w:val="none" w:sz="0" w:space="0" w:color="auto"/>
        <w:right w:val="none" w:sz="0" w:space="0" w:color="auto"/>
      </w:divBdr>
    </w:div>
    <w:div w:id="1130978923">
      <w:bodyDiv w:val="1"/>
      <w:marLeft w:val="0"/>
      <w:marRight w:val="0"/>
      <w:marTop w:val="0"/>
      <w:marBottom w:val="0"/>
      <w:divBdr>
        <w:top w:val="none" w:sz="0" w:space="0" w:color="auto"/>
        <w:left w:val="none" w:sz="0" w:space="0" w:color="auto"/>
        <w:bottom w:val="none" w:sz="0" w:space="0" w:color="auto"/>
        <w:right w:val="none" w:sz="0" w:space="0" w:color="auto"/>
      </w:divBdr>
    </w:div>
    <w:div w:id="1200162609">
      <w:bodyDiv w:val="1"/>
      <w:marLeft w:val="0"/>
      <w:marRight w:val="0"/>
      <w:marTop w:val="0"/>
      <w:marBottom w:val="0"/>
      <w:divBdr>
        <w:top w:val="none" w:sz="0" w:space="0" w:color="auto"/>
        <w:left w:val="none" w:sz="0" w:space="0" w:color="auto"/>
        <w:bottom w:val="none" w:sz="0" w:space="0" w:color="auto"/>
        <w:right w:val="none" w:sz="0" w:space="0" w:color="auto"/>
      </w:divBdr>
    </w:div>
    <w:div w:id="1345589062">
      <w:bodyDiv w:val="1"/>
      <w:marLeft w:val="0"/>
      <w:marRight w:val="0"/>
      <w:marTop w:val="0"/>
      <w:marBottom w:val="0"/>
      <w:divBdr>
        <w:top w:val="none" w:sz="0" w:space="0" w:color="auto"/>
        <w:left w:val="none" w:sz="0" w:space="0" w:color="auto"/>
        <w:bottom w:val="none" w:sz="0" w:space="0" w:color="auto"/>
        <w:right w:val="none" w:sz="0" w:space="0" w:color="auto"/>
      </w:divBdr>
    </w:div>
    <w:div w:id="1441267754">
      <w:bodyDiv w:val="1"/>
      <w:marLeft w:val="0"/>
      <w:marRight w:val="0"/>
      <w:marTop w:val="0"/>
      <w:marBottom w:val="0"/>
      <w:divBdr>
        <w:top w:val="none" w:sz="0" w:space="0" w:color="auto"/>
        <w:left w:val="none" w:sz="0" w:space="0" w:color="auto"/>
        <w:bottom w:val="none" w:sz="0" w:space="0" w:color="auto"/>
        <w:right w:val="none" w:sz="0" w:space="0" w:color="auto"/>
      </w:divBdr>
    </w:div>
    <w:div w:id="1730883381">
      <w:bodyDiv w:val="1"/>
      <w:marLeft w:val="0"/>
      <w:marRight w:val="0"/>
      <w:marTop w:val="0"/>
      <w:marBottom w:val="0"/>
      <w:divBdr>
        <w:top w:val="none" w:sz="0" w:space="0" w:color="auto"/>
        <w:left w:val="none" w:sz="0" w:space="0" w:color="auto"/>
        <w:bottom w:val="none" w:sz="0" w:space="0" w:color="auto"/>
        <w:right w:val="none" w:sz="0" w:space="0" w:color="auto"/>
      </w:divBdr>
      <w:divsChild>
        <w:div w:id="1477717615">
          <w:marLeft w:val="640"/>
          <w:marRight w:val="0"/>
          <w:marTop w:val="0"/>
          <w:marBottom w:val="0"/>
          <w:divBdr>
            <w:top w:val="none" w:sz="0" w:space="0" w:color="auto"/>
            <w:left w:val="none" w:sz="0" w:space="0" w:color="auto"/>
            <w:bottom w:val="none" w:sz="0" w:space="0" w:color="auto"/>
            <w:right w:val="none" w:sz="0" w:space="0" w:color="auto"/>
          </w:divBdr>
        </w:div>
      </w:divsChild>
    </w:div>
    <w:div w:id="1787505511">
      <w:bodyDiv w:val="1"/>
      <w:marLeft w:val="0"/>
      <w:marRight w:val="0"/>
      <w:marTop w:val="0"/>
      <w:marBottom w:val="0"/>
      <w:divBdr>
        <w:top w:val="none" w:sz="0" w:space="0" w:color="auto"/>
        <w:left w:val="none" w:sz="0" w:space="0" w:color="auto"/>
        <w:bottom w:val="none" w:sz="0" w:space="0" w:color="auto"/>
        <w:right w:val="none" w:sz="0" w:space="0" w:color="auto"/>
      </w:divBdr>
    </w:div>
    <w:div w:id="1845318583">
      <w:bodyDiv w:val="1"/>
      <w:marLeft w:val="0"/>
      <w:marRight w:val="0"/>
      <w:marTop w:val="0"/>
      <w:marBottom w:val="0"/>
      <w:divBdr>
        <w:top w:val="none" w:sz="0" w:space="0" w:color="auto"/>
        <w:left w:val="none" w:sz="0" w:space="0" w:color="auto"/>
        <w:bottom w:val="none" w:sz="0" w:space="0" w:color="auto"/>
        <w:right w:val="none" w:sz="0" w:space="0" w:color="auto"/>
      </w:divBdr>
    </w:div>
    <w:div w:id="1946031674">
      <w:bodyDiv w:val="1"/>
      <w:marLeft w:val="0"/>
      <w:marRight w:val="0"/>
      <w:marTop w:val="0"/>
      <w:marBottom w:val="0"/>
      <w:divBdr>
        <w:top w:val="none" w:sz="0" w:space="0" w:color="auto"/>
        <w:left w:val="none" w:sz="0" w:space="0" w:color="auto"/>
        <w:bottom w:val="none" w:sz="0" w:space="0" w:color="auto"/>
        <w:right w:val="none" w:sz="0" w:space="0" w:color="auto"/>
      </w:divBdr>
    </w:div>
    <w:div w:id="212634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3D85DC-6882-824E-9250-8B84C47C17DC}">
  <we:reference id="wa104382081" version="1.55.1.0" store="ja-JP" storeType="OMEX"/>
  <we:alternateReferences>
    <we:reference id="WA104382081" version="1.55.1.0" store="ja-JP" storeType="OMEX"/>
  </we:alternateReferences>
  <we:properties>
    <we:property name="MENDELEY_CITATIONS" value="[{&quot;citationID&quot;:&quot;MENDELEY_CITATION_fdd03580-c175-4e4f-af1e-1327c98a0b9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&quot;,&quot;citationItems&quot;:[{&quot;id&quot;:&quot;17d34b41-e0f6-3348-9ff9-22d3e111fe2d&quot;,&quot;itemData&quot;:{&quot;type&quot;:&quot;article-journal&quot;,&quot;id&quot;:&quot;17d34b41-e0f6-3348-9ff9-22d3e111fe2d&quot;,&quot;title&quot;:&quot;Extraction of genomic DNA from yeasts for PCR-based applications.&quot;,&quot;author&quot;:[{&quot;family&quot;:&quot;Lõoke&quot;,&quot;given&quot;:&quot;Marko&quot;,&quot;parse-names&quot;:false,&quot;dropping-particle&quot;:&quot;&quot;,&quot;non-dropping-particle&quot;:&quot;&quot;},{&quot;family&quot;:&quot;Kristjuhan&quot;,&quot;given&quot;:&quot;Kersti&quot;,&quot;parse-names&quot;:false,&quot;dropping-particle&quot;:&quot;&quot;,&quot;non-dropping-particle&quot;:&quot;&quot;},{&quot;family&quot;:&quot;Kristjuhan&quot;,&quot;given&quot;:&quot;Arnold&quot;,&quot;parse-names&quot;:false,&quot;dropping-particle&quot;:&quot;&quot;,&quot;non-dropping-particle&quot;:&quot;&quot;}],&quot;container-title&quot;:&quot;BioTechniques&quot;,&quot;container-title-short&quot;:&quot;Biotechniques&quot;,&quot;DOI&quot;:&quot;10.2144/000113672&quot;,&quot;ISSN&quot;:&quot;1940-9818&quot;,&quot;PMID&quot;:&quot;21548894&quot;,&quot;issued&quot;:{&quot;date-parts&quot;:[[2011,5]]},&quot;page&quot;:&quot;325-8&quot;,&quot;abstract&quot;:&quot;We have developed a quick and low-cost genomic DNA extraction protocol from yeast cells for PCR-based applications. This method does not require any enzymes, hazardous chemicals, or extreme temperatures, and is especially powerful for simultaneous analysis of a large number of samples. DNA can be efficiently extracted from different yeast species (Kluyveromyces lactis, Hansenula polymorpha, Schizosaccharomyces pombe, Candida albicans, Pichia pastoris, and Saccharomyces cerevisiae). The protocol involves lysis of yeast colonies or cells from liquid culture in a lithium acetate (LiOAc)-SDS solution and subsequent precipitation of DNA with ethanol. Approximately 100 nanograms of total genomic DNA can be extracted from 1 × 10(7) cells. DNA extracted by this method is suitable for a variety of PCR-based applications (including colony PCR, real-time qPCR, and DNA sequencing) for amplification of DNA fragments of ≤ 3500 bp.&quot;,&quot;issue&quot;:&quot;5&quot;,&quot;volume&quot;:&quot;50&quot;},&quot;isTemporary&quot;:false}]}]"/>
    <we:property name="MENDELEY_CITATIONS_LOCALE_CODE" value="&quot;en-US&quot;"/>
    <we:property name="MENDELEY_CITATIONS_STYLE" value="{&quot;id&quot;:&quot;https://www.zotero.org/styles/infection-control-and-hospital-epidemiology&quot;,&quot;title&quot;:&quot;Infection Control &amp; Hospital Epidemiolog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CB39B-B733-2243-A339-C70E7D51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844</Words>
  <Characters>4815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啓聡 馬場</dc:creator>
  <cp:keywords/>
  <dc:description/>
  <cp:lastModifiedBy>啓聡 馬場</cp:lastModifiedBy>
  <cp:revision>2</cp:revision>
  <dcterms:created xsi:type="dcterms:W3CDTF">2024-04-10T04:25:00Z</dcterms:created>
  <dcterms:modified xsi:type="dcterms:W3CDTF">2024-04-10T04:25:00Z</dcterms:modified>
</cp:coreProperties>
</file>