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1206" w14:textId="41B34547" w:rsidR="00C81CFB" w:rsidRPr="00B41FB3" w:rsidRDefault="00C81CFB" w:rsidP="00C81CFB">
      <w:pPr>
        <w:spacing w:line="240" w:lineRule="auto"/>
        <w:rPr>
          <w:rFonts w:ascii="Arial" w:hAnsi="Arial" w:cs="Arial"/>
          <w:b/>
          <w:bCs/>
        </w:rPr>
      </w:pPr>
      <w:bookmarkStart w:id="0" w:name="_GoBack"/>
      <w:r w:rsidRPr="00B41FB3">
        <w:rPr>
          <w:rFonts w:ascii="Arial" w:hAnsi="Arial" w:cs="Arial"/>
          <w:b/>
          <w:bCs/>
        </w:rPr>
        <w:t>Table 1: Exploring categories of ignorance from Gross (2007) in relation to shadow diversity</w:t>
      </w:r>
      <w:r w:rsidR="00526E4A">
        <w:rPr>
          <w:rFonts w:ascii="Arial" w:hAnsi="Arial" w:cs="Arial"/>
          <w:b/>
          <w:bCs/>
        </w:rPr>
        <w:t xml:space="preserve"> sub-categories</w:t>
      </w:r>
    </w:p>
    <w:tbl>
      <w:tblPr>
        <w:tblStyle w:val="ListTable3"/>
        <w:tblW w:w="14737" w:type="dxa"/>
        <w:tblLook w:val="04A0" w:firstRow="1" w:lastRow="0" w:firstColumn="1" w:lastColumn="0" w:noHBand="0" w:noVBand="1"/>
      </w:tblPr>
      <w:tblGrid>
        <w:gridCol w:w="1671"/>
        <w:gridCol w:w="2860"/>
        <w:gridCol w:w="6463"/>
        <w:gridCol w:w="3743"/>
      </w:tblGrid>
      <w:tr w:rsidR="00C81CFB" w:rsidRPr="00B41FB3" w14:paraId="7C626A87" w14:textId="77777777" w:rsidTr="00526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1" w:type="dxa"/>
          </w:tcPr>
          <w:p w14:paraId="22384B98" w14:textId="77777777" w:rsidR="00C81CFB" w:rsidRPr="00B41FB3" w:rsidRDefault="00C81CFB" w:rsidP="0066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Fonts w:ascii="Arial" w:hAnsi="Arial" w:cs="Arial"/>
                <w:sz w:val="20"/>
                <w:szCs w:val="20"/>
              </w:rPr>
              <w:t>Term</w:t>
            </w:r>
          </w:p>
        </w:tc>
        <w:tc>
          <w:tcPr>
            <w:tcW w:w="2860" w:type="dxa"/>
          </w:tcPr>
          <w:p w14:paraId="64B8D0C5" w14:textId="77777777" w:rsidR="00C81CFB" w:rsidRPr="00B41FB3" w:rsidRDefault="00C81CFB" w:rsidP="00666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6463" w:type="dxa"/>
          </w:tcPr>
          <w:p w14:paraId="212E0B81" w14:textId="77777777" w:rsidR="00C81CFB" w:rsidRPr="00B41FB3" w:rsidRDefault="00C81CFB" w:rsidP="00666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Fonts w:ascii="Arial" w:hAnsi="Arial" w:cs="Arial"/>
                <w:sz w:val="20"/>
                <w:szCs w:val="20"/>
              </w:rPr>
              <w:t>Interpretation for Shadow Diversity</w:t>
            </w:r>
          </w:p>
        </w:tc>
        <w:tc>
          <w:tcPr>
            <w:tcW w:w="3743" w:type="dxa"/>
          </w:tcPr>
          <w:p w14:paraId="7E7C29F4" w14:textId="77777777" w:rsidR="00C81CFB" w:rsidRPr="00B41FB3" w:rsidRDefault="00C81CFB" w:rsidP="00666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Fonts w:ascii="Arial" w:hAnsi="Arial" w:cs="Arial"/>
                <w:sz w:val="20"/>
                <w:szCs w:val="20"/>
              </w:rPr>
              <w:t>Example</w:t>
            </w:r>
          </w:p>
        </w:tc>
      </w:tr>
      <w:tr w:rsidR="00C81CFB" w:rsidRPr="00B41FB3" w14:paraId="12D88762" w14:textId="77777777" w:rsidTr="0052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669DA4AB" w14:textId="0AEF486D" w:rsidR="00C81CFB" w:rsidRPr="00B41FB3" w:rsidRDefault="00526E4A" w:rsidP="0066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Ignored</w:t>
            </w:r>
          </w:p>
        </w:tc>
        <w:tc>
          <w:tcPr>
            <w:tcW w:w="2860" w:type="dxa"/>
          </w:tcPr>
          <w:p w14:paraId="48C3160D" w14:textId="1DA726A8" w:rsidR="00C81CFB" w:rsidRPr="00B41FB3" w:rsidRDefault="00526E4A" w:rsidP="00C34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6E4A">
              <w:rPr>
                <w:rFonts w:ascii="Arial" w:hAnsi="Arial" w:cs="Arial"/>
                <w:b/>
                <w:i/>
                <w:sz w:val="20"/>
                <w:szCs w:val="20"/>
              </w:rPr>
              <w:t>Negative knowledge</w:t>
            </w:r>
            <w:r w:rsidRPr="00526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FB" w:rsidRPr="00B41FB3">
              <w:rPr>
                <w:rFonts w:ascii="Arial" w:hAnsi="Arial" w:cs="Arial"/>
                <w:sz w:val="20"/>
                <w:szCs w:val="20"/>
              </w:rPr>
              <w:t>“Knowledge about what is not known, but considered as unimportant or even dangerous” (Gross 2007</w:t>
            </w:r>
            <w:r w:rsidR="00C3469C">
              <w:rPr>
                <w:rFonts w:ascii="Arial" w:hAnsi="Arial" w:cs="Arial"/>
                <w:sz w:val="20"/>
                <w:szCs w:val="20"/>
              </w:rPr>
              <w:t>,</w:t>
            </w:r>
            <w:r w:rsidR="00C81CFB" w:rsidRPr="00B41FB3">
              <w:rPr>
                <w:rFonts w:ascii="Arial" w:hAnsi="Arial" w:cs="Arial"/>
                <w:sz w:val="20"/>
                <w:szCs w:val="20"/>
              </w:rPr>
              <w:t xml:space="preserve"> 751)</w:t>
            </w:r>
          </w:p>
        </w:tc>
        <w:tc>
          <w:tcPr>
            <w:tcW w:w="6463" w:type="dxa"/>
          </w:tcPr>
          <w:p w14:paraId="7F31DA11" w14:textId="4750D1C4" w:rsidR="00C81CFB" w:rsidRPr="00B41FB3" w:rsidRDefault="00C81CFB" w:rsidP="002E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This transposes neatly onto scenarios and </w:t>
            </w:r>
            <w:r w:rsidR="00526E4A" w:rsidRPr="00B41FB3">
              <w:rPr>
                <w:rFonts w:ascii="Arial" w:hAnsi="Arial" w:cs="Arial"/>
                <w:i/>
                <w:sz w:val="20"/>
                <w:szCs w:val="20"/>
              </w:rPr>
              <w:t>species that</w:t>
            </w: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B41FB3">
              <w:rPr>
                <w:rFonts w:ascii="Arial" w:hAnsi="Arial" w:cs="Arial"/>
                <w:i/>
                <w:sz w:val="20"/>
                <w:szCs w:val="20"/>
              </w:rPr>
              <w:t>are neglected</w:t>
            </w:r>
            <w:proofErr w:type="gramEnd"/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in biodiversity sampling or studies: species known to science, yet not considered sufficiently valuable or significant for measurement or study. </w:t>
            </w:r>
            <w:r w:rsidR="00526E4A">
              <w:rPr>
                <w:rFonts w:ascii="Arial" w:hAnsi="Arial" w:cs="Arial"/>
                <w:i/>
                <w:sz w:val="20"/>
                <w:szCs w:val="20"/>
              </w:rPr>
              <w:t xml:space="preserve">It refers to a level of </w:t>
            </w:r>
            <w:r w:rsidR="002E580D">
              <w:rPr>
                <w:rFonts w:ascii="Arial" w:hAnsi="Arial" w:cs="Arial"/>
                <w:i/>
                <w:sz w:val="20"/>
                <w:szCs w:val="20"/>
              </w:rPr>
              <w:t>intentional</w:t>
            </w:r>
            <w:r w:rsidR="00526E4A">
              <w:rPr>
                <w:rFonts w:ascii="Arial" w:hAnsi="Arial" w:cs="Arial"/>
                <w:i/>
                <w:sz w:val="20"/>
                <w:szCs w:val="20"/>
              </w:rPr>
              <w:t xml:space="preserve"> choice</w:t>
            </w: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26E4A">
              <w:rPr>
                <w:rFonts w:ascii="Arial" w:hAnsi="Arial" w:cs="Arial"/>
                <w:i/>
                <w:sz w:val="20"/>
                <w:szCs w:val="20"/>
              </w:rPr>
              <w:t>(see</w:t>
            </w:r>
            <w:r w:rsidR="002E580D">
              <w:rPr>
                <w:rFonts w:ascii="Arial" w:hAnsi="Arial" w:cs="Arial"/>
                <w:i/>
                <w:sz w:val="20"/>
                <w:szCs w:val="20"/>
              </w:rPr>
              <w:t xml:space="preserve"> Proctor 2008).</w:t>
            </w:r>
          </w:p>
        </w:tc>
        <w:tc>
          <w:tcPr>
            <w:tcW w:w="3743" w:type="dxa"/>
          </w:tcPr>
          <w:p w14:paraId="3687CD37" w14:textId="2EC9AA3B" w:rsidR="00C81CFB" w:rsidRPr="00B41FB3" w:rsidRDefault="00C81CFB" w:rsidP="0066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>Distribution of urban rabbits or rats.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This category is in danger of unnoticed extinctions, as in the case of Berger </w:t>
            </w:r>
            <w:r w:rsidRPr="001B1EA6">
              <w:rPr>
                <w:rFonts w:ascii="Arial" w:hAnsi="Arial" w:cs="Arial"/>
                <w:sz w:val="20"/>
              </w:rPr>
              <w:t>(2008)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1CFB" w:rsidRPr="00B41FB3" w14:paraId="789B5147" w14:textId="77777777" w:rsidTr="00526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17CE6A42" w14:textId="41387E9F" w:rsidR="00C81CFB" w:rsidRPr="00B41FB3" w:rsidRDefault="00526E4A" w:rsidP="0066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Obscured</w:t>
            </w:r>
          </w:p>
        </w:tc>
        <w:tc>
          <w:tcPr>
            <w:tcW w:w="2860" w:type="dxa"/>
          </w:tcPr>
          <w:p w14:paraId="64CF2D88" w14:textId="4458F348" w:rsidR="00C81CFB" w:rsidRPr="00B41FB3" w:rsidRDefault="00C81CFB" w:rsidP="0066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41FB3">
              <w:rPr>
                <w:rFonts w:ascii="Arial" w:hAnsi="Arial" w:cs="Arial"/>
                <w:sz w:val="20"/>
              </w:rPr>
              <w:t>Missing from Gross’s definitions and process of ignorance</w:t>
            </w:r>
            <w:r w:rsidR="00526E4A">
              <w:rPr>
                <w:rFonts w:ascii="Arial" w:hAnsi="Arial" w:cs="Arial"/>
                <w:sz w:val="20"/>
              </w:rPr>
              <w:t xml:space="preserve">, we compare this sub-category to </w:t>
            </w:r>
            <w:r w:rsidR="00526E4A">
              <w:rPr>
                <w:rFonts w:ascii="Arial" w:hAnsi="Arial" w:cs="Arial"/>
                <w:b/>
                <w:i/>
                <w:sz w:val="20"/>
              </w:rPr>
              <w:t>u</w:t>
            </w:r>
            <w:r w:rsidR="00526E4A" w:rsidRPr="00526E4A">
              <w:rPr>
                <w:rFonts w:ascii="Arial" w:hAnsi="Arial" w:cs="Arial"/>
                <w:b/>
                <w:i/>
                <w:sz w:val="20"/>
              </w:rPr>
              <w:t>nknown knowns</w:t>
            </w:r>
            <w:r w:rsidR="001B63D2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6463" w:type="dxa"/>
          </w:tcPr>
          <w:p w14:paraId="7B12A626" w14:textId="419E9ACD" w:rsidR="00C81CFB" w:rsidRPr="00B41FB3" w:rsidRDefault="00C81CFB" w:rsidP="00DD1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 w:rsidRPr="00B41FB3">
              <w:rPr>
                <w:rFonts w:ascii="Arial" w:hAnsi="Arial" w:cs="Arial"/>
                <w:i/>
                <w:sz w:val="20"/>
              </w:rPr>
              <w:t>For the purposes of biodiversity, this relates to species for which there are scientific records, but where practicalities prevent further knowledge or make this difficult to achieve</w:t>
            </w:r>
            <w:r w:rsidR="002E580D">
              <w:rPr>
                <w:rFonts w:ascii="Arial" w:hAnsi="Arial" w:cs="Arial"/>
                <w:i/>
                <w:sz w:val="20"/>
              </w:rPr>
              <w:t xml:space="preserve">. </w:t>
            </w:r>
            <w:proofErr w:type="gramStart"/>
            <w:r w:rsidR="002E580D">
              <w:rPr>
                <w:rFonts w:ascii="Arial" w:hAnsi="Arial" w:cs="Arial"/>
                <w:i/>
                <w:sz w:val="20"/>
              </w:rPr>
              <w:t xml:space="preserve">Examples of this would </w:t>
            </w:r>
            <w:r w:rsidRPr="00B41FB3">
              <w:rPr>
                <w:rFonts w:ascii="Arial" w:hAnsi="Arial" w:cs="Arial"/>
                <w:i/>
                <w:sz w:val="20"/>
              </w:rPr>
              <w:t>collected species in herbariums and museums, yet to be described and lacking taxonomic expertise; holding a comprehensive list of species of a certain kingdom on record, but no taxonomic expertise available to survey a region being studied</w:t>
            </w:r>
            <w:r w:rsidR="002E580D">
              <w:rPr>
                <w:rFonts w:ascii="Arial" w:hAnsi="Arial" w:cs="Arial"/>
                <w:i/>
                <w:sz w:val="20"/>
              </w:rPr>
              <w:t xml:space="preserve"> (both considered forms of “taxonomic impediment”)</w:t>
            </w:r>
            <w:r w:rsidRPr="00B41FB3">
              <w:rPr>
                <w:rFonts w:ascii="Arial" w:hAnsi="Arial" w:cs="Arial"/>
                <w:i/>
                <w:sz w:val="20"/>
              </w:rPr>
              <w:t>; or habitats in extreme locations where species inhabiting the area may already be known to science, but cannot be surveyed accurately due to physical inaccessibility of a site</w:t>
            </w:r>
            <w:r w:rsidR="00DD120A">
              <w:rPr>
                <w:rFonts w:ascii="Arial" w:hAnsi="Arial" w:cs="Arial"/>
                <w:i/>
                <w:sz w:val="20"/>
              </w:rPr>
              <w:t>, also referred to as “habitat impediment”(</w:t>
            </w:r>
            <w:proofErr w:type="spellStart"/>
            <w:r w:rsidR="00DD120A">
              <w:rPr>
                <w:rFonts w:ascii="Arial" w:hAnsi="Arial" w:cs="Arial"/>
                <w:i/>
                <w:sz w:val="20"/>
              </w:rPr>
              <w:t>Mammola</w:t>
            </w:r>
            <w:proofErr w:type="spellEnd"/>
            <w:r w:rsidR="00DD120A">
              <w:rPr>
                <w:rFonts w:ascii="Arial" w:hAnsi="Arial" w:cs="Arial"/>
                <w:i/>
                <w:sz w:val="20"/>
              </w:rPr>
              <w:t xml:space="preserve"> et al. 2021)</w:t>
            </w:r>
            <w:r w:rsidRPr="00B41FB3">
              <w:rPr>
                <w:rFonts w:ascii="Arial" w:hAnsi="Arial" w:cs="Arial"/>
                <w:i/>
                <w:sz w:val="20"/>
              </w:rPr>
              <w:t>.</w:t>
            </w:r>
            <w:proofErr w:type="gramEnd"/>
            <w:r w:rsidRPr="00B41FB3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743" w:type="dxa"/>
          </w:tcPr>
          <w:p w14:paraId="157D07A7" w14:textId="4DA8AF7B" w:rsidR="00C81CFB" w:rsidRPr="00B41FB3" w:rsidRDefault="00C81CFB" w:rsidP="001B6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41FB3">
              <w:rPr>
                <w:rStyle w:val="normaltextrun"/>
                <w:rFonts w:ascii="Arial" w:hAnsi="Arial" w:cs="Arial"/>
                <w:sz w:val="20"/>
              </w:rPr>
              <w:t>Missing data for bryophytes, orchids, asters</w:t>
            </w:r>
            <w:r w:rsidR="00526E4A">
              <w:rPr>
                <w:rStyle w:val="normaltextrun"/>
                <w:rFonts w:ascii="Arial" w:hAnsi="Arial" w:cs="Arial"/>
                <w:sz w:val="20"/>
              </w:rPr>
              <w:t>,</w:t>
            </w:r>
            <w:r w:rsidRPr="00B41FB3">
              <w:rPr>
                <w:rStyle w:val="normaltextrun"/>
                <w:rFonts w:ascii="Arial" w:hAnsi="Arial" w:cs="Arial"/>
                <w:sz w:val="20"/>
              </w:rPr>
              <w:t xml:space="preserve"> and begonias </w:t>
            </w:r>
            <w:r w:rsidRPr="001B63D2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1B63D2">
              <w:rPr>
                <w:rFonts w:ascii="Arial" w:hAnsi="Arial" w:cs="Arial"/>
                <w:sz w:val="20"/>
                <w:szCs w:val="24"/>
              </w:rPr>
              <w:t>Bánki</w:t>
            </w:r>
            <w:proofErr w:type="spellEnd"/>
            <w:r w:rsidRPr="001B63D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74B95">
              <w:rPr>
                <w:rFonts w:ascii="Arial" w:hAnsi="Arial" w:cs="Arial"/>
                <w:iCs/>
                <w:sz w:val="20"/>
                <w:szCs w:val="24"/>
              </w:rPr>
              <w:t>et al.</w:t>
            </w:r>
            <w:r w:rsidRPr="00274B95">
              <w:rPr>
                <w:rFonts w:ascii="Arial" w:hAnsi="Arial" w:cs="Arial"/>
                <w:sz w:val="20"/>
                <w:szCs w:val="24"/>
              </w:rPr>
              <w:t xml:space="preserve"> 2022; Cornwell </w:t>
            </w:r>
            <w:r w:rsidRPr="00274B95">
              <w:rPr>
                <w:rFonts w:ascii="Arial" w:hAnsi="Arial" w:cs="Arial"/>
                <w:iCs/>
                <w:sz w:val="20"/>
                <w:szCs w:val="24"/>
              </w:rPr>
              <w:t>et al.</w:t>
            </w:r>
            <w:r w:rsidRPr="00274B95">
              <w:rPr>
                <w:rFonts w:ascii="Arial" w:hAnsi="Arial" w:cs="Arial"/>
                <w:sz w:val="20"/>
                <w:szCs w:val="24"/>
              </w:rPr>
              <w:t xml:space="preserve"> 2019; Ratnasi</w:t>
            </w:r>
            <w:r w:rsidRPr="001B63D2">
              <w:rPr>
                <w:rFonts w:ascii="Arial" w:hAnsi="Arial" w:cs="Arial"/>
                <w:sz w:val="20"/>
                <w:szCs w:val="24"/>
              </w:rPr>
              <w:t>ngham and Hebert 2007)</w:t>
            </w:r>
            <w:r w:rsidR="001B63D2" w:rsidRPr="001B63D2">
              <w:rPr>
                <w:rStyle w:val="normaltextrun"/>
                <w:rFonts w:ascii="Arial" w:hAnsi="Arial" w:cs="Arial"/>
                <w:sz w:val="20"/>
              </w:rPr>
              <w:t xml:space="preserve">; </w:t>
            </w:r>
            <w:r w:rsidR="001B63D2">
              <w:rPr>
                <w:rFonts w:ascii="Arial" w:hAnsi="Arial" w:cs="Arial"/>
                <w:sz w:val="20"/>
              </w:rPr>
              <w:t>herbarium</w:t>
            </w:r>
            <w:r w:rsidR="001B63D2" w:rsidRPr="001B63D2">
              <w:rPr>
                <w:rFonts w:ascii="Arial" w:hAnsi="Arial" w:cs="Arial"/>
                <w:sz w:val="20"/>
              </w:rPr>
              <w:t xml:space="preserve"> and museu</w:t>
            </w:r>
            <w:r w:rsidR="001B63D2">
              <w:rPr>
                <w:rFonts w:ascii="Arial" w:hAnsi="Arial" w:cs="Arial"/>
                <w:sz w:val="20"/>
              </w:rPr>
              <w:t>m specimens</w:t>
            </w:r>
            <w:r w:rsidR="001B63D2" w:rsidRPr="001B63D2">
              <w:rPr>
                <w:rFonts w:ascii="Arial" w:hAnsi="Arial" w:cs="Arial"/>
                <w:sz w:val="20"/>
              </w:rPr>
              <w:t>, yet to be described and lacking taxonomic expertise</w:t>
            </w:r>
            <w:r w:rsidRPr="001B63D2">
              <w:rPr>
                <w:rStyle w:val="normaltextrun"/>
                <w:rFonts w:ascii="Arial" w:hAnsi="Arial" w:cs="Arial"/>
                <w:sz w:val="20"/>
              </w:rPr>
              <w:t>.</w:t>
            </w:r>
            <w:r w:rsidRPr="00B41FB3">
              <w:rPr>
                <w:rStyle w:val="eop"/>
                <w:rFonts w:ascii="Arial" w:hAnsi="Arial" w:cs="Arial"/>
                <w:sz w:val="20"/>
              </w:rPr>
              <w:t> </w:t>
            </w:r>
          </w:p>
        </w:tc>
      </w:tr>
      <w:tr w:rsidR="00C81CFB" w:rsidRPr="00B41FB3" w14:paraId="69D1C228" w14:textId="77777777" w:rsidTr="0052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798A1929" w14:textId="0E719410" w:rsidR="00C81CFB" w:rsidRPr="00B41FB3" w:rsidRDefault="00526E4A" w:rsidP="0066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Undiscovered</w:t>
            </w:r>
          </w:p>
        </w:tc>
        <w:tc>
          <w:tcPr>
            <w:tcW w:w="2860" w:type="dxa"/>
          </w:tcPr>
          <w:p w14:paraId="41F42A36" w14:textId="0551FADF" w:rsidR="00C81CFB" w:rsidRPr="00B41FB3" w:rsidRDefault="00526E4A" w:rsidP="0066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6E4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Non-knowledge </w:t>
            </w:r>
            <w:r w:rsidR="00C81CFB" w:rsidRPr="00B41FB3">
              <w:rPr>
                <w:rFonts w:ascii="Arial" w:hAnsi="Arial" w:cs="Arial"/>
                <w:sz w:val="20"/>
                <w:szCs w:val="20"/>
              </w:rPr>
              <w:t>“Knowledge about what is not known but taking it into</w:t>
            </w:r>
          </w:p>
          <w:p w14:paraId="4F043E3F" w14:textId="29A16B92" w:rsidR="00C81CFB" w:rsidRPr="00B41FB3" w:rsidRDefault="00C81CFB" w:rsidP="00C34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Fonts w:ascii="Arial" w:hAnsi="Arial" w:cs="Arial"/>
                <w:sz w:val="20"/>
                <w:szCs w:val="20"/>
              </w:rPr>
              <w:t>account for future planning” (Gross 2007</w:t>
            </w:r>
            <w:r w:rsidR="00C346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1FB3">
              <w:rPr>
                <w:rFonts w:ascii="Arial" w:hAnsi="Arial" w:cs="Arial"/>
                <w:sz w:val="20"/>
                <w:szCs w:val="20"/>
              </w:rPr>
              <w:t>751)</w:t>
            </w:r>
          </w:p>
        </w:tc>
        <w:tc>
          <w:tcPr>
            <w:tcW w:w="6463" w:type="dxa"/>
          </w:tcPr>
          <w:p w14:paraId="70D4CE8D" w14:textId="26270FC2" w:rsidR="00C81CFB" w:rsidRPr="00B41FB3" w:rsidRDefault="00C81CFB" w:rsidP="003D0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This speaks to the work of predictions for undiscovered biodiversity at global (Moura and </w:t>
            </w:r>
            <w:proofErr w:type="spellStart"/>
            <w:r w:rsidRPr="00B41FB3">
              <w:rPr>
                <w:rFonts w:ascii="Arial" w:hAnsi="Arial" w:cs="Arial"/>
                <w:i/>
                <w:sz w:val="20"/>
                <w:szCs w:val="20"/>
              </w:rPr>
              <w:t>Jetz</w:t>
            </w:r>
            <w:proofErr w:type="spellEnd"/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2021) and national scales (such as Lu et al., 2021). The scientific community knows undiscovered species remain and </w:t>
            </w:r>
            <w:r w:rsidR="003D0D3A">
              <w:rPr>
                <w:rFonts w:ascii="Arial" w:hAnsi="Arial" w:cs="Arial"/>
                <w:i/>
                <w:sz w:val="20"/>
                <w:szCs w:val="20"/>
              </w:rPr>
              <w:t>has</w:t>
            </w: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estimated numbers and locations for this, although they have yet to </w:t>
            </w:r>
            <w:proofErr w:type="gramStart"/>
            <w:r w:rsidRPr="00B41FB3">
              <w:rPr>
                <w:rFonts w:ascii="Arial" w:hAnsi="Arial" w:cs="Arial"/>
                <w:i/>
                <w:sz w:val="20"/>
                <w:szCs w:val="20"/>
              </w:rPr>
              <w:t>be found</w:t>
            </w:r>
            <w:proofErr w:type="gramEnd"/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. This shares similarities with </w:t>
            </w:r>
            <w:proofErr w:type="spellStart"/>
            <w:r w:rsidRPr="00B41FB3">
              <w:rPr>
                <w:rFonts w:ascii="Arial" w:hAnsi="Arial" w:cs="Arial"/>
                <w:i/>
                <w:sz w:val="20"/>
                <w:szCs w:val="20"/>
              </w:rPr>
              <w:t>Kerwin’s</w:t>
            </w:r>
            <w:proofErr w:type="spellEnd"/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(1993) known unknowns but goes further in the inclusion in planning and prioritising future research. This action-oriented aspect is particularly relevant for the field of </w:t>
            </w:r>
            <w:proofErr w:type="gramStart"/>
            <w:r w:rsidRPr="00B41FB3">
              <w:rPr>
                <w:rFonts w:ascii="Arial" w:hAnsi="Arial" w:cs="Arial"/>
                <w:i/>
                <w:sz w:val="20"/>
                <w:szCs w:val="20"/>
              </w:rPr>
              <w:t>conservation which</w:t>
            </w:r>
            <w:proofErr w:type="gramEnd"/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is </w:t>
            </w:r>
            <w:r w:rsidR="00526E4A">
              <w:rPr>
                <w:rFonts w:ascii="Arial" w:hAnsi="Arial" w:cs="Arial"/>
                <w:i/>
                <w:sz w:val="20"/>
                <w:szCs w:val="20"/>
              </w:rPr>
              <w:t>action-oriented</w:t>
            </w:r>
            <w:r w:rsidRPr="00B41FB3">
              <w:rPr>
                <w:rFonts w:ascii="Arial" w:hAnsi="Arial" w:cs="Arial"/>
                <w:i/>
                <w:sz w:val="20"/>
                <w:szCs w:val="20"/>
              </w:rPr>
              <w:t xml:space="preserve"> and calls for urgent work. </w:t>
            </w:r>
          </w:p>
        </w:tc>
        <w:tc>
          <w:tcPr>
            <w:tcW w:w="3743" w:type="dxa"/>
          </w:tcPr>
          <w:p w14:paraId="2F04E4FE" w14:textId="57ADD198" w:rsidR="00C81CFB" w:rsidRPr="00B41FB3" w:rsidRDefault="00C81CFB" w:rsidP="0066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Cone Snails </w:t>
            </w:r>
            <w:r w:rsidRPr="6CBBD28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6CBBD287">
              <w:rPr>
                <w:rFonts w:ascii="Arial" w:hAnsi="Arial" w:cs="Arial"/>
                <w:sz w:val="20"/>
                <w:szCs w:val="20"/>
              </w:rPr>
              <w:t>Chivian</w:t>
            </w:r>
            <w:proofErr w:type="spellEnd"/>
            <w:r w:rsidRPr="00C346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3469C">
              <w:rPr>
                <w:rFonts w:ascii="Arial" w:hAnsi="Arial" w:cs="Arial"/>
                <w:i/>
                <w:iCs/>
                <w:sz w:val="20"/>
                <w:szCs w:val="20"/>
              </w:rPr>
              <w:t>et al.</w:t>
            </w:r>
            <w:r w:rsidRPr="00C3469C"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Pr="6CBBD287">
              <w:rPr>
                <w:rFonts w:ascii="Arial" w:hAnsi="Arial" w:cs="Arial"/>
                <w:sz w:val="20"/>
                <w:szCs w:val="20"/>
              </w:rPr>
              <w:t>03)</w:t>
            </w:r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>mycorrhizal</w:t>
            </w:r>
            <w:proofErr w:type="spellEnd"/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fungi </w:t>
            </w:r>
            <w:r w:rsidRPr="6CBBD287">
              <w:rPr>
                <w:rFonts w:ascii="Arial" w:hAnsi="Arial" w:cs="Arial"/>
                <w:sz w:val="20"/>
                <w:szCs w:val="20"/>
              </w:rPr>
              <w:t>(Society for Protection of Underground Networks (SPUN) 2021)</w:t>
            </w:r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likelihood of new fungal species </w:t>
            </w:r>
            <w:r w:rsidRPr="00274B9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74B95">
              <w:rPr>
                <w:rFonts w:ascii="Arial" w:hAnsi="Arial" w:cs="Arial"/>
                <w:sz w:val="20"/>
                <w:szCs w:val="20"/>
              </w:rPr>
              <w:t>Banchi</w:t>
            </w:r>
            <w:proofErr w:type="spellEnd"/>
            <w:r w:rsidRPr="00274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B95">
              <w:rPr>
                <w:rFonts w:ascii="Arial" w:hAnsi="Arial" w:cs="Arial"/>
                <w:iCs/>
                <w:sz w:val="20"/>
                <w:szCs w:val="20"/>
              </w:rPr>
              <w:t>et al.</w:t>
            </w:r>
            <w:r w:rsidRPr="00274B95">
              <w:rPr>
                <w:rFonts w:ascii="Arial" w:hAnsi="Arial" w:cs="Arial"/>
                <w:sz w:val="20"/>
                <w:szCs w:val="20"/>
              </w:rPr>
              <w:t xml:space="preserve"> 2018; Cheek </w:t>
            </w:r>
            <w:r w:rsidRPr="00274B95">
              <w:rPr>
                <w:rFonts w:ascii="Arial" w:hAnsi="Arial" w:cs="Arial"/>
                <w:iCs/>
                <w:sz w:val="20"/>
                <w:szCs w:val="20"/>
              </w:rPr>
              <w:t>et al.</w:t>
            </w:r>
            <w:r w:rsidRPr="00274B95">
              <w:rPr>
                <w:rFonts w:ascii="Arial" w:hAnsi="Arial" w:cs="Arial"/>
                <w:sz w:val="20"/>
                <w:szCs w:val="20"/>
              </w:rPr>
              <w:t xml:space="preserve"> 2020)</w:t>
            </w:r>
            <w:r w:rsidRPr="00274B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suspected additional cryptic species amongst insects thought to be generalists (Sheikh </w:t>
            </w:r>
            <w:r w:rsidRPr="00274B95">
              <w:rPr>
                <w:rStyle w:val="normaltextrun"/>
                <w:rFonts w:ascii="Arial" w:hAnsi="Arial" w:cs="Arial"/>
                <w:iCs/>
                <w:sz w:val="20"/>
                <w:szCs w:val="20"/>
              </w:rPr>
              <w:t>et al.</w:t>
            </w:r>
            <w:r w:rsidRPr="00274B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2022</w:t>
            </w:r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="13DD4ED5"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lichens (</w:t>
            </w:r>
            <w:proofErr w:type="spellStart"/>
            <w:r w:rsidR="13DD4ED5"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>Lücking</w:t>
            </w:r>
            <w:proofErr w:type="spellEnd"/>
            <w:r w:rsidR="13DD4ED5"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 al.</w:t>
            </w:r>
            <w:r w:rsidR="58649848"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2014)</w:t>
            </w:r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habitat type: inaccessible tropical location </w:t>
            </w:r>
            <w:r w:rsidRPr="00274B9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74B95">
              <w:rPr>
                <w:rFonts w:ascii="Arial" w:hAnsi="Arial" w:cs="Arial"/>
                <w:sz w:val="20"/>
                <w:szCs w:val="20"/>
              </w:rPr>
              <w:t>Scheffers</w:t>
            </w:r>
            <w:proofErr w:type="spellEnd"/>
            <w:r w:rsidRPr="00274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B95">
              <w:rPr>
                <w:rFonts w:ascii="Arial" w:hAnsi="Arial" w:cs="Arial"/>
                <w:iCs/>
                <w:sz w:val="20"/>
                <w:szCs w:val="20"/>
              </w:rPr>
              <w:t>et al.</w:t>
            </w:r>
            <w:r w:rsidRPr="00274B95">
              <w:rPr>
                <w:rFonts w:ascii="Arial" w:hAnsi="Arial" w:cs="Arial"/>
                <w:sz w:val="20"/>
                <w:szCs w:val="20"/>
              </w:rPr>
              <w:t xml:space="preserve"> 2012)</w:t>
            </w:r>
            <w:r w:rsidRPr="00274B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; deep sea </w:t>
            </w:r>
            <w:r w:rsidRPr="00274B95">
              <w:rPr>
                <w:rFonts w:ascii="Arial" w:hAnsi="Arial" w:cs="Arial"/>
                <w:sz w:val="20"/>
                <w:szCs w:val="20"/>
              </w:rPr>
              <w:t xml:space="preserve">(Jamieson </w:t>
            </w:r>
            <w:r w:rsidRPr="00274B95">
              <w:rPr>
                <w:rFonts w:ascii="Arial" w:hAnsi="Arial" w:cs="Arial"/>
                <w:iCs/>
                <w:sz w:val="20"/>
                <w:szCs w:val="20"/>
              </w:rPr>
              <w:t>et al.</w:t>
            </w:r>
            <w:r w:rsidRPr="00274B95">
              <w:rPr>
                <w:rFonts w:ascii="Arial" w:hAnsi="Arial" w:cs="Arial"/>
                <w:sz w:val="20"/>
                <w:szCs w:val="20"/>
              </w:rPr>
              <w:t xml:space="preserve"> 2021)</w:t>
            </w:r>
            <w:r w:rsidRPr="6CBBD287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C81CFB" w:rsidRPr="00B41FB3" w14:paraId="36741E8B" w14:textId="77777777" w:rsidTr="00526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2F12693A" w14:textId="68B7D4BE" w:rsidR="00C81CFB" w:rsidRPr="00B41FB3" w:rsidRDefault="00526E4A" w:rsidP="00666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Unimagined</w:t>
            </w:r>
          </w:p>
        </w:tc>
        <w:tc>
          <w:tcPr>
            <w:tcW w:w="2860" w:type="dxa"/>
          </w:tcPr>
          <w:p w14:paraId="705B90BD" w14:textId="4D321DC8" w:rsidR="00C81CFB" w:rsidRPr="00B41FB3" w:rsidRDefault="00526E4A" w:rsidP="0066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A84">
              <w:rPr>
                <w:rFonts w:ascii="Arial" w:hAnsi="Arial" w:cs="Arial"/>
                <w:b/>
                <w:i/>
                <w:sz w:val="20"/>
                <w:szCs w:val="20"/>
              </w:rPr>
              <w:t>Nescience</w:t>
            </w:r>
            <w:r w:rsidRPr="00526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FB" w:rsidRPr="00B41FB3">
              <w:rPr>
                <w:rFonts w:ascii="Arial" w:hAnsi="Arial" w:cs="Arial"/>
                <w:sz w:val="20"/>
                <w:szCs w:val="20"/>
              </w:rPr>
              <w:t xml:space="preserve">“Lack of any knowledge: prerequisite for a total surprise beyond any type of anticipation – can lead to ignorance and non-knowledge, but belongs to a different epistemic class from the above terms.” </w:t>
            </w:r>
            <w:r w:rsidR="00C3469C">
              <w:rPr>
                <w:rFonts w:ascii="Arial" w:hAnsi="Arial" w:cs="Arial"/>
                <w:sz w:val="20"/>
                <w:szCs w:val="20"/>
              </w:rPr>
              <w:t xml:space="preserve">(Gross 2007, </w:t>
            </w:r>
            <w:r w:rsidR="00C81CFB" w:rsidRPr="00B41FB3">
              <w:rPr>
                <w:rFonts w:ascii="Arial" w:hAnsi="Arial" w:cs="Arial"/>
                <w:sz w:val="20"/>
                <w:szCs w:val="20"/>
              </w:rPr>
              <w:t>751)</w:t>
            </w:r>
          </w:p>
        </w:tc>
        <w:tc>
          <w:tcPr>
            <w:tcW w:w="6463" w:type="dxa"/>
          </w:tcPr>
          <w:p w14:paraId="03CC851F" w14:textId="77777777" w:rsidR="00C81CFB" w:rsidRPr="00B41FB3" w:rsidRDefault="00C81CFB" w:rsidP="0066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41FB3">
              <w:rPr>
                <w:rFonts w:ascii="Arial" w:hAnsi="Arial" w:cs="Arial"/>
                <w:i/>
                <w:sz w:val="20"/>
                <w:szCs w:val="20"/>
              </w:rPr>
              <w:t>Reserved for extreme unknown-unknown forms of biodiversity, beyond our current capabilities of awareness and only accessible in retrospect.</w:t>
            </w:r>
          </w:p>
        </w:tc>
        <w:tc>
          <w:tcPr>
            <w:tcW w:w="3743" w:type="dxa"/>
          </w:tcPr>
          <w:p w14:paraId="581B9D73" w14:textId="007B698D" w:rsidR="00C81CFB" w:rsidRPr="00B41FB3" w:rsidRDefault="00C81CFB" w:rsidP="0066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Awareness during </w:t>
            </w:r>
            <w:r w:rsidR="00526E4A">
              <w:rPr>
                <w:rStyle w:val="normaltextrun"/>
                <w:rFonts w:ascii="Arial" w:hAnsi="Arial" w:cs="Arial"/>
                <w:sz w:val="20"/>
                <w:szCs w:val="20"/>
              </w:rPr>
              <w:t>(</w:t>
            </w:r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>or prior to</w:t>
            </w:r>
            <w:r w:rsidR="00526E4A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the 1970s of the </w:t>
            </w:r>
            <w:proofErr w:type="spellStart"/>
            <w:r w:rsidRPr="00B41FB3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Chromista</w:t>
            </w:r>
            <w:proofErr w:type="spellEnd"/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taxonomic kingdom, established in 1981 </w:t>
            </w:r>
            <w:r w:rsidRPr="00B41FB3">
              <w:rPr>
                <w:rFonts w:ascii="Arial" w:hAnsi="Arial" w:cs="Arial"/>
                <w:sz w:val="20"/>
                <w:szCs w:val="20"/>
              </w:rPr>
              <w:t>(Cavalier-Smith 2018)</w:t>
            </w:r>
            <w:r w:rsidRPr="00B41FB3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B41FB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14:paraId="2B5EB33C" w14:textId="77777777" w:rsidR="00B41FB3" w:rsidRPr="00B41FB3" w:rsidRDefault="00B41FB3" w:rsidP="00DD120A">
      <w:pPr>
        <w:spacing w:line="240" w:lineRule="auto"/>
        <w:rPr>
          <w:rFonts w:ascii="Arial" w:hAnsi="Arial" w:cs="Arial"/>
        </w:rPr>
      </w:pPr>
    </w:p>
    <w:sectPr w:rsidR="00B41FB3" w:rsidRPr="00B41FB3" w:rsidSect="00DD120A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1"/>
  </w:docVars>
  <w:rsids>
    <w:rsidRoot w:val="00715E12"/>
    <w:rsid w:val="00026391"/>
    <w:rsid w:val="000E75AD"/>
    <w:rsid w:val="001B1EA6"/>
    <w:rsid w:val="001B63D2"/>
    <w:rsid w:val="0021260B"/>
    <w:rsid w:val="00274B95"/>
    <w:rsid w:val="002D2AB0"/>
    <w:rsid w:val="002E580D"/>
    <w:rsid w:val="00311B96"/>
    <w:rsid w:val="003D0D3A"/>
    <w:rsid w:val="00526E4A"/>
    <w:rsid w:val="006B762B"/>
    <w:rsid w:val="00715E12"/>
    <w:rsid w:val="0091669D"/>
    <w:rsid w:val="00B41FB3"/>
    <w:rsid w:val="00BF1A94"/>
    <w:rsid w:val="00C3469C"/>
    <w:rsid w:val="00C81CFB"/>
    <w:rsid w:val="00CB2A84"/>
    <w:rsid w:val="00D475B6"/>
    <w:rsid w:val="00DD120A"/>
    <w:rsid w:val="00E47F67"/>
    <w:rsid w:val="00F62E14"/>
    <w:rsid w:val="13DD4ED5"/>
    <w:rsid w:val="2436DF29"/>
    <w:rsid w:val="58649848"/>
    <w:rsid w:val="6CBBD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0A24"/>
  <w15:chartTrackingRefBased/>
  <w15:docId w15:val="{83A6A338-4F22-4692-82D8-F9D67D3F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715E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0E75AD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AD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E75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AD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B41F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DefaultParagraphFont"/>
    <w:rsid w:val="00B41FB3"/>
  </w:style>
  <w:style w:type="character" w:customStyle="1" w:styleId="eop">
    <w:name w:val="eop"/>
    <w:basedOn w:val="DefaultParagraphFont"/>
    <w:rsid w:val="00B4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Turton-Hughes [RPG]</dc:creator>
  <cp:keywords/>
  <dc:description/>
  <cp:lastModifiedBy>E411013</cp:lastModifiedBy>
  <cp:revision>3</cp:revision>
  <dcterms:created xsi:type="dcterms:W3CDTF">2024-06-24T14:42:00Z</dcterms:created>
  <dcterms:modified xsi:type="dcterms:W3CDTF">2024-10-05T03:55:00Z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51d07de5-4479-479e-a08b-911fa6eb8181</vt:lpwstr>
  </property>
  <property fmtid="{D5CDD505-2E9C-101B-9397-08002B2CF9AE}" pid="3" name="ZOTERO_PREF_1">
    <vt:lpwstr>&lt;data data-version="3" zotero-version="6.0.18"&gt;&lt;session id="0zeWa1vX"/&gt;&lt;style id="http://www.zotero.org/styles/cambridge-university-press-author-date-cambridge-a" hasBibliography="1" bibliographyStyleHasBeenSet="0"/&gt;&lt;prefs&gt;&lt;pref name="fieldType" value="Fi</vt:lpwstr>
  </property>
  <property fmtid="{D5CDD505-2E9C-101B-9397-08002B2CF9AE}" pid="4" name="ZOTERO_PREF_2">
    <vt:lpwstr>eld"/&gt;&lt;pref name="automaticJournalAbbreviations" value="true"/&gt;&lt;/prefs&gt;&lt;/data&gt;</vt:lpwstr>
  </property>
</Properties>
</file>