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8179C" w14:textId="77777777" w:rsidR="00E95E45" w:rsidRPr="00901C4D" w:rsidRDefault="00E95E45" w:rsidP="00E95E45">
      <w:pPr>
        <w:spacing w:line="480" w:lineRule="auto"/>
        <w:jc w:val="center"/>
        <w:rPr>
          <w:b/>
          <w:szCs w:val="24"/>
        </w:rPr>
      </w:pPr>
      <w:bookmarkStart w:id="0" w:name="_GoBack"/>
      <w:r w:rsidRPr="00901C4D">
        <w:rPr>
          <w:b/>
          <w:szCs w:val="24"/>
        </w:rPr>
        <w:t>Supplementary Text 2. Journal Sections Analyzed.</w:t>
      </w:r>
    </w:p>
    <w:bookmarkEnd w:id="0"/>
    <w:p w14:paraId="31AEA6D2" w14:textId="77777777" w:rsidR="00E95E45" w:rsidRDefault="00E95E45" w:rsidP="00E95E45">
      <w:pPr>
        <w:spacing w:line="480" w:lineRule="auto"/>
        <w:jc w:val="center"/>
        <w:rPr>
          <w:b/>
          <w:szCs w:val="24"/>
        </w:rPr>
      </w:pPr>
    </w:p>
    <w:p w14:paraId="1442968A" w14:textId="77777777" w:rsidR="00E95E45" w:rsidRPr="007F1B91" w:rsidRDefault="00E95E45" w:rsidP="00E95E45">
      <w:pPr>
        <w:spacing w:line="480" w:lineRule="auto"/>
        <w:ind w:firstLine="720"/>
        <w:rPr>
          <w:szCs w:val="24"/>
        </w:rPr>
      </w:pPr>
      <w:r>
        <w:rPr>
          <w:szCs w:val="24"/>
        </w:rPr>
        <w:t xml:space="preserve">The types of authored pieces considered for each journal are as follows: </w:t>
      </w:r>
      <w:r>
        <w:rPr>
          <w:i/>
          <w:szCs w:val="24"/>
        </w:rPr>
        <w:t>AQ</w:t>
      </w:r>
      <w:r>
        <w:rPr>
          <w:szCs w:val="24"/>
        </w:rPr>
        <w:t xml:space="preserve">: articles, forums, reports, special sections, and research-oriented papers (categorized as “comments”) in response to previously published authored pieces; </w:t>
      </w:r>
      <w:r>
        <w:rPr>
          <w:i/>
          <w:szCs w:val="24"/>
        </w:rPr>
        <w:t>AAP</w:t>
      </w:r>
      <w:r>
        <w:rPr>
          <w:szCs w:val="24"/>
        </w:rPr>
        <w:t xml:space="preserve">: articles, case reports, and how-to series; SAA </w:t>
      </w:r>
      <w:r>
        <w:rPr>
          <w:i/>
          <w:szCs w:val="24"/>
        </w:rPr>
        <w:t>Record</w:t>
      </w:r>
      <w:r>
        <w:rPr>
          <w:szCs w:val="24"/>
        </w:rPr>
        <w:t xml:space="preserve">: articles, special forums, special sections, reports, and other research-oriented papers; </w:t>
      </w:r>
      <w:r>
        <w:rPr>
          <w:i/>
          <w:szCs w:val="24"/>
        </w:rPr>
        <w:t>JCGBA</w:t>
      </w:r>
      <w:r>
        <w:rPr>
          <w:szCs w:val="24"/>
        </w:rPr>
        <w:t xml:space="preserve">: articles, reports, special features, and research-oriented papers (“comments”) in response to previously published authored pieces; </w:t>
      </w:r>
      <w:r>
        <w:rPr>
          <w:i/>
          <w:szCs w:val="24"/>
        </w:rPr>
        <w:t>CA</w:t>
      </w:r>
      <w:r>
        <w:rPr>
          <w:szCs w:val="24"/>
        </w:rPr>
        <w:t xml:space="preserve">: articles and reports; SCA </w:t>
      </w:r>
      <w:r>
        <w:rPr>
          <w:i/>
          <w:szCs w:val="24"/>
        </w:rPr>
        <w:t>Proceedings</w:t>
      </w:r>
      <w:r>
        <w:rPr>
          <w:szCs w:val="24"/>
        </w:rPr>
        <w:t xml:space="preserve">: articles. Front matter, messages from editors, book reviews, in </w:t>
      </w:r>
      <w:proofErr w:type="spellStart"/>
      <w:r>
        <w:rPr>
          <w:szCs w:val="24"/>
        </w:rPr>
        <w:t>memoriams</w:t>
      </w:r>
      <w:proofErr w:type="spellEnd"/>
      <w:r>
        <w:rPr>
          <w:szCs w:val="24"/>
        </w:rPr>
        <w:t xml:space="preserve">, business updates, commentaries, news, job listings, opinion pieces, errata, and other non-research oriented authored works were excluded from consideration. </w:t>
      </w:r>
    </w:p>
    <w:p w14:paraId="5995F436" w14:textId="77777777" w:rsidR="008F0192" w:rsidRDefault="008F0192" w:rsidP="00E95E45">
      <w:pPr>
        <w:spacing w:line="480" w:lineRule="auto"/>
      </w:pPr>
    </w:p>
    <w:sectPr w:rsidR="008F01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E45"/>
    <w:rsid w:val="008F0192"/>
    <w:rsid w:val="00901C4D"/>
    <w:rsid w:val="00E9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F0A4B"/>
  <w15:chartTrackingRefBased/>
  <w15:docId w15:val="{658A6502-6586-4DB8-818C-E6D4F979E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5E45"/>
    <w:rPr>
      <w:rFonts w:eastAsia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Fulkerson, Tiffany Jessica</dc:creator>
  <cp:keywords/>
  <dc:description/>
  <cp:lastModifiedBy>Fulkerson, Tiffany Jessica</cp:lastModifiedBy>
  <cp:revision>2</cp:revision>
  <dcterms:created xsi:type="dcterms:W3CDTF">2018-11-19T01:23:00Z</dcterms:created>
  <dcterms:modified xsi:type="dcterms:W3CDTF">2018-11-19T01:34:00Z</dcterms:modified>
</cp:coreProperties>
</file>