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DAEB9" w14:textId="37A49C75" w:rsidR="0042490C" w:rsidRPr="0042697B" w:rsidRDefault="003210CC" w:rsidP="0042697B">
      <w:pPr>
        <w:pStyle w:val="BodyText"/>
        <w:rPr>
          <w:rFonts w:ascii="Times New Roman" w:hAnsi="Times New Roman" w:cs="Times New Roman"/>
        </w:rPr>
      </w:pPr>
      <w:r w:rsidRPr="0042697B">
        <w:rPr>
          <w:rFonts w:ascii="Times New Roman" w:hAnsi="Times New Roman" w:cs="Times New Roman"/>
        </w:rPr>
        <w:t>Table S</w:t>
      </w:r>
      <w:r w:rsidR="005A34CC" w:rsidRPr="0042697B">
        <w:rPr>
          <w:rFonts w:ascii="Times New Roman" w:hAnsi="Times New Roman" w:cs="Times New Roman"/>
        </w:rPr>
        <w:t>5</w:t>
      </w:r>
      <w:r w:rsidRPr="0042697B">
        <w:rPr>
          <w:rFonts w:ascii="Times New Roman" w:hAnsi="Times New Roman" w:cs="Times New Roman"/>
        </w:rPr>
        <w:t>.1</w:t>
      </w:r>
      <w:r w:rsidR="0042490C" w:rsidRPr="0042697B">
        <w:rPr>
          <w:rFonts w:ascii="Times New Roman" w:hAnsi="Times New Roman" w:cs="Times New Roman"/>
        </w:rPr>
        <w:t>. Examples of standards and guidelines for archaeological fieldwork in the heritage (CRM) industry.</w:t>
      </w:r>
      <w:r w:rsidR="00390D63" w:rsidRPr="0042697B">
        <w:rPr>
          <w:rFonts w:ascii="Times New Roman" w:hAnsi="Times New Roman" w:cs="Times New Roman"/>
        </w:rPr>
        <w:t xml:space="preserve"> Unless “spatial probability sampling” is indicated, transects and shovel tests are for detecting sites, and “adaptive sampling” is used only to discover the extent and limits of sites, not </w:t>
      </w:r>
      <w:r w:rsidR="00B17907" w:rsidRPr="0042697B">
        <w:rPr>
          <w:rFonts w:ascii="Times New Roman" w:hAnsi="Times New Roman" w:cs="Times New Roman"/>
        </w:rPr>
        <w:t xml:space="preserve">specifically </w:t>
      </w:r>
      <w:r w:rsidR="00390D63" w:rsidRPr="0042697B">
        <w:rPr>
          <w:rFonts w:ascii="Times New Roman" w:hAnsi="Times New Roman" w:cs="Times New Roman"/>
        </w:rPr>
        <w:t>for parameter estimation.</w:t>
      </w:r>
      <w:r w:rsidR="00376C0F" w:rsidRPr="0042697B">
        <w:rPr>
          <w:rFonts w:ascii="Times New Roman" w:hAnsi="Times New Roman" w:cs="Times New Roman"/>
        </w:rPr>
        <w:t xml:space="preserve"> Key: </w:t>
      </w:r>
      <w:r w:rsidR="00376C0F" w:rsidRPr="0042697B">
        <w:rPr>
          <w:rFonts w:ascii="Times New Roman" w:hAnsi="Times New Roman" w:cs="Times New Roman"/>
        </w:rPr>
        <w:t>discussed; “</w:t>
      </w:r>
      <w:proofErr w:type="spellStart"/>
      <w:r w:rsidR="00376C0F" w:rsidRPr="0042697B">
        <w:rPr>
          <w:rFonts w:ascii="Times New Roman" w:hAnsi="Times New Roman" w:cs="Times New Roman"/>
        </w:rPr>
        <w:t>asm</w:t>
      </w:r>
      <w:proofErr w:type="spellEnd"/>
      <w:r w:rsidR="00376C0F" w:rsidRPr="0042697B">
        <w:rPr>
          <w:rFonts w:ascii="Times New Roman" w:hAnsi="Times New Roman" w:cs="Times New Roman"/>
        </w:rPr>
        <w:t>,” use appropriate sampling method; “ns,” not specified</w:t>
      </w:r>
      <w:r w:rsidR="003422F5" w:rsidRPr="0042697B">
        <w:rPr>
          <w:rFonts w:ascii="Times New Roman" w:hAnsi="Times New Roman" w:cs="Times New Roman"/>
        </w:rPr>
        <w:t xml:space="preserve"> (e.g., </w:t>
      </w:r>
      <w:r w:rsidR="004D6670" w:rsidRPr="0042697B">
        <w:rPr>
          <w:rFonts w:ascii="Times New Roman" w:hAnsi="Times New Roman" w:cs="Times New Roman"/>
        </w:rPr>
        <w:t xml:space="preserve">variable, or </w:t>
      </w:r>
      <w:r w:rsidR="003422F5" w:rsidRPr="0042697B">
        <w:rPr>
          <w:rFonts w:ascii="Times New Roman" w:hAnsi="Times New Roman" w:cs="Times New Roman"/>
        </w:rPr>
        <w:t>“representative” sample required)</w:t>
      </w:r>
      <w:r w:rsidR="00376C0F" w:rsidRPr="0042697B">
        <w:rPr>
          <w:rFonts w:ascii="Times New Roman" w:hAnsi="Times New Roman" w:cs="Times New Roman"/>
        </w:rPr>
        <w:t>; “—” not mentioned.</w:t>
      </w:r>
    </w:p>
    <w:p w14:paraId="3734E213" w14:textId="77777777" w:rsidR="0042490C" w:rsidRDefault="0042490C" w:rsidP="0042490C">
      <w:pPr>
        <w:pStyle w:val="Standard"/>
        <w:rPr>
          <w:rFonts w:ascii="Arial" w:hAnsi="Arial"/>
        </w:rPr>
      </w:pPr>
    </w:p>
    <w:tbl>
      <w:tblPr>
        <w:tblW w:w="7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20" w:firstRow="1" w:lastRow="0" w:firstColumn="0" w:lastColumn="0" w:noHBand="0" w:noVBand="0"/>
      </w:tblPr>
      <w:tblGrid>
        <w:gridCol w:w="1211"/>
        <w:gridCol w:w="979"/>
        <w:gridCol w:w="1321"/>
        <w:gridCol w:w="942"/>
        <w:gridCol w:w="1048"/>
        <w:gridCol w:w="1097"/>
        <w:gridCol w:w="1028"/>
      </w:tblGrid>
      <w:tr w:rsidR="00252513" w14:paraId="3A8DFC33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1B7D7" w14:textId="05B58625" w:rsidR="00252513" w:rsidRPr="00AC7F60" w:rsidRDefault="00252513" w:rsidP="00A03FB8">
            <w:pPr>
              <w:pStyle w:val="TableContents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Jurisdiction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66AC7" w14:textId="12C65946" w:rsidR="00252513" w:rsidRPr="00AC7F60" w:rsidRDefault="00252513" w:rsidP="00A03FB8">
            <w:pPr>
              <w:pStyle w:val="TableContents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Authority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EA29A" w14:textId="4D6A3435" w:rsidR="00252513" w:rsidRPr="00AC7F60" w:rsidRDefault="00252513" w:rsidP="00A03FB8">
            <w:pPr>
              <w:pStyle w:val="TableContents"/>
              <w:jc w:val="center"/>
              <w:rPr>
                <w:rFonts w:ascii="Arial" w:hAnsi="Arial"/>
                <w:sz w:val="22"/>
                <w:szCs w:val="22"/>
                <w:eastAsianLayout w:id="1948078338" w:vert="1" w:vertCompress="1"/>
              </w:rPr>
            </w:pPr>
            <w:r>
              <w:rPr>
                <w:rFonts w:ascii="Arial" w:hAnsi="Arial"/>
                <w:sz w:val="22"/>
                <w:szCs w:val="22"/>
              </w:rPr>
              <w:t>Systematic Transects: Fieldwalking Intervals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0C29D" w14:textId="0F300014" w:rsidR="00252513" w:rsidRPr="00AC7F60" w:rsidRDefault="00252513" w:rsidP="00A03FB8">
            <w:pPr>
              <w:pStyle w:val="TableContents"/>
              <w:jc w:val="center"/>
              <w:rPr>
                <w:rFonts w:ascii="Arial" w:hAnsi="Arial"/>
                <w:sz w:val="22"/>
                <w:szCs w:val="22"/>
                <w:eastAsianLayout w:id="1948078339" w:vert="1" w:vertCompress="1"/>
              </w:rPr>
            </w:pPr>
            <w:r>
              <w:rPr>
                <w:rFonts w:ascii="Arial" w:hAnsi="Arial"/>
                <w:sz w:val="22"/>
                <w:szCs w:val="22"/>
              </w:rPr>
              <w:t>Shovel Testing Intervals or Density</w:t>
            </w:r>
          </w:p>
        </w:tc>
        <w:tc>
          <w:tcPr>
            <w:tcW w:w="1048" w:type="dxa"/>
          </w:tcPr>
          <w:p w14:paraId="48CF9EB9" w14:textId="202567C9" w:rsidR="00252513" w:rsidRPr="00AC7F60" w:rsidRDefault="00252513" w:rsidP="00A03FB8">
            <w:pPr>
              <w:pStyle w:val="TableContents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Spatial Probability Sampling</w:t>
            </w:r>
          </w:p>
        </w:tc>
        <w:tc>
          <w:tcPr>
            <w:tcW w:w="1097" w:type="dxa"/>
          </w:tcPr>
          <w:p w14:paraId="7B42E67C" w14:textId="1E61EAC9" w:rsidR="00252513" w:rsidRPr="00AC7F60" w:rsidRDefault="00252513" w:rsidP="00A03FB8">
            <w:pPr>
              <w:pStyle w:val="TableContents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Collections Probability Sampling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6E49D" w14:textId="519B1327" w:rsidR="00252513" w:rsidRPr="00AC7F60" w:rsidRDefault="00252513" w:rsidP="00A03FB8">
            <w:pPr>
              <w:pStyle w:val="TableContents"/>
              <w:jc w:val="center"/>
              <w:rPr>
                <w:rFonts w:ascii="Arial" w:hAnsi="Arial"/>
                <w:sz w:val="22"/>
                <w:szCs w:val="22"/>
                <w:eastAsianLayout w:id="1948078340" w:vert="1" w:vertCompress="1"/>
              </w:rPr>
            </w:pPr>
            <w:r>
              <w:rPr>
                <w:rFonts w:ascii="Arial" w:hAnsi="Arial"/>
                <w:sz w:val="22"/>
                <w:szCs w:val="22"/>
              </w:rPr>
              <w:t>Adaptive Sampling</w:t>
            </w:r>
          </w:p>
        </w:tc>
      </w:tr>
      <w:tr w:rsidR="00252513" w14:paraId="6F320901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794FD" w14:textId="6DB2F17A" w:rsidR="00252513" w:rsidRDefault="00252513" w:rsidP="00376C0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U.S.A.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BADE3" w14:textId="47E58389" w:rsidR="00252513" w:rsidRPr="004D50A8" w:rsidRDefault="00252513" w:rsidP="00376C0F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Secretary of the Interior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B6CF9" w14:textId="4B07AA0C" w:rsidR="00252513" w:rsidRDefault="00252513" w:rsidP="00376C0F">
            <w:pPr>
              <w:pStyle w:val="TableContents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ns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0598F" w14:textId="02B9A7E7" w:rsidR="00252513" w:rsidRDefault="00252513" w:rsidP="00376C0F">
            <w:pPr>
              <w:pStyle w:val="TableContents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ns</w:t>
            </w:r>
          </w:p>
        </w:tc>
        <w:tc>
          <w:tcPr>
            <w:tcW w:w="1048" w:type="dxa"/>
          </w:tcPr>
          <w:p w14:paraId="0A089945" w14:textId="53044A62" w:rsidR="00252513" w:rsidRDefault="00252513" w:rsidP="00376C0F">
            <w:pPr>
              <w:pStyle w:val="TableContents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097" w:type="dxa"/>
          </w:tcPr>
          <w:p w14:paraId="06ECA923" w14:textId="4ABEEAA4" w:rsidR="00252513" w:rsidRDefault="00252513" w:rsidP="00376C0F">
            <w:pPr>
              <w:pStyle w:val="TableContents"/>
            </w:pPr>
            <w:r>
              <w:t>—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1589D" w14:textId="453AA871" w:rsidR="00252513" w:rsidRDefault="00252513" w:rsidP="00376C0F">
            <w:pPr>
              <w:pStyle w:val="TableContents"/>
            </w:pPr>
            <w:r>
              <w:t>—</w:t>
            </w:r>
          </w:p>
        </w:tc>
      </w:tr>
      <w:tr w:rsidR="00252513" w14:paraId="3F5E07A2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111C8" w14:textId="3C3CAD98" w:rsidR="00252513" w:rsidRPr="00AC7F60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British Columbia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9F188" w14:textId="77777777" w:rsidR="001C3244" w:rsidRDefault="001C3244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BC</w:t>
            </w:r>
          </w:p>
          <w:p w14:paraId="4DE41D04" w14:textId="2BCD5EC8" w:rsidR="00252513" w:rsidRPr="004D50A8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MSBTC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137AF" w14:textId="3993D7CE" w:rsidR="00252513" w:rsidRDefault="00252513" w:rsidP="00252513">
            <w:pPr>
              <w:pStyle w:val="TableContents"/>
            </w:pPr>
            <w:r>
              <w:rPr>
                <w:rFonts w:ascii="Arial" w:hAnsi="Arial" w:cs="Arial"/>
                <w:iCs/>
                <w:sz w:val="20"/>
                <w:szCs w:val="20"/>
              </w:rPr>
              <w:t>ns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1F490" w14:textId="77CAC223" w:rsidR="00252513" w:rsidRDefault="00252513" w:rsidP="00252513">
            <w:pPr>
              <w:pStyle w:val="TableContents"/>
            </w:pPr>
            <w:r>
              <w:rPr>
                <w:rFonts w:ascii="Arial" w:hAnsi="Arial" w:cs="Arial"/>
                <w:iCs/>
                <w:sz w:val="20"/>
                <w:szCs w:val="20"/>
              </w:rPr>
              <w:t>ns</w:t>
            </w:r>
          </w:p>
        </w:tc>
        <w:tc>
          <w:tcPr>
            <w:tcW w:w="1048" w:type="dxa"/>
          </w:tcPr>
          <w:p w14:paraId="521380DE" w14:textId="4E542145" w:rsidR="00252513" w:rsidRDefault="00252513" w:rsidP="00252513">
            <w:pPr>
              <w:pStyle w:val="TableContents"/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097" w:type="dxa"/>
          </w:tcPr>
          <w:p w14:paraId="782B610E" w14:textId="491FA8F1" w:rsidR="00252513" w:rsidRDefault="00252513" w:rsidP="00252513">
            <w:pPr>
              <w:pStyle w:val="TableContents"/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016CC" w14:textId="223DD81B" w:rsidR="00252513" w:rsidRDefault="00252513" w:rsidP="00252513">
            <w:pPr>
              <w:pStyle w:val="TableContents"/>
            </w:pPr>
            <w:r w:rsidRPr="006A2EE4">
              <w:t>—</w:t>
            </w:r>
          </w:p>
        </w:tc>
      </w:tr>
      <w:tr w:rsidR="00252513" w14:paraId="1E2F6082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794EA" w14:textId="4271F1BC" w:rsidR="00252513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Georgia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89E49" w14:textId="41EE7916" w:rsidR="00252513" w:rsidRPr="004D50A8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GCPA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33434" w14:textId="29255AB9" w:rsidR="00252513" w:rsidRDefault="00252513" w:rsidP="00252513">
            <w:pPr>
              <w:pStyle w:val="TableContents"/>
            </w:pPr>
            <w:r>
              <w:rPr>
                <w:rFonts w:ascii="Arial" w:hAnsi="Arial" w:cs="Arial"/>
                <w:iCs/>
                <w:sz w:val="20"/>
                <w:szCs w:val="20"/>
              </w:rPr>
              <w:t>≤ 30 m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67194" w14:textId="454DFFCC" w:rsidR="00252513" w:rsidRDefault="00252513" w:rsidP="00252513">
            <w:pPr>
              <w:pStyle w:val="TableContents"/>
            </w:pPr>
            <w:r>
              <w:t>≤ 30 m</w:t>
            </w:r>
          </w:p>
        </w:tc>
        <w:tc>
          <w:tcPr>
            <w:tcW w:w="1048" w:type="dxa"/>
          </w:tcPr>
          <w:p w14:paraId="2CE9F324" w14:textId="4AA46BF4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97" w:type="dxa"/>
          </w:tcPr>
          <w:p w14:paraId="6CFEC650" w14:textId="1D672ED2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00791" w14:textId="3998376F" w:rsidR="00252513" w:rsidRDefault="00252513" w:rsidP="00252513">
            <w:pPr>
              <w:pStyle w:val="TableContents"/>
            </w:pPr>
            <w:r w:rsidRPr="006A2EE4">
              <w:t>—</w:t>
            </w:r>
          </w:p>
        </w:tc>
      </w:tr>
      <w:tr w:rsidR="00252513" w14:paraId="4D8744C5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62A81" w14:textId="397032A0" w:rsidR="00252513" w:rsidRPr="00AC7F60" w:rsidRDefault="00252513" w:rsidP="00350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Illinois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95116" w14:textId="4BD24222" w:rsidR="00252513" w:rsidRPr="004D50A8" w:rsidRDefault="001C3244" w:rsidP="00350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252513">
              <w:rPr>
                <w:rFonts w:ascii="Arial" w:hAnsi="Arial" w:cs="Arial"/>
                <w:sz w:val="20"/>
                <w:szCs w:val="20"/>
              </w:rPr>
              <w:t>SHPO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F8B08" w14:textId="307F1CD9" w:rsidR="00252513" w:rsidRDefault="00252513" w:rsidP="0035016C">
            <w:pPr>
              <w:pStyle w:val="TableContents"/>
            </w:pPr>
            <w:r>
              <w:t>5 m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565B0" w14:textId="7DFFFCBD" w:rsidR="00252513" w:rsidRDefault="00252513" w:rsidP="0035016C">
            <w:pPr>
              <w:pStyle w:val="TableContents"/>
            </w:pPr>
            <w:r>
              <w:t>≤ 15 m</w:t>
            </w:r>
          </w:p>
        </w:tc>
        <w:tc>
          <w:tcPr>
            <w:tcW w:w="1048" w:type="dxa"/>
          </w:tcPr>
          <w:p w14:paraId="6BF95E1F" w14:textId="65E86785" w:rsidR="00252513" w:rsidRDefault="00252513" w:rsidP="0035016C">
            <w:pPr>
              <w:pStyle w:val="TableContents"/>
            </w:pPr>
            <w:r>
              <w:t>—</w:t>
            </w:r>
          </w:p>
        </w:tc>
        <w:tc>
          <w:tcPr>
            <w:tcW w:w="1097" w:type="dxa"/>
          </w:tcPr>
          <w:p w14:paraId="0F1B7F97" w14:textId="508D8097" w:rsidR="00252513" w:rsidRDefault="00252513" w:rsidP="0035016C">
            <w:pPr>
              <w:pStyle w:val="TableContents"/>
            </w:pPr>
            <w:r>
              <w:t>—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AB1C1" w14:textId="3B5B029E" w:rsidR="00252513" w:rsidRDefault="00252513" w:rsidP="0035016C">
            <w:pPr>
              <w:pStyle w:val="TableContents"/>
            </w:pPr>
            <w:r>
              <w:rPr>
                <w:rFonts w:ascii="Webdings" w:hAnsi="Webdings"/>
              </w:rPr>
              <w:t></w:t>
            </w:r>
          </w:p>
        </w:tc>
      </w:tr>
      <w:tr w:rsidR="00252513" w14:paraId="48DCCFE8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608C4" w14:textId="5FB35722" w:rsidR="00252513" w:rsidRPr="00AC7F60" w:rsidRDefault="00252513" w:rsidP="00350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Minnesota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B20D1" w14:textId="7604ECEA" w:rsidR="00252513" w:rsidRPr="004D50A8" w:rsidRDefault="001C3244" w:rsidP="00350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252513">
              <w:rPr>
                <w:rFonts w:ascii="Arial" w:hAnsi="Arial" w:cs="Arial"/>
                <w:sz w:val="20"/>
                <w:szCs w:val="20"/>
              </w:rPr>
              <w:t>OSA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D418B" w14:textId="5DD76F6B" w:rsidR="00252513" w:rsidRDefault="00252513" w:rsidP="0035016C">
            <w:pPr>
              <w:pStyle w:val="TableContents"/>
            </w:pPr>
            <w:r>
              <w:t>5-15 m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822F4" w14:textId="441084C4" w:rsidR="00252513" w:rsidRDefault="00252513" w:rsidP="0035016C">
            <w:pPr>
              <w:pStyle w:val="TableContents"/>
            </w:pPr>
            <w:r>
              <w:t>≤ 15 m</w:t>
            </w:r>
          </w:p>
        </w:tc>
        <w:tc>
          <w:tcPr>
            <w:tcW w:w="1048" w:type="dxa"/>
          </w:tcPr>
          <w:p w14:paraId="11FA08C5" w14:textId="5C9B76DC" w:rsidR="00252513" w:rsidRDefault="00252513" w:rsidP="0035016C">
            <w:pPr>
              <w:pStyle w:val="TableContents"/>
            </w:pPr>
            <w:r>
              <w:t>—</w:t>
            </w:r>
          </w:p>
        </w:tc>
        <w:tc>
          <w:tcPr>
            <w:tcW w:w="1097" w:type="dxa"/>
          </w:tcPr>
          <w:p w14:paraId="1E427AC1" w14:textId="5DC7FF56" w:rsidR="00252513" w:rsidRDefault="00252513" w:rsidP="0035016C">
            <w:pPr>
              <w:pStyle w:val="TableContents"/>
            </w:pPr>
            <w:r>
              <w:t>ns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199A0" w14:textId="78EAF1C4" w:rsidR="00252513" w:rsidRDefault="00252513" w:rsidP="0035016C">
            <w:pPr>
              <w:pStyle w:val="TableContents"/>
            </w:pPr>
            <w:r>
              <w:rPr>
                <w:rFonts w:ascii="Webdings" w:hAnsi="Webdings"/>
              </w:rPr>
              <w:t></w:t>
            </w:r>
          </w:p>
        </w:tc>
      </w:tr>
      <w:tr w:rsidR="00252513" w14:paraId="4093DFA1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0E07B" w14:textId="52F954D7" w:rsidR="00252513" w:rsidRPr="00AC7F60" w:rsidRDefault="00252513" w:rsidP="00350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Mississippi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0A96C" w14:textId="29FA02F8" w:rsidR="00252513" w:rsidRPr="004D50A8" w:rsidRDefault="00252513" w:rsidP="00350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MDAH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B757A" w14:textId="08883A68" w:rsidR="00252513" w:rsidRDefault="00252513" w:rsidP="0035016C">
            <w:pPr>
              <w:pStyle w:val="TableContents"/>
            </w:pPr>
            <w:r>
              <w:t>15-30 m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69646" w14:textId="7A826ABB" w:rsidR="00252513" w:rsidRDefault="00252513" w:rsidP="0035016C">
            <w:pPr>
              <w:pStyle w:val="TableContents"/>
            </w:pPr>
            <w:r>
              <w:t>≤ 30 m</w:t>
            </w:r>
          </w:p>
        </w:tc>
        <w:tc>
          <w:tcPr>
            <w:tcW w:w="1048" w:type="dxa"/>
          </w:tcPr>
          <w:p w14:paraId="6E916C72" w14:textId="0E18AB39" w:rsidR="00252513" w:rsidRDefault="00252513" w:rsidP="0035016C">
            <w:pPr>
              <w:pStyle w:val="TableContents"/>
            </w:pPr>
            <w:r>
              <w:t>—</w:t>
            </w:r>
          </w:p>
        </w:tc>
        <w:tc>
          <w:tcPr>
            <w:tcW w:w="1097" w:type="dxa"/>
          </w:tcPr>
          <w:p w14:paraId="04B54D4C" w14:textId="636D7263" w:rsidR="00252513" w:rsidRDefault="00252513" w:rsidP="0035016C">
            <w:pPr>
              <w:pStyle w:val="TableContents"/>
            </w:pPr>
            <w:r>
              <w:t>—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FCF47" w14:textId="1F937CEF" w:rsidR="00252513" w:rsidRDefault="00252513" w:rsidP="0035016C">
            <w:pPr>
              <w:pStyle w:val="TableContents"/>
            </w:pPr>
            <w:r>
              <w:t>—</w:t>
            </w:r>
          </w:p>
        </w:tc>
      </w:tr>
      <w:tr w:rsidR="00252513" w14:paraId="58D70FCD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6ED4C" w14:textId="2EFDF62D" w:rsidR="00252513" w:rsidRPr="00AC7F60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Nevada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FA2CDD" w14:textId="3601D05C" w:rsidR="00252513" w:rsidRPr="004D50A8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BLM</w:t>
            </w:r>
            <w:r w:rsidR="001C3244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ADD85" w14:textId="5B305205" w:rsidR="00252513" w:rsidRDefault="00252513" w:rsidP="00252513">
            <w:pPr>
              <w:pStyle w:val="TableContents"/>
            </w:pPr>
            <w:r>
              <w:t>≤ 30 m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0F8F4" w14:textId="5D80182B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48" w:type="dxa"/>
          </w:tcPr>
          <w:p w14:paraId="19F6E818" w14:textId="03CC6A58" w:rsidR="00252513" w:rsidRDefault="00252513" w:rsidP="00252513">
            <w:pPr>
              <w:pStyle w:val="TableContents"/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097" w:type="dxa"/>
          </w:tcPr>
          <w:p w14:paraId="20F6ABD0" w14:textId="50F837C3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B86FA" w14:textId="544104BE" w:rsidR="00252513" w:rsidRDefault="00252513" w:rsidP="00252513">
            <w:pPr>
              <w:pStyle w:val="TableContents"/>
            </w:pPr>
            <w:r w:rsidRPr="00B82550">
              <w:t>—</w:t>
            </w:r>
          </w:p>
        </w:tc>
      </w:tr>
      <w:tr w:rsidR="00252513" w14:paraId="3621C98C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6151F" w14:textId="786EF99F" w:rsidR="00252513" w:rsidRPr="00AC7F60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New York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52473" w14:textId="39E769CD" w:rsidR="00252513" w:rsidRPr="004D50A8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ACSC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10314" w14:textId="1FD663A8" w:rsidR="00252513" w:rsidRDefault="00252513" w:rsidP="00252513">
            <w:pPr>
              <w:pStyle w:val="TableContents"/>
            </w:pPr>
            <w:r>
              <w:t>ns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FF50D" w14:textId="730F9C13" w:rsidR="00252513" w:rsidRDefault="00252513" w:rsidP="00252513">
            <w:pPr>
              <w:pStyle w:val="TableContents"/>
            </w:pPr>
            <w:r>
              <w:t>≤ 15 m</w:t>
            </w:r>
          </w:p>
        </w:tc>
        <w:tc>
          <w:tcPr>
            <w:tcW w:w="1048" w:type="dxa"/>
          </w:tcPr>
          <w:p w14:paraId="218B5B65" w14:textId="09C2B9D4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97" w:type="dxa"/>
          </w:tcPr>
          <w:p w14:paraId="0FE118DC" w14:textId="0E5FAB2C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8C4F3" w14:textId="5D5FD04D" w:rsidR="00252513" w:rsidRDefault="00252513" w:rsidP="00252513">
            <w:pPr>
              <w:pStyle w:val="TableContents"/>
            </w:pPr>
            <w:r w:rsidRPr="00B82550">
              <w:t>—</w:t>
            </w:r>
          </w:p>
        </w:tc>
      </w:tr>
      <w:tr w:rsidR="00252513" w14:paraId="79A9D5E2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9FE15" w14:textId="162302BA" w:rsidR="00252513" w:rsidRPr="00AC7F60" w:rsidRDefault="00252513" w:rsidP="00350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Ontario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55BA6" w14:textId="4EDC6C05" w:rsidR="00252513" w:rsidRPr="004D50A8" w:rsidRDefault="00252513" w:rsidP="0035016C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MTCS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ED97D" w14:textId="65DEA5A3" w:rsidR="00252513" w:rsidRDefault="00252513" w:rsidP="0035016C">
            <w:pPr>
              <w:pStyle w:val="TableContents"/>
            </w:pPr>
            <w:r>
              <w:t>5 or 10 m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A690E" w14:textId="46E73443" w:rsidR="00252513" w:rsidRDefault="00252513" w:rsidP="0035016C">
            <w:pPr>
              <w:pStyle w:val="TableContents"/>
            </w:pPr>
            <w:r>
              <w:t>5 or 10 m</w:t>
            </w:r>
          </w:p>
        </w:tc>
        <w:tc>
          <w:tcPr>
            <w:tcW w:w="1048" w:type="dxa"/>
          </w:tcPr>
          <w:p w14:paraId="0082247C" w14:textId="64CB067C" w:rsidR="00252513" w:rsidRDefault="00F04834" w:rsidP="0035016C">
            <w:pPr>
              <w:pStyle w:val="TableContents"/>
            </w:pPr>
            <w:r>
              <w:t>—</w:t>
            </w:r>
          </w:p>
        </w:tc>
        <w:tc>
          <w:tcPr>
            <w:tcW w:w="1097" w:type="dxa"/>
          </w:tcPr>
          <w:p w14:paraId="74CC5962" w14:textId="7836AE56" w:rsidR="00252513" w:rsidRDefault="00F04834" w:rsidP="0035016C">
            <w:pPr>
              <w:pStyle w:val="TableContents"/>
            </w:pPr>
            <w:r>
              <w:t>ns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CECFF" w14:textId="5E3258C6" w:rsidR="00252513" w:rsidRDefault="00252513" w:rsidP="0035016C">
            <w:pPr>
              <w:pStyle w:val="TableContents"/>
            </w:pPr>
            <w:r>
              <w:rPr>
                <w:rFonts w:ascii="Webdings" w:hAnsi="Webdings"/>
              </w:rPr>
              <w:t></w:t>
            </w:r>
          </w:p>
        </w:tc>
      </w:tr>
      <w:tr w:rsidR="00252513" w14:paraId="005CFBD0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F9CF9" w14:textId="280A3E02" w:rsidR="00252513" w:rsidRPr="0091779A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B1BAB">
              <w:rPr>
                <w:rFonts w:ascii="Arial" w:hAnsi="Arial" w:cs="Arial"/>
                <w:sz w:val="20"/>
                <w:szCs w:val="20"/>
              </w:rPr>
              <w:t>South Carolina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5C24A" w14:textId="6111CE11" w:rsidR="00252513" w:rsidRPr="004D50A8" w:rsidRDefault="004F6067" w:rsidP="00252513">
            <w:pPr>
              <w:pStyle w:val="TableContents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t>CSCPA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7096C" w14:textId="39065978" w:rsidR="00252513" w:rsidRPr="001B717E" w:rsidRDefault="00252513" w:rsidP="00252513">
            <w:pPr>
              <w:pStyle w:val="TableContents"/>
              <w:rPr>
                <w:rFonts w:ascii="Cambria Math" w:hAnsi="Cambria Math"/>
              </w:rPr>
            </w:pPr>
            <w:r>
              <w:rPr>
                <w:rFonts w:ascii="Cambria Math" w:hAnsi="Cambria Math" w:hint="eastAsia"/>
              </w:rPr>
              <w:t>≤</w:t>
            </w:r>
            <w:r>
              <w:rPr>
                <w:rFonts w:ascii="Cambria Math" w:hAnsi="Cambria Math" w:hint="eastAsia"/>
              </w:rPr>
              <w:t xml:space="preserve"> </w:t>
            </w:r>
            <w:r>
              <w:rPr>
                <w:rFonts w:ascii="Cambria Math" w:hAnsi="Cambria Math"/>
              </w:rPr>
              <w:t>30 m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1447C" w14:textId="09D91AA3" w:rsidR="00252513" w:rsidRPr="001B717E" w:rsidRDefault="00252513" w:rsidP="00252513">
            <w:pPr>
              <w:pStyle w:val="TableContents"/>
              <w:rPr>
                <w:rFonts w:ascii="Cambria Math" w:hAnsi="Cambria Math"/>
              </w:rPr>
            </w:pPr>
            <w:r>
              <w:rPr>
                <w:rFonts w:ascii="Cambria Math" w:hAnsi="Cambria Math" w:hint="eastAsia"/>
              </w:rPr>
              <w:t>≤</w:t>
            </w:r>
            <w:r>
              <w:rPr>
                <w:rFonts w:ascii="Cambria Math" w:hAnsi="Cambria Math" w:hint="eastAsia"/>
              </w:rPr>
              <w:t xml:space="preserve"> </w:t>
            </w:r>
            <w:r>
              <w:rPr>
                <w:rFonts w:ascii="Cambria Math" w:hAnsi="Cambria Math"/>
              </w:rPr>
              <w:t>60 m</w:t>
            </w:r>
          </w:p>
        </w:tc>
        <w:tc>
          <w:tcPr>
            <w:tcW w:w="1048" w:type="dxa"/>
          </w:tcPr>
          <w:p w14:paraId="27D9D61D" w14:textId="776EFF00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97" w:type="dxa"/>
          </w:tcPr>
          <w:p w14:paraId="075C23C0" w14:textId="6C484FC6" w:rsidR="00252513" w:rsidRDefault="00252513" w:rsidP="00252513">
            <w:pPr>
              <w:pStyle w:val="TableContents"/>
            </w:pPr>
            <w:proofErr w:type="spellStart"/>
            <w:r>
              <w:t>asm</w:t>
            </w:r>
            <w:proofErr w:type="spellEnd"/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D1121" w14:textId="3FD5AAA7" w:rsidR="00252513" w:rsidRDefault="00252513" w:rsidP="00252513">
            <w:pPr>
              <w:pStyle w:val="TableContents"/>
            </w:pPr>
            <w:r w:rsidRPr="001E29D2">
              <w:t>—</w:t>
            </w:r>
          </w:p>
        </w:tc>
      </w:tr>
      <w:tr w:rsidR="00252513" w14:paraId="2777648B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50041" w14:textId="36FA9907" w:rsidR="00252513" w:rsidRPr="00AC7F60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Texas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577F1A" w14:textId="0205E84A" w:rsidR="00252513" w:rsidRPr="004D50A8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THC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16EF7" w14:textId="6EB6BE0D" w:rsidR="00252513" w:rsidRDefault="00252513" w:rsidP="00252513">
            <w:pPr>
              <w:pStyle w:val="TableContents"/>
            </w:pPr>
            <w:r>
              <w:t>≤ 30 m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AE015" w14:textId="03B4D3C5" w:rsidR="00252513" w:rsidRDefault="00252513" w:rsidP="00252513">
            <w:pPr>
              <w:pStyle w:val="TableContents"/>
            </w:pPr>
            <w:r>
              <w:t>≤ 3/acre</w:t>
            </w:r>
          </w:p>
        </w:tc>
        <w:tc>
          <w:tcPr>
            <w:tcW w:w="1048" w:type="dxa"/>
          </w:tcPr>
          <w:p w14:paraId="3F9A8BED" w14:textId="26FEE23E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97" w:type="dxa"/>
          </w:tcPr>
          <w:p w14:paraId="08B8B05D" w14:textId="1B3A3898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3641E" w14:textId="03009CAB" w:rsidR="00252513" w:rsidRDefault="00252513" w:rsidP="00252513">
            <w:pPr>
              <w:pStyle w:val="TableContents"/>
            </w:pPr>
            <w:r w:rsidRPr="001E29D2">
              <w:t>—</w:t>
            </w:r>
          </w:p>
        </w:tc>
      </w:tr>
      <w:tr w:rsidR="00252513" w14:paraId="3C47D4B8" w14:textId="77777777" w:rsidTr="00252513">
        <w:trPr>
          <w:jc w:val="center"/>
        </w:trPr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8EB7C" w14:textId="66DECB84" w:rsidR="00252513" w:rsidRPr="00AC7F60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Wisconsin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EB65C" w14:textId="5233BB01" w:rsidR="00252513" w:rsidRPr="004D50A8" w:rsidRDefault="00252513" w:rsidP="00252513">
            <w:pPr>
              <w:pStyle w:val="TableContents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WAS</w:t>
            </w:r>
          </w:p>
        </w:tc>
        <w:tc>
          <w:tcPr>
            <w:tcW w:w="0" w:type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6042C" w14:textId="0507691B" w:rsidR="00252513" w:rsidRPr="00DD3FBB" w:rsidRDefault="00252513" w:rsidP="00252513">
            <w:pPr>
              <w:pStyle w:val="TableContents"/>
              <w:rPr>
                <w:rFonts w:ascii="Cambria Math" w:hAnsi="Cambria Math"/>
              </w:rPr>
            </w:pPr>
            <w:r>
              <w:rPr>
                <w:rFonts w:ascii="Cambria Math" w:hAnsi="Cambria Math" w:hint="eastAsia"/>
              </w:rPr>
              <w:t>≤</w:t>
            </w:r>
            <w:r>
              <w:rPr>
                <w:rFonts w:ascii="Cambria Math" w:hAnsi="Cambria Math" w:hint="eastAsia"/>
              </w:rPr>
              <w:t xml:space="preserve"> </w:t>
            </w:r>
            <w:r>
              <w:rPr>
                <w:rFonts w:ascii="Cambria Math" w:hAnsi="Cambria Math"/>
              </w:rPr>
              <w:t>15 m</w:t>
            </w:r>
          </w:p>
        </w:tc>
        <w:tc>
          <w:tcPr>
            <w:tcW w:w="94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AEBAA" w14:textId="071C7A55" w:rsidR="00252513" w:rsidRPr="00DD3FBB" w:rsidRDefault="00252513" w:rsidP="00252513">
            <w:pPr>
              <w:pStyle w:val="TableContents"/>
              <w:rPr>
                <w:rFonts w:ascii="Cambria Math" w:hAnsi="Cambria Math"/>
              </w:rPr>
            </w:pPr>
            <w:r>
              <w:rPr>
                <w:rFonts w:ascii="Cambria Math" w:hAnsi="Cambria Math" w:hint="eastAsia"/>
              </w:rPr>
              <w:t>≤</w:t>
            </w:r>
            <w:r>
              <w:rPr>
                <w:rFonts w:ascii="Cambria Math" w:hAnsi="Cambria Math" w:hint="eastAsia"/>
              </w:rPr>
              <w:t xml:space="preserve"> </w:t>
            </w:r>
            <w:r>
              <w:rPr>
                <w:rFonts w:ascii="Cambria Math" w:hAnsi="Cambria Math"/>
              </w:rPr>
              <w:t>15 m</w:t>
            </w:r>
          </w:p>
        </w:tc>
        <w:tc>
          <w:tcPr>
            <w:tcW w:w="1048" w:type="dxa"/>
          </w:tcPr>
          <w:p w14:paraId="6827AD9D" w14:textId="57211EE2" w:rsidR="00252513" w:rsidRDefault="00252513" w:rsidP="00252513">
            <w:pPr>
              <w:pStyle w:val="TableContents"/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097" w:type="dxa"/>
          </w:tcPr>
          <w:p w14:paraId="688C9E2B" w14:textId="0857E483" w:rsidR="00252513" w:rsidRDefault="00252513" w:rsidP="00252513">
            <w:pPr>
              <w:pStyle w:val="TableContents"/>
            </w:pPr>
            <w:r>
              <w:t>—</w:t>
            </w:r>
          </w:p>
        </w:tc>
        <w:tc>
          <w:tcPr>
            <w:tcW w:w="102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FD73C" w14:textId="4986F0FC" w:rsidR="00252513" w:rsidRDefault="00252513" w:rsidP="00252513">
            <w:pPr>
              <w:pStyle w:val="TableContents"/>
            </w:pPr>
            <w:r w:rsidRPr="001E29D2">
              <w:t>—</w:t>
            </w:r>
          </w:p>
        </w:tc>
      </w:tr>
    </w:tbl>
    <w:p w14:paraId="35A122C5" w14:textId="77777777" w:rsidR="003A7BF8" w:rsidRDefault="003A7BF8" w:rsidP="003A7BF8">
      <w:pPr>
        <w:pStyle w:val="Heading1"/>
      </w:pPr>
    </w:p>
    <w:p w14:paraId="36442231" w14:textId="6C9EA32C" w:rsidR="007D3DBE" w:rsidRPr="00FD08E8" w:rsidRDefault="007D3DBE" w:rsidP="003A7BF8">
      <w:pPr>
        <w:pStyle w:val="Heading1"/>
        <w:rPr>
          <w:b/>
        </w:rPr>
      </w:pPr>
      <w:r w:rsidRPr="00FD08E8">
        <w:t xml:space="preserve">References </w:t>
      </w:r>
    </w:p>
    <w:p w14:paraId="7BB56FE3" w14:textId="7B6F29B1" w:rsidR="004D50A8" w:rsidRDefault="001C3244" w:rsidP="001164A5">
      <w:pPr>
        <w:pStyle w:val="Bibliography"/>
      </w:pPr>
      <w:r>
        <w:t>BCMSBTC (</w:t>
      </w:r>
      <w:r w:rsidR="004D50A8">
        <w:t>British Columbia Ministry of Small Business, Tourism and Culture</w:t>
      </w:r>
      <w:r>
        <w:t>)</w:t>
      </w:r>
    </w:p>
    <w:p w14:paraId="71F773CF" w14:textId="1C9BCACB" w:rsidR="00150924" w:rsidRDefault="001164A5" w:rsidP="001164A5">
      <w:pPr>
        <w:pStyle w:val="Bibliography"/>
      </w:pPr>
      <w:r>
        <w:lastRenderedPageBreak/>
        <w:tab/>
      </w:r>
      <w:r w:rsidR="00150924">
        <w:t>2000</w:t>
      </w:r>
      <w:r w:rsidR="004D50A8">
        <w:tab/>
      </w:r>
      <w:r w:rsidR="00150924" w:rsidRPr="00150924">
        <w:rPr>
          <w:i/>
        </w:rPr>
        <w:t>British Columbia Archaeological Inventory</w:t>
      </w:r>
      <w:r w:rsidR="004D50A8" w:rsidRPr="00150924">
        <w:rPr>
          <w:i/>
        </w:rPr>
        <w:t xml:space="preserve"> Guidelines</w:t>
      </w:r>
      <w:r w:rsidR="004D50A8">
        <w:t>. Ministry of Small Business, Tourism and Culture, Victoria, B.C.</w:t>
      </w:r>
      <w:r w:rsidR="00577D2F">
        <w:t xml:space="preserve"> </w:t>
      </w:r>
      <w:hyperlink r:id="rId6" w:history="1">
        <w:r w:rsidR="00150924" w:rsidRPr="00F413F6">
          <w:rPr>
            <w:rStyle w:val="Hyperlink"/>
          </w:rPr>
          <w:t>https://www.for.gov.bc.ca/ftp/archaeology/external/!publish/web/inventory_guidelines.pdf</w:t>
        </w:r>
      </w:hyperlink>
      <w:r w:rsidR="00150924">
        <w:t>. Accessed 24 January 2020.</w:t>
      </w:r>
    </w:p>
    <w:p w14:paraId="7047B4FE" w14:textId="050AD9E0" w:rsidR="001164A5" w:rsidRDefault="001C3244" w:rsidP="001164A5">
      <w:pPr>
        <w:pStyle w:val="Bibliography"/>
      </w:pPr>
      <w:r>
        <w:t>BLM (</w:t>
      </w:r>
      <w:r w:rsidR="004D50A8">
        <w:t>Bureau of Land Management</w:t>
      </w:r>
      <w:r>
        <w:t>)</w:t>
      </w:r>
    </w:p>
    <w:p w14:paraId="57813D50" w14:textId="5A476DEB" w:rsidR="004D50A8" w:rsidRDefault="001164A5" w:rsidP="001164A5">
      <w:pPr>
        <w:pStyle w:val="Bibliography"/>
      </w:pPr>
      <w:r>
        <w:tab/>
      </w:r>
      <w:r w:rsidR="004D50A8">
        <w:t>2004</w:t>
      </w:r>
      <w:r>
        <w:tab/>
      </w:r>
      <w:r w:rsidR="004D50A8">
        <w:t>8110 – Identifying and Evaluating Cultural Resources. United States Department of the Interior.</w:t>
      </w:r>
      <w:r w:rsidR="000D27DA">
        <w:t xml:space="preserve"> </w:t>
      </w:r>
      <w:hyperlink r:id="rId7" w:history="1">
        <w:r w:rsidR="000D27DA" w:rsidRPr="00F413F6">
          <w:rPr>
            <w:rStyle w:val="Hyperlink"/>
          </w:rPr>
          <w:t>https://www.blm.gov/sites/blm.gov/files/uploads/mediacenter_blmpolicymanual8110_0.pdf</w:t>
        </w:r>
      </w:hyperlink>
      <w:r w:rsidR="000D27DA">
        <w:t>. Accessed 23 January 2020.</w:t>
      </w:r>
    </w:p>
    <w:p w14:paraId="11504866" w14:textId="3F9D9F8B" w:rsidR="001164A5" w:rsidRDefault="001C3244" w:rsidP="001164A5">
      <w:pPr>
        <w:pStyle w:val="Bibliography"/>
      </w:pPr>
      <w:r>
        <w:t>BLMN (</w:t>
      </w:r>
      <w:r w:rsidR="007D3DBE" w:rsidRPr="00FD08E8">
        <w:t>Bureau of Land Management Nevada State Office</w:t>
      </w:r>
      <w:r>
        <w:t>)</w:t>
      </w:r>
    </w:p>
    <w:p w14:paraId="6EE08857" w14:textId="2EB2E413" w:rsidR="007D3DBE" w:rsidRPr="00FD08E8" w:rsidRDefault="001164A5" w:rsidP="001164A5">
      <w:pPr>
        <w:pStyle w:val="Bibliography"/>
      </w:pPr>
      <w:r>
        <w:tab/>
      </w:r>
      <w:r w:rsidR="007D3DBE" w:rsidRPr="00FD08E8">
        <w:t>2012</w:t>
      </w:r>
      <w:r>
        <w:tab/>
      </w:r>
      <w:r w:rsidR="007D3DBE" w:rsidRPr="00FD08E8">
        <w:t xml:space="preserve">Guidelines and Standards for Archaeological Inventory. </w:t>
      </w:r>
      <w:hyperlink r:id="rId8" w:history="1">
        <w:r w:rsidR="00376C0F" w:rsidRPr="00F413F6">
          <w:rPr>
            <w:rStyle w:val="Hyperlink"/>
          </w:rPr>
          <w:t>https://www.blm.gov/sites/blm.gov/files/documents/files/NV%20Guidelines%20and%20Standards%20for%20Archaeological%20Inventory%202012.pdf</w:t>
        </w:r>
      </w:hyperlink>
      <w:r w:rsidR="007D3DBE" w:rsidRPr="00FD08E8">
        <w:t>.</w:t>
      </w:r>
      <w:r w:rsidR="00376C0F">
        <w:t xml:space="preserve"> Accessed 24 January 2020.</w:t>
      </w:r>
    </w:p>
    <w:p w14:paraId="6BDAD255" w14:textId="10B44FE0" w:rsidR="001164A5" w:rsidRDefault="001C3244" w:rsidP="001164A5">
      <w:pPr>
        <w:pStyle w:val="Bibliography"/>
      </w:pPr>
      <w:r>
        <w:t>CSCPA (</w:t>
      </w:r>
      <w:r w:rsidR="007D3DBE" w:rsidRPr="00FD08E8">
        <w:t>Council of South Carolina Professional Archaeologists</w:t>
      </w:r>
      <w:r>
        <w:t>)</w:t>
      </w:r>
    </w:p>
    <w:p w14:paraId="36DB69F1" w14:textId="43E9657A" w:rsidR="007D3DBE" w:rsidRPr="00FD08E8" w:rsidRDefault="001164A5" w:rsidP="001164A5">
      <w:pPr>
        <w:pStyle w:val="Bibliography"/>
        <w:rPr>
          <w:rStyle w:val="HTMLCite"/>
          <w:i w:val="0"/>
          <w:color w:val="000000"/>
        </w:rPr>
      </w:pPr>
      <w:r>
        <w:tab/>
      </w:r>
      <w:r w:rsidR="007D3DBE" w:rsidRPr="00FD08E8">
        <w:t>20</w:t>
      </w:r>
      <w:r w:rsidR="001B717E">
        <w:t>13</w:t>
      </w:r>
      <w:r>
        <w:tab/>
      </w:r>
      <w:r w:rsidR="007D3DBE" w:rsidRPr="00FD08E8">
        <w:t>South Carolina Standards and Guidelines for Archaeological Investigations.</w:t>
      </w:r>
      <w:r w:rsidR="001B717E">
        <w:t xml:space="preserve"> </w:t>
      </w:r>
      <w:hyperlink r:id="rId9" w:history="1">
        <w:r w:rsidR="001B717E" w:rsidRPr="00F413F6">
          <w:rPr>
            <w:rStyle w:val="Hyperlink"/>
          </w:rPr>
          <w:t>https://drive.google.com/file/d/1IkPq9mv9jmTGhqukhnSKfms4Krcn7vqP/view</w:t>
        </w:r>
      </w:hyperlink>
      <w:r w:rsidR="007D3DBE" w:rsidRPr="00FD08E8">
        <w:rPr>
          <w:rStyle w:val="HTMLCite"/>
          <w:i w:val="0"/>
          <w:color w:val="000000"/>
        </w:rPr>
        <w:t>.</w:t>
      </w:r>
      <w:r w:rsidR="001B717E">
        <w:rPr>
          <w:rStyle w:val="HTMLCite"/>
          <w:i w:val="0"/>
          <w:color w:val="000000"/>
        </w:rPr>
        <w:t xml:space="preserve"> Accessed 23 January 2020.</w:t>
      </w:r>
    </w:p>
    <w:p w14:paraId="76685C71" w14:textId="5C7DB378" w:rsidR="001164A5" w:rsidRDefault="001C3244" w:rsidP="001164A5">
      <w:pPr>
        <w:pStyle w:val="Bibliography"/>
      </w:pPr>
      <w:r>
        <w:t>GCPA (</w:t>
      </w:r>
      <w:r w:rsidR="007D3DBE" w:rsidRPr="00FD08E8">
        <w:t>Georgia Council of Professional Archaeologists</w:t>
      </w:r>
      <w:r>
        <w:t>)</w:t>
      </w:r>
    </w:p>
    <w:p w14:paraId="1A7C119A" w14:textId="1EB8228A" w:rsidR="007D3DBE" w:rsidRPr="00FD08E8" w:rsidRDefault="001164A5" w:rsidP="001164A5">
      <w:pPr>
        <w:pStyle w:val="Bibliography"/>
      </w:pPr>
      <w:r>
        <w:tab/>
      </w:r>
      <w:r w:rsidR="007D3DBE" w:rsidRPr="00FD08E8">
        <w:t>2014</w:t>
      </w:r>
      <w:r>
        <w:tab/>
      </w:r>
      <w:r w:rsidR="007D3DBE" w:rsidRPr="00FD08E8">
        <w:t xml:space="preserve">Georgia Standards and Guidelines for Archaeological Survey. </w:t>
      </w:r>
      <w:hyperlink r:id="rId10" w:history="1">
        <w:r w:rsidR="007D3DBE" w:rsidRPr="00FD08E8">
          <w:rPr>
            <w:rStyle w:val="Hyperlink"/>
            <w:color w:val="000000"/>
          </w:rPr>
          <w:t>http://georgia-archaeology.org/GCPA/standards_for_survey/</w:t>
        </w:r>
      </w:hyperlink>
      <w:r w:rsidR="007D3DBE" w:rsidRPr="00FD08E8">
        <w:t xml:space="preserve"> Accessed </w:t>
      </w:r>
      <w:r w:rsidR="00B17907">
        <w:t>23 January 2020</w:t>
      </w:r>
      <w:r w:rsidR="007D3DBE" w:rsidRPr="00FD08E8">
        <w:t>.</w:t>
      </w:r>
    </w:p>
    <w:p w14:paraId="3989F8AA" w14:textId="4596F8C4" w:rsidR="001164A5" w:rsidRDefault="001C3244" w:rsidP="001164A5">
      <w:pPr>
        <w:pStyle w:val="Bibliography"/>
      </w:pPr>
      <w:r>
        <w:t>ISHPO (</w:t>
      </w:r>
      <w:r w:rsidR="007D3DBE" w:rsidRPr="00FD08E8">
        <w:t>Illinois State Historical Preservation Office</w:t>
      </w:r>
      <w:r>
        <w:t>)</w:t>
      </w:r>
    </w:p>
    <w:p w14:paraId="0C46CC5C" w14:textId="4268F31D" w:rsidR="007D3DBE" w:rsidRDefault="001164A5" w:rsidP="001164A5">
      <w:pPr>
        <w:pStyle w:val="Bibliography"/>
      </w:pPr>
      <w:r>
        <w:tab/>
        <w:t>n.d.</w:t>
      </w:r>
      <w:r>
        <w:tab/>
      </w:r>
      <w:r w:rsidR="007D3DBE" w:rsidRPr="00D9344A">
        <w:rPr>
          <w:i/>
        </w:rPr>
        <w:t>Guidelines for Archaeological Reconnaissance Surveys/Reports</w:t>
      </w:r>
      <w:r w:rsidR="007D3DBE" w:rsidRPr="00FD08E8">
        <w:t xml:space="preserve">. </w:t>
      </w:r>
      <w:hyperlink r:id="rId11" w:history="1">
        <w:r w:rsidR="007D3DBE" w:rsidRPr="00FD08E8">
          <w:rPr>
            <w:rStyle w:val="Hyperlink"/>
            <w:color w:val="000000"/>
          </w:rPr>
          <w:t>https://www.illinois.gov/ihpa/Preserve/SiteAssets/Pages/Archaeology/Archaeological%20Guidelines.pdf</w:t>
        </w:r>
      </w:hyperlink>
      <w:r w:rsidR="007D3DBE" w:rsidRPr="00FD08E8">
        <w:t xml:space="preserve"> Accessed </w:t>
      </w:r>
      <w:r w:rsidR="00B17907">
        <w:t>23 January 2020</w:t>
      </w:r>
      <w:r w:rsidR="007D3DBE" w:rsidRPr="00FD08E8">
        <w:t>.</w:t>
      </w:r>
    </w:p>
    <w:p w14:paraId="08D01146" w14:textId="77777777" w:rsidR="003422F5" w:rsidRDefault="003422F5" w:rsidP="003422F5">
      <w:pPr>
        <w:pStyle w:val="Bibliography"/>
      </w:pPr>
      <w:r>
        <w:t>Kolb, Jennifer L., and Katherine Stevenson, editors</w:t>
      </w:r>
    </w:p>
    <w:p w14:paraId="3133694C" w14:textId="77777777" w:rsidR="003422F5" w:rsidRPr="001164A5" w:rsidRDefault="003422F5" w:rsidP="003422F5">
      <w:pPr>
        <w:pStyle w:val="Bibliography"/>
        <w:rPr>
          <w:b/>
        </w:rPr>
      </w:pPr>
      <w:r>
        <w:tab/>
      </w:r>
      <w:r w:rsidRPr="00FD08E8">
        <w:t>1997</w:t>
      </w:r>
      <w:r>
        <w:tab/>
      </w:r>
      <w:r w:rsidRPr="003422F5">
        <w:rPr>
          <w:i/>
        </w:rPr>
        <w:t>Guidelines for Public Archaeology in Wisconsin</w:t>
      </w:r>
      <w:r w:rsidRPr="00FD08E8">
        <w:t xml:space="preserve">. </w:t>
      </w:r>
      <w:r>
        <w:t xml:space="preserve">Wisconsin Archaeological Survey. </w:t>
      </w:r>
      <w:hyperlink r:id="rId12" w:history="1">
        <w:r w:rsidRPr="00F413F6">
          <w:rPr>
            <w:rStyle w:val="Hyperlink"/>
          </w:rPr>
          <w:t>http://www4.uwm.edu/Org/was/WASurvey/WAS_Guidlines_files/WAS_Guidelines_DOC.pdf</w:t>
        </w:r>
      </w:hyperlink>
      <w:r w:rsidRPr="00FD08E8">
        <w:t xml:space="preserve"> Accessed </w:t>
      </w:r>
      <w:r>
        <w:t>23 January 2020</w:t>
      </w:r>
      <w:r w:rsidRPr="00FD08E8">
        <w:t>.</w:t>
      </w:r>
    </w:p>
    <w:p w14:paraId="25EB1101" w14:textId="3633A31A" w:rsidR="00D9344A" w:rsidRDefault="001C3244" w:rsidP="00D9344A">
      <w:pPr>
        <w:pStyle w:val="Bibliography"/>
      </w:pPr>
      <w:r>
        <w:t>MOSA (</w:t>
      </w:r>
      <w:r w:rsidR="00D9344A">
        <w:t xml:space="preserve">Minnesota </w:t>
      </w:r>
      <w:r>
        <w:t xml:space="preserve">Office of the </w:t>
      </w:r>
      <w:r w:rsidR="00D9344A">
        <w:t>State Archaeologist</w:t>
      </w:r>
      <w:r>
        <w:t>)</w:t>
      </w:r>
    </w:p>
    <w:p w14:paraId="4583EC40" w14:textId="641A3FDD" w:rsidR="00D9344A" w:rsidRPr="00D9344A" w:rsidRDefault="00D9344A" w:rsidP="00D9344A">
      <w:pPr>
        <w:pStyle w:val="Bibliography"/>
      </w:pPr>
      <w:r>
        <w:tab/>
        <w:t>2011</w:t>
      </w:r>
      <w:r>
        <w:tab/>
      </w:r>
      <w:r w:rsidRPr="00D9344A">
        <w:rPr>
          <w:i/>
        </w:rPr>
        <w:t>State Archaeologist’s Manual for Archaeological Projects in Minnesota</w:t>
      </w:r>
      <w:r>
        <w:t>. Office of the State Archaeologist, St. Paul, Minnesota.</w:t>
      </w:r>
    </w:p>
    <w:p w14:paraId="065D2C34" w14:textId="77777777" w:rsidR="001164A5" w:rsidRDefault="007D3DBE" w:rsidP="001164A5">
      <w:pPr>
        <w:pStyle w:val="Bibliography"/>
      </w:pPr>
      <w:r w:rsidRPr="00FD08E8">
        <w:t>New York Archaeological Council Standards Committee</w:t>
      </w:r>
    </w:p>
    <w:p w14:paraId="501018C2" w14:textId="3DE88BA3" w:rsidR="007D3DBE" w:rsidRPr="00FD08E8" w:rsidRDefault="001164A5" w:rsidP="001164A5">
      <w:pPr>
        <w:pStyle w:val="Bibliography"/>
        <w:rPr>
          <w:b/>
        </w:rPr>
      </w:pPr>
      <w:r>
        <w:tab/>
      </w:r>
      <w:r w:rsidR="007D3DBE" w:rsidRPr="00FD08E8">
        <w:t>2000</w:t>
      </w:r>
      <w:r>
        <w:tab/>
      </w:r>
      <w:r w:rsidR="007D3DBE" w:rsidRPr="00FD08E8">
        <w:t xml:space="preserve">Cultural Resource Standards Handbook. </w:t>
      </w:r>
      <w:hyperlink r:id="rId13" w:history="1">
        <w:r w:rsidR="007D3DBE" w:rsidRPr="00FD08E8">
          <w:rPr>
            <w:rStyle w:val="Hyperlink"/>
            <w:color w:val="000000"/>
          </w:rPr>
          <w:t>http://www.hartgen.com/userfiles/Cultural%20Resource%20Standards%20Handbook.pdf</w:t>
        </w:r>
      </w:hyperlink>
      <w:r w:rsidR="007D3DBE" w:rsidRPr="00FD08E8">
        <w:t xml:space="preserve"> Accessed </w:t>
      </w:r>
      <w:r w:rsidR="003C3C09">
        <w:t>23 January 2020</w:t>
      </w:r>
      <w:r w:rsidR="007D3DBE" w:rsidRPr="00FD08E8">
        <w:t>.</w:t>
      </w:r>
    </w:p>
    <w:p w14:paraId="2EDED46E" w14:textId="77777777" w:rsidR="001164A5" w:rsidRDefault="007D3DBE" w:rsidP="001164A5">
      <w:pPr>
        <w:pStyle w:val="Bibliography"/>
      </w:pPr>
      <w:r w:rsidRPr="00FD08E8">
        <w:t>Ontario Ministry of Tourism</w:t>
      </w:r>
      <w:r w:rsidR="001164A5">
        <w:t>,</w:t>
      </w:r>
      <w:r w:rsidRPr="00FD08E8">
        <w:t xml:space="preserve"> Culture</w:t>
      </w:r>
      <w:r w:rsidR="001164A5">
        <w:t xml:space="preserve"> and Sport</w:t>
      </w:r>
    </w:p>
    <w:p w14:paraId="5782F6EF" w14:textId="234F22FB" w:rsidR="007D3DBE" w:rsidRPr="00FD08E8" w:rsidRDefault="001164A5" w:rsidP="001164A5">
      <w:pPr>
        <w:pStyle w:val="Bibliography"/>
        <w:rPr>
          <w:b/>
        </w:rPr>
      </w:pPr>
      <w:r>
        <w:tab/>
      </w:r>
      <w:r w:rsidR="007D3DBE" w:rsidRPr="00FD08E8">
        <w:t>2011</w:t>
      </w:r>
      <w:r>
        <w:tab/>
      </w:r>
      <w:r w:rsidR="007D3DBE" w:rsidRPr="00FD08E8">
        <w:rPr>
          <w:i/>
        </w:rPr>
        <w:t>Standards and Guidelines for Consultant Archaeologists</w:t>
      </w:r>
      <w:r w:rsidR="007D3DBE" w:rsidRPr="00FD08E8">
        <w:t xml:space="preserve">. Toronto: Queen’s Printer for Ontario. </w:t>
      </w:r>
      <w:hyperlink r:id="rId14" w:history="1">
        <w:r w:rsidR="007D3DBE" w:rsidRPr="00FD08E8">
          <w:rPr>
            <w:rStyle w:val="Hyperlink"/>
            <w:color w:val="000000"/>
          </w:rPr>
          <w:t>http://www.mtc.gov.on.ca/en/publications/SG_2010.pdf</w:t>
        </w:r>
      </w:hyperlink>
      <w:r w:rsidR="007D3DBE" w:rsidRPr="00FD08E8">
        <w:t xml:space="preserve"> Accessed </w:t>
      </w:r>
      <w:r w:rsidR="003C3C09">
        <w:t>23 January 2020</w:t>
      </w:r>
      <w:r w:rsidR="007D3DBE" w:rsidRPr="00FD08E8">
        <w:t>.</w:t>
      </w:r>
    </w:p>
    <w:p w14:paraId="7857FBAD" w14:textId="155A5AFE" w:rsidR="00BE6269" w:rsidRDefault="00BE6269" w:rsidP="001164A5">
      <w:pPr>
        <w:pStyle w:val="Bibliography"/>
      </w:pPr>
      <w:r>
        <w:t>Secretary of the Interior</w:t>
      </w:r>
    </w:p>
    <w:p w14:paraId="46617F91" w14:textId="503C1C83" w:rsidR="00BE6269" w:rsidRPr="00FD08E8" w:rsidRDefault="00BE6269" w:rsidP="001164A5">
      <w:pPr>
        <w:pStyle w:val="Bibliography"/>
        <w:rPr>
          <w:b/>
          <w:lang w:val="en-CA"/>
        </w:rPr>
      </w:pPr>
      <w:r>
        <w:tab/>
        <w:t>n.d.</w:t>
      </w:r>
      <w:r>
        <w:tab/>
        <w:t xml:space="preserve">Archaeology and Historic Preservation: Secretary of the Interior’s Standards and Guidelines [as Amended and Annotated]. </w:t>
      </w:r>
      <w:hyperlink r:id="rId15" w:history="1">
        <w:r w:rsidR="00376C0F" w:rsidRPr="00F413F6">
          <w:rPr>
            <w:rStyle w:val="Hyperlink"/>
          </w:rPr>
          <w:t>https://www.nps.gov/history/local-law/arch_stnds_2.htm</w:t>
        </w:r>
      </w:hyperlink>
      <w:r w:rsidR="00376C0F">
        <w:t>. Accessed 23 January 2020.</w:t>
      </w:r>
    </w:p>
    <w:p w14:paraId="1AAF7BB7" w14:textId="77777777" w:rsidR="001164A5" w:rsidRDefault="007D3DBE" w:rsidP="001164A5">
      <w:pPr>
        <w:pStyle w:val="Bibliography"/>
      </w:pPr>
      <w:r w:rsidRPr="00FD08E8">
        <w:t>Sims, Douglas</w:t>
      </w:r>
    </w:p>
    <w:p w14:paraId="2747337D" w14:textId="3B658C5D" w:rsidR="007D3DBE" w:rsidRPr="00784D32" w:rsidRDefault="001164A5" w:rsidP="00784D32">
      <w:pPr>
        <w:pStyle w:val="Bibliography"/>
      </w:pPr>
      <w:r>
        <w:tab/>
      </w:r>
      <w:r w:rsidR="007D3DBE" w:rsidRPr="00FD08E8">
        <w:t>2001</w:t>
      </w:r>
      <w:r>
        <w:tab/>
      </w:r>
      <w:r w:rsidR="007D3DBE" w:rsidRPr="00784D32">
        <w:rPr>
          <w:i/>
        </w:rPr>
        <w:t>Guidelines for Archaeological Investigations and Reports in Mississippi</w:t>
      </w:r>
      <w:r w:rsidR="007D3DBE" w:rsidRPr="00FD08E8">
        <w:t>.</w:t>
      </w:r>
      <w:r w:rsidR="00784D32">
        <w:t xml:space="preserve"> </w:t>
      </w:r>
      <w:r w:rsidR="00784D32" w:rsidRPr="00784D32">
        <w:rPr>
          <w:rFonts w:cs="DPIFJD+TimesNewRoman,Italic"/>
          <w:iCs/>
          <w:color w:val="000000"/>
          <w:sz w:val="23"/>
          <w:szCs w:val="23"/>
        </w:rPr>
        <w:t>Mississippi Department of Archives and History and Mississippi State Historic Preservation Office</w:t>
      </w:r>
      <w:r w:rsidR="00784D32">
        <w:rPr>
          <w:rFonts w:cs="DPIFJD+TimesNewRoman,Italic"/>
          <w:i/>
          <w:iCs/>
          <w:color w:val="000000"/>
          <w:sz w:val="23"/>
          <w:szCs w:val="23"/>
        </w:rPr>
        <w:t xml:space="preserve">. </w:t>
      </w:r>
      <w:hyperlink r:id="rId16" w:history="1">
        <w:r w:rsidR="00784D32" w:rsidRPr="00F413F6">
          <w:rPr>
            <w:rStyle w:val="Hyperlink"/>
          </w:rPr>
          <w:t>http://www.mdah.ms.gov/new/wp-content/uploads/2013/06/archguidelines8-13-2012.pdf</w:t>
        </w:r>
      </w:hyperlink>
      <w:r w:rsidR="00390D63">
        <w:t>. Accessed 25 January 2020.</w:t>
      </w:r>
      <w:r w:rsidR="007D3DBE" w:rsidRPr="00FD08E8">
        <w:t xml:space="preserve"> </w:t>
      </w:r>
    </w:p>
    <w:p w14:paraId="39CF313A" w14:textId="43A0C5AA" w:rsidR="001164A5" w:rsidRDefault="004F6067" w:rsidP="001164A5">
      <w:pPr>
        <w:pStyle w:val="Bibliography"/>
      </w:pPr>
      <w:r>
        <w:t>THC (</w:t>
      </w:r>
      <w:r w:rsidR="007D3DBE" w:rsidRPr="00FD08E8">
        <w:t>Texas Historical Commission</w:t>
      </w:r>
      <w:r>
        <w:t>)</w:t>
      </w:r>
    </w:p>
    <w:p w14:paraId="718F0757" w14:textId="6D8FCA4C" w:rsidR="007D3DBE" w:rsidRPr="00FD08E8" w:rsidRDefault="001164A5" w:rsidP="001164A5">
      <w:pPr>
        <w:pStyle w:val="Bibliography"/>
      </w:pPr>
      <w:r>
        <w:tab/>
      </w:r>
      <w:r w:rsidR="007D3DBE" w:rsidRPr="00FD08E8">
        <w:t>No Date</w:t>
      </w:r>
      <w:r>
        <w:tab/>
      </w:r>
      <w:r w:rsidR="007D3DBE" w:rsidRPr="00784D32">
        <w:rPr>
          <w:i/>
        </w:rPr>
        <w:t>Archaeological Survey Standards for Texas</w:t>
      </w:r>
      <w:r w:rsidR="007D3DBE" w:rsidRPr="00FD08E8">
        <w:t xml:space="preserve">. </w:t>
      </w:r>
      <w:r w:rsidR="00784D32">
        <w:t xml:space="preserve">Texas Historical Commission. </w:t>
      </w:r>
      <w:hyperlink r:id="rId17" w:history="1">
        <w:r w:rsidR="00784D32" w:rsidRPr="00F413F6">
          <w:rPr>
            <w:rStyle w:val="Hyperlink"/>
          </w:rPr>
          <w:t>https://www.thc.texas.gov/public/upload/publications/THC_SurveyStandards_2014.pdf</w:t>
        </w:r>
      </w:hyperlink>
      <w:r w:rsidR="00784D32">
        <w:t>. Accessed 23 January 2020.</w:t>
      </w:r>
      <w:r w:rsidR="007D3DBE" w:rsidRPr="00FD08E8">
        <w:t xml:space="preserve"> </w:t>
      </w:r>
    </w:p>
    <w:p w14:paraId="17199902" w14:textId="7D74D1ED" w:rsidR="007D3DBE" w:rsidRPr="00FD08E8" w:rsidRDefault="007D3DBE" w:rsidP="001164A5">
      <w:pPr>
        <w:pStyle w:val="Bibliography"/>
      </w:pPr>
    </w:p>
    <w:sectPr w:rsidR="007D3DBE" w:rsidRPr="00FD08E8" w:rsidSect="007D3DBE">
      <w:footerReference w:type="even" r:id="rId18"/>
      <w:footerReference w:type="default" r:id="rId19"/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038F0" w14:textId="77777777" w:rsidR="006252C9" w:rsidRDefault="006252C9" w:rsidP="002F7780">
      <w:r>
        <w:separator/>
      </w:r>
    </w:p>
  </w:endnote>
  <w:endnote w:type="continuationSeparator" w:id="0">
    <w:p w14:paraId="40BAC855" w14:textId="77777777" w:rsidR="006252C9" w:rsidRDefault="006252C9" w:rsidP="002F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DPIFJD+TimesNewRoman,Italic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001765935"/>
      <w:docPartObj>
        <w:docPartGallery w:val="Page Numbers (Bottom of Page)"/>
        <w:docPartUnique/>
      </w:docPartObj>
    </w:sdtPr>
    <w:sdtContent>
      <w:p w14:paraId="31D21E8D" w14:textId="1F59308D" w:rsidR="002F7780" w:rsidRDefault="002F7780" w:rsidP="002C303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3B996F" w14:textId="77777777" w:rsidR="002F7780" w:rsidRDefault="002F7780" w:rsidP="002F77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683489009"/>
      <w:docPartObj>
        <w:docPartGallery w:val="Page Numbers (Bottom of Page)"/>
        <w:docPartUnique/>
      </w:docPartObj>
    </w:sdtPr>
    <w:sdtContent>
      <w:p w14:paraId="104CEDB1" w14:textId="0B955812" w:rsidR="002F7780" w:rsidRDefault="002F7780" w:rsidP="002C303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033BDFB" w14:textId="010EEE2E" w:rsidR="002F7780" w:rsidRDefault="002F7780" w:rsidP="002F7780">
    <w:pPr>
      <w:pStyle w:val="Footer"/>
      <w:ind w:right="360"/>
      <w:jc w:val="right"/>
    </w:pPr>
    <w:r>
      <w:t>S5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87980" w14:textId="77777777" w:rsidR="006252C9" w:rsidRDefault="006252C9" w:rsidP="002F7780">
      <w:r>
        <w:separator/>
      </w:r>
    </w:p>
  </w:footnote>
  <w:footnote w:type="continuationSeparator" w:id="0">
    <w:p w14:paraId="2D2E2299" w14:textId="77777777" w:rsidR="006252C9" w:rsidRDefault="006252C9" w:rsidP="002F77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DBE"/>
    <w:rsid w:val="00067CA1"/>
    <w:rsid w:val="000D27DA"/>
    <w:rsid w:val="001164A5"/>
    <w:rsid w:val="00150924"/>
    <w:rsid w:val="001B717E"/>
    <w:rsid w:val="001C3244"/>
    <w:rsid w:val="00252513"/>
    <w:rsid w:val="002A3366"/>
    <w:rsid w:val="002B1BAB"/>
    <w:rsid w:val="002F7780"/>
    <w:rsid w:val="003210CC"/>
    <w:rsid w:val="003422F5"/>
    <w:rsid w:val="0035016C"/>
    <w:rsid w:val="00364E6D"/>
    <w:rsid w:val="00376C0F"/>
    <w:rsid w:val="00390D63"/>
    <w:rsid w:val="00397D6D"/>
    <w:rsid w:val="003A7BF8"/>
    <w:rsid w:val="003C3C09"/>
    <w:rsid w:val="0042490C"/>
    <w:rsid w:val="0042612C"/>
    <w:rsid w:val="0042697B"/>
    <w:rsid w:val="0044358A"/>
    <w:rsid w:val="00443FB8"/>
    <w:rsid w:val="00465236"/>
    <w:rsid w:val="004D50A8"/>
    <w:rsid w:val="004D6670"/>
    <w:rsid w:val="004F6067"/>
    <w:rsid w:val="00572A37"/>
    <w:rsid w:val="00577D2F"/>
    <w:rsid w:val="005A34CC"/>
    <w:rsid w:val="006252C9"/>
    <w:rsid w:val="00784D32"/>
    <w:rsid w:val="007D3DBE"/>
    <w:rsid w:val="00A03561"/>
    <w:rsid w:val="00A10875"/>
    <w:rsid w:val="00A1765C"/>
    <w:rsid w:val="00A93F4E"/>
    <w:rsid w:val="00AF34E2"/>
    <w:rsid w:val="00B15DF2"/>
    <w:rsid w:val="00B17907"/>
    <w:rsid w:val="00BE6269"/>
    <w:rsid w:val="00C33BA0"/>
    <w:rsid w:val="00D9344A"/>
    <w:rsid w:val="00DD3FBB"/>
    <w:rsid w:val="00F048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B60C05"/>
  <w15:docId w15:val="{7319DA52-362E-3946-9855-04E0C1F7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autoRedefine/>
    <w:qFormat/>
    <w:rsid w:val="003A7BF8"/>
    <w:pPr>
      <w:keepNext/>
      <w:spacing w:before="240" w:after="240"/>
      <w:jc w:val="center"/>
      <w:outlineLvl w:val="0"/>
    </w:pPr>
    <w:rPr>
      <w:rFonts w:ascii="Times New Roman" w:eastAsia="Times" w:hAnsi="Times New Roman" w:cs="Times New Roman"/>
      <w:caps/>
      <w:color w:val="000000"/>
      <w:kern w:val="32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A7BF8"/>
    <w:rPr>
      <w:rFonts w:ascii="Times New Roman" w:eastAsia="Times" w:hAnsi="Times New Roman" w:cs="Times New Roman"/>
      <w:caps/>
      <w:color w:val="000000"/>
      <w:kern w:val="32"/>
      <w:szCs w:val="20"/>
      <w:lang w:eastAsia="en-CA"/>
    </w:rPr>
  </w:style>
  <w:style w:type="paragraph" w:customStyle="1" w:styleId="Biblio">
    <w:name w:val="Biblio"/>
    <w:basedOn w:val="Normal"/>
    <w:autoRedefine/>
    <w:rsid w:val="007D3DBE"/>
    <w:pPr>
      <w:widowControl w:val="0"/>
      <w:autoSpaceDE w:val="0"/>
      <w:autoSpaceDN w:val="0"/>
      <w:adjustRightInd w:val="0"/>
      <w:spacing w:line="480" w:lineRule="auto"/>
      <w:ind w:left="720" w:hanging="720"/>
    </w:pPr>
    <w:rPr>
      <w:rFonts w:ascii="Times New Roman" w:eastAsia="Times New Roman" w:hAnsi="Times New Roman" w:cs="Times New Roman"/>
      <w:lang w:eastAsia="en-CA"/>
    </w:rPr>
  </w:style>
  <w:style w:type="character" w:styleId="Hyperlink">
    <w:name w:val="Hyperlink"/>
    <w:semiHidden/>
    <w:rsid w:val="007D3DBE"/>
    <w:rPr>
      <w:color w:val="0000FF"/>
      <w:u w:val="single"/>
    </w:rPr>
  </w:style>
  <w:style w:type="character" w:styleId="HTMLCite">
    <w:name w:val="HTML Cite"/>
    <w:uiPriority w:val="99"/>
    <w:unhideWhenUsed/>
    <w:rsid w:val="007D3DB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D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DBE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1"/>
    <w:autoRedefine/>
    <w:uiPriority w:val="99"/>
    <w:unhideWhenUsed/>
    <w:qFormat/>
    <w:rsid w:val="0042697B"/>
    <w:pPr>
      <w:widowControl w:val="0"/>
      <w:suppressAutoHyphens/>
      <w:autoSpaceDN w:val="0"/>
      <w:spacing w:before="120" w:line="480" w:lineRule="auto"/>
      <w:textAlignment w:val="baseline"/>
    </w:pPr>
    <w:rPr>
      <w:rFonts w:ascii="Cambria" w:eastAsia="Arial Unicode MS" w:hAnsi="Cambria" w:cs="Tahoma"/>
      <w:kern w:val="3"/>
    </w:rPr>
  </w:style>
  <w:style w:type="character" w:customStyle="1" w:styleId="BodyTextChar">
    <w:name w:val="Body Text Char"/>
    <w:basedOn w:val="DefaultParagraphFont"/>
    <w:uiPriority w:val="99"/>
    <w:semiHidden/>
    <w:rsid w:val="0042490C"/>
  </w:style>
  <w:style w:type="character" w:customStyle="1" w:styleId="BodyTextChar1">
    <w:name w:val="Body Text Char1"/>
    <w:basedOn w:val="DefaultParagraphFont"/>
    <w:link w:val="BodyText"/>
    <w:uiPriority w:val="99"/>
    <w:rsid w:val="0042697B"/>
    <w:rPr>
      <w:rFonts w:ascii="Cambria" w:eastAsia="Arial Unicode MS" w:hAnsi="Cambria" w:cs="Tahoma"/>
      <w:kern w:val="3"/>
    </w:rPr>
  </w:style>
  <w:style w:type="paragraph" w:customStyle="1" w:styleId="Standard">
    <w:name w:val="Standard"/>
    <w:rsid w:val="0042490C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val="en-CA" w:eastAsia="zh-CN" w:bidi="hi-IN"/>
    </w:rPr>
  </w:style>
  <w:style w:type="paragraph" w:customStyle="1" w:styleId="TableContents">
    <w:name w:val="Table Contents"/>
    <w:basedOn w:val="Standard"/>
    <w:rsid w:val="0042490C"/>
    <w:pPr>
      <w:suppressLineNumbers/>
    </w:pPr>
  </w:style>
  <w:style w:type="character" w:styleId="FollowedHyperlink">
    <w:name w:val="FollowedHyperlink"/>
    <w:basedOn w:val="DefaultParagraphFont"/>
    <w:uiPriority w:val="99"/>
    <w:semiHidden/>
    <w:unhideWhenUsed/>
    <w:rsid w:val="002B1BAB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77D2F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90D63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unhideWhenUsed/>
    <w:qFormat/>
    <w:rsid w:val="001164A5"/>
    <w:pPr>
      <w:tabs>
        <w:tab w:val="left" w:pos="360"/>
        <w:tab w:val="left" w:pos="720"/>
      </w:tabs>
      <w:spacing w:line="480" w:lineRule="auto"/>
      <w:ind w:left="720" w:hanging="720"/>
    </w:pPr>
    <w:rPr>
      <w:rFonts w:ascii="Times New Roman" w:hAnsi="Times New Roman" w:cs="Times New Roman (Body CS)"/>
    </w:rPr>
  </w:style>
  <w:style w:type="paragraph" w:customStyle="1" w:styleId="Default">
    <w:name w:val="Default"/>
    <w:rsid w:val="00784D32"/>
    <w:pPr>
      <w:autoSpaceDE w:val="0"/>
      <w:autoSpaceDN w:val="0"/>
      <w:adjustRightInd w:val="0"/>
    </w:pPr>
    <w:rPr>
      <w:rFonts w:ascii="DPIFJD+TimesNewRoman,Italic" w:hAnsi="DPIFJD+TimesNewRoman,Italic" w:cs="DPIFJD+TimesNewRoman,Italic"/>
      <w:color w:val="000000"/>
    </w:rPr>
  </w:style>
  <w:style w:type="paragraph" w:styleId="Revision">
    <w:name w:val="Revision"/>
    <w:hidden/>
    <w:uiPriority w:val="99"/>
    <w:semiHidden/>
    <w:rsid w:val="00B17907"/>
  </w:style>
  <w:style w:type="paragraph" w:styleId="Header">
    <w:name w:val="header"/>
    <w:basedOn w:val="Normal"/>
    <w:link w:val="HeaderChar"/>
    <w:uiPriority w:val="99"/>
    <w:unhideWhenUsed/>
    <w:rsid w:val="002F77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7780"/>
  </w:style>
  <w:style w:type="paragraph" w:styleId="Footer">
    <w:name w:val="footer"/>
    <w:basedOn w:val="Normal"/>
    <w:link w:val="FooterChar"/>
    <w:uiPriority w:val="99"/>
    <w:unhideWhenUsed/>
    <w:rsid w:val="002F77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780"/>
  </w:style>
  <w:style w:type="character" w:styleId="PageNumber">
    <w:name w:val="page number"/>
    <w:basedOn w:val="DefaultParagraphFont"/>
    <w:uiPriority w:val="99"/>
    <w:semiHidden/>
    <w:unhideWhenUsed/>
    <w:rsid w:val="002F7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lm.gov/sites/blm.gov/files/documents/files/NV%20Guidelines%20and%20Standards%20for%20Archaeological%20Inventory%202012.pdf" TargetMode="External"/><Relationship Id="rId13" Type="http://schemas.openxmlformats.org/officeDocument/2006/relationships/hyperlink" Target="http://www.hartgen.com/userfiles/Cultural%20Resource%20Standards%20Handbook.pdf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blm.gov/sites/blm.gov/files/uploads/mediacenter_blmpolicymanual8110_0.pdf" TargetMode="External"/><Relationship Id="rId12" Type="http://schemas.openxmlformats.org/officeDocument/2006/relationships/hyperlink" Target="http://www4.uwm.edu/Org/was/WASurvey/WAS_Guidlines_files/WAS_Guidelines_DOC.pdf" TargetMode="External"/><Relationship Id="rId17" Type="http://schemas.openxmlformats.org/officeDocument/2006/relationships/hyperlink" Target="https://www.thc.texas.gov/public/upload/publications/THC_SurveyStandards_2014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dah.ms.gov/new/wp-content/uploads/2013/06/archguidelines8-13-2012.pdf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for.gov.bc.ca/ftp/archaeology/external/!publish/web/inventory_guidelines.pdf" TargetMode="External"/><Relationship Id="rId11" Type="http://schemas.openxmlformats.org/officeDocument/2006/relationships/hyperlink" Target="https://www.illinois.gov/ihpa/Preserve/SiteAssets/Pages/Archaeology/Archaeological%20Guidelines.pdf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nps.gov/history/local-law/arch_stnds_2.htm" TargetMode="External"/><Relationship Id="rId10" Type="http://schemas.openxmlformats.org/officeDocument/2006/relationships/hyperlink" Target="http://georgia-archaeology.org/GCPA/standards_for_survey/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drive.google.com/file/d/1IkPq9mv9jmTGhqukhnSKfms4Krcn7vqP/view" TargetMode="External"/><Relationship Id="rId14" Type="http://schemas.openxmlformats.org/officeDocument/2006/relationships/hyperlink" Target="http://www.mtc.gov.on.ca/en/publications/SG_201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791</Words>
  <Characters>4652</Characters>
  <Application>Microsoft Office Word</Application>
  <DocSecurity>0</DocSecurity>
  <Lines>73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Banning</dc:creator>
  <cp:keywords/>
  <dc:description/>
  <cp:lastModifiedBy>Edward Banning</cp:lastModifiedBy>
  <cp:revision>32</cp:revision>
  <dcterms:created xsi:type="dcterms:W3CDTF">2020-01-24T16:25:00Z</dcterms:created>
  <dcterms:modified xsi:type="dcterms:W3CDTF">2020-04-13T12:59:00Z</dcterms:modified>
</cp:coreProperties>
</file>