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AC0FE" w14:textId="1A654D7C" w:rsidR="004C1B74" w:rsidRPr="00B31E73" w:rsidRDefault="004C1B74" w:rsidP="004C1B74">
      <w:pPr>
        <w:rPr>
          <w:rFonts w:ascii="Times New Roman" w:hAnsi="Times New Roman" w:cs="Times New Roman"/>
          <w:iCs/>
          <w:sz w:val="24"/>
          <w:lang w:val="en-US"/>
        </w:rPr>
      </w:pPr>
      <w:r w:rsidRPr="00D60FF9">
        <w:rPr>
          <w:rFonts w:ascii="Times New Roman" w:hAnsi="Times New Roman" w:cs="Times New Roman"/>
          <w:sz w:val="24"/>
          <w:lang w:val="en-US"/>
        </w:rPr>
        <w:t xml:space="preserve">Supplemental Table </w:t>
      </w:r>
      <w:r w:rsidR="00595327">
        <w:rPr>
          <w:rFonts w:ascii="Times New Roman" w:hAnsi="Times New Roman" w:cs="Times New Roman"/>
          <w:sz w:val="24"/>
          <w:lang w:val="en-US"/>
        </w:rPr>
        <w:t>1</w:t>
      </w:r>
      <w:r w:rsidRPr="00D60FF9">
        <w:rPr>
          <w:rFonts w:ascii="Times New Roman" w:hAnsi="Times New Roman" w:cs="Times New Roman"/>
          <w:sz w:val="24"/>
          <w:lang w:val="en-US"/>
        </w:rPr>
        <w:t xml:space="preserve">: Summary of </w:t>
      </w:r>
      <w:r w:rsidR="00D74700">
        <w:rPr>
          <w:rFonts w:ascii="Times New Roman" w:hAnsi="Times New Roman" w:cs="Times New Roman"/>
          <w:sz w:val="24"/>
          <w:lang w:val="en-US"/>
        </w:rPr>
        <w:t xml:space="preserve">the </w:t>
      </w:r>
      <w:r w:rsidR="00B31E73">
        <w:rPr>
          <w:rFonts w:ascii="Times New Roman" w:hAnsi="Times New Roman" w:cs="Times New Roman"/>
          <w:sz w:val="24"/>
          <w:lang w:val="en-US"/>
        </w:rPr>
        <w:t>mean</w:t>
      </w:r>
      <w:r w:rsidR="00D74700">
        <w:rPr>
          <w:rFonts w:ascii="Times New Roman" w:hAnsi="Times New Roman" w:cs="Times New Roman"/>
          <w:sz w:val="24"/>
          <w:lang w:val="en-US"/>
        </w:rPr>
        <w:t xml:space="preserve"> step length </w:t>
      </w:r>
      <w:r w:rsidRPr="00D60FF9">
        <w:rPr>
          <w:rFonts w:ascii="Times New Roman" w:hAnsi="Times New Roman" w:cs="Times New Roman"/>
          <w:sz w:val="24"/>
          <w:lang w:val="en-US"/>
        </w:rPr>
        <w:t xml:space="preserve">and </w:t>
      </w:r>
      <w:r w:rsidR="00B31E73">
        <w:rPr>
          <w:rFonts w:ascii="Times New Roman" w:hAnsi="Times New Roman" w:cs="Times New Roman"/>
          <w:sz w:val="24"/>
          <w:lang w:val="en-US"/>
        </w:rPr>
        <w:t>total time steps per simulation run</w:t>
      </w:r>
      <w:r w:rsidRPr="00D60FF9">
        <w:rPr>
          <w:rFonts w:ascii="Times New Roman" w:hAnsi="Times New Roman" w:cs="Times New Roman"/>
          <w:sz w:val="24"/>
          <w:lang w:val="en-US"/>
        </w:rPr>
        <w:t xml:space="preserve"> (me</w:t>
      </w:r>
      <w:r w:rsidR="00595327">
        <w:rPr>
          <w:rFonts w:ascii="Times New Roman" w:hAnsi="Times New Roman" w:cs="Times New Roman"/>
          <w:sz w:val="24"/>
          <w:lang w:val="en-US"/>
        </w:rPr>
        <w:t>an</w:t>
      </w:r>
      <w:r w:rsidRPr="00D60FF9">
        <w:rPr>
          <w:rFonts w:ascii="Times New Roman" w:hAnsi="Times New Roman" w:cs="Times New Roman"/>
          <w:sz w:val="24"/>
          <w:lang w:val="en-US"/>
        </w:rPr>
        <w:t xml:space="preserve"> and 2.5th–97.5th percentile range).</w:t>
      </w:r>
      <w:r w:rsidR="00B31E73">
        <w:rPr>
          <w:rFonts w:ascii="Times New Roman" w:hAnsi="Times New Roman" w:cs="Times New Roman"/>
          <w:sz w:val="24"/>
          <w:lang w:val="en-US"/>
        </w:rPr>
        <w:t xml:space="preserve"> Each cell in the table summarizes</w:t>
      </w:r>
      <w:r w:rsidR="00545967">
        <w:rPr>
          <w:rFonts w:ascii="Times New Roman" w:hAnsi="Times New Roman" w:cs="Times New Roman"/>
          <w:sz w:val="24"/>
          <w:lang w:val="en-US"/>
        </w:rPr>
        <w:t xml:space="preserve"> data </w:t>
      </w:r>
      <w:r w:rsidR="00B31E73">
        <w:rPr>
          <w:rFonts w:ascii="Times New Roman" w:hAnsi="Times New Roman" w:cs="Times New Roman"/>
          <w:sz w:val="24"/>
          <w:lang w:val="en-US"/>
        </w:rPr>
        <w:t>collected from</w:t>
      </w:r>
      <w:r w:rsidR="00545967">
        <w:rPr>
          <w:rFonts w:ascii="Times New Roman" w:hAnsi="Times New Roman" w:cs="Times New Roman"/>
          <w:sz w:val="24"/>
          <w:lang w:val="en-US"/>
        </w:rPr>
        <w:t xml:space="preserve"> 50 simulation runs </w:t>
      </w:r>
      <w:r w:rsidR="00B31E73">
        <w:rPr>
          <w:rFonts w:ascii="Times New Roman" w:hAnsi="Times New Roman" w:cs="Times New Roman"/>
          <w:sz w:val="24"/>
          <w:lang w:val="en-US"/>
        </w:rPr>
        <w:t>at</w:t>
      </w:r>
      <w:r w:rsidR="00545967">
        <w:rPr>
          <w:rFonts w:ascii="Times New Roman" w:hAnsi="Times New Roman" w:cs="Times New Roman"/>
          <w:sz w:val="24"/>
          <w:lang w:val="en-US"/>
        </w:rPr>
        <w:t xml:space="preserve"> each combination of </w:t>
      </w:r>
      <w:r w:rsidR="00545967" w:rsidRPr="00D60FF9">
        <w:rPr>
          <w:rFonts w:ascii="Times New Roman" w:hAnsi="Times New Roman" w:cs="Times New Roman"/>
          <w:i/>
          <w:sz w:val="24"/>
          <w:lang w:val="en-US"/>
        </w:rPr>
        <w:t>μ</w:t>
      </w:r>
      <w:r w:rsidR="00545967">
        <w:rPr>
          <w:rFonts w:ascii="Times New Roman" w:hAnsi="Times New Roman" w:cs="Times New Roman"/>
          <w:sz w:val="24"/>
          <w:lang w:val="en-US"/>
        </w:rPr>
        <w:t xml:space="preserve"> and </w:t>
      </w:r>
      <w:r w:rsidR="00545967" w:rsidRPr="00D60FF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λ</w:t>
      </w:r>
      <w:r w:rsidR="00545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For </w:t>
      </w:r>
      <w:r w:rsidR="00B31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mean</w:t>
      </w:r>
      <w:r w:rsidR="00545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step length, the data presented here are the </w:t>
      </w:r>
      <w:r w:rsidR="005953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mean</w:t>
      </w:r>
      <w:r w:rsidR="005953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545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and percentile range</w:t>
      </w:r>
      <w:r w:rsidR="00B31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of the mean step length per simulation</w:t>
      </w:r>
      <w:r w:rsidR="00545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="00B31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Note that </w:t>
      </w:r>
      <w:r w:rsidR="00B31E73" w:rsidRPr="00D60FF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λ</w:t>
      </w:r>
      <w:r w:rsidR="00B31E7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 xml:space="preserve"> does not affect mean step length when controlling for </w:t>
      </w:r>
      <w:r w:rsidR="00B31E73" w:rsidRPr="0059532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µ</w:t>
      </w:r>
      <w:r w:rsidR="00B31E7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 xml:space="preserve">. Also note that </w:t>
      </w:r>
      <w:r w:rsidR="00B31E73" w:rsidRPr="0059532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µ</w:t>
      </w:r>
      <w:r w:rsidR="00B31E7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 xml:space="preserve"> does not affect time steps per simulation run when controlling for </w:t>
      </w:r>
      <w:r w:rsidR="00B31E73" w:rsidRPr="00D60FF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λ</w:t>
      </w:r>
      <w:r w:rsidR="00B31E73" w:rsidRPr="0059532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7"/>
        <w:gridCol w:w="2244"/>
        <w:gridCol w:w="2269"/>
        <w:gridCol w:w="2216"/>
      </w:tblGrid>
      <w:tr w:rsidR="00545967" w:rsidRPr="00D60FF9" w14:paraId="1ABB0FD7" w14:textId="77777777" w:rsidTr="00903470">
        <w:tc>
          <w:tcPr>
            <w:tcW w:w="1268" w:type="pct"/>
          </w:tcPr>
          <w:p w14:paraId="19F7748F" w14:textId="46640F4C" w:rsidR="00545967" w:rsidRPr="00D60FF9" w:rsidRDefault="00B31E73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Mean</w:t>
            </w:r>
            <w:r w:rsidR="00545967">
              <w:rPr>
                <w:rFonts w:ascii="Times New Roman" w:hAnsi="Times New Roman" w:cs="Times New Roman"/>
                <w:sz w:val="24"/>
                <w:lang w:val="en-US"/>
              </w:rPr>
              <w:t xml:space="preserve"> step length</w:t>
            </w:r>
          </w:p>
        </w:tc>
        <w:tc>
          <w:tcPr>
            <w:tcW w:w="1244" w:type="pct"/>
          </w:tcPr>
          <w:p w14:paraId="453F6365" w14:textId="77777777" w:rsidR="00545967" w:rsidRPr="00D60FF9" w:rsidRDefault="00545967" w:rsidP="00452BCD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1258" w:type="pct"/>
          </w:tcPr>
          <w:p w14:paraId="2BD5048A" w14:textId="77777777" w:rsidR="00545967" w:rsidRPr="00D60FF9" w:rsidRDefault="00545967" w:rsidP="00452BCD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1229" w:type="pct"/>
          </w:tcPr>
          <w:p w14:paraId="261BFCB9" w14:textId="77777777" w:rsidR="00545967" w:rsidRPr="00D60FF9" w:rsidRDefault="00545967" w:rsidP="00452BCD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</w:tr>
      <w:tr w:rsidR="00545967" w:rsidRPr="00D60FF9" w14:paraId="447854FA" w14:textId="77777777" w:rsidTr="00903470">
        <w:tc>
          <w:tcPr>
            <w:tcW w:w="1268" w:type="pct"/>
          </w:tcPr>
          <w:p w14:paraId="155B5B4A" w14:textId="74D29580" w:rsidR="00545967" w:rsidRPr="00D60FF9" w:rsidRDefault="00545967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44" w:type="pct"/>
          </w:tcPr>
          <w:p w14:paraId="6CC9D17D" w14:textId="6679BDAD" w:rsidR="00545967" w:rsidRPr="00D60FF9" w:rsidRDefault="00545967" w:rsidP="00E1178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sz w:val="24"/>
                <w:lang w:val="en-US"/>
              </w:rPr>
              <w:t>μ</w:t>
            </w:r>
            <w:r w:rsidRPr="00D60FF9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1.2</w:t>
            </w:r>
          </w:p>
        </w:tc>
        <w:tc>
          <w:tcPr>
            <w:tcW w:w="1258" w:type="pct"/>
          </w:tcPr>
          <w:p w14:paraId="15769DAD" w14:textId="676E72D5" w:rsidR="00545967" w:rsidRPr="00D60FF9" w:rsidRDefault="00545967" w:rsidP="00E1178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sz w:val="24"/>
                <w:lang w:val="en-US"/>
              </w:rPr>
              <w:t>μ</w:t>
            </w:r>
            <w:r w:rsidRPr="00D60FF9">
              <w:rPr>
                <w:rFonts w:ascii="Times New Roman" w:hAnsi="Times New Roman" w:cs="Times New Roman"/>
                <w:sz w:val="24"/>
                <w:lang w:val="en-US"/>
              </w:rPr>
              <w:t>=2.0</w:t>
            </w:r>
          </w:p>
        </w:tc>
        <w:tc>
          <w:tcPr>
            <w:tcW w:w="1229" w:type="pct"/>
          </w:tcPr>
          <w:p w14:paraId="028BB3AB" w14:textId="74F84DEE" w:rsidR="00545967" w:rsidRPr="00D60FF9" w:rsidRDefault="00545967" w:rsidP="00E1178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sz w:val="24"/>
                <w:lang w:val="en-US"/>
              </w:rPr>
              <w:t>μ</w:t>
            </w:r>
            <w:r w:rsidRPr="00D60FF9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3.5</w:t>
            </w:r>
          </w:p>
        </w:tc>
      </w:tr>
      <w:tr w:rsidR="00545967" w:rsidRPr="00D60FF9" w14:paraId="4EDCC4EA" w14:textId="77777777" w:rsidTr="00903470">
        <w:tc>
          <w:tcPr>
            <w:tcW w:w="1268" w:type="pct"/>
          </w:tcPr>
          <w:p w14:paraId="5760DAF4" w14:textId="258B884A" w:rsidR="00545967" w:rsidRPr="00D60FF9" w:rsidRDefault="00545967" w:rsidP="00D74700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λ</w:t>
            </w:r>
            <w:r w:rsidRPr="00D60F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=0.9</w:t>
            </w:r>
          </w:p>
        </w:tc>
        <w:tc>
          <w:tcPr>
            <w:tcW w:w="1244" w:type="pct"/>
          </w:tcPr>
          <w:p w14:paraId="39BCB535" w14:textId="1CA77E31" w:rsidR="00545967" w:rsidRPr="00545967" w:rsidRDefault="00595327" w:rsidP="00E1178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42.21</w:t>
            </w:r>
            <w:r w:rsidR="00545967">
              <w:rPr>
                <w:rFonts w:ascii="Times New Roman" w:hAnsi="Times New Roman" w:cs="Times New Roman"/>
                <w:sz w:val="24"/>
                <w:lang w:val="en-US"/>
              </w:rPr>
              <w:t xml:space="preserve"> (34.60–53.91)</w:t>
            </w:r>
          </w:p>
        </w:tc>
        <w:tc>
          <w:tcPr>
            <w:tcW w:w="1258" w:type="pct"/>
          </w:tcPr>
          <w:p w14:paraId="178081AE" w14:textId="4499B626" w:rsidR="00545967" w:rsidRPr="00545967" w:rsidRDefault="00545967" w:rsidP="0059532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3.5</w:t>
            </w:r>
            <w:r w:rsidR="00595327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(2.90–4.49)</w:t>
            </w:r>
          </w:p>
        </w:tc>
        <w:tc>
          <w:tcPr>
            <w:tcW w:w="1229" w:type="pct"/>
          </w:tcPr>
          <w:p w14:paraId="37FBB85E" w14:textId="1143955A" w:rsidR="00545967" w:rsidRPr="00D60FF9" w:rsidRDefault="00D74700" w:rsidP="00E1178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0.84 (0.81–0.87)</w:t>
            </w:r>
          </w:p>
        </w:tc>
      </w:tr>
      <w:tr w:rsidR="00545967" w:rsidRPr="00D60FF9" w14:paraId="15342F11" w14:textId="77777777" w:rsidTr="00903470">
        <w:tc>
          <w:tcPr>
            <w:tcW w:w="1268" w:type="pct"/>
          </w:tcPr>
          <w:p w14:paraId="067B2BE3" w14:textId="584DA12E" w:rsidR="00545967" w:rsidRPr="00D60FF9" w:rsidRDefault="00545967" w:rsidP="00D74700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λ</w:t>
            </w:r>
            <w:r w:rsidRPr="00D60F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=0.5</w:t>
            </w:r>
          </w:p>
        </w:tc>
        <w:tc>
          <w:tcPr>
            <w:tcW w:w="1244" w:type="pct"/>
          </w:tcPr>
          <w:p w14:paraId="3E4F6600" w14:textId="0AC1AF97" w:rsidR="00545967" w:rsidRPr="00545967" w:rsidRDefault="00545967" w:rsidP="0059532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42.</w:t>
            </w:r>
            <w:r w:rsidR="00595327">
              <w:rPr>
                <w:rFonts w:ascii="Times New Roman" w:hAnsi="Times New Roman" w:cs="Times New Roman"/>
                <w:sz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(35.29–51.14)</w:t>
            </w:r>
          </w:p>
        </w:tc>
        <w:tc>
          <w:tcPr>
            <w:tcW w:w="1258" w:type="pct"/>
          </w:tcPr>
          <w:p w14:paraId="0708F33B" w14:textId="53592E9C" w:rsidR="00545967" w:rsidRPr="00545967" w:rsidRDefault="00545967" w:rsidP="00E1178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595327">
              <w:rPr>
                <w:rFonts w:ascii="Times New Roman" w:hAnsi="Times New Roman" w:cs="Times New Roman"/>
                <w:sz w:val="24"/>
                <w:lang w:val="en-US"/>
              </w:rPr>
              <w:t>.44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(2.96–3.82)</w:t>
            </w:r>
          </w:p>
        </w:tc>
        <w:tc>
          <w:tcPr>
            <w:tcW w:w="1229" w:type="pct"/>
          </w:tcPr>
          <w:p w14:paraId="7D67E11E" w14:textId="07A5DD36" w:rsidR="00545967" w:rsidRPr="00D74700" w:rsidRDefault="00D74700" w:rsidP="00E1178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4700">
              <w:rPr>
                <w:rFonts w:ascii="Times New Roman" w:hAnsi="Times New Roman" w:cs="Times New Roman"/>
                <w:sz w:val="24"/>
                <w:lang w:val="en-US"/>
              </w:rPr>
              <w:t>0.83 (0.82–0.85)</w:t>
            </w:r>
          </w:p>
        </w:tc>
      </w:tr>
      <w:tr w:rsidR="00545967" w:rsidRPr="00D60FF9" w14:paraId="1FA8EE99" w14:textId="77777777" w:rsidTr="00903470">
        <w:tc>
          <w:tcPr>
            <w:tcW w:w="1268" w:type="pct"/>
          </w:tcPr>
          <w:p w14:paraId="0DFE59B3" w14:textId="1D2490E8" w:rsidR="00545967" w:rsidRPr="00D60FF9" w:rsidRDefault="00545967" w:rsidP="00D74700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λ</w:t>
            </w:r>
            <w:r w:rsidRPr="00D60F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=0.1</w:t>
            </w:r>
          </w:p>
        </w:tc>
        <w:tc>
          <w:tcPr>
            <w:tcW w:w="1244" w:type="pct"/>
          </w:tcPr>
          <w:p w14:paraId="71C3D62E" w14:textId="39D87A61" w:rsidR="00545967" w:rsidRPr="00545967" w:rsidRDefault="00595327" w:rsidP="00E1178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40.03</w:t>
            </w:r>
            <w:r w:rsidR="00545967">
              <w:rPr>
                <w:rFonts w:ascii="Times New Roman" w:hAnsi="Times New Roman" w:cs="Times New Roman"/>
                <w:sz w:val="24"/>
                <w:lang w:val="en-US"/>
              </w:rPr>
              <w:t xml:space="preserve"> (35.60–45.93)</w:t>
            </w:r>
          </w:p>
        </w:tc>
        <w:tc>
          <w:tcPr>
            <w:tcW w:w="1258" w:type="pct"/>
          </w:tcPr>
          <w:p w14:paraId="00FC9EB9" w14:textId="77389D8F" w:rsidR="00545967" w:rsidRPr="00545967" w:rsidRDefault="00545967" w:rsidP="0059532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3.</w:t>
            </w:r>
            <w:r w:rsidR="00595327"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="00595327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.16–3.63)</w:t>
            </w:r>
          </w:p>
        </w:tc>
        <w:tc>
          <w:tcPr>
            <w:tcW w:w="1229" w:type="pct"/>
          </w:tcPr>
          <w:p w14:paraId="7661C3FE" w14:textId="49317A3B" w:rsidR="00545967" w:rsidRPr="00D60FF9" w:rsidRDefault="00D74700" w:rsidP="00E11782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0.83 (0.82–0.84)</w:t>
            </w:r>
          </w:p>
        </w:tc>
      </w:tr>
      <w:tr w:rsidR="00545967" w:rsidRPr="00D60FF9" w14:paraId="39A171A0" w14:textId="77777777" w:rsidTr="00903470">
        <w:tc>
          <w:tcPr>
            <w:tcW w:w="1268" w:type="pct"/>
          </w:tcPr>
          <w:p w14:paraId="15CB31EC" w14:textId="77777777" w:rsidR="00545967" w:rsidRPr="00D60FF9" w:rsidRDefault="00545967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44" w:type="pct"/>
          </w:tcPr>
          <w:p w14:paraId="2F46D7EB" w14:textId="77777777" w:rsidR="00545967" w:rsidRPr="00D60FF9" w:rsidRDefault="00545967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58" w:type="pct"/>
          </w:tcPr>
          <w:p w14:paraId="4BD61A27" w14:textId="77777777" w:rsidR="00545967" w:rsidRPr="00D60FF9" w:rsidRDefault="00545967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29" w:type="pct"/>
          </w:tcPr>
          <w:p w14:paraId="6FB62474" w14:textId="77777777" w:rsidR="00545967" w:rsidRPr="00D60FF9" w:rsidRDefault="00545967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45967" w:rsidRPr="00D60FF9" w14:paraId="431DE98E" w14:textId="77777777" w:rsidTr="00903470">
        <w:tc>
          <w:tcPr>
            <w:tcW w:w="1268" w:type="pct"/>
          </w:tcPr>
          <w:p w14:paraId="0190C7CB" w14:textId="297166F1" w:rsidR="00545967" w:rsidRPr="00D60FF9" w:rsidRDefault="00B31E73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="00545967" w:rsidRPr="00D60FF9">
              <w:rPr>
                <w:rFonts w:ascii="Times New Roman" w:hAnsi="Times New Roman" w:cs="Times New Roman"/>
                <w:sz w:val="24"/>
                <w:lang w:val="en-US"/>
              </w:rPr>
              <w:t>ime step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 per sim</w:t>
            </w:r>
          </w:p>
        </w:tc>
        <w:tc>
          <w:tcPr>
            <w:tcW w:w="1244" w:type="pct"/>
          </w:tcPr>
          <w:p w14:paraId="2A4D60DC" w14:textId="77777777" w:rsidR="00545967" w:rsidRPr="00D60FF9" w:rsidRDefault="00545967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58" w:type="pct"/>
          </w:tcPr>
          <w:p w14:paraId="75898E8B" w14:textId="77777777" w:rsidR="00545967" w:rsidRPr="00D60FF9" w:rsidRDefault="00545967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29" w:type="pct"/>
          </w:tcPr>
          <w:p w14:paraId="392E5FCC" w14:textId="77777777" w:rsidR="00545967" w:rsidRPr="00D60FF9" w:rsidRDefault="00545967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45967" w:rsidRPr="00D60FF9" w14:paraId="293A3899" w14:textId="77777777" w:rsidTr="00903470">
        <w:tc>
          <w:tcPr>
            <w:tcW w:w="1268" w:type="pct"/>
          </w:tcPr>
          <w:p w14:paraId="6D95BB42" w14:textId="77777777" w:rsidR="00545967" w:rsidRPr="00D60FF9" w:rsidRDefault="00545967" w:rsidP="00545967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44" w:type="pct"/>
          </w:tcPr>
          <w:p w14:paraId="243DC88B" w14:textId="3DAE6A74" w:rsidR="00545967" w:rsidRPr="00D60FF9" w:rsidRDefault="00545967" w:rsidP="005459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sz w:val="24"/>
                <w:lang w:val="en-US"/>
              </w:rPr>
              <w:t>μ</w:t>
            </w:r>
            <w:r w:rsidRPr="00D60FF9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1.2</w:t>
            </w:r>
          </w:p>
        </w:tc>
        <w:tc>
          <w:tcPr>
            <w:tcW w:w="1258" w:type="pct"/>
          </w:tcPr>
          <w:p w14:paraId="71432FD2" w14:textId="77777777" w:rsidR="00545967" w:rsidRPr="00D60FF9" w:rsidRDefault="00545967" w:rsidP="005459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sz w:val="24"/>
                <w:lang w:val="en-US"/>
              </w:rPr>
              <w:t>μ</w:t>
            </w:r>
            <w:r w:rsidRPr="00D60FF9">
              <w:rPr>
                <w:rFonts w:ascii="Times New Roman" w:hAnsi="Times New Roman" w:cs="Times New Roman"/>
                <w:sz w:val="24"/>
                <w:lang w:val="en-US"/>
              </w:rPr>
              <w:t>=2.0</w:t>
            </w:r>
          </w:p>
        </w:tc>
        <w:tc>
          <w:tcPr>
            <w:tcW w:w="1229" w:type="pct"/>
          </w:tcPr>
          <w:p w14:paraId="398E7563" w14:textId="02783E51" w:rsidR="00545967" w:rsidRPr="00D60FF9" w:rsidRDefault="00545967" w:rsidP="005459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sz w:val="24"/>
                <w:lang w:val="en-US"/>
              </w:rPr>
              <w:t>μ</w:t>
            </w:r>
            <w:r w:rsidRPr="00D60FF9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3.5</w:t>
            </w:r>
          </w:p>
        </w:tc>
      </w:tr>
      <w:tr w:rsidR="00545967" w:rsidRPr="00D60FF9" w14:paraId="27A199FD" w14:textId="77777777" w:rsidTr="00903470">
        <w:tc>
          <w:tcPr>
            <w:tcW w:w="1268" w:type="pct"/>
          </w:tcPr>
          <w:p w14:paraId="399A130F" w14:textId="77777777" w:rsidR="00545967" w:rsidRPr="00D60FF9" w:rsidRDefault="00545967" w:rsidP="00545967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λ</w:t>
            </w:r>
            <w:r w:rsidRPr="00D60F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=0.9</w:t>
            </w:r>
          </w:p>
        </w:tc>
        <w:tc>
          <w:tcPr>
            <w:tcW w:w="1244" w:type="pct"/>
          </w:tcPr>
          <w:p w14:paraId="66D9F93E" w14:textId="6D674D33" w:rsidR="00545967" w:rsidRPr="00D60FF9" w:rsidRDefault="00545967" w:rsidP="005459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119 (115–123)</w:t>
            </w:r>
          </w:p>
        </w:tc>
        <w:tc>
          <w:tcPr>
            <w:tcW w:w="1258" w:type="pct"/>
          </w:tcPr>
          <w:p w14:paraId="533BB4B6" w14:textId="49869A0A" w:rsidR="00545967" w:rsidRPr="00D60FF9" w:rsidRDefault="00545967" w:rsidP="005459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119 (116–123)</w:t>
            </w:r>
          </w:p>
        </w:tc>
        <w:tc>
          <w:tcPr>
            <w:tcW w:w="1229" w:type="pct"/>
          </w:tcPr>
          <w:p w14:paraId="34908741" w14:textId="351529B1" w:rsidR="00545967" w:rsidRPr="00D60FF9" w:rsidRDefault="00D74700" w:rsidP="005459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119 (115</w:t>
            </w:r>
            <w:r w:rsidR="00545967">
              <w:rPr>
                <w:rFonts w:ascii="Times New Roman" w:hAnsi="Times New Roman" w:cs="Times New Roman"/>
                <w:sz w:val="24"/>
                <w:lang w:val="en-US"/>
              </w:rPr>
              <w:t>–123)</w:t>
            </w:r>
          </w:p>
        </w:tc>
      </w:tr>
      <w:tr w:rsidR="00545967" w:rsidRPr="00D60FF9" w14:paraId="2B0101F8" w14:textId="77777777" w:rsidTr="00903470">
        <w:tc>
          <w:tcPr>
            <w:tcW w:w="1268" w:type="pct"/>
          </w:tcPr>
          <w:p w14:paraId="7D9D3C6C" w14:textId="77777777" w:rsidR="00545967" w:rsidRPr="00D60FF9" w:rsidRDefault="00545967" w:rsidP="00545967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λ</w:t>
            </w:r>
            <w:r w:rsidRPr="00D60F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=0.5</w:t>
            </w:r>
          </w:p>
        </w:tc>
        <w:tc>
          <w:tcPr>
            <w:tcW w:w="1244" w:type="pct"/>
          </w:tcPr>
          <w:p w14:paraId="1424004F" w14:textId="0EC62DC1" w:rsidR="00545967" w:rsidRPr="00D60FF9" w:rsidRDefault="00545967" w:rsidP="0054596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233 (220–248)</w:t>
            </w:r>
          </w:p>
        </w:tc>
        <w:tc>
          <w:tcPr>
            <w:tcW w:w="1258" w:type="pct"/>
          </w:tcPr>
          <w:p w14:paraId="442CA0F4" w14:textId="4109661E" w:rsidR="00545967" w:rsidRPr="00D60FF9" w:rsidRDefault="00545967" w:rsidP="0046257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  <w:r w:rsidR="0046257D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(220–2</w:t>
            </w:r>
            <w:r w:rsidR="00D74700">
              <w:rPr>
                <w:rFonts w:ascii="Times New Roman" w:hAnsi="Times New Roman" w:cs="Times New Roman"/>
                <w:sz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1229" w:type="pct"/>
          </w:tcPr>
          <w:p w14:paraId="7F278AB3" w14:textId="53618EC1" w:rsidR="00545967" w:rsidRPr="00D60FF9" w:rsidRDefault="00545967" w:rsidP="0046257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  <w:r w:rsidR="0046257D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(221–254)</w:t>
            </w:r>
          </w:p>
        </w:tc>
      </w:tr>
      <w:tr w:rsidR="00545967" w:rsidRPr="00D60FF9" w14:paraId="24F9963E" w14:textId="77777777" w:rsidTr="00903470">
        <w:tc>
          <w:tcPr>
            <w:tcW w:w="1268" w:type="pct"/>
          </w:tcPr>
          <w:p w14:paraId="60B55431" w14:textId="77777777" w:rsidR="00545967" w:rsidRPr="00D60FF9" w:rsidRDefault="00545967" w:rsidP="00545967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FF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val="en-US"/>
              </w:rPr>
              <w:t>λ</w:t>
            </w:r>
            <w:r w:rsidRPr="00D60F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=0.1</w:t>
            </w:r>
          </w:p>
        </w:tc>
        <w:tc>
          <w:tcPr>
            <w:tcW w:w="1244" w:type="pct"/>
          </w:tcPr>
          <w:p w14:paraId="276BD87C" w14:textId="390BC1C6" w:rsidR="00545967" w:rsidRPr="00D60FF9" w:rsidRDefault="00545967" w:rsidP="0046257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 w:rsidR="0046257D"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(1145–1332)</w:t>
            </w:r>
          </w:p>
        </w:tc>
        <w:tc>
          <w:tcPr>
            <w:tcW w:w="1258" w:type="pct"/>
          </w:tcPr>
          <w:p w14:paraId="6F5CCA1C" w14:textId="652CCB56" w:rsidR="00545967" w:rsidRPr="00D60FF9" w:rsidRDefault="00545967" w:rsidP="0046257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122</w:t>
            </w:r>
            <w:r w:rsidR="0046257D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(1157–1323)</w:t>
            </w:r>
          </w:p>
        </w:tc>
        <w:tc>
          <w:tcPr>
            <w:tcW w:w="1229" w:type="pct"/>
          </w:tcPr>
          <w:p w14:paraId="55C295CC" w14:textId="14BBD3F1" w:rsidR="00545967" w:rsidRPr="00D60FF9" w:rsidRDefault="00545967" w:rsidP="003968D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122</w:t>
            </w:r>
            <w:r w:rsidR="003968D5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(1160–130</w:t>
            </w:r>
            <w:r w:rsidR="00D74700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</w:tbl>
    <w:p w14:paraId="160587EA" w14:textId="77777777" w:rsidR="004C1B74" w:rsidRPr="00D60FF9" w:rsidRDefault="004C1B74" w:rsidP="004C1B74">
      <w:pPr>
        <w:rPr>
          <w:rFonts w:ascii="Times New Roman" w:hAnsi="Times New Roman" w:cs="Times New Roman"/>
          <w:sz w:val="24"/>
          <w:lang w:val="en-US"/>
        </w:rPr>
      </w:pPr>
    </w:p>
    <w:p w14:paraId="6D3BE91B" w14:textId="77777777" w:rsidR="004C1B74" w:rsidRPr="00D60FF9" w:rsidRDefault="004C1B74" w:rsidP="004C1B74">
      <w:pPr>
        <w:rPr>
          <w:lang w:val="en-US"/>
        </w:rPr>
      </w:pPr>
    </w:p>
    <w:p w14:paraId="3A1A26F7" w14:textId="77777777" w:rsidR="004C1B74" w:rsidRPr="00D60FF9" w:rsidRDefault="004C1B74">
      <w:pPr>
        <w:rPr>
          <w:lang w:val="en-US"/>
        </w:rPr>
      </w:pPr>
    </w:p>
    <w:sectPr w:rsidR="004C1B74" w:rsidRPr="00D60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0D026" w16cex:dateUtc="2021-06-26T04:59:00Z"/>
  <w16cex:commentExtensible w16cex:durableId="2480CE51" w16cex:dateUtc="2021-06-26T0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C65F00" w16cid:durableId="2480D026"/>
  <w16cid:commentId w16cid:paraId="0DC00E50" w16cid:durableId="2480CE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9F"/>
    <w:rsid w:val="00113012"/>
    <w:rsid w:val="001A31F6"/>
    <w:rsid w:val="001B1415"/>
    <w:rsid w:val="003968D5"/>
    <w:rsid w:val="003C0E60"/>
    <w:rsid w:val="0046257D"/>
    <w:rsid w:val="004C1B74"/>
    <w:rsid w:val="00545967"/>
    <w:rsid w:val="00595327"/>
    <w:rsid w:val="005C0D66"/>
    <w:rsid w:val="0073539F"/>
    <w:rsid w:val="0083482C"/>
    <w:rsid w:val="00873B20"/>
    <w:rsid w:val="00903470"/>
    <w:rsid w:val="00A520E3"/>
    <w:rsid w:val="00A72595"/>
    <w:rsid w:val="00B31E73"/>
    <w:rsid w:val="00B6688D"/>
    <w:rsid w:val="00D60FF9"/>
    <w:rsid w:val="00D74700"/>
    <w:rsid w:val="00DC458D"/>
    <w:rsid w:val="00E11782"/>
    <w:rsid w:val="00F91E47"/>
    <w:rsid w:val="00FB2657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D743"/>
  <w15:chartTrackingRefBased/>
  <w15:docId w15:val="{A482EDFB-7CB9-4FA8-BAB3-4312AABD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E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597CBE66E324DA5EC3DF98AF7DB79" ma:contentTypeVersion="13" ma:contentTypeDescription="Create a new document." ma:contentTypeScope="" ma:versionID="3499b7732e0c82bd9bac01b4de786b9e">
  <xsd:schema xmlns:xsd="http://www.w3.org/2001/XMLSchema" xmlns:xs="http://www.w3.org/2001/XMLSchema" xmlns:p="http://schemas.microsoft.com/office/2006/metadata/properties" xmlns:ns3="7a16784a-1825-41e7-b2bc-193ce8334176" xmlns:ns4="8533188a-ca79-475c-be12-6fb878c7bfd0" targetNamespace="http://schemas.microsoft.com/office/2006/metadata/properties" ma:root="true" ma:fieldsID="1206e00505c500d8235137db62ca9b4e" ns3:_="" ns4:_="">
    <xsd:import namespace="7a16784a-1825-41e7-b2bc-193ce8334176"/>
    <xsd:import namespace="8533188a-ca79-475c-be12-6fb878c7b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6784a-1825-41e7-b2bc-193ce8334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3188a-ca79-475c-be12-6fb878c7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F2F21-D1DB-453D-9DCB-ED832ACE2A22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533188a-ca79-475c-be12-6fb878c7bfd0"/>
    <ds:schemaRef ds:uri="7a16784a-1825-41e7-b2bc-193ce833417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C36F9E-C9BC-4F98-AE17-6F82DC40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6784a-1825-41e7-b2bc-193ce8334176"/>
    <ds:schemaRef ds:uri="8533188a-ca79-475c-be12-6fb878c7b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3FB82-C948-4B8D-81E5-7104CF38F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Lin</dc:creator>
  <cp:keywords/>
  <dc:description/>
  <cp:lastModifiedBy>Sam Lin</cp:lastModifiedBy>
  <cp:revision>13</cp:revision>
  <dcterms:created xsi:type="dcterms:W3CDTF">2021-06-17T03:53:00Z</dcterms:created>
  <dcterms:modified xsi:type="dcterms:W3CDTF">2021-06-28T00:52:00Z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0x0101001DA597CBE66E324DA5EC3DF98AF7DB79</vt:lpwstr>
  </property>
</Properties>
</file>