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57BCF" w14:textId="20A4D72E" w:rsidR="00134E78" w:rsidRPr="001B12C0" w:rsidRDefault="00134E78" w:rsidP="00D036AC">
      <w:pPr>
        <w:pStyle w:val="Heading1"/>
        <w:numPr>
          <w:ilvl w:val="0"/>
          <w:numId w:val="0"/>
        </w:numPr>
        <w:ind w:left="567"/>
        <w:rPr>
          <w:lang w:val="en-US"/>
        </w:rPr>
      </w:pPr>
      <w:bookmarkStart w:id="0" w:name="_Toc527618470"/>
      <w:bookmarkStart w:id="1" w:name="_GoBack"/>
      <w:bookmarkEnd w:id="1"/>
      <w:r w:rsidRPr="001B12C0">
        <w:rPr>
          <w:lang w:val="en-US"/>
        </w:rPr>
        <w:t>Appendix</w:t>
      </w:r>
      <w:bookmarkEnd w:id="0"/>
    </w:p>
    <w:p w14:paraId="306B6461" w14:textId="77777777" w:rsidR="00134E78" w:rsidRPr="001B12C0" w:rsidRDefault="00134E78" w:rsidP="00134E78">
      <w:pPr>
        <w:pStyle w:val="Caption"/>
        <w:rPr>
          <w:b w:val="0"/>
        </w:rPr>
      </w:pPr>
      <w:r w:rsidRPr="001B12C0">
        <w:rPr>
          <w:color w:val="000000" w:themeColor="text1"/>
        </w:rPr>
        <w:t xml:space="preserve">Table </w:t>
      </w:r>
      <w:r w:rsidRPr="001B12C0">
        <w:rPr>
          <w:color w:val="000000" w:themeColor="text1"/>
        </w:rPr>
        <w:fldChar w:fldCharType="begin"/>
      </w:r>
      <w:r w:rsidRPr="001B12C0">
        <w:rPr>
          <w:color w:val="000000" w:themeColor="text1"/>
        </w:rPr>
        <w:instrText xml:space="preserve"> SEQ Table \* ARABIC </w:instrText>
      </w:r>
      <w:r w:rsidRPr="001B12C0">
        <w:rPr>
          <w:color w:val="000000" w:themeColor="text1"/>
        </w:rPr>
        <w:fldChar w:fldCharType="separate"/>
      </w:r>
      <w:r>
        <w:rPr>
          <w:noProof/>
          <w:color w:val="000000" w:themeColor="text1"/>
        </w:rPr>
        <w:t>1</w:t>
      </w:r>
      <w:r w:rsidRPr="001B12C0">
        <w:rPr>
          <w:color w:val="000000" w:themeColor="text1"/>
        </w:rPr>
        <w:fldChar w:fldCharType="end"/>
      </w:r>
      <w:r w:rsidRPr="001B12C0">
        <w:rPr>
          <w:color w:val="000000" w:themeColor="text1"/>
        </w:rPr>
        <w:t>: Global South climate cases</w:t>
      </w:r>
    </w:p>
    <w:tbl>
      <w:tblPr>
        <w:tblStyle w:val="TableGrid"/>
        <w:tblW w:w="6076" w:type="pct"/>
        <w:tblLayout w:type="fixed"/>
        <w:tblLook w:val="04A0" w:firstRow="1" w:lastRow="0" w:firstColumn="1" w:lastColumn="0" w:noHBand="0" w:noVBand="1"/>
      </w:tblPr>
      <w:tblGrid>
        <w:gridCol w:w="563"/>
        <w:gridCol w:w="1661"/>
        <w:gridCol w:w="1397"/>
        <w:gridCol w:w="1470"/>
        <w:gridCol w:w="1583"/>
        <w:gridCol w:w="1403"/>
        <w:gridCol w:w="5385"/>
      </w:tblGrid>
      <w:tr w:rsidR="00D036AC" w:rsidRPr="001B12C0" w14:paraId="4F3E711F" w14:textId="77777777" w:rsidTr="005D534E">
        <w:tc>
          <w:tcPr>
            <w:tcW w:w="826" w:type="pct"/>
            <w:gridSpan w:val="2"/>
            <w:tcBorders>
              <w:bottom w:val="single" w:sz="4" w:space="0" w:color="auto"/>
            </w:tcBorders>
          </w:tcPr>
          <w:p w14:paraId="22F6AF36" w14:textId="61E944E1" w:rsidR="00D036AC" w:rsidRPr="001B12C0" w:rsidRDefault="00D036AC" w:rsidP="001929B8">
            <w:pPr>
              <w:jc w:val="center"/>
              <w:rPr>
                <w:b/>
              </w:rPr>
            </w:pPr>
            <w:r w:rsidRPr="001B12C0">
              <w:rPr>
                <w:b/>
              </w:rPr>
              <w:t>Case/</w:t>
            </w:r>
          </w:p>
          <w:p w14:paraId="6CAC7984" w14:textId="77777777" w:rsidR="00D036AC" w:rsidRPr="001B12C0" w:rsidRDefault="00D036AC" w:rsidP="001929B8">
            <w:pPr>
              <w:jc w:val="center"/>
              <w:rPr>
                <w:b/>
              </w:rPr>
            </w:pPr>
            <w:r w:rsidRPr="001B12C0">
              <w:rPr>
                <w:b/>
              </w:rPr>
              <w:t>Year</w:t>
            </w:r>
          </w:p>
        </w:tc>
        <w:tc>
          <w:tcPr>
            <w:tcW w:w="519" w:type="pct"/>
            <w:tcBorders>
              <w:bottom w:val="single" w:sz="4" w:space="0" w:color="auto"/>
            </w:tcBorders>
            <w:shd w:val="clear" w:color="auto" w:fill="auto"/>
          </w:tcPr>
          <w:p w14:paraId="2FBEA10F" w14:textId="77777777" w:rsidR="00D036AC" w:rsidRPr="001B12C0" w:rsidRDefault="00D036AC" w:rsidP="001929B8">
            <w:pPr>
              <w:jc w:val="center"/>
              <w:rPr>
                <w:b/>
              </w:rPr>
            </w:pPr>
            <w:r w:rsidRPr="001B12C0">
              <w:rPr>
                <w:b/>
              </w:rPr>
              <w:t>Jurisdiction</w:t>
            </w:r>
          </w:p>
        </w:tc>
        <w:tc>
          <w:tcPr>
            <w:tcW w:w="546" w:type="pct"/>
            <w:tcBorders>
              <w:bottom w:val="single" w:sz="4" w:space="0" w:color="auto"/>
            </w:tcBorders>
            <w:shd w:val="clear" w:color="auto" w:fill="auto"/>
          </w:tcPr>
          <w:p w14:paraId="3F3589B3" w14:textId="77777777" w:rsidR="00D036AC" w:rsidRPr="001B12C0" w:rsidRDefault="00D036AC" w:rsidP="001929B8">
            <w:pPr>
              <w:jc w:val="center"/>
              <w:rPr>
                <w:b/>
              </w:rPr>
            </w:pPr>
            <w:r w:rsidRPr="001B12C0">
              <w:rPr>
                <w:b/>
              </w:rPr>
              <w:t>Plaintiff(s)</w:t>
            </w:r>
          </w:p>
        </w:tc>
        <w:tc>
          <w:tcPr>
            <w:tcW w:w="588" w:type="pct"/>
            <w:tcBorders>
              <w:bottom w:val="single" w:sz="4" w:space="0" w:color="auto"/>
            </w:tcBorders>
            <w:shd w:val="clear" w:color="auto" w:fill="auto"/>
          </w:tcPr>
          <w:p w14:paraId="03F07C49" w14:textId="77777777" w:rsidR="00D036AC" w:rsidRPr="001B12C0" w:rsidRDefault="00D036AC" w:rsidP="001929B8">
            <w:pPr>
              <w:jc w:val="center"/>
              <w:rPr>
                <w:b/>
              </w:rPr>
            </w:pPr>
            <w:r w:rsidRPr="001B12C0">
              <w:rPr>
                <w:b/>
              </w:rPr>
              <w:t>Defendant(s)</w:t>
            </w:r>
          </w:p>
        </w:tc>
        <w:tc>
          <w:tcPr>
            <w:tcW w:w="521" w:type="pct"/>
            <w:tcBorders>
              <w:bottom w:val="single" w:sz="4" w:space="0" w:color="auto"/>
            </w:tcBorders>
            <w:shd w:val="clear" w:color="auto" w:fill="auto"/>
            <w:vAlign w:val="center"/>
          </w:tcPr>
          <w:p w14:paraId="17F27E37" w14:textId="77777777" w:rsidR="00D036AC" w:rsidRDefault="00D036AC" w:rsidP="001929B8">
            <w:pPr>
              <w:jc w:val="center"/>
              <w:rPr>
                <w:b/>
              </w:rPr>
            </w:pPr>
            <w:r w:rsidRPr="001B12C0">
              <w:rPr>
                <w:b/>
              </w:rPr>
              <w:t>Global North partner(s)</w:t>
            </w:r>
          </w:p>
          <w:p w14:paraId="3BDCB158" w14:textId="6EDFBA14" w:rsidR="00D036AC" w:rsidRPr="001B12C0" w:rsidRDefault="00D036AC" w:rsidP="001929B8">
            <w:pPr>
              <w:jc w:val="center"/>
              <w:rPr>
                <w:b/>
              </w:rPr>
            </w:pPr>
          </w:p>
        </w:tc>
        <w:tc>
          <w:tcPr>
            <w:tcW w:w="2000" w:type="pct"/>
            <w:tcBorders>
              <w:bottom w:val="single" w:sz="4" w:space="0" w:color="auto"/>
            </w:tcBorders>
            <w:shd w:val="clear" w:color="auto" w:fill="auto"/>
          </w:tcPr>
          <w:p w14:paraId="1C8C58FC" w14:textId="77777777" w:rsidR="00D036AC" w:rsidRPr="001B12C0" w:rsidRDefault="00D036AC" w:rsidP="001929B8">
            <w:pPr>
              <w:jc w:val="center"/>
              <w:rPr>
                <w:b/>
              </w:rPr>
            </w:pPr>
            <w:r w:rsidRPr="001B12C0">
              <w:rPr>
                <w:b/>
              </w:rPr>
              <w:t>Brief Facts</w:t>
            </w:r>
          </w:p>
        </w:tc>
      </w:tr>
      <w:tr w:rsidR="00D036AC" w:rsidRPr="001B12C0" w14:paraId="28FEBB86" w14:textId="77777777" w:rsidTr="00451BA1">
        <w:tc>
          <w:tcPr>
            <w:tcW w:w="5000" w:type="pct"/>
            <w:gridSpan w:val="7"/>
            <w:shd w:val="clear" w:color="auto" w:fill="D9D9D9" w:themeFill="background1" w:themeFillShade="D9"/>
          </w:tcPr>
          <w:p w14:paraId="4DD95B5A" w14:textId="77777777" w:rsidR="00D036AC" w:rsidRDefault="00D036AC" w:rsidP="001929B8">
            <w:pPr>
              <w:rPr>
                <w:b/>
              </w:rPr>
            </w:pPr>
          </w:p>
          <w:p w14:paraId="655729B0" w14:textId="5BE7273E" w:rsidR="00D036AC" w:rsidRDefault="00D036AC" w:rsidP="00D036AC">
            <w:pPr>
              <w:jc w:val="center"/>
              <w:rPr>
                <w:b/>
              </w:rPr>
            </w:pPr>
            <w:r w:rsidRPr="001B12C0">
              <w:rPr>
                <w:b/>
              </w:rPr>
              <w:t>ASIA</w:t>
            </w:r>
          </w:p>
          <w:p w14:paraId="2986873B" w14:textId="4724AEEA" w:rsidR="00D036AC" w:rsidRPr="001B12C0" w:rsidRDefault="00D036AC" w:rsidP="001929B8"/>
        </w:tc>
      </w:tr>
      <w:tr w:rsidR="00A14303" w:rsidRPr="001B12C0" w14:paraId="73D98D57" w14:textId="77777777" w:rsidTr="005D534E">
        <w:tc>
          <w:tcPr>
            <w:tcW w:w="209" w:type="pct"/>
          </w:tcPr>
          <w:p w14:paraId="03A11B6F" w14:textId="527261DB" w:rsidR="00D036AC" w:rsidRPr="00EF768B" w:rsidRDefault="00C239BB" w:rsidP="001929B8">
            <w:r w:rsidRPr="00EF768B">
              <w:t>1</w:t>
            </w:r>
          </w:p>
        </w:tc>
        <w:tc>
          <w:tcPr>
            <w:tcW w:w="617" w:type="pct"/>
          </w:tcPr>
          <w:p w14:paraId="4F6CDC65" w14:textId="292821B0" w:rsidR="00D036AC" w:rsidRDefault="00D036AC" w:rsidP="001929B8">
            <w:pPr>
              <w:rPr>
                <w:b/>
                <w:i/>
              </w:rPr>
            </w:pPr>
            <w:proofErr w:type="spellStart"/>
            <w:r w:rsidRPr="001B12C0">
              <w:rPr>
                <w:b/>
                <w:i/>
              </w:rPr>
              <w:t>MoE</w:t>
            </w:r>
            <w:proofErr w:type="spellEnd"/>
            <w:r w:rsidRPr="001B12C0">
              <w:rPr>
                <w:b/>
                <w:i/>
              </w:rPr>
              <w:t xml:space="preserve"> v</w:t>
            </w:r>
            <w:r>
              <w:rPr>
                <w:b/>
                <w:i/>
              </w:rPr>
              <w:t>.</w:t>
            </w:r>
            <w:r w:rsidRPr="001B12C0">
              <w:rPr>
                <w:b/>
                <w:i/>
              </w:rPr>
              <w:t xml:space="preserve"> </w:t>
            </w:r>
            <w:proofErr w:type="spellStart"/>
            <w:r w:rsidRPr="001B12C0">
              <w:rPr>
                <w:b/>
                <w:i/>
              </w:rPr>
              <w:t>Selatnasik</w:t>
            </w:r>
            <w:proofErr w:type="spellEnd"/>
            <w:r w:rsidRPr="001B12C0">
              <w:rPr>
                <w:b/>
                <w:i/>
              </w:rPr>
              <w:t xml:space="preserve"> and </w:t>
            </w:r>
            <w:proofErr w:type="spellStart"/>
            <w:r w:rsidRPr="001B12C0">
              <w:rPr>
                <w:b/>
                <w:i/>
              </w:rPr>
              <w:t>Simpang</w:t>
            </w:r>
            <w:proofErr w:type="spellEnd"/>
            <w:r w:rsidRPr="001B12C0">
              <w:rPr>
                <w:b/>
                <w:i/>
              </w:rPr>
              <w:t xml:space="preserve"> </w:t>
            </w:r>
          </w:p>
          <w:p w14:paraId="1E4FEAEE" w14:textId="77777777" w:rsidR="00D036AC" w:rsidRPr="001B12C0" w:rsidRDefault="00D036AC" w:rsidP="001929B8">
            <w:pPr>
              <w:rPr>
                <w:b/>
                <w:i/>
              </w:rPr>
            </w:pPr>
            <w:r w:rsidRPr="001B12C0">
              <w:t>(2010)</w:t>
            </w:r>
          </w:p>
          <w:p w14:paraId="7AF476F0" w14:textId="77777777" w:rsidR="00D036AC" w:rsidRPr="001B12C0" w:rsidRDefault="00D036AC" w:rsidP="001929B8">
            <w:pPr>
              <w:rPr>
                <w:b/>
                <w:i/>
              </w:rPr>
            </w:pPr>
          </w:p>
        </w:tc>
        <w:tc>
          <w:tcPr>
            <w:tcW w:w="519" w:type="pct"/>
          </w:tcPr>
          <w:p w14:paraId="0F83C429" w14:textId="77777777" w:rsidR="00D036AC" w:rsidRPr="001B12C0" w:rsidRDefault="00D036AC" w:rsidP="001929B8">
            <w:r w:rsidRPr="001B12C0">
              <w:t>Indonesia</w:t>
            </w:r>
          </w:p>
        </w:tc>
        <w:tc>
          <w:tcPr>
            <w:tcW w:w="546" w:type="pct"/>
          </w:tcPr>
          <w:p w14:paraId="4D090CD2" w14:textId="77777777" w:rsidR="00D036AC" w:rsidRPr="001B12C0" w:rsidRDefault="00D036AC" w:rsidP="001929B8">
            <w:r w:rsidRPr="001B12C0">
              <w:t>Ministry of Environment (</w:t>
            </w:r>
            <w:proofErr w:type="spellStart"/>
            <w:r w:rsidRPr="001B12C0">
              <w:t>MoE</w:t>
            </w:r>
            <w:proofErr w:type="spellEnd"/>
            <w:r w:rsidRPr="001B12C0">
              <w:t>)</w:t>
            </w:r>
          </w:p>
        </w:tc>
        <w:tc>
          <w:tcPr>
            <w:tcW w:w="588" w:type="pct"/>
          </w:tcPr>
          <w:p w14:paraId="6F3DA968" w14:textId="77777777" w:rsidR="00D036AC" w:rsidRPr="001B12C0" w:rsidRDefault="00D036AC" w:rsidP="001929B8">
            <w:r w:rsidRPr="001B12C0">
              <w:t>2 mining companies</w:t>
            </w:r>
          </w:p>
        </w:tc>
        <w:tc>
          <w:tcPr>
            <w:tcW w:w="521" w:type="pct"/>
          </w:tcPr>
          <w:p w14:paraId="2B98E1CF" w14:textId="77777777" w:rsidR="00D036AC" w:rsidRPr="001B12C0" w:rsidRDefault="00D036AC" w:rsidP="001929B8">
            <w:pPr>
              <w:jc w:val="center"/>
            </w:pPr>
            <w:r w:rsidRPr="001B12C0">
              <w:t>No</w:t>
            </w:r>
          </w:p>
        </w:tc>
        <w:tc>
          <w:tcPr>
            <w:tcW w:w="2000" w:type="pct"/>
          </w:tcPr>
          <w:p w14:paraId="231B92C0" w14:textId="77777777" w:rsidR="00D036AC" w:rsidRPr="001B12C0" w:rsidRDefault="00D036AC" w:rsidP="001929B8">
            <w:r w:rsidRPr="001B12C0">
              <w:t xml:space="preserve">Mining companies alleged to have conducted illegal activities outside their concession areas, including the clearing of protected forests and constructing an illegal port by landfilling the coastal area. The District Court of North Jakarta ruled in </w:t>
            </w:r>
            <w:proofErr w:type="spellStart"/>
            <w:r w:rsidRPr="001B12C0">
              <w:t>favor</w:t>
            </w:r>
            <w:proofErr w:type="spellEnd"/>
            <w:r w:rsidRPr="001B12C0">
              <w:t xml:space="preserve"> of the plaintiff and awarded all the heads of damages sought. Notably, the defendant companies were required to compensate for the release of GHGs resulting from their activities. The “restoration costs for carbon release” were set at US$480,000. </w:t>
            </w:r>
          </w:p>
        </w:tc>
      </w:tr>
      <w:tr w:rsidR="00A14303" w:rsidRPr="001B12C0" w14:paraId="0D491942" w14:textId="77777777" w:rsidTr="005D534E">
        <w:tc>
          <w:tcPr>
            <w:tcW w:w="209" w:type="pct"/>
          </w:tcPr>
          <w:p w14:paraId="3BED8007" w14:textId="0920F870" w:rsidR="00D036AC" w:rsidRPr="00EF768B" w:rsidRDefault="00C239BB" w:rsidP="001929B8">
            <w:r w:rsidRPr="00EF768B">
              <w:t>2</w:t>
            </w:r>
          </w:p>
        </w:tc>
        <w:tc>
          <w:tcPr>
            <w:tcW w:w="617" w:type="pct"/>
          </w:tcPr>
          <w:p w14:paraId="7C102848" w14:textId="56A6112B" w:rsidR="00D036AC" w:rsidRDefault="00D036AC" w:rsidP="001929B8">
            <w:pPr>
              <w:rPr>
                <w:b/>
                <w:i/>
              </w:rPr>
            </w:pPr>
            <w:proofErr w:type="spellStart"/>
            <w:r w:rsidRPr="001B12C0">
              <w:rPr>
                <w:b/>
                <w:i/>
              </w:rPr>
              <w:t>MoE</w:t>
            </w:r>
            <w:proofErr w:type="spellEnd"/>
            <w:r w:rsidRPr="001B12C0">
              <w:rPr>
                <w:b/>
                <w:i/>
              </w:rPr>
              <w:t xml:space="preserve"> v</w:t>
            </w:r>
            <w:r>
              <w:rPr>
                <w:b/>
                <w:i/>
              </w:rPr>
              <w:t>.</w:t>
            </w:r>
            <w:r w:rsidRPr="001B12C0">
              <w:rPr>
                <w:b/>
                <w:i/>
              </w:rPr>
              <w:t xml:space="preserve"> PT Merbau </w:t>
            </w:r>
            <w:proofErr w:type="spellStart"/>
            <w:r w:rsidRPr="001B12C0">
              <w:rPr>
                <w:b/>
                <w:i/>
              </w:rPr>
              <w:t>Pelalawan</w:t>
            </w:r>
            <w:proofErr w:type="spellEnd"/>
            <w:r w:rsidRPr="001B12C0">
              <w:rPr>
                <w:b/>
                <w:i/>
              </w:rPr>
              <w:t xml:space="preserve"> Lestari </w:t>
            </w:r>
          </w:p>
          <w:p w14:paraId="12E63EBB" w14:textId="77777777" w:rsidR="00D036AC" w:rsidRPr="001B12C0" w:rsidRDefault="00D036AC" w:rsidP="001929B8">
            <w:pPr>
              <w:rPr>
                <w:b/>
                <w:i/>
              </w:rPr>
            </w:pPr>
            <w:r w:rsidRPr="001B12C0">
              <w:t xml:space="preserve">(2014) </w:t>
            </w:r>
          </w:p>
          <w:p w14:paraId="2601470E" w14:textId="77777777" w:rsidR="00D036AC" w:rsidRPr="001B12C0" w:rsidRDefault="00D036AC" w:rsidP="001929B8">
            <w:pPr>
              <w:rPr>
                <w:b/>
                <w:i/>
              </w:rPr>
            </w:pPr>
          </w:p>
        </w:tc>
        <w:tc>
          <w:tcPr>
            <w:tcW w:w="519" w:type="pct"/>
          </w:tcPr>
          <w:p w14:paraId="1A0FA3A1" w14:textId="77777777" w:rsidR="00D036AC" w:rsidRPr="001B12C0" w:rsidRDefault="00D036AC" w:rsidP="001929B8">
            <w:r w:rsidRPr="001B12C0">
              <w:t>Indonesia</w:t>
            </w:r>
          </w:p>
        </w:tc>
        <w:tc>
          <w:tcPr>
            <w:tcW w:w="546" w:type="pct"/>
          </w:tcPr>
          <w:p w14:paraId="65050C29" w14:textId="77777777" w:rsidR="00D036AC" w:rsidRPr="001B12C0" w:rsidRDefault="00D036AC" w:rsidP="001929B8">
            <w:r w:rsidRPr="001B12C0">
              <w:t>Ministry of Environment (</w:t>
            </w:r>
            <w:proofErr w:type="spellStart"/>
            <w:r w:rsidRPr="001B12C0">
              <w:t>MoE</w:t>
            </w:r>
            <w:proofErr w:type="spellEnd"/>
            <w:r w:rsidRPr="001B12C0">
              <w:t>)</w:t>
            </w:r>
          </w:p>
        </w:tc>
        <w:tc>
          <w:tcPr>
            <w:tcW w:w="588" w:type="pct"/>
          </w:tcPr>
          <w:p w14:paraId="0DB07556" w14:textId="77777777" w:rsidR="00D036AC" w:rsidRPr="001B12C0" w:rsidRDefault="00D036AC" w:rsidP="001929B8">
            <w:r w:rsidRPr="001B12C0">
              <w:t>Company</w:t>
            </w:r>
          </w:p>
        </w:tc>
        <w:tc>
          <w:tcPr>
            <w:tcW w:w="521" w:type="pct"/>
          </w:tcPr>
          <w:p w14:paraId="4592220F" w14:textId="77777777" w:rsidR="00D036AC" w:rsidRPr="001B12C0" w:rsidRDefault="00D036AC" w:rsidP="001929B8">
            <w:pPr>
              <w:jc w:val="center"/>
            </w:pPr>
            <w:r w:rsidRPr="001B12C0">
              <w:t>No</w:t>
            </w:r>
          </w:p>
        </w:tc>
        <w:tc>
          <w:tcPr>
            <w:tcW w:w="2000" w:type="pct"/>
          </w:tcPr>
          <w:p w14:paraId="12316DAC" w14:textId="77777777" w:rsidR="00D036AC" w:rsidRPr="001B12C0" w:rsidRDefault="00D036AC" w:rsidP="001929B8">
            <w:r w:rsidRPr="001B12C0">
              <w:t xml:space="preserve">The defendant was accused of illegal logging. The </w:t>
            </w:r>
            <w:proofErr w:type="spellStart"/>
            <w:r w:rsidRPr="001B12C0">
              <w:t>MoE</w:t>
            </w:r>
            <w:proofErr w:type="spellEnd"/>
            <w:r w:rsidRPr="001B12C0">
              <w:t xml:space="preserve"> sought compensation of about US$1.2 billion. The District Court and High Court of </w:t>
            </w:r>
            <w:proofErr w:type="spellStart"/>
            <w:r w:rsidRPr="001B12C0">
              <w:t>Pekanbaru</w:t>
            </w:r>
            <w:proofErr w:type="spellEnd"/>
            <w:r w:rsidRPr="001B12C0">
              <w:t xml:space="preserve"> ruled in </w:t>
            </w:r>
            <w:proofErr w:type="spellStart"/>
            <w:r w:rsidRPr="001B12C0">
              <w:t>favor</w:t>
            </w:r>
            <w:proofErr w:type="spellEnd"/>
            <w:r w:rsidRPr="001B12C0">
              <w:t xml:space="preserve"> of the defendant company. The Supreme Court reversed the lower court decisions. The company was required to pay compensation, which included costs to restore the forests (to re-capture the GHGs that had been released). </w:t>
            </w:r>
          </w:p>
        </w:tc>
      </w:tr>
      <w:tr w:rsidR="00A14303" w:rsidRPr="001B12C0" w14:paraId="4296421E" w14:textId="77777777" w:rsidTr="005D534E">
        <w:tc>
          <w:tcPr>
            <w:tcW w:w="209" w:type="pct"/>
          </w:tcPr>
          <w:p w14:paraId="6509067A" w14:textId="50E7870D" w:rsidR="00D036AC" w:rsidRPr="00EF768B" w:rsidRDefault="00C239BB" w:rsidP="001929B8">
            <w:r w:rsidRPr="00EF768B">
              <w:lastRenderedPageBreak/>
              <w:t>3</w:t>
            </w:r>
          </w:p>
        </w:tc>
        <w:tc>
          <w:tcPr>
            <w:tcW w:w="617" w:type="pct"/>
          </w:tcPr>
          <w:p w14:paraId="485AAE2D" w14:textId="21556B7B" w:rsidR="00D036AC" w:rsidRPr="001B12C0" w:rsidRDefault="00D036AC" w:rsidP="001929B8">
            <w:pPr>
              <w:rPr>
                <w:b/>
                <w:i/>
              </w:rPr>
            </w:pPr>
            <w:proofErr w:type="spellStart"/>
            <w:r w:rsidRPr="001B12C0">
              <w:rPr>
                <w:b/>
                <w:i/>
              </w:rPr>
              <w:t>MoE</w:t>
            </w:r>
            <w:proofErr w:type="spellEnd"/>
            <w:r w:rsidRPr="001B12C0">
              <w:rPr>
                <w:b/>
                <w:i/>
              </w:rPr>
              <w:t xml:space="preserve"> v</w:t>
            </w:r>
            <w:r>
              <w:rPr>
                <w:b/>
                <w:i/>
              </w:rPr>
              <w:t>.</w:t>
            </w:r>
            <w:r w:rsidRPr="001B12C0">
              <w:rPr>
                <w:b/>
                <w:i/>
              </w:rPr>
              <w:t xml:space="preserve"> PT </w:t>
            </w:r>
            <w:proofErr w:type="spellStart"/>
            <w:r w:rsidRPr="001B12C0">
              <w:rPr>
                <w:b/>
                <w:i/>
              </w:rPr>
              <w:t>Kalista</w:t>
            </w:r>
            <w:proofErr w:type="spellEnd"/>
            <w:r w:rsidRPr="001B12C0">
              <w:rPr>
                <w:b/>
                <w:i/>
              </w:rPr>
              <w:t xml:space="preserve"> </w:t>
            </w:r>
            <w:proofErr w:type="spellStart"/>
            <w:r w:rsidRPr="001B12C0">
              <w:rPr>
                <w:b/>
                <w:i/>
              </w:rPr>
              <w:t>Alam</w:t>
            </w:r>
            <w:proofErr w:type="spellEnd"/>
          </w:p>
          <w:p w14:paraId="59D8CCD6" w14:textId="77777777" w:rsidR="00D036AC" w:rsidRPr="001B12C0" w:rsidRDefault="00D036AC" w:rsidP="001929B8">
            <w:r w:rsidRPr="001B12C0">
              <w:t>(2013)</w:t>
            </w:r>
          </w:p>
        </w:tc>
        <w:tc>
          <w:tcPr>
            <w:tcW w:w="519" w:type="pct"/>
          </w:tcPr>
          <w:p w14:paraId="6D371B6F" w14:textId="77777777" w:rsidR="00D036AC" w:rsidRPr="001B12C0" w:rsidRDefault="00D036AC" w:rsidP="001929B8">
            <w:r w:rsidRPr="001B12C0">
              <w:t>Indonesia</w:t>
            </w:r>
          </w:p>
        </w:tc>
        <w:tc>
          <w:tcPr>
            <w:tcW w:w="546" w:type="pct"/>
          </w:tcPr>
          <w:p w14:paraId="76246E87" w14:textId="77777777" w:rsidR="00D036AC" w:rsidRPr="001B12C0" w:rsidRDefault="00D036AC" w:rsidP="001929B8">
            <w:r w:rsidRPr="001B12C0">
              <w:t>Ministry of Environment (</w:t>
            </w:r>
            <w:proofErr w:type="spellStart"/>
            <w:r w:rsidRPr="001B12C0">
              <w:t>MoE</w:t>
            </w:r>
            <w:proofErr w:type="spellEnd"/>
            <w:r w:rsidRPr="001B12C0">
              <w:t>)</w:t>
            </w:r>
          </w:p>
        </w:tc>
        <w:tc>
          <w:tcPr>
            <w:tcW w:w="588" w:type="pct"/>
          </w:tcPr>
          <w:p w14:paraId="6EB11EF6" w14:textId="77777777" w:rsidR="00D036AC" w:rsidRPr="001B12C0" w:rsidRDefault="00D036AC" w:rsidP="001929B8">
            <w:pPr>
              <w:rPr>
                <w:b/>
              </w:rPr>
            </w:pPr>
            <w:r w:rsidRPr="001B12C0">
              <w:t>Company</w:t>
            </w:r>
          </w:p>
        </w:tc>
        <w:tc>
          <w:tcPr>
            <w:tcW w:w="521" w:type="pct"/>
          </w:tcPr>
          <w:p w14:paraId="1BFDAF31" w14:textId="77777777" w:rsidR="00D036AC" w:rsidRPr="001B12C0" w:rsidRDefault="00D036AC" w:rsidP="001929B8">
            <w:pPr>
              <w:jc w:val="center"/>
            </w:pPr>
            <w:r w:rsidRPr="001B12C0">
              <w:t>No</w:t>
            </w:r>
          </w:p>
        </w:tc>
        <w:tc>
          <w:tcPr>
            <w:tcW w:w="2000" w:type="pct"/>
          </w:tcPr>
          <w:p w14:paraId="6E36ACF6" w14:textId="77777777" w:rsidR="00D036AC" w:rsidRPr="001B12C0" w:rsidRDefault="00D036AC" w:rsidP="001929B8">
            <w:proofErr w:type="spellStart"/>
            <w:r w:rsidRPr="001B12C0">
              <w:t>MoE</w:t>
            </w:r>
            <w:proofErr w:type="spellEnd"/>
            <w:r w:rsidRPr="001B12C0">
              <w:t xml:space="preserve"> argued that the defendant had intentionally drained and burned the peatland in its concession area. Such actions are illegal as there are various laws that require concession holders to take preventive and remedial measures against fires. </w:t>
            </w:r>
            <w:proofErr w:type="spellStart"/>
            <w:r w:rsidRPr="001B12C0">
              <w:t>MoE</w:t>
            </w:r>
            <w:proofErr w:type="spellEnd"/>
            <w:r w:rsidRPr="001B12C0">
              <w:t xml:space="preserve"> claimed that the environmental damage includes loss of biodiversity and climate change (release of GHGs). The defendant was found guilty and ordered to pay compensation for the release of CO</w:t>
            </w:r>
            <w:r w:rsidRPr="001B12C0">
              <w:rPr>
                <w:vertAlign w:val="subscript"/>
              </w:rPr>
              <w:t>2</w:t>
            </w:r>
            <w:r w:rsidRPr="001B12C0">
              <w:t xml:space="preserve"> into the atmosphere (through the fires) as well as the reduced ability of the peatland to absorb carbon after the fires. </w:t>
            </w:r>
          </w:p>
        </w:tc>
      </w:tr>
      <w:tr w:rsidR="00A14303" w:rsidRPr="001B12C0" w14:paraId="20DFCEAA" w14:textId="77777777" w:rsidTr="005D534E">
        <w:tc>
          <w:tcPr>
            <w:tcW w:w="209" w:type="pct"/>
          </w:tcPr>
          <w:p w14:paraId="0FE0194E" w14:textId="5D34D78F" w:rsidR="00D036AC" w:rsidRPr="00EF768B" w:rsidRDefault="00C239BB" w:rsidP="001929B8">
            <w:r w:rsidRPr="00EF768B">
              <w:t>4</w:t>
            </w:r>
          </w:p>
        </w:tc>
        <w:tc>
          <w:tcPr>
            <w:tcW w:w="617" w:type="pct"/>
          </w:tcPr>
          <w:p w14:paraId="19735058" w14:textId="264A6A63" w:rsidR="00D036AC" w:rsidRPr="001B12C0" w:rsidRDefault="00D036AC" w:rsidP="001929B8">
            <w:pPr>
              <w:rPr>
                <w:b/>
                <w:i/>
              </w:rPr>
            </w:pPr>
            <w:proofErr w:type="spellStart"/>
            <w:r w:rsidRPr="001B12C0">
              <w:rPr>
                <w:b/>
                <w:i/>
              </w:rPr>
              <w:t>MoEF</w:t>
            </w:r>
            <w:proofErr w:type="spellEnd"/>
            <w:r w:rsidRPr="001B12C0">
              <w:rPr>
                <w:b/>
                <w:i/>
              </w:rPr>
              <w:t xml:space="preserve"> v</w:t>
            </w:r>
            <w:r>
              <w:rPr>
                <w:b/>
                <w:i/>
              </w:rPr>
              <w:t>.</w:t>
            </w:r>
            <w:r w:rsidRPr="001B12C0">
              <w:rPr>
                <w:b/>
                <w:i/>
              </w:rPr>
              <w:t xml:space="preserve"> PT </w:t>
            </w:r>
            <w:proofErr w:type="spellStart"/>
            <w:r w:rsidRPr="001B12C0">
              <w:rPr>
                <w:b/>
                <w:i/>
              </w:rPr>
              <w:t>Bumi</w:t>
            </w:r>
            <w:proofErr w:type="spellEnd"/>
            <w:r w:rsidRPr="001B12C0">
              <w:rPr>
                <w:b/>
                <w:i/>
              </w:rPr>
              <w:t xml:space="preserve"> </w:t>
            </w:r>
            <w:proofErr w:type="spellStart"/>
            <w:r w:rsidRPr="001B12C0">
              <w:rPr>
                <w:b/>
                <w:i/>
              </w:rPr>
              <w:t>Mekar</w:t>
            </w:r>
            <w:proofErr w:type="spellEnd"/>
            <w:r w:rsidRPr="001B12C0">
              <w:rPr>
                <w:b/>
                <w:i/>
              </w:rPr>
              <w:t xml:space="preserve"> </w:t>
            </w:r>
            <w:proofErr w:type="spellStart"/>
            <w:r w:rsidRPr="001B12C0">
              <w:rPr>
                <w:b/>
                <w:i/>
              </w:rPr>
              <w:t>Hijau</w:t>
            </w:r>
            <w:proofErr w:type="spellEnd"/>
            <w:r w:rsidRPr="001B12C0">
              <w:rPr>
                <w:b/>
                <w:i/>
              </w:rPr>
              <w:t xml:space="preserve"> </w:t>
            </w:r>
            <w:r w:rsidRPr="001B12C0">
              <w:t>(2016)</w:t>
            </w:r>
          </w:p>
          <w:p w14:paraId="77DDF278" w14:textId="77777777" w:rsidR="00D036AC" w:rsidRPr="001B12C0" w:rsidRDefault="00D036AC" w:rsidP="001929B8">
            <w:pPr>
              <w:rPr>
                <w:b/>
                <w:i/>
              </w:rPr>
            </w:pPr>
          </w:p>
          <w:p w14:paraId="18ABCFC5" w14:textId="77777777" w:rsidR="00D036AC" w:rsidRPr="001B12C0" w:rsidRDefault="00D036AC" w:rsidP="001929B8">
            <w:pPr>
              <w:rPr>
                <w:b/>
                <w:i/>
              </w:rPr>
            </w:pPr>
          </w:p>
        </w:tc>
        <w:tc>
          <w:tcPr>
            <w:tcW w:w="519" w:type="pct"/>
          </w:tcPr>
          <w:p w14:paraId="124E7AE2" w14:textId="77777777" w:rsidR="00D036AC" w:rsidRPr="001B12C0" w:rsidRDefault="00D036AC" w:rsidP="001929B8">
            <w:r w:rsidRPr="001B12C0">
              <w:t>Indonesia</w:t>
            </w:r>
          </w:p>
        </w:tc>
        <w:tc>
          <w:tcPr>
            <w:tcW w:w="546" w:type="pct"/>
          </w:tcPr>
          <w:p w14:paraId="67CCDA0F" w14:textId="77777777" w:rsidR="00D036AC" w:rsidRPr="001B12C0" w:rsidRDefault="00D036AC" w:rsidP="001929B8">
            <w:r w:rsidRPr="001B12C0">
              <w:t>Ministry of Environment and Forestry (</w:t>
            </w:r>
            <w:proofErr w:type="spellStart"/>
            <w:r w:rsidRPr="001B12C0">
              <w:t>MoEF</w:t>
            </w:r>
            <w:proofErr w:type="spellEnd"/>
            <w:r w:rsidRPr="001B12C0">
              <w:t xml:space="preserve">, the former </w:t>
            </w:r>
            <w:proofErr w:type="spellStart"/>
            <w:r w:rsidRPr="001B12C0">
              <w:t>MoE</w:t>
            </w:r>
            <w:proofErr w:type="spellEnd"/>
            <w:r w:rsidRPr="001B12C0">
              <w:t>)</w:t>
            </w:r>
          </w:p>
        </w:tc>
        <w:tc>
          <w:tcPr>
            <w:tcW w:w="588" w:type="pct"/>
          </w:tcPr>
          <w:p w14:paraId="38D666DD" w14:textId="77777777" w:rsidR="00D036AC" w:rsidRPr="001B12C0" w:rsidRDefault="00D036AC" w:rsidP="001929B8">
            <w:r w:rsidRPr="001B12C0">
              <w:t>Timber company</w:t>
            </w:r>
          </w:p>
        </w:tc>
        <w:tc>
          <w:tcPr>
            <w:tcW w:w="521" w:type="pct"/>
          </w:tcPr>
          <w:p w14:paraId="1434F7F7" w14:textId="77777777" w:rsidR="00D036AC" w:rsidRPr="001B12C0" w:rsidRDefault="00D036AC" w:rsidP="001929B8">
            <w:pPr>
              <w:jc w:val="center"/>
            </w:pPr>
            <w:r w:rsidRPr="001B12C0">
              <w:t>No</w:t>
            </w:r>
          </w:p>
        </w:tc>
        <w:tc>
          <w:tcPr>
            <w:tcW w:w="2000" w:type="pct"/>
          </w:tcPr>
          <w:p w14:paraId="4F1983BD" w14:textId="77777777" w:rsidR="00D036AC" w:rsidRPr="001B12C0" w:rsidRDefault="00D036AC" w:rsidP="001929B8">
            <w:proofErr w:type="spellStart"/>
            <w:r w:rsidRPr="001B12C0">
              <w:t>MoEF</w:t>
            </w:r>
            <w:proofErr w:type="spellEnd"/>
            <w:r w:rsidRPr="001B12C0">
              <w:t xml:space="preserve"> argued that the defendant intentionally set fire in the plantation to clear land in the cheapest manner possible. </w:t>
            </w:r>
            <w:proofErr w:type="spellStart"/>
            <w:r w:rsidRPr="001B12C0">
              <w:t>MoEF</w:t>
            </w:r>
            <w:proofErr w:type="spellEnd"/>
            <w:r w:rsidRPr="001B12C0">
              <w:t xml:space="preserve"> sought compensation (applying the same logic as </w:t>
            </w:r>
            <w:proofErr w:type="spellStart"/>
            <w:r w:rsidRPr="001B12C0">
              <w:rPr>
                <w:i/>
              </w:rPr>
              <w:t>Kalista</w:t>
            </w:r>
            <w:proofErr w:type="spellEnd"/>
            <w:r w:rsidRPr="001B12C0">
              <w:rPr>
                <w:i/>
              </w:rPr>
              <w:t xml:space="preserve"> </w:t>
            </w:r>
            <w:proofErr w:type="spellStart"/>
            <w:r w:rsidRPr="001B12C0">
              <w:rPr>
                <w:i/>
              </w:rPr>
              <w:t>Alam</w:t>
            </w:r>
            <w:proofErr w:type="spellEnd"/>
            <w:r w:rsidRPr="001B12C0">
              <w:t xml:space="preserve">). The District court ruled in </w:t>
            </w:r>
            <w:proofErr w:type="spellStart"/>
            <w:r w:rsidRPr="001B12C0">
              <w:t>favor</w:t>
            </w:r>
            <w:proofErr w:type="spellEnd"/>
            <w:r w:rsidRPr="001B12C0">
              <w:t xml:space="preserve"> of the defendant. On appeal, the High Court reversed the lower court decision but only awarded </w:t>
            </w:r>
            <w:proofErr w:type="spellStart"/>
            <w:r w:rsidRPr="001B12C0">
              <w:t>MoEF</w:t>
            </w:r>
            <w:proofErr w:type="spellEnd"/>
            <w:r w:rsidRPr="001B12C0">
              <w:t xml:space="preserve"> about 1% of the total compensation sought. No reasons were given for this compensation award. </w:t>
            </w:r>
          </w:p>
        </w:tc>
      </w:tr>
      <w:tr w:rsidR="00A14303" w:rsidRPr="001B12C0" w14:paraId="7CE2CD02" w14:textId="77777777" w:rsidTr="005D534E">
        <w:tc>
          <w:tcPr>
            <w:tcW w:w="209" w:type="pct"/>
          </w:tcPr>
          <w:p w14:paraId="24617B5F" w14:textId="4F3E80FC" w:rsidR="00D036AC" w:rsidRPr="00EF768B" w:rsidRDefault="00C239BB" w:rsidP="001929B8">
            <w:r w:rsidRPr="00EF768B">
              <w:t>5</w:t>
            </w:r>
          </w:p>
        </w:tc>
        <w:tc>
          <w:tcPr>
            <w:tcW w:w="617" w:type="pct"/>
          </w:tcPr>
          <w:p w14:paraId="450823E7" w14:textId="233787CD" w:rsidR="00D036AC" w:rsidRDefault="00D036AC" w:rsidP="001929B8">
            <w:pPr>
              <w:rPr>
                <w:b/>
                <w:i/>
              </w:rPr>
            </w:pPr>
            <w:proofErr w:type="spellStart"/>
            <w:r w:rsidRPr="001B12C0">
              <w:rPr>
                <w:b/>
                <w:i/>
              </w:rPr>
              <w:t>MoEF</w:t>
            </w:r>
            <w:proofErr w:type="spellEnd"/>
            <w:r w:rsidRPr="001B12C0">
              <w:rPr>
                <w:b/>
                <w:i/>
              </w:rPr>
              <w:t xml:space="preserve"> v</w:t>
            </w:r>
            <w:r>
              <w:rPr>
                <w:b/>
                <w:i/>
              </w:rPr>
              <w:t>.</w:t>
            </w:r>
            <w:r w:rsidRPr="001B12C0">
              <w:rPr>
                <w:b/>
                <w:i/>
              </w:rPr>
              <w:t xml:space="preserve"> PT </w:t>
            </w:r>
            <w:proofErr w:type="spellStart"/>
            <w:r w:rsidRPr="001B12C0">
              <w:rPr>
                <w:b/>
                <w:i/>
              </w:rPr>
              <w:t>Jatim</w:t>
            </w:r>
            <w:proofErr w:type="spellEnd"/>
            <w:r w:rsidRPr="001B12C0">
              <w:rPr>
                <w:b/>
                <w:i/>
              </w:rPr>
              <w:t xml:space="preserve"> Jaya Perkasa</w:t>
            </w:r>
          </w:p>
          <w:p w14:paraId="64562E15" w14:textId="77777777" w:rsidR="00D036AC" w:rsidRPr="001B12C0" w:rsidRDefault="00D036AC" w:rsidP="001929B8">
            <w:pPr>
              <w:rPr>
                <w:b/>
                <w:i/>
              </w:rPr>
            </w:pPr>
            <w:r w:rsidRPr="001B12C0">
              <w:t>(2016)</w:t>
            </w:r>
          </w:p>
          <w:p w14:paraId="5932BB50" w14:textId="77777777" w:rsidR="00D036AC" w:rsidRPr="001B12C0" w:rsidRDefault="00D036AC" w:rsidP="001929B8">
            <w:pPr>
              <w:rPr>
                <w:b/>
                <w:i/>
              </w:rPr>
            </w:pPr>
          </w:p>
        </w:tc>
        <w:tc>
          <w:tcPr>
            <w:tcW w:w="519" w:type="pct"/>
          </w:tcPr>
          <w:p w14:paraId="0A48C42F" w14:textId="77777777" w:rsidR="00D036AC" w:rsidRPr="001B12C0" w:rsidRDefault="00D036AC" w:rsidP="001929B8">
            <w:r w:rsidRPr="001B12C0">
              <w:t>Indonesia</w:t>
            </w:r>
          </w:p>
        </w:tc>
        <w:tc>
          <w:tcPr>
            <w:tcW w:w="546" w:type="pct"/>
          </w:tcPr>
          <w:p w14:paraId="249AE391" w14:textId="77777777" w:rsidR="00D036AC" w:rsidRPr="001B12C0" w:rsidRDefault="00D036AC" w:rsidP="001929B8">
            <w:r w:rsidRPr="001B12C0">
              <w:t>Ministry of Environment and Forestry (</w:t>
            </w:r>
            <w:proofErr w:type="spellStart"/>
            <w:r w:rsidRPr="001B12C0">
              <w:t>MoEF</w:t>
            </w:r>
            <w:proofErr w:type="spellEnd"/>
            <w:r w:rsidRPr="001B12C0">
              <w:t>)</w:t>
            </w:r>
          </w:p>
        </w:tc>
        <w:tc>
          <w:tcPr>
            <w:tcW w:w="588" w:type="pct"/>
          </w:tcPr>
          <w:p w14:paraId="6518F6C2" w14:textId="77777777" w:rsidR="00D036AC" w:rsidRPr="001B12C0" w:rsidRDefault="00D036AC" w:rsidP="001929B8">
            <w:r w:rsidRPr="001B12C0">
              <w:t>Oil Palm Company</w:t>
            </w:r>
          </w:p>
        </w:tc>
        <w:tc>
          <w:tcPr>
            <w:tcW w:w="521" w:type="pct"/>
          </w:tcPr>
          <w:p w14:paraId="09BF5C74" w14:textId="77777777" w:rsidR="00D036AC" w:rsidRPr="001B12C0" w:rsidRDefault="00D036AC" w:rsidP="001929B8">
            <w:pPr>
              <w:jc w:val="center"/>
            </w:pPr>
            <w:r w:rsidRPr="001B12C0">
              <w:t>No</w:t>
            </w:r>
          </w:p>
        </w:tc>
        <w:tc>
          <w:tcPr>
            <w:tcW w:w="2000" w:type="pct"/>
          </w:tcPr>
          <w:p w14:paraId="0D4A77CE" w14:textId="77777777" w:rsidR="00D036AC" w:rsidRPr="001B12C0" w:rsidRDefault="00D036AC" w:rsidP="001929B8">
            <w:proofErr w:type="spellStart"/>
            <w:r w:rsidRPr="001B12C0">
              <w:t>MoEF</w:t>
            </w:r>
            <w:proofErr w:type="spellEnd"/>
            <w:r w:rsidRPr="001B12C0">
              <w:t xml:space="preserve"> sued the defendant for setting fire to the land to clear it for palm oil cultivation. </w:t>
            </w:r>
            <w:proofErr w:type="spellStart"/>
            <w:r w:rsidRPr="001B12C0">
              <w:t>MoEF</w:t>
            </w:r>
            <w:proofErr w:type="spellEnd"/>
            <w:r w:rsidRPr="001B12C0">
              <w:t xml:space="preserve"> sought restoration measures, including compensation for carbon released into atmosphere. The High Court of Jakarta ruled in </w:t>
            </w:r>
            <w:proofErr w:type="spellStart"/>
            <w:r w:rsidRPr="001B12C0">
              <w:t>favor</w:t>
            </w:r>
            <w:proofErr w:type="spellEnd"/>
            <w:r w:rsidRPr="001B12C0">
              <w:t xml:space="preserve"> of </w:t>
            </w:r>
            <w:proofErr w:type="spellStart"/>
            <w:r w:rsidRPr="001B12C0">
              <w:t>MoEF</w:t>
            </w:r>
            <w:proofErr w:type="spellEnd"/>
            <w:r w:rsidRPr="001B12C0">
              <w:t xml:space="preserve">. </w:t>
            </w:r>
          </w:p>
        </w:tc>
      </w:tr>
      <w:tr w:rsidR="00A14303" w:rsidRPr="001B12C0" w14:paraId="77E43CC1" w14:textId="77777777" w:rsidTr="005D534E">
        <w:tc>
          <w:tcPr>
            <w:tcW w:w="209" w:type="pct"/>
          </w:tcPr>
          <w:p w14:paraId="43B3C037" w14:textId="2BE71CF0" w:rsidR="00D036AC" w:rsidRPr="00EF768B" w:rsidRDefault="00C239BB" w:rsidP="001929B8">
            <w:r w:rsidRPr="00EF768B">
              <w:t>6</w:t>
            </w:r>
          </w:p>
        </w:tc>
        <w:tc>
          <w:tcPr>
            <w:tcW w:w="617" w:type="pct"/>
          </w:tcPr>
          <w:p w14:paraId="23DFC841" w14:textId="4AC6B252" w:rsidR="00D036AC" w:rsidRDefault="00D036AC" w:rsidP="001929B8">
            <w:pPr>
              <w:rPr>
                <w:b/>
                <w:i/>
              </w:rPr>
            </w:pPr>
            <w:proofErr w:type="spellStart"/>
            <w:r w:rsidRPr="001B12C0">
              <w:rPr>
                <w:b/>
                <w:i/>
              </w:rPr>
              <w:t>MoEF</w:t>
            </w:r>
            <w:proofErr w:type="spellEnd"/>
            <w:r w:rsidRPr="001B12C0">
              <w:rPr>
                <w:b/>
                <w:i/>
              </w:rPr>
              <w:t xml:space="preserve"> v</w:t>
            </w:r>
            <w:r>
              <w:rPr>
                <w:b/>
                <w:i/>
              </w:rPr>
              <w:t>.</w:t>
            </w:r>
            <w:r w:rsidRPr="001B12C0">
              <w:rPr>
                <w:b/>
                <w:i/>
              </w:rPr>
              <w:t xml:space="preserve"> PT </w:t>
            </w:r>
            <w:proofErr w:type="spellStart"/>
            <w:r w:rsidRPr="001B12C0">
              <w:rPr>
                <w:b/>
                <w:i/>
              </w:rPr>
              <w:t>Waringin</w:t>
            </w:r>
            <w:proofErr w:type="spellEnd"/>
            <w:r w:rsidRPr="001B12C0">
              <w:rPr>
                <w:b/>
                <w:i/>
              </w:rPr>
              <w:t xml:space="preserve"> </w:t>
            </w:r>
            <w:proofErr w:type="spellStart"/>
            <w:r w:rsidRPr="001B12C0">
              <w:rPr>
                <w:b/>
                <w:i/>
              </w:rPr>
              <w:t>Agro</w:t>
            </w:r>
            <w:proofErr w:type="spellEnd"/>
            <w:r w:rsidRPr="001B12C0">
              <w:rPr>
                <w:b/>
                <w:i/>
              </w:rPr>
              <w:t xml:space="preserve"> Jaya </w:t>
            </w:r>
          </w:p>
          <w:p w14:paraId="5B122946" w14:textId="77777777" w:rsidR="00D036AC" w:rsidRPr="001B12C0" w:rsidRDefault="00D036AC" w:rsidP="001929B8">
            <w:pPr>
              <w:rPr>
                <w:b/>
                <w:i/>
              </w:rPr>
            </w:pPr>
            <w:r w:rsidRPr="001B12C0">
              <w:t>(2017)</w:t>
            </w:r>
          </w:p>
          <w:p w14:paraId="62C63D17" w14:textId="77777777" w:rsidR="00D036AC" w:rsidRPr="001B12C0" w:rsidRDefault="00D036AC" w:rsidP="001929B8">
            <w:pPr>
              <w:rPr>
                <w:b/>
                <w:i/>
              </w:rPr>
            </w:pPr>
          </w:p>
        </w:tc>
        <w:tc>
          <w:tcPr>
            <w:tcW w:w="519" w:type="pct"/>
          </w:tcPr>
          <w:p w14:paraId="6A229350" w14:textId="77777777" w:rsidR="00D036AC" w:rsidRPr="001B12C0" w:rsidRDefault="00D036AC" w:rsidP="001929B8">
            <w:r w:rsidRPr="001B12C0">
              <w:lastRenderedPageBreak/>
              <w:t>Indonesia</w:t>
            </w:r>
          </w:p>
        </w:tc>
        <w:tc>
          <w:tcPr>
            <w:tcW w:w="546" w:type="pct"/>
          </w:tcPr>
          <w:p w14:paraId="4B7A5CD9" w14:textId="77777777" w:rsidR="00D036AC" w:rsidRPr="001B12C0" w:rsidRDefault="00D036AC" w:rsidP="001929B8">
            <w:r w:rsidRPr="001B12C0">
              <w:t>Ministry of Environment and Forestry (</w:t>
            </w:r>
            <w:proofErr w:type="spellStart"/>
            <w:r w:rsidRPr="001B12C0">
              <w:t>MoEF</w:t>
            </w:r>
            <w:proofErr w:type="spellEnd"/>
            <w:r w:rsidRPr="001B12C0">
              <w:t>)</w:t>
            </w:r>
          </w:p>
        </w:tc>
        <w:tc>
          <w:tcPr>
            <w:tcW w:w="588" w:type="pct"/>
          </w:tcPr>
          <w:p w14:paraId="3048C32E" w14:textId="77777777" w:rsidR="00D036AC" w:rsidRPr="001B12C0" w:rsidRDefault="00D036AC" w:rsidP="001929B8">
            <w:r w:rsidRPr="001B12C0">
              <w:t>Oil Palm Company</w:t>
            </w:r>
          </w:p>
        </w:tc>
        <w:tc>
          <w:tcPr>
            <w:tcW w:w="521" w:type="pct"/>
          </w:tcPr>
          <w:p w14:paraId="72748716" w14:textId="77777777" w:rsidR="00D036AC" w:rsidRPr="001B12C0" w:rsidRDefault="00D036AC" w:rsidP="001929B8">
            <w:pPr>
              <w:jc w:val="center"/>
            </w:pPr>
            <w:r w:rsidRPr="001B12C0">
              <w:t>No</w:t>
            </w:r>
          </w:p>
        </w:tc>
        <w:tc>
          <w:tcPr>
            <w:tcW w:w="2000" w:type="pct"/>
          </w:tcPr>
          <w:p w14:paraId="7B6F4CDA" w14:textId="77777777" w:rsidR="00D036AC" w:rsidRPr="001B12C0" w:rsidRDefault="00D036AC" w:rsidP="001929B8">
            <w:proofErr w:type="spellStart"/>
            <w:r w:rsidRPr="001B12C0">
              <w:t>MoEF</w:t>
            </w:r>
            <w:proofErr w:type="spellEnd"/>
            <w:r w:rsidRPr="001B12C0">
              <w:t xml:space="preserve"> sued the defendant for setting fire to the land to clear it for palm oil cultivation. </w:t>
            </w:r>
            <w:proofErr w:type="spellStart"/>
            <w:r w:rsidRPr="001B12C0">
              <w:t>MoEF</w:t>
            </w:r>
            <w:proofErr w:type="spellEnd"/>
            <w:r w:rsidRPr="001B12C0">
              <w:t xml:space="preserve"> sought restoration measures, including compensation for carbon released into atmosphere. The court ruled in </w:t>
            </w:r>
            <w:proofErr w:type="spellStart"/>
            <w:r w:rsidRPr="001B12C0">
              <w:t>favor</w:t>
            </w:r>
            <w:proofErr w:type="spellEnd"/>
            <w:r w:rsidRPr="001B12C0">
              <w:t xml:space="preserve"> of </w:t>
            </w:r>
            <w:proofErr w:type="spellStart"/>
            <w:r w:rsidRPr="001B12C0">
              <w:t>MoEF</w:t>
            </w:r>
            <w:proofErr w:type="spellEnd"/>
            <w:r w:rsidRPr="001B12C0">
              <w:t>.</w:t>
            </w:r>
          </w:p>
        </w:tc>
      </w:tr>
      <w:tr w:rsidR="00A14303" w:rsidRPr="001B12C0" w14:paraId="4B7B9AC1" w14:textId="77777777" w:rsidTr="005D534E">
        <w:tc>
          <w:tcPr>
            <w:tcW w:w="209" w:type="pct"/>
          </w:tcPr>
          <w:p w14:paraId="31B3D2DB" w14:textId="5C4DF169" w:rsidR="00D036AC" w:rsidRPr="00EF768B" w:rsidRDefault="00C239BB" w:rsidP="001929B8">
            <w:r w:rsidRPr="00EF768B">
              <w:t>7</w:t>
            </w:r>
          </w:p>
        </w:tc>
        <w:tc>
          <w:tcPr>
            <w:tcW w:w="617" w:type="pct"/>
          </w:tcPr>
          <w:p w14:paraId="09FBB82B" w14:textId="61E1E24F" w:rsidR="00D036AC" w:rsidRPr="001B12C0" w:rsidRDefault="00D036AC" w:rsidP="001929B8">
            <w:pPr>
              <w:rPr>
                <w:b/>
                <w:i/>
              </w:rPr>
            </w:pPr>
            <w:proofErr w:type="spellStart"/>
            <w:r w:rsidRPr="001B12C0">
              <w:rPr>
                <w:b/>
                <w:i/>
              </w:rPr>
              <w:t>Komari</w:t>
            </w:r>
            <w:proofErr w:type="spellEnd"/>
            <w:r w:rsidRPr="001B12C0">
              <w:rPr>
                <w:b/>
                <w:i/>
              </w:rPr>
              <w:t xml:space="preserve"> v</w:t>
            </w:r>
            <w:r>
              <w:rPr>
                <w:b/>
                <w:i/>
              </w:rPr>
              <w:t>.</w:t>
            </w:r>
            <w:r w:rsidRPr="001B12C0">
              <w:rPr>
                <w:b/>
                <w:i/>
              </w:rPr>
              <w:t xml:space="preserve"> Mayor of </w:t>
            </w:r>
            <w:proofErr w:type="spellStart"/>
            <w:r w:rsidRPr="001B12C0">
              <w:rPr>
                <w:b/>
                <w:i/>
              </w:rPr>
              <w:t>Samarinda</w:t>
            </w:r>
            <w:proofErr w:type="spellEnd"/>
            <w:r w:rsidRPr="001B12C0">
              <w:rPr>
                <w:b/>
                <w:i/>
              </w:rPr>
              <w:t xml:space="preserve"> </w:t>
            </w:r>
            <w:r w:rsidRPr="001B12C0">
              <w:t>(2013)</w:t>
            </w:r>
          </w:p>
        </w:tc>
        <w:tc>
          <w:tcPr>
            <w:tcW w:w="519" w:type="pct"/>
          </w:tcPr>
          <w:p w14:paraId="18D50D6F" w14:textId="77777777" w:rsidR="00D036AC" w:rsidRPr="001B12C0" w:rsidRDefault="00D036AC" w:rsidP="001929B8">
            <w:r w:rsidRPr="001B12C0">
              <w:t>Indonesia</w:t>
            </w:r>
          </w:p>
        </w:tc>
        <w:tc>
          <w:tcPr>
            <w:tcW w:w="546" w:type="pct"/>
          </w:tcPr>
          <w:p w14:paraId="40711D90" w14:textId="77777777" w:rsidR="00D036AC" w:rsidRPr="001B12C0" w:rsidRDefault="00D036AC" w:rsidP="001929B8">
            <w:r w:rsidRPr="001B12C0">
              <w:t xml:space="preserve">Individuals </w:t>
            </w:r>
          </w:p>
        </w:tc>
        <w:tc>
          <w:tcPr>
            <w:tcW w:w="588" w:type="pct"/>
          </w:tcPr>
          <w:p w14:paraId="4E87E6AB" w14:textId="77777777" w:rsidR="00D036AC" w:rsidRPr="001B12C0" w:rsidRDefault="00D036AC" w:rsidP="001929B8">
            <w:r w:rsidRPr="001B12C0">
              <w:t xml:space="preserve">Government </w:t>
            </w:r>
          </w:p>
        </w:tc>
        <w:tc>
          <w:tcPr>
            <w:tcW w:w="521" w:type="pct"/>
          </w:tcPr>
          <w:p w14:paraId="4EA9014A" w14:textId="77777777" w:rsidR="00D036AC" w:rsidRPr="001B12C0" w:rsidRDefault="00D036AC" w:rsidP="001929B8">
            <w:pPr>
              <w:jc w:val="center"/>
            </w:pPr>
            <w:r w:rsidRPr="001B12C0">
              <w:t>No</w:t>
            </w:r>
          </w:p>
        </w:tc>
        <w:tc>
          <w:tcPr>
            <w:tcW w:w="2000" w:type="pct"/>
          </w:tcPr>
          <w:p w14:paraId="431E95DA" w14:textId="3DD4C3DF" w:rsidR="00AB4460" w:rsidRDefault="00D036AC" w:rsidP="001929B8">
            <w:r w:rsidRPr="001B12C0">
              <w:t xml:space="preserve">The plaintiffs argued that they were victims of climate change, which was causally linked to the government’s failure to take climate change into account when issuing permits for coal mining and failure to enforce the relevant laws. The plaintiffs pointed to policies and administrative decrees that required the relevant government agencies to act to reduce GHG emissions. The </w:t>
            </w:r>
            <w:r w:rsidR="00AB4460">
              <w:t xml:space="preserve">district </w:t>
            </w:r>
            <w:r w:rsidRPr="001B12C0">
              <w:t xml:space="preserve">court ruled in </w:t>
            </w:r>
            <w:proofErr w:type="spellStart"/>
            <w:r w:rsidRPr="001B12C0">
              <w:t>favor</w:t>
            </w:r>
            <w:proofErr w:type="spellEnd"/>
            <w:r w:rsidRPr="001B12C0">
              <w:t xml:space="preserve"> of the plaintiffs and ordered the government to review its existing coal mining policies and practices.</w:t>
            </w:r>
            <w:r w:rsidR="00AB4460">
              <w:t xml:space="preserve"> On appeal, the High Court upheld the District Court’s judgment. However, the Supreme Court overturned the High Court’s decision (in 2018). </w:t>
            </w:r>
          </w:p>
          <w:p w14:paraId="2D81E2A4" w14:textId="77777777" w:rsidR="00AB4460" w:rsidRDefault="00AB4460" w:rsidP="001929B8"/>
          <w:p w14:paraId="44A3658D" w14:textId="0767A06B" w:rsidR="00D036AC" w:rsidRPr="001B12C0" w:rsidRDefault="00D036AC" w:rsidP="001929B8">
            <w:r w:rsidRPr="001B12C0">
              <w:t xml:space="preserve"> </w:t>
            </w:r>
          </w:p>
        </w:tc>
      </w:tr>
      <w:tr w:rsidR="00A14303" w:rsidRPr="001B12C0" w14:paraId="05BC1F31" w14:textId="77777777" w:rsidTr="005D534E">
        <w:tc>
          <w:tcPr>
            <w:tcW w:w="209" w:type="pct"/>
          </w:tcPr>
          <w:p w14:paraId="38045F17" w14:textId="35333B43" w:rsidR="00D036AC" w:rsidRPr="00EF768B" w:rsidRDefault="00C239BB" w:rsidP="001929B8">
            <w:r w:rsidRPr="00EF768B">
              <w:t>8</w:t>
            </w:r>
          </w:p>
        </w:tc>
        <w:tc>
          <w:tcPr>
            <w:tcW w:w="617" w:type="pct"/>
          </w:tcPr>
          <w:p w14:paraId="5FECB15B" w14:textId="5AACF373" w:rsidR="00D036AC" w:rsidRPr="001B12C0" w:rsidRDefault="00D036AC" w:rsidP="001929B8">
            <w:pPr>
              <w:rPr>
                <w:b/>
                <w:i/>
              </w:rPr>
            </w:pPr>
            <w:r w:rsidRPr="001B12C0">
              <w:rPr>
                <w:b/>
                <w:i/>
              </w:rPr>
              <w:t xml:space="preserve">Bali Power Plant Case </w:t>
            </w:r>
            <w:r w:rsidRPr="001B12C0">
              <w:t xml:space="preserve">(filed June 2018) </w:t>
            </w:r>
          </w:p>
        </w:tc>
        <w:tc>
          <w:tcPr>
            <w:tcW w:w="519" w:type="pct"/>
          </w:tcPr>
          <w:p w14:paraId="165CE8B2" w14:textId="77777777" w:rsidR="00D036AC" w:rsidRPr="001B12C0" w:rsidRDefault="00D036AC" w:rsidP="001929B8">
            <w:r w:rsidRPr="001B12C0">
              <w:t xml:space="preserve">Indonesia </w:t>
            </w:r>
          </w:p>
        </w:tc>
        <w:tc>
          <w:tcPr>
            <w:tcW w:w="546" w:type="pct"/>
          </w:tcPr>
          <w:p w14:paraId="0557B914" w14:textId="77777777" w:rsidR="00D036AC" w:rsidRPr="001B12C0" w:rsidRDefault="00D036AC" w:rsidP="001929B8">
            <w:r w:rsidRPr="001B12C0">
              <w:t xml:space="preserve">3 individuals (from the local community) + Greenpeace Indonesia </w:t>
            </w:r>
          </w:p>
        </w:tc>
        <w:tc>
          <w:tcPr>
            <w:tcW w:w="588" w:type="pct"/>
          </w:tcPr>
          <w:p w14:paraId="1163E187" w14:textId="77777777" w:rsidR="00D036AC" w:rsidRPr="001B12C0" w:rsidRDefault="00D036AC" w:rsidP="001929B8">
            <w:r w:rsidRPr="001B12C0">
              <w:t>Governor of Bali</w:t>
            </w:r>
          </w:p>
        </w:tc>
        <w:tc>
          <w:tcPr>
            <w:tcW w:w="521" w:type="pct"/>
          </w:tcPr>
          <w:p w14:paraId="3FCFA06E" w14:textId="77777777" w:rsidR="00D036AC" w:rsidRPr="001B12C0" w:rsidRDefault="00D036AC" w:rsidP="001929B8">
            <w:r w:rsidRPr="001B12C0">
              <w:t>Yes.</w:t>
            </w:r>
          </w:p>
          <w:p w14:paraId="1B4A7222" w14:textId="3399BCBE" w:rsidR="00D036AC" w:rsidRPr="001B12C0" w:rsidRDefault="00D036AC" w:rsidP="001929B8">
            <w:r w:rsidRPr="001B12C0">
              <w:t xml:space="preserve">Amici Curiae submitted by a number of NGOs including Environment Defenders Office (Australia), Indonesian </w:t>
            </w:r>
            <w:proofErr w:type="spellStart"/>
            <w:r w:rsidRPr="001B12C0">
              <w:t>Center</w:t>
            </w:r>
            <w:proofErr w:type="spellEnd"/>
            <w:r w:rsidRPr="001B12C0">
              <w:t xml:space="preserve"> for </w:t>
            </w:r>
            <w:r w:rsidRPr="001B12C0">
              <w:lastRenderedPageBreak/>
              <w:t>Environ</w:t>
            </w:r>
            <w:r w:rsidR="000B51BA">
              <w:t>-</w:t>
            </w:r>
            <w:r w:rsidRPr="001B12C0">
              <w:t>mental Law and Client Earth.</w:t>
            </w:r>
          </w:p>
        </w:tc>
        <w:tc>
          <w:tcPr>
            <w:tcW w:w="2000" w:type="pct"/>
          </w:tcPr>
          <w:p w14:paraId="1209317C" w14:textId="77777777" w:rsidR="00D036AC" w:rsidRPr="001B12C0" w:rsidRDefault="00D036AC" w:rsidP="001929B8">
            <w:r w:rsidRPr="001B12C0">
              <w:lastRenderedPageBreak/>
              <w:t xml:space="preserve">The plaintiffs assert that the EIA was flawed because it did not include a climate change assessment. This case was inspired by the </w:t>
            </w:r>
            <w:proofErr w:type="spellStart"/>
            <w:r w:rsidRPr="001B12C0">
              <w:rPr>
                <w:i/>
              </w:rPr>
              <w:t>Earthlife</w:t>
            </w:r>
            <w:proofErr w:type="spellEnd"/>
            <w:r w:rsidRPr="001B12C0">
              <w:t xml:space="preserve"> (South Africa) case and adopts similar arguments raised in </w:t>
            </w:r>
            <w:proofErr w:type="spellStart"/>
            <w:r w:rsidRPr="001B12C0">
              <w:rPr>
                <w:i/>
              </w:rPr>
              <w:t>Earthlife</w:t>
            </w:r>
            <w:proofErr w:type="spellEnd"/>
            <w:r w:rsidRPr="001B12C0">
              <w:t>.</w:t>
            </w:r>
          </w:p>
        </w:tc>
      </w:tr>
      <w:tr w:rsidR="00A14303" w:rsidRPr="001B12C0" w14:paraId="6C34BEC1" w14:textId="77777777" w:rsidTr="005D534E">
        <w:tc>
          <w:tcPr>
            <w:tcW w:w="209" w:type="pct"/>
          </w:tcPr>
          <w:p w14:paraId="70979151" w14:textId="09754552" w:rsidR="00D036AC" w:rsidRPr="00EF768B" w:rsidRDefault="00C239BB" w:rsidP="001929B8">
            <w:r w:rsidRPr="00EF768B">
              <w:t>9</w:t>
            </w:r>
          </w:p>
        </w:tc>
        <w:tc>
          <w:tcPr>
            <w:tcW w:w="617" w:type="pct"/>
          </w:tcPr>
          <w:p w14:paraId="101915FE" w14:textId="7C3DB802" w:rsidR="00C239BB" w:rsidRDefault="00C239BB" w:rsidP="001929B8">
            <w:pPr>
              <w:rPr>
                <w:b/>
                <w:i/>
              </w:rPr>
            </w:pPr>
            <w:r>
              <w:rPr>
                <w:b/>
                <w:i/>
              </w:rPr>
              <w:t>Sher Singh v State of Himachal Pradesh</w:t>
            </w:r>
          </w:p>
          <w:p w14:paraId="66BD57E6" w14:textId="77777777" w:rsidR="00C239BB" w:rsidRDefault="00C239BB" w:rsidP="001929B8">
            <w:pPr>
              <w:rPr>
                <w:b/>
                <w:i/>
              </w:rPr>
            </w:pPr>
            <w:r>
              <w:rPr>
                <w:b/>
                <w:i/>
              </w:rPr>
              <w:t>(</w:t>
            </w:r>
            <w:r w:rsidR="00D036AC" w:rsidRPr="001B12C0">
              <w:rPr>
                <w:b/>
                <w:i/>
              </w:rPr>
              <w:t>Rohtang Pass</w:t>
            </w:r>
            <w:r>
              <w:rPr>
                <w:b/>
                <w:i/>
              </w:rPr>
              <w:t xml:space="preserve"> case)</w:t>
            </w:r>
          </w:p>
          <w:p w14:paraId="1D0556AC" w14:textId="5FAC0EB6" w:rsidR="00D036AC" w:rsidRPr="001B12C0" w:rsidRDefault="00D036AC" w:rsidP="001929B8">
            <w:pPr>
              <w:rPr>
                <w:b/>
                <w:i/>
              </w:rPr>
            </w:pPr>
            <w:r w:rsidRPr="001B12C0">
              <w:rPr>
                <w:b/>
                <w:i/>
              </w:rPr>
              <w:t xml:space="preserve"> </w:t>
            </w:r>
            <w:r w:rsidRPr="001B12C0">
              <w:t xml:space="preserve">(2014) </w:t>
            </w:r>
          </w:p>
        </w:tc>
        <w:tc>
          <w:tcPr>
            <w:tcW w:w="519" w:type="pct"/>
          </w:tcPr>
          <w:p w14:paraId="70DABCFA" w14:textId="77777777" w:rsidR="00D036AC" w:rsidRPr="001B12C0" w:rsidRDefault="00D036AC" w:rsidP="001929B8">
            <w:r w:rsidRPr="001B12C0">
              <w:t xml:space="preserve">India </w:t>
            </w:r>
          </w:p>
        </w:tc>
        <w:tc>
          <w:tcPr>
            <w:tcW w:w="546" w:type="pct"/>
          </w:tcPr>
          <w:p w14:paraId="1290C161" w14:textId="77777777" w:rsidR="00D036AC" w:rsidRPr="001B12C0" w:rsidRDefault="00D036AC" w:rsidP="001929B8">
            <w:r w:rsidRPr="001B12C0">
              <w:t xml:space="preserve">Court on its own motion </w:t>
            </w:r>
          </w:p>
        </w:tc>
        <w:tc>
          <w:tcPr>
            <w:tcW w:w="588" w:type="pct"/>
          </w:tcPr>
          <w:p w14:paraId="565751C5" w14:textId="77777777" w:rsidR="00D036AC" w:rsidRPr="001B12C0" w:rsidRDefault="00D036AC" w:rsidP="001929B8">
            <w:r w:rsidRPr="001B12C0">
              <w:t>Government</w:t>
            </w:r>
          </w:p>
        </w:tc>
        <w:tc>
          <w:tcPr>
            <w:tcW w:w="521" w:type="pct"/>
          </w:tcPr>
          <w:p w14:paraId="6EE8E0DC" w14:textId="77777777" w:rsidR="00D036AC" w:rsidRPr="001B12C0" w:rsidRDefault="00D036AC" w:rsidP="001929B8">
            <w:pPr>
              <w:jc w:val="center"/>
            </w:pPr>
            <w:r w:rsidRPr="001B12C0">
              <w:t>No</w:t>
            </w:r>
          </w:p>
        </w:tc>
        <w:tc>
          <w:tcPr>
            <w:tcW w:w="2000" w:type="pct"/>
          </w:tcPr>
          <w:p w14:paraId="77074025" w14:textId="77777777" w:rsidR="00D036AC" w:rsidRPr="001B12C0" w:rsidRDefault="00D036AC" w:rsidP="001929B8">
            <w:r w:rsidRPr="001B12C0">
              <w:t>The court ordered the state government and its agencies to undertake wide-ranging measures to remedy the pollution crisis that is causing glacier melt in Himalayas region. The court recognized that the main causes of pollution include black carbon, “believed to be biggest contributor to global warming after carbon dioxide.”</w:t>
            </w:r>
          </w:p>
        </w:tc>
      </w:tr>
      <w:tr w:rsidR="00A14303" w:rsidRPr="001B12C0" w14:paraId="6D507001" w14:textId="77777777" w:rsidTr="005D534E">
        <w:tc>
          <w:tcPr>
            <w:tcW w:w="209" w:type="pct"/>
          </w:tcPr>
          <w:p w14:paraId="2AA340F2" w14:textId="25CB4C38" w:rsidR="00D036AC" w:rsidRPr="00EF768B" w:rsidRDefault="00C239BB" w:rsidP="001929B8">
            <w:r w:rsidRPr="00EF768B">
              <w:t>10</w:t>
            </w:r>
          </w:p>
        </w:tc>
        <w:tc>
          <w:tcPr>
            <w:tcW w:w="617" w:type="pct"/>
          </w:tcPr>
          <w:p w14:paraId="3E86E0EF" w14:textId="01AED162" w:rsidR="00D036AC" w:rsidRPr="001B12C0" w:rsidRDefault="00D036AC" w:rsidP="001929B8">
            <w:pPr>
              <w:rPr>
                <w:b/>
                <w:i/>
              </w:rPr>
            </w:pPr>
            <w:r w:rsidRPr="001B12C0">
              <w:rPr>
                <w:b/>
                <w:i/>
              </w:rPr>
              <w:t>Pandey</w:t>
            </w:r>
            <w:r>
              <w:rPr>
                <w:b/>
                <w:i/>
              </w:rPr>
              <w:t xml:space="preserve"> v. India</w:t>
            </w:r>
            <w:r w:rsidRPr="001B12C0">
              <w:rPr>
                <w:b/>
                <w:i/>
              </w:rPr>
              <w:t xml:space="preserve"> </w:t>
            </w:r>
            <w:r w:rsidRPr="001B12C0">
              <w:t>(2017)</w:t>
            </w:r>
          </w:p>
        </w:tc>
        <w:tc>
          <w:tcPr>
            <w:tcW w:w="519" w:type="pct"/>
          </w:tcPr>
          <w:p w14:paraId="576FFD2D" w14:textId="77777777" w:rsidR="00D036AC" w:rsidRPr="001B12C0" w:rsidRDefault="00D036AC" w:rsidP="001929B8">
            <w:r w:rsidRPr="001B12C0">
              <w:t>India</w:t>
            </w:r>
          </w:p>
        </w:tc>
        <w:tc>
          <w:tcPr>
            <w:tcW w:w="546" w:type="pct"/>
          </w:tcPr>
          <w:p w14:paraId="7E5084B4" w14:textId="77777777" w:rsidR="00D036AC" w:rsidRPr="001B12C0" w:rsidRDefault="00D036AC" w:rsidP="001929B8">
            <w:r w:rsidRPr="001B12C0">
              <w:t>9 year old resident of the State of Uttarakhand</w:t>
            </w:r>
          </w:p>
        </w:tc>
        <w:tc>
          <w:tcPr>
            <w:tcW w:w="588" w:type="pct"/>
          </w:tcPr>
          <w:p w14:paraId="71FFFA07" w14:textId="77777777" w:rsidR="00D036AC" w:rsidRPr="001B12C0" w:rsidRDefault="00D036AC" w:rsidP="001929B8">
            <w:r w:rsidRPr="001B12C0">
              <w:t>Government</w:t>
            </w:r>
          </w:p>
        </w:tc>
        <w:tc>
          <w:tcPr>
            <w:tcW w:w="521" w:type="pct"/>
          </w:tcPr>
          <w:p w14:paraId="0427DC80" w14:textId="77777777" w:rsidR="00D036AC" w:rsidRPr="001B12C0" w:rsidRDefault="00D036AC" w:rsidP="001929B8">
            <w:pPr>
              <w:jc w:val="center"/>
            </w:pPr>
            <w:r w:rsidRPr="001B12C0">
              <w:t>Yes.</w:t>
            </w:r>
          </w:p>
          <w:p w14:paraId="0842DB04" w14:textId="77777777" w:rsidR="00D036AC" w:rsidRPr="001B12C0" w:rsidRDefault="00D036AC" w:rsidP="001929B8">
            <w:r w:rsidRPr="001B12C0">
              <w:t>Partnership with Our Children’s Trust.</w:t>
            </w:r>
          </w:p>
        </w:tc>
        <w:tc>
          <w:tcPr>
            <w:tcW w:w="2000" w:type="pct"/>
          </w:tcPr>
          <w:p w14:paraId="07D8EAFE" w14:textId="77777777" w:rsidR="00D036AC" w:rsidRPr="001B12C0" w:rsidRDefault="00D036AC" w:rsidP="001929B8">
            <w:r w:rsidRPr="001B12C0">
              <w:t>The Applicant alleges that: (1) India is bound by a fiduciary duty under the Public Trust Doctrine and Intergenerational Equity Principle to mitigate climate change so as to protect natural resources for the benefit of current and future generations; (2) India has not made any effort to integrate its Paris Agreement obligations into its domestic law; (3) India’s existing environmental laws and climate-related policies require greater climate mitigation effort; and (4) the right to life under Art. 21 of the Indian Constitution</w:t>
            </w:r>
            <w:r w:rsidRPr="001B12C0">
              <w:rPr>
                <w:b/>
              </w:rPr>
              <w:t xml:space="preserve"> </w:t>
            </w:r>
            <w:r w:rsidRPr="001B12C0">
              <w:t>includes the right to a healthy environment.</w:t>
            </w:r>
          </w:p>
          <w:p w14:paraId="27BBD124" w14:textId="77777777" w:rsidR="00D036AC" w:rsidRPr="001B12C0" w:rsidRDefault="00D036AC" w:rsidP="001929B8"/>
          <w:p w14:paraId="6B5314C3" w14:textId="77777777" w:rsidR="00D036AC" w:rsidRPr="001B12C0" w:rsidRDefault="00D036AC" w:rsidP="001929B8">
            <w:r w:rsidRPr="001B12C0">
              <w:t xml:space="preserve">The plaintiff seeks a court order requiring the government to (1) include climate change considerations in the EIA process (2) prepare a national GHG emissions inventory (3) prepare a national carbon budget (4) develop and implement a time bound </w:t>
            </w:r>
            <w:r w:rsidRPr="001B12C0">
              <w:lastRenderedPageBreak/>
              <w:t>national climate recovery plan; and (</w:t>
            </w:r>
            <w:r>
              <w:t>5</w:t>
            </w:r>
            <w:r w:rsidRPr="001B12C0">
              <w:t>) create a committee to monitor and present quarterly compliance reports to the tribunal.</w:t>
            </w:r>
          </w:p>
        </w:tc>
      </w:tr>
      <w:tr w:rsidR="00A14303" w:rsidRPr="001B12C0" w14:paraId="3DB0674B" w14:textId="77777777" w:rsidTr="005D534E">
        <w:tc>
          <w:tcPr>
            <w:tcW w:w="209" w:type="pct"/>
          </w:tcPr>
          <w:p w14:paraId="0189B9AC" w14:textId="0D4008E0" w:rsidR="00D036AC" w:rsidRPr="00EF768B" w:rsidRDefault="00C239BB" w:rsidP="001929B8">
            <w:pPr>
              <w:jc w:val="both"/>
            </w:pPr>
            <w:r w:rsidRPr="00EF768B">
              <w:lastRenderedPageBreak/>
              <w:t>11</w:t>
            </w:r>
          </w:p>
        </w:tc>
        <w:tc>
          <w:tcPr>
            <w:tcW w:w="617" w:type="pct"/>
          </w:tcPr>
          <w:p w14:paraId="41E5B73F" w14:textId="2BABFE45" w:rsidR="00D036AC" w:rsidRPr="001B12C0" w:rsidRDefault="00D036AC" w:rsidP="001929B8">
            <w:pPr>
              <w:jc w:val="both"/>
              <w:rPr>
                <w:b/>
                <w:i/>
              </w:rPr>
            </w:pPr>
            <w:r w:rsidRPr="001B12C0">
              <w:rPr>
                <w:b/>
                <w:i/>
              </w:rPr>
              <w:t>Karnataka Industrial Areas Development Board v</w:t>
            </w:r>
            <w:r>
              <w:rPr>
                <w:b/>
                <w:i/>
              </w:rPr>
              <w:t>.</w:t>
            </w:r>
            <w:r w:rsidRPr="001B12C0">
              <w:rPr>
                <w:b/>
                <w:i/>
              </w:rPr>
              <w:t xml:space="preserve"> Sri C. </w:t>
            </w:r>
            <w:proofErr w:type="spellStart"/>
            <w:r w:rsidRPr="001B12C0">
              <w:rPr>
                <w:b/>
                <w:i/>
              </w:rPr>
              <w:t>Kenchappa</w:t>
            </w:r>
            <w:proofErr w:type="spellEnd"/>
            <w:r w:rsidR="00EF768B">
              <w:rPr>
                <w:b/>
                <w:i/>
              </w:rPr>
              <w:t xml:space="preserve"> &amp; others</w:t>
            </w:r>
          </w:p>
          <w:p w14:paraId="24B3C07C" w14:textId="77777777" w:rsidR="00D036AC" w:rsidRPr="001B12C0" w:rsidRDefault="00D036AC" w:rsidP="001929B8">
            <w:pPr>
              <w:rPr>
                <w:b/>
              </w:rPr>
            </w:pPr>
            <w:r w:rsidRPr="001B12C0">
              <w:t>(2006)</w:t>
            </w:r>
          </w:p>
        </w:tc>
        <w:tc>
          <w:tcPr>
            <w:tcW w:w="519" w:type="pct"/>
          </w:tcPr>
          <w:p w14:paraId="1EEC0B4C" w14:textId="77777777" w:rsidR="00D036AC" w:rsidRPr="001B12C0" w:rsidRDefault="00D036AC" w:rsidP="001929B8">
            <w:r w:rsidRPr="001B12C0">
              <w:t>India</w:t>
            </w:r>
          </w:p>
        </w:tc>
        <w:tc>
          <w:tcPr>
            <w:tcW w:w="546" w:type="pct"/>
          </w:tcPr>
          <w:p w14:paraId="607A2991" w14:textId="77777777" w:rsidR="00D036AC" w:rsidRPr="001B12C0" w:rsidRDefault="00D036AC" w:rsidP="001929B8">
            <w:r w:rsidRPr="001B12C0">
              <w:t xml:space="preserve">Farmers whose land had been acquired by the government. </w:t>
            </w:r>
          </w:p>
          <w:p w14:paraId="49997A0A" w14:textId="77777777" w:rsidR="00D036AC" w:rsidRPr="001B12C0" w:rsidRDefault="00D036AC" w:rsidP="001929B8"/>
        </w:tc>
        <w:tc>
          <w:tcPr>
            <w:tcW w:w="588" w:type="pct"/>
          </w:tcPr>
          <w:p w14:paraId="1FEBADB9" w14:textId="77777777" w:rsidR="00D036AC" w:rsidRPr="001B12C0" w:rsidRDefault="00D036AC" w:rsidP="001929B8">
            <w:r w:rsidRPr="001B12C0">
              <w:t>Statutory Body</w:t>
            </w:r>
          </w:p>
          <w:p w14:paraId="2F744EC0" w14:textId="77777777" w:rsidR="00D036AC" w:rsidRPr="001B12C0" w:rsidRDefault="00D036AC" w:rsidP="001929B8">
            <w:r w:rsidRPr="001B12C0">
              <w:t>(Karnataka Industrial Areas Development Board (KIADB))</w:t>
            </w:r>
          </w:p>
          <w:p w14:paraId="1BFDEC9A" w14:textId="77777777" w:rsidR="00D036AC" w:rsidRPr="001B12C0" w:rsidRDefault="00D036AC" w:rsidP="001929B8">
            <w:r w:rsidRPr="001B12C0" w:rsidDel="0013514A">
              <w:t xml:space="preserve"> </w:t>
            </w:r>
          </w:p>
        </w:tc>
        <w:tc>
          <w:tcPr>
            <w:tcW w:w="521" w:type="pct"/>
          </w:tcPr>
          <w:p w14:paraId="776A830B" w14:textId="77777777" w:rsidR="00D036AC" w:rsidRPr="001B12C0" w:rsidRDefault="00D036AC" w:rsidP="001929B8">
            <w:pPr>
              <w:jc w:val="center"/>
            </w:pPr>
            <w:r w:rsidRPr="001B12C0">
              <w:t>No</w:t>
            </w:r>
          </w:p>
        </w:tc>
        <w:tc>
          <w:tcPr>
            <w:tcW w:w="2000" w:type="pct"/>
          </w:tcPr>
          <w:p w14:paraId="4C32388D" w14:textId="77777777" w:rsidR="00D036AC" w:rsidRPr="001B12C0" w:rsidRDefault="00D036AC" w:rsidP="001929B8">
            <w:r w:rsidRPr="001B12C0">
              <w:t xml:space="preserve">This was a petition to the court to restrain KIADB from converting agricultural land to industrial use and that land in the green belt area should not be acquired and put to non-agricultural use, including industrial activity. The plaintiffs submitted that, apart from the economic hardship they would suffer, this conversion of land will lead to more industrial activity that will have adverse impacts on the environment. In his decision, </w:t>
            </w:r>
            <w:proofErr w:type="spellStart"/>
            <w:r w:rsidRPr="001B12C0">
              <w:t>Dalveer</w:t>
            </w:r>
            <w:proofErr w:type="spellEnd"/>
            <w:r w:rsidRPr="001B12C0">
              <w:t xml:space="preserve"> Bhandari noted the severity of climate change and its adverse impacts (para. 42 of judgment). </w:t>
            </w:r>
          </w:p>
        </w:tc>
      </w:tr>
      <w:tr w:rsidR="00A14303" w:rsidRPr="001B12C0" w14:paraId="44AAE338" w14:textId="77777777" w:rsidTr="005D534E">
        <w:tc>
          <w:tcPr>
            <w:tcW w:w="209" w:type="pct"/>
          </w:tcPr>
          <w:p w14:paraId="14E7C6ED" w14:textId="5E9E2BB5" w:rsidR="00D036AC" w:rsidRPr="00EF768B" w:rsidRDefault="00C239BB" w:rsidP="001929B8">
            <w:r w:rsidRPr="00EF768B">
              <w:t>12</w:t>
            </w:r>
          </w:p>
        </w:tc>
        <w:tc>
          <w:tcPr>
            <w:tcW w:w="617" w:type="pct"/>
          </w:tcPr>
          <w:p w14:paraId="33777B91" w14:textId="43D5530A" w:rsidR="00D036AC" w:rsidRDefault="00D036AC" w:rsidP="001929B8">
            <w:pPr>
              <w:rPr>
                <w:b/>
                <w:i/>
              </w:rPr>
            </w:pPr>
            <w:proofErr w:type="spellStart"/>
            <w:r w:rsidRPr="001B12C0">
              <w:rPr>
                <w:b/>
                <w:i/>
              </w:rPr>
              <w:t>Manushi</w:t>
            </w:r>
            <w:proofErr w:type="spellEnd"/>
            <w:r w:rsidRPr="001B12C0">
              <w:rPr>
                <w:b/>
                <w:i/>
              </w:rPr>
              <w:t xml:space="preserve"> </w:t>
            </w:r>
            <w:proofErr w:type="spellStart"/>
            <w:r w:rsidR="00C239BB">
              <w:rPr>
                <w:b/>
                <w:i/>
              </w:rPr>
              <w:t>Sangthan</w:t>
            </w:r>
            <w:proofErr w:type="spellEnd"/>
            <w:r w:rsidR="00C239BB">
              <w:rPr>
                <w:b/>
                <w:i/>
              </w:rPr>
              <w:t>, Delhi v Government of Delhi &amp; others</w:t>
            </w:r>
          </w:p>
          <w:p w14:paraId="09CC42EB" w14:textId="3CBE05BC" w:rsidR="00D036AC" w:rsidRPr="001B12C0" w:rsidRDefault="00C239BB" w:rsidP="001929B8">
            <w:pPr>
              <w:rPr>
                <w:b/>
              </w:rPr>
            </w:pPr>
            <w:r>
              <w:rPr>
                <w:b/>
                <w:i/>
              </w:rPr>
              <w:t>(</w:t>
            </w:r>
            <w:r w:rsidR="00D036AC" w:rsidRPr="001B12C0">
              <w:rPr>
                <w:b/>
                <w:i/>
              </w:rPr>
              <w:t>Rickshaw</w:t>
            </w:r>
            <w:r w:rsidR="00D036AC" w:rsidRPr="001B12C0">
              <w:rPr>
                <w:b/>
              </w:rPr>
              <w:t xml:space="preserve"> case</w:t>
            </w:r>
            <w:r>
              <w:rPr>
                <w:b/>
              </w:rPr>
              <w:t>)</w:t>
            </w:r>
          </w:p>
          <w:p w14:paraId="7C2FF1A8" w14:textId="77777777" w:rsidR="00D036AC" w:rsidRPr="001B12C0" w:rsidRDefault="00D036AC" w:rsidP="001929B8">
            <w:r w:rsidRPr="001B12C0">
              <w:t xml:space="preserve">(2010) </w:t>
            </w:r>
          </w:p>
        </w:tc>
        <w:tc>
          <w:tcPr>
            <w:tcW w:w="519" w:type="pct"/>
          </w:tcPr>
          <w:p w14:paraId="5656B463" w14:textId="77777777" w:rsidR="00D036AC" w:rsidRPr="001B12C0" w:rsidRDefault="00D036AC" w:rsidP="001929B8">
            <w:r w:rsidRPr="001B12C0">
              <w:t>India</w:t>
            </w:r>
          </w:p>
        </w:tc>
        <w:tc>
          <w:tcPr>
            <w:tcW w:w="546" w:type="pct"/>
          </w:tcPr>
          <w:p w14:paraId="57532BA1" w14:textId="77777777" w:rsidR="00D036AC" w:rsidRPr="001B12C0" w:rsidRDefault="00D036AC" w:rsidP="001929B8">
            <w:r w:rsidRPr="001B12C0">
              <w:t xml:space="preserve">Local NGOs </w:t>
            </w:r>
          </w:p>
        </w:tc>
        <w:tc>
          <w:tcPr>
            <w:tcW w:w="588" w:type="pct"/>
          </w:tcPr>
          <w:p w14:paraId="2CBDAE62" w14:textId="77777777" w:rsidR="00D036AC" w:rsidRPr="001B12C0" w:rsidRDefault="00D036AC" w:rsidP="001929B8">
            <w:r w:rsidRPr="001B12C0">
              <w:t>Government</w:t>
            </w:r>
          </w:p>
        </w:tc>
        <w:tc>
          <w:tcPr>
            <w:tcW w:w="521" w:type="pct"/>
          </w:tcPr>
          <w:p w14:paraId="03D7B8DA" w14:textId="77777777" w:rsidR="00D036AC" w:rsidRPr="001B12C0" w:rsidRDefault="00D036AC" w:rsidP="001929B8">
            <w:pPr>
              <w:jc w:val="center"/>
            </w:pPr>
            <w:r w:rsidRPr="001B12C0">
              <w:t>No</w:t>
            </w:r>
          </w:p>
        </w:tc>
        <w:tc>
          <w:tcPr>
            <w:tcW w:w="2000" w:type="pct"/>
          </w:tcPr>
          <w:p w14:paraId="05DB2F1B" w14:textId="77777777" w:rsidR="00D036AC" w:rsidRPr="001B12C0" w:rsidRDefault="00D036AC" w:rsidP="001929B8">
            <w:r w:rsidRPr="001B12C0">
              <w:t xml:space="preserve">This was a petition to the court seeking a declaration that the government’s decision to limit the number of rickshaw licenses was arbitrary. The petitioners stressed, </w:t>
            </w:r>
            <w:r w:rsidRPr="001B12C0">
              <w:rPr>
                <w:i/>
              </w:rPr>
              <w:t>inter alia</w:t>
            </w:r>
            <w:r w:rsidRPr="001B12C0">
              <w:t xml:space="preserve">, the importance of rickshaws as a low-carbon transportation option. </w:t>
            </w:r>
          </w:p>
        </w:tc>
      </w:tr>
      <w:tr w:rsidR="00A14303" w:rsidRPr="001B12C0" w14:paraId="1D0B162B" w14:textId="77777777" w:rsidTr="005D534E">
        <w:tc>
          <w:tcPr>
            <w:tcW w:w="209" w:type="pct"/>
          </w:tcPr>
          <w:p w14:paraId="6775FD6D" w14:textId="65157155" w:rsidR="00D036AC" w:rsidRPr="00EF768B" w:rsidRDefault="00EF768B" w:rsidP="001929B8">
            <w:pPr>
              <w:rPr>
                <w:bCs/>
                <w:iCs/>
                <w:lang w:val="en-US"/>
              </w:rPr>
            </w:pPr>
            <w:r w:rsidRPr="00EF768B">
              <w:rPr>
                <w:bCs/>
                <w:iCs/>
                <w:lang w:val="en-US"/>
              </w:rPr>
              <w:t>13</w:t>
            </w:r>
          </w:p>
        </w:tc>
        <w:tc>
          <w:tcPr>
            <w:tcW w:w="617" w:type="pct"/>
          </w:tcPr>
          <w:p w14:paraId="6ADBAEF6" w14:textId="1AC7362C" w:rsidR="00D036AC" w:rsidRPr="001B12C0" w:rsidRDefault="00D036AC" w:rsidP="001929B8">
            <w:pPr>
              <w:rPr>
                <w:b/>
                <w:i/>
              </w:rPr>
            </w:pPr>
            <w:r w:rsidRPr="00166768">
              <w:rPr>
                <w:b/>
                <w:bCs/>
                <w:i/>
                <w:iCs/>
                <w:lang w:val="en-US"/>
              </w:rPr>
              <w:t>Indian Council for Enviro-legal Action (ICELA) v</w:t>
            </w:r>
            <w:r>
              <w:rPr>
                <w:b/>
                <w:bCs/>
                <w:i/>
                <w:iCs/>
                <w:lang w:val="en-US"/>
              </w:rPr>
              <w:t>.</w:t>
            </w:r>
            <w:r w:rsidRPr="00166768">
              <w:rPr>
                <w:b/>
                <w:bCs/>
                <w:i/>
                <w:iCs/>
                <w:lang w:val="en-US"/>
              </w:rPr>
              <w:t xml:space="preserve"> Ministry of Environment, Forest and Climate Change </w:t>
            </w:r>
            <w:r w:rsidRPr="00166768">
              <w:rPr>
                <w:b/>
                <w:bCs/>
                <w:i/>
                <w:iCs/>
                <w:lang w:val="en-US"/>
              </w:rPr>
              <w:lastRenderedPageBreak/>
              <w:t>and others</w:t>
            </w:r>
            <w:r>
              <w:rPr>
                <w:b/>
                <w:bCs/>
                <w:i/>
                <w:iCs/>
              </w:rPr>
              <w:t xml:space="preserve"> (</w:t>
            </w:r>
            <w:r w:rsidRPr="001B12C0">
              <w:rPr>
                <w:b/>
                <w:i/>
              </w:rPr>
              <w:t>HFC</w:t>
            </w:r>
            <w:r>
              <w:rPr>
                <w:b/>
                <w:i/>
              </w:rPr>
              <w:t>-</w:t>
            </w:r>
            <w:r w:rsidRPr="001B12C0">
              <w:rPr>
                <w:b/>
                <w:i/>
              </w:rPr>
              <w:t>23 case</w:t>
            </w:r>
            <w:r>
              <w:rPr>
                <w:b/>
                <w:i/>
              </w:rPr>
              <w:t>)</w:t>
            </w:r>
          </w:p>
          <w:p w14:paraId="08D4087C" w14:textId="77777777" w:rsidR="00D036AC" w:rsidRPr="001B12C0" w:rsidRDefault="00D036AC" w:rsidP="001929B8">
            <w:r w:rsidRPr="001B12C0">
              <w:t>(2015)</w:t>
            </w:r>
          </w:p>
        </w:tc>
        <w:tc>
          <w:tcPr>
            <w:tcW w:w="519" w:type="pct"/>
          </w:tcPr>
          <w:p w14:paraId="49562CED" w14:textId="77777777" w:rsidR="00D036AC" w:rsidRPr="001B12C0" w:rsidRDefault="00D036AC" w:rsidP="001929B8">
            <w:r w:rsidRPr="001B12C0">
              <w:lastRenderedPageBreak/>
              <w:t xml:space="preserve">India </w:t>
            </w:r>
          </w:p>
        </w:tc>
        <w:tc>
          <w:tcPr>
            <w:tcW w:w="546" w:type="pct"/>
          </w:tcPr>
          <w:p w14:paraId="0A065C90" w14:textId="77777777" w:rsidR="00D036AC" w:rsidRPr="001B12C0" w:rsidRDefault="00D036AC" w:rsidP="001929B8">
            <w:pPr>
              <w:rPr>
                <w:bCs/>
                <w:iCs/>
              </w:rPr>
            </w:pPr>
            <w:r w:rsidRPr="001B12C0">
              <w:rPr>
                <w:bCs/>
                <w:iCs/>
              </w:rPr>
              <w:t xml:space="preserve">Indian Council for Enviro-legal Action </w:t>
            </w:r>
          </w:p>
          <w:p w14:paraId="3119B956" w14:textId="77777777" w:rsidR="00D036AC" w:rsidRPr="001B12C0" w:rsidRDefault="00D036AC" w:rsidP="001929B8">
            <w:r w:rsidRPr="001B12C0">
              <w:rPr>
                <w:bCs/>
                <w:iCs/>
              </w:rPr>
              <w:t>(</w:t>
            </w:r>
            <w:r w:rsidRPr="001B12C0">
              <w:t>Local environmental NGO)</w:t>
            </w:r>
          </w:p>
          <w:p w14:paraId="42E7D47C" w14:textId="77777777" w:rsidR="00D036AC" w:rsidRPr="001B12C0" w:rsidRDefault="00D036AC" w:rsidP="001929B8"/>
        </w:tc>
        <w:tc>
          <w:tcPr>
            <w:tcW w:w="588" w:type="pct"/>
          </w:tcPr>
          <w:p w14:paraId="52CF7462" w14:textId="77777777" w:rsidR="00D036AC" w:rsidRPr="001B12C0" w:rsidRDefault="00D036AC" w:rsidP="001929B8">
            <w:r w:rsidRPr="001B12C0">
              <w:t xml:space="preserve">Government and chemical manufacturers  </w:t>
            </w:r>
          </w:p>
        </w:tc>
        <w:tc>
          <w:tcPr>
            <w:tcW w:w="521" w:type="pct"/>
          </w:tcPr>
          <w:p w14:paraId="7BB0BD8C" w14:textId="77777777" w:rsidR="00D036AC" w:rsidRPr="001B12C0" w:rsidRDefault="00D036AC" w:rsidP="001929B8">
            <w:pPr>
              <w:jc w:val="center"/>
            </w:pPr>
            <w:r w:rsidRPr="001B12C0">
              <w:t>No</w:t>
            </w:r>
          </w:p>
        </w:tc>
        <w:tc>
          <w:tcPr>
            <w:tcW w:w="2000" w:type="pct"/>
          </w:tcPr>
          <w:p w14:paraId="46649DEB" w14:textId="77777777" w:rsidR="00D036AC" w:rsidRPr="001B12C0" w:rsidRDefault="00D036AC" w:rsidP="001929B8">
            <w:r w:rsidRPr="001B12C0">
              <w:t>HFC-23 is a GHG. The defendant companies produce HCFC-22 as a refrigerant (and HFC-23 is a by</w:t>
            </w:r>
            <w:r>
              <w:t>-</w:t>
            </w:r>
            <w:r w:rsidRPr="001B12C0">
              <w:t xml:space="preserve">product of the manufacturing process). The plaintiff sought orders for the government to regulate and phase out the production of HFC-23, on the basis that India has ratified the Montreal Protocol and the Kyoto Protocol, and for the defendant companies to stop venting HFC-23. A large part of the judgment dealt with whether the tribunal had jurisdiction to hear this case as HFC-23 </w:t>
            </w:r>
            <w:r w:rsidRPr="001B12C0">
              <w:lastRenderedPageBreak/>
              <w:t xml:space="preserve">is not regulated by any of the laws listed in Schedule 1 of the National Green Tribunal Act 2010 (the statute that created the Tribunal). The Tribunal held that, as a GHG, HFC-23 “may be, or tend to be, injurious to environment” (Environment Protection Act 1986, which is in Schedule 1 of the NGTA). As such, the Tribunal had jurisdiction. The Tribunal ruled in </w:t>
            </w:r>
            <w:proofErr w:type="spellStart"/>
            <w:r w:rsidRPr="001B12C0">
              <w:t>favor</w:t>
            </w:r>
            <w:proofErr w:type="spellEnd"/>
            <w:r w:rsidRPr="001B12C0">
              <w:t xml:space="preserve"> of the plaintiff and ordered the government to issue measures to regulate HFC-23 pursuant to the Environment Protection Act.</w:t>
            </w:r>
          </w:p>
        </w:tc>
      </w:tr>
      <w:tr w:rsidR="00A14303" w:rsidRPr="001B12C0" w14:paraId="285BF27A" w14:textId="77777777" w:rsidTr="005D534E">
        <w:tc>
          <w:tcPr>
            <w:tcW w:w="209" w:type="pct"/>
          </w:tcPr>
          <w:p w14:paraId="681C346B" w14:textId="46613D4F" w:rsidR="00D036AC" w:rsidRPr="00EF768B" w:rsidRDefault="00EF768B" w:rsidP="001929B8">
            <w:r w:rsidRPr="00EF768B">
              <w:lastRenderedPageBreak/>
              <w:t>14</w:t>
            </w:r>
          </w:p>
        </w:tc>
        <w:tc>
          <w:tcPr>
            <w:tcW w:w="617" w:type="pct"/>
          </w:tcPr>
          <w:p w14:paraId="4D5E2246" w14:textId="34883313" w:rsidR="00D036AC" w:rsidRPr="006E1B2C" w:rsidRDefault="00D036AC" w:rsidP="001929B8">
            <w:pPr>
              <w:rPr>
                <w:b/>
                <w:i/>
              </w:rPr>
            </w:pPr>
            <w:r w:rsidRPr="006E1B2C">
              <w:rPr>
                <w:b/>
                <w:i/>
              </w:rPr>
              <w:t>Leghari v</w:t>
            </w:r>
            <w:r>
              <w:rPr>
                <w:b/>
                <w:i/>
              </w:rPr>
              <w:t>.</w:t>
            </w:r>
            <w:r w:rsidRPr="006E1B2C">
              <w:rPr>
                <w:b/>
                <w:i/>
              </w:rPr>
              <w:t xml:space="preserve"> Federation of Pakistan </w:t>
            </w:r>
          </w:p>
          <w:p w14:paraId="2F55A92E" w14:textId="77777777" w:rsidR="00D036AC" w:rsidRPr="006E1B2C" w:rsidRDefault="00D036AC" w:rsidP="001929B8">
            <w:r w:rsidRPr="006E1B2C">
              <w:t>(2015)</w:t>
            </w:r>
          </w:p>
          <w:p w14:paraId="044803B6" w14:textId="77777777" w:rsidR="00D036AC" w:rsidRDefault="00D036AC" w:rsidP="001929B8">
            <w:pPr>
              <w:rPr>
                <w:i/>
                <w:highlight w:val="cyan"/>
              </w:rPr>
            </w:pPr>
          </w:p>
          <w:p w14:paraId="59C300DB" w14:textId="77777777" w:rsidR="00D036AC" w:rsidRDefault="00D036AC" w:rsidP="001929B8">
            <w:pPr>
              <w:rPr>
                <w:i/>
                <w:highlight w:val="cyan"/>
              </w:rPr>
            </w:pPr>
          </w:p>
          <w:p w14:paraId="2904C40D" w14:textId="77777777" w:rsidR="00D036AC" w:rsidRPr="001B12C0" w:rsidRDefault="00D036AC" w:rsidP="001929B8">
            <w:pPr>
              <w:rPr>
                <w:i/>
                <w:highlight w:val="cyan"/>
              </w:rPr>
            </w:pPr>
          </w:p>
        </w:tc>
        <w:tc>
          <w:tcPr>
            <w:tcW w:w="519" w:type="pct"/>
          </w:tcPr>
          <w:p w14:paraId="36E1EF2E" w14:textId="77777777" w:rsidR="00D036AC" w:rsidRPr="006E1B2C" w:rsidRDefault="00D036AC" w:rsidP="001929B8">
            <w:r w:rsidRPr="006E1B2C">
              <w:t>Pakistan</w:t>
            </w:r>
          </w:p>
        </w:tc>
        <w:tc>
          <w:tcPr>
            <w:tcW w:w="546" w:type="pct"/>
          </w:tcPr>
          <w:p w14:paraId="14A183FE" w14:textId="77777777" w:rsidR="00D036AC" w:rsidRPr="006E1B2C" w:rsidRDefault="00D036AC" w:rsidP="001929B8">
            <w:r w:rsidRPr="006E1B2C">
              <w:t>Farmer</w:t>
            </w:r>
          </w:p>
        </w:tc>
        <w:tc>
          <w:tcPr>
            <w:tcW w:w="588" w:type="pct"/>
          </w:tcPr>
          <w:p w14:paraId="1351574E" w14:textId="77777777" w:rsidR="00D036AC" w:rsidRPr="006E1B2C" w:rsidRDefault="00D036AC" w:rsidP="001929B8">
            <w:r w:rsidRPr="006E1B2C">
              <w:t>Government</w:t>
            </w:r>
          </w:p>
        </w:tc>
        <w:tc>
          <w:tcPr>
            <w:tcW w:w="521" w:type="pct"/>
            <w:vAlign w:val="center"/>
          </w:tcPr>
          <w:p w14:paraId="328F0F5F" w14:textId="77777777" w:rsidR="00D036AC" w:rsidRPr="001B12C0" w:rsidRDefault="00D036AC" w:rsidP="001929B8">
            <w:pPr>
              <w:rPr>
                <w:highlight w:val="cyan"/>
              </w:rPr>
            </w:pPr>
            <w:r w:rsidRPr="006E1B2C">
              <w:t>No</w:t>
            </w:r>
          </w:p>
        </w:tc>
        <w:tc>
          <w:tcPr>
            <w:tcW w:w="2000" w:type="pct"/>
          </w:tcPr>
          <w:p w14:paraId="354D86A8" w14:textId="77777777" w:rsidR="00D036AC" w:rsidRDefault="00D036AC" w:rsidP="001929B8">
            <w:r w:rsidRPr="006E1B2C">
              <w:t xml:space="preserve">Leghari </w:t>
            </w:r>
            <w:r>
              <w:t xml:space="preserve">brought his case before the court using public interest litigation. He submitted that climate change poses a serious threat to water, food and energy security in Pakistan, and therefore offended fundamental rights under the 1973 Constitution, including the right to life (Article 9) and the right to property (Article 23). Leghari further submitted that the state had failed to implement the country’s National Climate Change Policy 2012 and the Supporting Framework (2014-2030). The Court decided in favour of Leghari. Taking an activist approach, which has become a feature of Pakistani and Indian judicial law-making, the Lahore High Court designed judicially administered mechanisms for remedying the breaches. </w:t>
            </w:r>
          </w:p>
          <w:p w14:paraId="7A339805" w14:textId="77777777" w:rsidR="00D036AC" w:rsidRPr="001B12C0" w:rsidRDefault="00D036AC" w:rsidP="001929B8">
            <w:pPr>
              <w:rPr>
                <w:highlight w:val="cyan"/>
              </w:rPr>
            </w:pPr>
          </w:p>
        </w:tc>
      </w:tr>
      <w:tr w:rsidR="00A14303" w:rsidRPr="001B12C0" w14:paraId="2951F27A" w14:textId="77777777" w:rsidTr="005D534E">
        <w:tc>
          <w:tcPr>
            <w:tcW w:w="209" w:type="pct"/>
          </w:tcPr>
          <w:p w14:paraId="1FD9CAD2" w14:textId="2E6FF6BB" w:rsidR="00D036AC" w:rsidRPr="00EF768B" w:rsidRDefault="00EF768B" w:rsidP="001929B8">
            <w:r w:rsidRPr="00EF768B">
              <w:t>15</w:t>
            </w:r>
          </w:p>
        </w:tc>
        <w:tc>
          <w:tcPr>
            <w:tcW w:w="617" w:type="pct"/>
          </w:tcPr>
          <w:p w14:paraId="6A71F322" w14:textId="1D13E8E1" w:rsidR="00D036AC" w:rsidRPr="001B12C0" w:rsidRDefault="00D036AC" w:rsidP="001929B8">
            <w:pPr>
              <w:rPr>
                <w:b/>
                <w:i/>
              </w:rPr>
            </w:pPr>
            <w:r w:rsidRPr="001B12C0">
              <w:rPr>
                <w:b/>
                <w:i/>
              </w:rPr>
              <w:t>Ali</w:t>
            </w:r>
            <w:r>
              <w:rPr>
                <w:b/>
                <w:i/>
              </w:rPr>
              <w:t xml:space="preserve"> </w:t>
            </w:r>
            <w:r w:rsidRPr="006E1B2C">
              <w:rPr>
                <w:b/>
                <w:i/>
              </w:rPr>
              <w:t>v</w:t>
            </w:r>
            <w:r>
              <w:rPr>
                <w:b/>
                <w:i/>
              </w:rPr>
              <w:t>.</w:t>
            </w:r>
            <w:r w:rsidRPr="006E1B2C">
              <w:rPr>
                <w:b/>
                <w:i/>
              </w:rPr>
              <w:t xml:space="preserve"> Federation of Pakistan</w:t>
            </w:r>
          </w:p>
          <w:p w14:paraId="30893DC3" w14:textId="77777777" w:rsidR="00D036AC" w:rsidRPr="001B12C0" w:rsidRDefault="00D036AC" w:rsidP="001929B8">
            <w:r w:rsidRPr="001B12C0">
              <w:t>(2016)</w:t>
            </w:r>
          </w:p>
        </w:tc>
        <w:tc>
          <w:tcPr>
            <w:tcW w:w="519" w:type="pct"/>
          </w:tcPr>
          <w:p w14:paraId="1C133696" w14:textId="77777777" w:rsidR="00D036AC" w:rsidRPr="001B12C0" w:rsidRDefault="00D036AC" w:rsidP="001929B8">
            <w:r w:rsidRPr="001B12C0">
              <w:t>Pakistan</w:t>
            </w:r>
          </w:p>
        </w:tc>
        <w:tc>
          <w:tcPr>
            <w:tcW w:w="546" w:type="pct"/>
          </w:tcPr>
          <w:p w14:paraId="2821DCAE" w14:textId="77777777" w:rsidR="00D036AC" w:rsidRPr="001B12C0" w:rsidRDefault="00D036AC" w:rsidP="001929B8">
            <w:r w:rsidRPr="001B12C0">
              <w:t>Rabab Ali</w:t>
            </w:r>
          </w:p>
          <w:p w14:paraId="361BBDED" w14:textId="77777777" w:rsidR="00D036AC" w:rsidRPr="001B12C0" w:rsidRDefault="00D036AC" w:rsidP="001929B8">
            <w:r w:rsidRPr="001B12C0">
              <w:t xml:space="preserve">(7 years old) </w:t>
            </w:r>
          </w:p>
        </w:tc>
        <w:tc>
          <w:tcPr>
            <w:tcW w:w="588" w:type="pct"/>
          </w:tcPr>
          <w:p w14:paraId="61520835" w14:textId="77777777" w:rsidR="00D036AC" w:rsidRPr="001B12C0" w:rsidRDefault="00D036AC" w:rsidP="001929B8">
            <w:r w:rsidRPr="001B12C0">
              <w:t>Government</w:t>
            </w:r>
          </w:p>
        </w:tc>
        <w:tc>
          <w:tcPr>
            <w:tcW w:w="521" w:type="pct"/>
            <w:vAlign w:val="center"/>
          </w:tcPr>
          <w:p w14:paraId="2311D4AA" w14:textId="77777777" w:rsidR="00D036AC" w:rsidRPr="001B12C0" w:rsidRDefault="00D036AC" w:rsidP="001929B8">
            <w:r w:rsidRPr="001B12C0">
              <w:t xml:space="preserve">Yes. </w:t>
            </w:r>
          </w:p>
          <w:p w14:paraId="7E183773" w14:textId="77777777" w:rsidR="00D036AC" w:rsidRPr="001B12C0" w:rsidRDefault="00D036AC" w:rsidP="001929B8">
            <w:r w:rsidRPr="001B12C0">
              <w:t>Partnership with Our Children’s Trust.</w:t>
            </w:r>
          </w:p>
          <w:p w14:paraId="021431BD" w14:textId="77777777" w:rsidR="00D036AC" w:rsidRPr="001B12C0" w:rsidRDefault="00D036AC" w:rsidP="001929B8">
            <w:pPr>
              <w:jc w:val="center"/>
            </w:pPr>
          </w:p>
        </w:tc>
        <w:tc>
          <w:tcPr>
            <w:tcW w:w="2000" w:type="pct"/>
          </w:tcPr>
          <w:p w14:paraId="5BC4D5FB" w14:textId="77777777" w:rsidR="00D036AC" w:rsidRPr="001B12C0" w:rsidRDefault="00D036AC" w:rsidP="001929B8">
            <w:r w:rsidRPr="001B12C0">
              <w:lastRenderedPageBreak/>
              <w:t xml:space="preserve">Through her father and pro bono environmental lawyer Qazi Ali </w:t>
            </w:r>
            <w:proofErr w:type="spellStart"/>
            <w:r w:rsidRPr="001B12C0">
              <w:t>Athat</w:t>
            </w:r>
            <w:proofErr w:type="spellEnd"/>
            <w:r w:rsidRPr="001B12C0">
              <w:t xml:space="preserve">, the plaintiff argues that through the continued exploitation of fossil fuels in Pakistan, particularly coal, Pakistan’s government is violating the public trust doctrine and the constitutional rights to life and a healthy environment. In </w:t>
            </w:r>
            <w:r w:rsidRPr="001B12C0">
              <w:lastRenderedPageBreak/>
              <w:t xml:space="preserve">June 2016, the Supreme Court overruled the registrar’s rejection on the petition and ruled that the lawsuit be allowed to proceed to the merits of her case. This case has not proceeded to trial as of October 2018. </w:t>
            </w:r>
          </w:p>
        </w:tc>
      </w:tr>
      <w:tr w:rsidR="00A14303" w:rsidRPr="001B12C0" w14:paraId="28783728" w14:textId="77777777" w:rsidTr="005D534E">
        <w:tc>
          <w:tcPr>
            <w:tcW w:w="209" w:type="pct"/>
          </w:tcPr>
          <w:p w14:paraId="0ABF299F" w14:textId="2E4858C8" w:rsidR="00D036AC" w:rsidRPr="00EF768B" w:rsidRDefault="00EF768B" w:rsidP="001929B8">
            <w:r w:rsidRPr="00EF768B">
              <w:lastRenderedPageBreak/>
              <w:t>16</w:t>
            </w:r>
          </w:p>
        </w:tc>
        <w:tc>
          <w:tcPr>
            <w:tcW w:w="617" w:type="pct"/>
          </w:tcPr>
          <w:p w14:paraId="47CFF934" w14:textId="01468DEB" w:rsidR="00D036AC" w:rsidRPr="001B12C0" w:rsidRDefault="00D036AC" w:rsidP="001929B8">
            <w:pPr>
              <w:rPr>
                <w:b/>
                <w:i/>
              </w:rPr>
            </w:pPr>
            <w:r w:rsidRPr="001B12C0">
              <w:rPr>
                <w:b/>
                <w:i/>
              </w:rPr>
              <w:t xml:space="preserve">Carbon Majors Petition </w:t>
            </w:r>
          </w:p>
          <w:p w14:paraId="1098134A" w14:textId="77777777" w:rsidR="00D036AC" w:rsidRPr="001B12C0" w:rsidRDefault="00D036AC" w:rsidP="001929B8">
            <w:r w:rsidRPr="001B12C0">
              <w:t>(2016)</w:t>
            </w:r>
          </w:p>
        </w:tc>
        <w:tc>
          <w:tcPr>
            <w:tcW w:w="519" w:type="pct"/>
          </w:tcPr>
          <w:p w14:paraId="3528B7BA" w14:textId="77777777" w:rsidR="00D036AC" w:rsidRPr="001B12C0" w:rsidRDefault="00D036AC" w:rsidP="001929B8">
            <w:r w:rsidRPr="001B12C0">
              <w:t>The</w:t>
            </w:r>
          </w:p>
          <w:p w14:paraId="761D3D19" w14:textId="77777777" w:rsidR="00D036AC" w:rsidRPr="001B12C0" w:rsidRDefault="00D036AC" w:rsidP="001929B8">
            <w:r w:rsidRPr="001B12C0">
              <w:t>Philippines</w:t>
            </w:r>
          </w:p>
        </w:tc>
        <w:tc>
          <w:tcPr>
            <w:tcW w:w="546" w:type="pct"/>
          </w:tcPr>
          <w:p w14:paraId="5ABDE2D0" w14:textId="77777777" w:rsidR="00D036AC" w:rsidRPr="001B12C0" w:rsidRDefault="00D036AC" w:rsidP="001929B8">
            <w:r w:rsidRPr="001B12C0">
              <w:t>Individuals, Greenpeace Southeast Asia and local NGOs</w:t>
            </w:r>
          </w:p>
        </w:tc>
        <w:tc>
          <w:tcPr>
            <w:tcW w:w="588" w:type="pct"/>
          </w:tcPr>
          <w:p w14:paraId="41B333C8" w14:textId="77777777" w:rsidR="00D036AC" w:rsidRPr="001B12C0" w:rsidRDefault="00D036AC" w:rsidP="001929B8">
            <w:r w:rsidRPr="001B12C0">
              <w:t>Global corporations</w:t>
            </w:r>
          </w:p>
        </w:tc>
        <w:tc>
          <w:tcPr>
            <w:tcW w:w="521" w:type="pct"/>
          </w:tcPr>
          <w:p w14:paraId="12D660EB" w14:textId="77777777" w:rsidR="00D036AC" w:rsidRPr="001B12C0" w:rsidRDefault="00D036AC" w:rsidP="001929B8">
            <w:r w:rsidRPr="001B12C0">
              <w:t>Yes.</w:t>
            </w:r>
          </w:p>
          <w:p w14:paraId="4550C201" w14:textId="77777777" w:rsidR="00D036AC" w:rsidRPr="001B12C0" w:rsidRDefault="00D036AC" w:rsidP="001929B8">
            <w:r w:rsidRPr="001B12C0">
              <w:t>Partnership with Our Children’s Trust.</w:t>
            </w:r>
          </w:p>
        </w:tc>
        <w:tc>
          <w:tcPr>
            <w:tcW w:w="2000" w:type="pct"/>
          </w:tcPr>
          <w:p w14:paraId="462F87C4" w14:textId="77777777" w:rsidR="00D036AC" w:rsidRPr="001B12C0" w:rsidRDefault="00D036AC" w:rsidP="001929B8">
            <w:r w:rsidRPr="001B12C0">
              <w:rPr>
                <w:color w:val="000000" w:themeColor="text1"/>
              </w:rPr>
              <w:t xml:space="preserve">This is a petition to the Human Rights Commission of the Philippines to investigate the responsibility of 47 global </w:t>
            </w:r>
            <w:r w:rsidRPr="001B12C0">
              <w:t xml:space="preserve">corporations for human rights violations or threats thereof resulting from the impacts of climate change. In December 2017, the Commission decided to investigate the petition. Investigations are currently underway. </w:t>
            </w:r>
          </w:p>
        </w:tc>
      </w:tr>
      <w:tr w:rsidR="00A14303" w:rsidRPr="001B12C0" w14:paraId="53FC1A46" w14:textId="77777777" w:rsidTr="005D534E">
        <w:tc>
          <w:tcPr>
            <w:tcW w:w="209" w:type="pct"/>
          </w:tcPr>
          <w:p w14:paraId="0A73CC57" w14:textId="3AB691CB" w:rsidR="00D036AC" w:rsidRPr="00EF768B" w:rsidRDefault="00EF768B" w:rsidP="001929B8">
            <w:r w:rsidRPr="00EF768B">
              <w:t>17</w:t>
            </w:r>
          </w:p>
        </w:tc>
        <w:tc>
          <w:tcPr>
            <w:tcW w:w="617" w:type="pct"/>
          </w:tcPr>
          <w:p w14:paraId="26E8C1EA" w14:textId="62AC638C" w:rsidR="00D036AC" w:rsidRPr="001B12C0" w:rsidRDefault="00D036AC" w:rsidP="001929B8">
            <w:pPr>
              <w:rPr>
                <w:b/>
                <w:i/>
              </w:rPr>
            </w:pPr>
            <w:r w:rsidRPr="001B12C0">
              <w:rPr>
                <w:b/>
                <w:i/>
              </w:rPr>
              <w:t>Global Legal Action on Climate Change</w:t>
            </w:r>
          </w:p>
          <w:p w14:paraId="4A63F351" w14:textId="77777777" w:rsidR="00D036AC" w:rsidRPr="001B12C0" w:rsidRDefault="00D036AC" w:rsidP="001929B8">
            <w:r w:rsidRPr="001B12C0">
              <w:t>(2010)</w:t>
            </w:r>
          </w:p>
        </w:tc>
        <w:tc>
          <w:tcPr>
            <w:tcW w:w="519" w:type="pct"/>
          </w:tcPr>
          <w:p w14:paraId="777A44F0" w14:textId="77777777" w:rsidR="00D036AC" w:rsidRPr="001B12C0" w:rsidRDefault="00D036AC" w:rsidP="001929B8">
            <w:r w:rsidRPr="001B12C0">
              <w:t>The</w:t>
            </w:r>
          </w:p>
          <w:p w14:paraId="28B39536" w14:textId="77777777" w:rsidR="00D036AC" w:rsidRPr="001B12C0" w:rsidRDefault="00D036AC" w:rsidP="001929B8">
            <w:r w:rsidRPr="001B12C0">
              <w:t xml:space="preserve">Philippines </w:t>
            </w:r>
          </w:p>
        </w:tc>
        <w:tc>
          <w:tcPr>
            <w:tcW w:w="546" w:type="pct"/>
          </w:tcPr>
          <w:p w14:paraId="0C70135C" w14:textId="77777777" w:rsidR="00D036AC" w:rsidRPr="001B12C0" w:rsidRDefault="00D036AC" w:rsidP="001929B8">
            <w:r w:rsidRPr="001B12C0">
              <w:t>Global Legal Action on Climate Change (local NGO)</w:t>
            </w:r>
          </w:p>
          <w:p w14:paraId="42A362A0" w14:textId="77777777" w:rsidR="00D036AC" w:rsidRPr="001B12C0" w:rsidRDefault="00D036AC" w:rsidP="001929B8"/>
        </w:tc>
        <w:tc>
          <w:tcPr>
            <w:tcW w:w="588" w:type="pct"/>
          </w:tcPr>
          <w:p w14:paraId="110B626E" w14:textId="77777777" w:rsidR="00D036AC" w:rsidRPr="001B12C0" w:rsidRDefault="00D036AC" w:rsidP="001929B8">
            <w:r w:rsidRPr="001B12C0">
              <w:t>Government</w:t>
            </w:r>
          </w:p>
        </w:tc>
        <w:tc>
          <w:tcPr>
            <w:tcW w:w="521" w:type="pct"/>
          </w:tcPr>
          <w:p w14:paraId="7CCBC251" w14:textId="77777777" w:rsidR="00D036AC" w:rsidRPr="001B12C0" w:rsidRDefault="00D036AC" w:rsidP="001929B8">
            <w:pPr>
              <w:jc w:val="center"/>
            </w:pPr>
            <w:r w:rsidRPr="001B12C0">
              <w:t>No</w:t>
            </w:r>
          </w:p>
        </w:tc>
        <w:tc>
          <w:tcPr>
            <w:tcW w:w="2000" w:type="pct"/>
          </w:tcPr>
          <w:p w14:paraId="2FEA8BA6" w14:textId="77777777" w:rsidR="00D036AC" w:rsidRPr="001B12C0" w:rsidRDefault="00D036AC" w:rsidP="001929B8">
            <w:r w:rsidRPr="001B12C0">
              <w:t xml:space="preserve">This is a petition to the court to order the government to enforce the law to construct rainwater collectors in every village. The law had been not been enforced since it was passed. Petitioners argue that the proper enforcement of the law would significantly improve climate resilience. Flash floods and salinity intrusion are some of the impacts of climate change that Filipinos are already experiencing, and rainwater collectors will improve water management and flood control. A work plan was submitted to the Supreme Court and the defendant government departments signed a Memorandum of Understanding undertaking to carry out the construction works. The implementation of the work plan was subject to monitoring by the Supreme Court. </w:t>
            </w:r>
          </w:p>
        </w:tc>
      </w:tr>
      <w:tr w:rsidR="00A14303" w:rsidRPr="001B12C0" w14:paraId="58F28864" w14:textId="77777777" w:rsidTr="005D534E">
        <w:tc>
          <w:tcPr>
            <w:tcW w:w="209" w:type="pct"/>
            <w:tcBorders>
              <w:bottom w:val="single" w:sz="4" w:space="0" w:color="auto"/>
            </w:tcBorders>
          </w:tcPr>
          <w:p w14:paraId="2B04B78E" w14:textId="78EE259B" w:rsidR="00D036AC" w:rsidRPr="00EF768B" w:rsidRDefault="00EF768B" w:rsidP="001929B8">
            <w:r w:rsidRPr="00EF768B">
              <w:t>18</w:t>
            </w:r>
          </w:p>
        </w:tc>
        <w:tc>
          <w:tcPr>
            <w:tcW w:w="617" w:type="pct"/>
            <w:tcBorders>
              <w:bottom w:val="single" w:sz="4" w:space="0" w:color="auto"/>
            </w:tcBorders>
          </w:tcPr>
          <w:p w14:paraId="0988C766" w14:textId="1772D291" w:rsidR="00D036AC" w:rsidRPr="001B12C0" w:rsidRDefault="00D036AC" w:rsidP="001929B8">
            <w:pPr>
              <w:rPr>
                <w:b/>
                <w:i/>
              </w:rPr>
            </w:pPr>
            <w:r w:rsidRPr="001B12C0">
              <w:rPr>
                <w:b/>
                <w:i/>
              </w:rPr>
              <w:t>Victoria Segovia et al v</w:t>
            </w:r>
            <w:r>
              <w:rPr>
                <w:b/>
                <w:i/>
              </w:rPr>
              <w:t>.</w:t>
            </w:r>
            <w:r w:rsidRPr="001B12C0">
              <w:rPr>
                <w:b/>
                <w:i/>
              </w:rPr>
              <w:t xml:space="preserve"> Climate </w:t>
            </w:r>
            <w:r w:rsidRPr="001B12C0">
              <w:rPr>
                <w:b/>
                <w:i/>
              </w:rPr>
              <w:lastRenderedPageBreak/>
              <w:t xml:space="preserve">Change Commission et al </w:t>
            </w:r>
          </w:p>
          <w:p w14:paraId="5F5650F8" w14:textId="77777777" w:rsidR="00D036AC" w:rsidRPr="001B12C0" w:rsidRDefault="00D036AC" w:rsidP="001929B8">
            <w:r w:rsidRPr="001B12C0">
              <w:t>(2017)</w:t>
            </w:r>
          </w:p>
        </w:tc>
        <w:tc>
          <w:tcPr>
            <w:tcW w:w="519" w:type="pct"/>
            <w:tcBorders>
              <w:bottom w:val="single" w:sz="4" w:space="0" w:color="auto"/>
            </w:tcBorders>
          </w:tcPr>
          <w:p w14:paraId="0D6D2DC9" w14:textId="77777777" w:rsidR="00D036AC" w:rsidRPr="001B12C0" w:rsidRDefault="00D036AC" w:rsidP="001929B8">
            <w:r w:rsidRPr="001B12C0">
              <w:lastRenderedPageBreak/>
              <w:t xml:space="preserve">The </w:t>
            </w:r>
          </w:p>
          <w:p w14:paraId="30823CE1" w14:textId="77777777" w:rsidR="00D036AC" w:rsidRPr="001B12C0" w:rsidRDefault="00D036AC" w:rsidP="001929B8">
            <w:r w:rsidRPr="001B12C0">
              <w:t>Philippines</w:t>
            </w:r>
          </w:p>
          <w:p w14:paraId="0F665ACF" w14:textId="77777777" w:rsidR="00D036AC" w:rsidRPr="001B12C0" w:rsidRDefault="00D036AC" w:rsidP="001929B8">
            <w:pPr>
              <w:rPr>
                <w:highlight w:val="cyan"/>
              </w:rPr>
            </w:pPr>
          </w:p>
        </w:tc>
        <w:tc>
          <w:tcPr>
            <w:tcW w:w="546" w:type="pct"/>
            <w:tcBorders>
              <w:bottom w:val="single" w:sz="4" w:space="0" w:color="auto"/>
            </w:tcBorders>
          </w:tcPr>
          <w:p w14:paraId="64B66D38" w14:textId="77777777" w:rsidR="00D036AC" w:rsidRPr="001B12C0" w:rsidRDefault="00D036AC" w:rsidP="001929B8">
            <w:pPr>
              <w:rPr>
                <w:highlight w:val="cyan"/>
              </w:rPr>
            </w:pPr>
            <w:r w:rsidRPr="001B12C0">
              <w:t xml:space="preserve">Individuals, including those who refer to </w:t>
            </w:r>
            <w:r w:rsidRPr="001B12C0">
              <w:lastRenderedPageBreak/>
              <w:t xml:space="preserve">themselves as Carless People of the Philippines. </w:t>
            </w:r>
          </w:p>
        </w:tc>
        <w:tc>
          <w:tcPr>
            <w:tcW w:w="588" w:type="pct"/>
            <w:tcBorders>
              <w:bottom w:val="single" w:sz="4" w:space="0" w:color="auto"/>
            </w:tcBorders>
          </w:tcPr>
          <w:p w14:paraId="4588FC1F" w14:textId="77777777" w:rsidR="00D036AC" w:rsidRPr="001B12C0" w:rsidRDefault="00D036AC" w:rsidP="001929B8">
            <w:r w:rsidRPr="001B12C0">
              <w:lastRenderedPageBreak/>
              <w:t>Government</w:t>
            </w:r>
          </w:p>
          <w:p w14:paraId="333D17FD" w14:textId="77777777" w:rsidR="00D036AC" w:rsidRPr="001B12C0" w:rsidRDefault="00D036AC" w:rsidP="001929B8">
            <w:pPr>
              <w:rPr>
                <w:highlight w:val="cyan"/>
              </w:rPr>
            </w:pPr>
            <w:r w:rsidRPr="001B12C0">
              <w:t xml:space="preserve">(Department of Transportation </w:t>
            </w:r>
            <w:r w:rsidRPr="001B12C0">
              <w:lastRenderedPageBreak/>
              <w:t>and Communications (DOTC) and the Department of Public Works and Highways (DPWH))</w:t>
            </w:r>
          </w:p>
        </w:tc>
        <w:tc>
          <w:tcPr>
            <w:tcW w:w="521" w:type="pct"/>
            <w:tcBorders>
              <w:bottom w:val="single" w:sz="4" w:space="0" w:color="auto"/>
            </w:tcBorders>
            <w:vAlign w:val="center"/>
          </w:tcPr>
          <w:p w14:paraId="49CE1FDF" w14:textId="77777777" w:rsidR="00D036AC" w:rsidRPr="001B12C0" w:rsidRDefault="00D036AC" w:rsidP="001929B8">
            <w:pPr>
              <w:jc w:val="center"/>
              <w:rPr>
                <w:highlight w:val="cyan"/>
              </w:rPr>
            </w:pPr>
          </w:p>
        </w:tc>
        <w:tc>
          <w:tcPr>
            <w:tcW w:w="2000" w:type="pct"/>
            <w:tcBorders>
              <w:bottom w:val="single" w:sz="4" w:space="0" w:color="auto"/>
            </w:tcBorders>
          </w:tcPr>
          <w:p w14:paraId="03A99B7C" w14:textId="77777777" w:rsidR="00D036AC" w:rsidRPr="001B12C0" w:rsidRDefault="00D036AC" w:rsidP="001929B8">
            <w:r w:rsidRPr="001B12C0">
              <w:t xml:space="preserve">The </w:t>
            </w:r>
            <w:r w:rsidRPr="001B12C0">
              <w:rPr>
                <w:color w:val="1A1A1A"/>
              </w:rPr>
              <w:t>Framework Strategy on Climate Change</w:t>
            </w:r>
            <w:r w:rsidRPr="001B12C0">
              <w:t xml:space="preserve"> and the Environmentally Sustainable Transport Strategy contain references to the “Road Sharing Principle”, i.e. that “Those who </w:t>
            </w:r>
            <w:r w:rsidRPr="001B12C0">
              <w:lastRenderedPageBreak/>
              <w:t>have less in wheels must have more in road”. The Petitioners argue that the governmental failure to implement the Road Sharing Principle has resulted in the continued degradation of air quality, particularly in Metro Manila. This is in violation of the petitioners’ constitutional right to a balanced and healthful ecology.</w:t>
            </w:r>
          </w:p>
          <w:p w14:paraId="1CBEA5FC" w14:textId="77777777" w:rsidR="00D036AC" w:rsidRPr="001B12C0" w:rsidRDefault="00D036AC" w:rsidP="001929B8">
            <w:r w:rsidRPr="001B12C0">
              <w:t>The court ruled that the petitioners failed to show that the defendants were guilty of any unlawful act or violation of environmental laws that constitutes a violation of their right to a balanced and healthful ecology. Specifically, the court emphasized that the petitioners were not seeking to compel the performance of an executive act but to implement a policy principle in accordance with their preferences.</w:t>
            </w:r>
          </w:p>
        </w:tc>
      </w:tr>
      <w:tr w:rsidR="00D036AC" w:rsidRPr="001B12C0" w14:paraId="74415859" w14:textId="77777777" w:rsidTr="00451BA1">
        <w:tc>
          <w:tcPr>
            <w:tcW w:w="5000" w:type="pct"/>
            <w:gridSpan w:val="7"/>
            <w:shd w:val="clear" w:color="auto" w:fill="D9D9D9" w:themeFill="background1" w:themeFillShade="D9"/>
          </w:tcPr>
          <w:p w14:paraId="5870B466" w14:textId="77777777" w:rsidR="00D036AC" w:rsidRDefault="00D036AC" w:rsidP="001929B8">
            <w:pPr>
              <w:rPr>
                <w:b/>
              </w:rPr>
            </w:pPr>
          </w:p>
          <w:p w14:paraId="14531FAA" w14:textId="77777777" w:rsidR="00D036AC" w:rsidRDefault="00D036AC" w:rsidP="00D036AC">
            <w:pPr>
              <w:jc w:val="center"/>
              <w:rPr>
                <w:b/>
              </w:rPr>
            </w:pPr>
            <w:r w:rsidRPr="001B12C0">
              <w:rPr>
                <w:b/>
              </w:rPr>
              <w:t>AFRICA</w:t>
            </w:r>
          </w:p>
          <w:p w14:paraId="6B6747FB" w14:textId="76C590DB" w:rsidR="00D036AC" w:rsidRPr="001B12C0" w:rsidRDefault="00D036AC" w:rsidP="001929B8"/>
        </w:tc>
      </w:tr>
      <w:tr w:rsidR="00A14303" w:rsidRPr="001B12C0" w14:paraId="1C7D349F" w14:textId="77777777" w:rsidTr="005D534E">
        <w:tc>
          <w:tcPr>
            <w:tcW w:w="209" w:type="pct"/>
          </w:tcPr>
          <w:p w14:paraId="30A27C75" w14:textId="3890428F" w:rsidR="00D036AC" w:rsidRPr="00EF768B" w:rsidRDefault="00EF768B" w:rsidP="001929B8">
            <w:r w:rsidRPr="00EF768B">
              <w:t>19</w:t>
            </w:r>
          </w:p>
        </w:tc>
        <w:tc>
          <w:tcPr>
            <w:tcW w:w="617" w:type="pct"/>
          </w:tcPr>
          <w:p w14:paraId="09E74B64" w14:textId="5EE5CAD0" w:rsidR="00D036AC" w:rsidRPr="00915DE3" w:rsidRDefault="00D036AC" w:rsidP="001929B8">
            <w:pPr>
              <w:rPr>
                <w:b/>
                <w:i/>
              </w:rPr>
            </w:pPr>
            <w:proofErr w:type="spellStart"/>
            <w:r w:rsidRPr="00915DE3">
              <w:rPr>
                <w:b/>
                <w:i/>
              </w:rPr>
              <w:t>Gbemre</w:t>
            </w:r>
            <w:proofErr w:type="spellEnd"/>
            <w:r w:rsidRPr="00915DE3">
              <w:rPr>
                <w:b/>
                <w:i/>
              </w:rPr>
              <w:t xml:space="preserve"> v Shell &amp; others </w:t>
            </w:r>
          </w:p>
          <w:p w14:paraId="0943F4F4" w14:textId="77777777" w:rsidR="00D036AC" w:rsidRPr="001B12C0" w:rsidRDefault="00D036AC" w:rsidP="001929B8">
            <w:r>
              <w:t>(2005)</w:t>
            </w:r>
          </w:p>
          <w:p w14:paraId="0F18DBE8" w14:textId="77777777" w:rsidR="00D036AC" w:rsidRPr="001B12C0" w:rsidRDefault="00D036AC" w:rsidP="001929B8">
            <w:pPr>
              <w:rPr>
                <w:b/>
                <w:i/>
              </w:rPr>
            </w:pPr>
          </w:p>
          <w:p w14:paraId="47B90DA6" w14:textId="77777777" w:rsidR="00D036AC" w:rsidRPr="001B12C0" w:rsidRDefault="00D036AC" w:rsidP="001929B8">
            <w:pPr>
              <w:rPr>
                <w:b/>
                <w:i/>
              </w:rPr>
            </w:pPr>
          </w:p>
          <w:p w14:paraId="214D8641" w14:textId="77777777" w:rsidR="00D036AC" w:rsidRPr="001B12C0" w:rsidRDefault="00D036AC" w:rsidP="001929B8">
            <w:pPr>
              <w:rPr>
                <w:b/>
                <w:i/>
              </w:rPr>
            </w:pPr>
          </w:p>
        </w:tc>
        <w:tc>
          <w:tcPr>
            <w:tcW w:w="519" w:type="pct"/>
          </w:tcPr>
          <w:p w14:paraId="36242323" w14:textId="77777777" w:rsidR="00D036AC" w:rsidRPr="001B12C0" w:rsidRDefault="00D036AC" w:rsidP="001929B8">
            <w:r w:rsidRPr="001B12C0">
              <w:t xml:space="preserve">Nigeria </w:t>
            </w:r>
          </w:p>
        </w:tc>
        <w:tc>
          <w:tcPr>
            <w:tcW w:w="546" w:type="pct"/>
          </w:tcPr>
          <w:p w14:paraId="2364C00C" w14:textId="77777777" w:rsidR="00D036AC" w:rsidRPr="001B12C0" w:rsidRDefault="00D036AC" w:rsidP="001929B8">
            <w:r w:rsidRPr="001B12C0">
              <w:t xml:space="preserve">Jonah </w:t>
            </w:r>
            <w:proofErr w:type="spellStart"/>
            <w:r w:rsidRPr="001B12C0">
              <w:t>Gbemre</w:t>
            </w:r>
            <w:proofErr w:type="spellEnd"/>
          </w:p>
          <w:p w14:paraId="6B284707" w14:textId="29535DCB" w:rsidR="00D036AC" w:rsidRPr="001B12C0" w:rsidRDefault="00D036AC" w:rsidP="001929B8">
            <w:r w:rsidRPr="001B12C0">
              <w:t>(Represent</w:t>
            </w:r>
            <w:r w:rsidR="00836DAC">
              <w:t>-</w:t>
            </w:r>
            <w:r w:rsidRPr="001B12C0">
              <w:t>ative of local community in Niger Delta)</w:t>
            </w:r>
          </w:p>
        </w:tc>
        <w:tc>
          <w:tcPr>
            <w:tcW w:w="588" w:type="pct"/>
          </w:tcPr>
          <w:p w14:paraId="0339BA01" w14:textId="77777777" w:rsidR="00D036AC" w:rsidRPr="001B12C0" w:rsidRDefault="00D036AC" w:rsidP="001929B8">
            <w:r w:rsidRPr="001B12C0">
              <w:t>Nigerian Government; Shell company</w:t>
            </w:r>
          </w:p>
        </w:tc>
        <w:tc>
          <w:tcPr>
            <w:tcW w:w="521" w:type="pct"/>
          </w:tcPr>
          <w:p w14:paraId="58A15F8D" w14:textId="77777777" w:rsidR="00D036AC" w:rsidRPr="001B12C0" w:rsidRDefault="00D036AC" w:rsidP="001929B8">
            <w:pPr>
              <w:jc w:val="center"/>
            </w:pPr>
            <w:r w:rsidRPr="001B12C0">
              <w:t>No</w:t>
            </w:r>
          </w:p>
        </w:tc>
        <w:tc>
          <w:tcPr>
            <w:tcW w:w="2000" w:type="pct"/>
          </w:tcPr>
          <w:p w14:paraId="41DB7DFD" w14:textId="77777777" w:rsidR="00D036AC" w:rsidRPr="001B12C0" w:rsidRDefault="00D036AC" w:rsidP="001929B8">
            <w:r w:rsidRPr="001B12C0">
              <w:t xml:space="preserve">The court ruled that gas flaring violates the right to life (including the right to a healthy environment). Further, the failure to conduct proper EIA is a clear violation of the EIA law, and that the provisions in existing laws that permit continued flaring are unconstitutional.  </w:t>
            </w:r>
          </w:p>
        </w:tc>
      </w:tr>
      <w:tr w:rsidR="00A14303" w:rsidRPr="001B12C0" w14:paraId="7ADC43B0" w14:textId="77777777" w:rsidTr="005D534E">
        <w:tc>
          <w:tcPr>
            <w:tcW w:w="209" w:type="pct"/>
          </w:tcPr>
          <w:p w14:paraId="1FD20306" w14:textId="35858FCA" w:rsidR="00D036AC" w:rsidRPr="00EF768B" w:rsidRDefault="00EF768B" w:rsidP="001929B8">
            <w:r w:rsidRPr="00EF768B">
              <w:t>20</w:t>
            </w:r>
          </w:p>
        </w:tc>
        <w:tc>
          <w:tcPr>
            <w:tcW w:w="617" w:type="pct"/>
          </w:tcPr>
          <w:p w14:paraId="0A5865D9" w14:textId="648D67BF" w:rsidR="00D036AC" w:rsidRPr="001B12C0" w:rsidRDefault="00D036AC" w:rsidP="001929B8">
            <w:pPr>
              <w:rPr>
                <w:b/>
                <w:i/>
              </w:rPr>
            </w:pPr>
            <w:proofErr w:type="spellStart"/>
            <w:r w:rsidRPr="001B12C0">
              <w:rPr>
                <w:b/>
                <w:i/>
              </w:rPr>
              <w:t>Earthlife</w:t>
            </w:r>
            <w:proofErr w:type="spellEnd"/>
          </w:p>
          <w:p w14:paraId="7C47DE24" w14:textId="77777777" w:rsidR="00D036AC" w:rsidRPr="001B12C0" w:rsidRDefault="00D036AC" w:rsidP="001929B8">
            <w:r w:rsidRPr="001B12C0">
              <w:t>(2017)</w:t>
            </w:r>
          </w:p>
        </w:tc>
        <w:tc>
          <w:tcPr>
            <w:tcW w:w="519" w:type="pct"/>
          </w:tcPr>
          <w:p w14:paraId="6C2200A3" w14:textId="77777777" w:rsidR="00D036AC" w:rsidRPr="001B12C0" w:rsidRDefault="00D036AC" w:rsidP="001929B8">
            <w:r w:rsidRPr="001B12C0">
              <w:t>South Africa</w:t>
            </w:r>
          </w:p>
        </w:tc>
        <w:tc>
          <w:tcPr>
            <w:tcW w:w="546" w:type="pct"/>
          </w:tcPr>
          <w:p w14:paraId="6F7F6D44" w14:textId="77777777" w:rsidR="00D036AC" w:rsidRPr="001B12C0" w:rsidRDefault="00D036AC" w:rsidP="001929B8">
            <w:proofErr w:type="spellStart"/>
            <w:r w:rsidRPr="001B12C0">
              <w:t>Earthlife</w:t>
            </w:r>
            <w:proofErr w:type="spellEnd"/>
            <w:r w:rsidRPr="001B12C0">
              <w:t xml:space="preserve"> Africa Johannesburg </w:t>
            </w:r>
          </w:p>
          <w:p w14:paraId="068FB3E1" w14:textId="77777777" w:rsidR="00D036AC" w:rsidRPr="001B12C0" w:rsidRDefault="00D036AC" w:rsidP="001929B8">
            <w:r w:rsidRPr="001B12C0">
              <w:t>(NGO)</w:t>
            </w:r>
          </w:p>
        </w:tc>
        <w:tc>
          <w:tcPr>
            <w:tcW w:w="588" w:type="pct"/>
          </w:tcPr>
          <w:p w14:paraId="51F4810D" w14:textId="77777777" w:rsidR="00D036AC" w:rsidRPr="001B12C0" w:rsidRDefault="00D036AC" w:rsidP="001929B8">
            <w:r w:rsidRPr="001B12C0">
              <w:t xml:space="preserve">Government; </w:t>
            </w:r>
            <w:proofErr w:type="spellStart"/>
            <w:r w:rsidRPr="001B12C0">
              <w:t>Thabametsi</w:t>
            </w:r>
            <w:proofErr w:type="spellEnd"/>
            <w:r w:rsidRPr="001B12C0">
              <w:t xml:space="preserve"> Power Project (Pty) Ltd; </w:t>
            </w:r>
            <w:proofErr w:type="spellStart"/>
            <w:r w:rsidRPr="001B12C0">
              <w:lastRenderedPageBreak/>
              <w:t>Thabametsi</w:t>
            </w:r>
            <w:proofErr w:type="spellEnd"/>
            <w:r w:rsidRPr="001B12C0">
              <w:t xml:space="preserve"> Power Company (Pty) Ltd. </w:t>
            </w:r>
          </w:p>
          <w:p w14:paraId="2C07A00C" w14:textId="77777777" w:rsidR="00D036AC" w:rsidRPr="001B12C0" w:rsidRDefault="00D036AC" w:rsidP="001929B8"/>
          <w:p w14:paraId="3B93BB69" w14:textId="77777777" w:rsidR="00D036AC" w:rsidRPr="001B12C0" w:rsidRDefault="00D036AC" w:rsidP="001929B8"/>
        </w:tc>
        <w:tc>
          <w:tcPr>
            <w:tcW w:w="521" w:type="pct"/>
            <w:vAlign w:val="center"/>
          </w:tcPr>
          <w:p w14:paraId="2D8976D3" w14:textId="09BF8A71" w:rsidR="00D036AC" w:rsidRPr="001B12C0" w:rsidRDefault="00574E37" w:rsidP="001929B8">
            <w:r>
              <w:lastRenderedPageBreak/>
              <w:t xml:space="preserve">No. </w:t>
            </w:r>
          </w:p>
          <w:p w14:paraId="0DA041AA" w14:textId="2CA5E5BE" w:rsidR="00D036AC" w:rsidRPr="001B12C0" w:rsidRDefault="00D036AC" w:rsidP="001929B8">
            <w:r w:rsidRPr="001B12C0">
              <w:t>Centre for En</w:t>
            </w:r>
            <w:r>
              <w:t>viron</w:t>
            </w:r>
            <w:r w:rsidR="005D534E">
              <w:t>-</w:t>
            </w:r>
            <w:r>
              <w:t>mental</w:t>
            </w:r>
            <w:r w:rsidRPr="001B12C0">
              <w:t xml:space="preserve"> Rights, </w:t>
            </w:r>
            <w:r w:rsidRPr="001B12C0">
              <w:lastRenderedPageBreak/>
              <w:t>an NGO that seeks to advance the const</w:t>
            </w:r>
            <w:r>
              <w:t>itutional</w:t>
            </w:r>
            <w:r w:rsidRPr="001B12C0">
              <w:t xml:space="preserve"> right to env</w:t>
            </w:r>
            <w:r>
              <w:t xml:space="preserve">ironment </w:t>
            </w:r>
            <w:r w:rsidRPr="001B12C0">
              <w:t>in a number of policy areas, rep</w:t>
            </w:r>
            <w:r>
              <w:t>resented</w:t>
            </w:r>
            <w:r w:rsidRPr="001B12C0">
              <w:t xml:space="preserve"> </w:t>
            </w:r>
            <w:proofErr w:type="spellStart"/>
            <w:r w:rsidRPr="00915DE3">
              <w:t>Earthlife</w:t>
            </w:r>
            <w:proofErr w:type="spellEnd"/>
            <w:r w:rsidRPr="00915DE3">
              <w:t xml:space="preserve"> </w:t>
            </w:r>
            <w:r w:rsidRPr="001B12C0">
              <w:t>in the appeal and subsequent court review proceedings</w:t>
            </w:r>
            <w:r>
              <w:t>.</w:t>
            </w:r>
            <w:r w:rsidR="00574E37">
              <w:t xml:space="preserve"> This is a South African NGO. </w:t>
            </w:r>
          </w:p>
        </w:tc>
        <w:tc>
          <w:tcPr>
            <w:tcW w:w="2000" w:type="pct"/>
          </w:tcPr>
          <w:p w14:paraId="5803D566" w14:textId="77777777" w:rsidR="00D036AC" w:rsidRPr="001B12C0" w:rsidRDefault="00D036AC" w:rsidP="001929B8">
            <w:r w:rsidRPr="001B12C0">
              <w:lastRenderedPageBreak/>
              <w:t xml:space="preserve">This was a judicial review application challenging the Department of Environmental Affairs’ decision to grant an environmental authorization for a proposed project when the EIA did not take climate change into account. The court was </w:t>
            </w:r>
            <w:r w:rsidRPr="001B12C0">
              <w:lastRenderedPageBreak/>
              <w:t xml:space="preserve">asked to determine whether under the </w:t>
            </w:r>
            <w:r w:rsidRPr="001B12C0">
              <w:rPr>
                <w:i/>
              </w:rPr>
              <w:t>National Environmental Management Act 1998</w:t>
            </w:r>
            <w:r w:rsidRPr="001B12C0">
              <w:t xml:space="preserve">, "relevant" considerations for the environmental review of plans for the new 1200 MW coal-fired </w:t>
            </w:r>
            <w:proofErr w:type="spellStart"/>
            <w:r w:rsidRPr="001B12C0">
              <w:t>Thabametsi</w:t>
            </w:r>
            <w:proofErr w:type="spellEnd"/>
            <w:r w:rsidRPr="001B12C0">
              <w:t xml:space="preserve"> Power Project must include the project’s impacts on the global climate and the impacts of a changing climate on the project. The court held that while the Act does not expressly contemplate climate change, based on constitutional and international legal obligations, climate change impacts are relevant factors that must be considered in the EIA. </w:t>
            </w:r>
          </w:p>
          <w:p w14:paraId="261E7E33" w14:textId="77777777" w:rsidR="00D036AC" w:rsidRPr="001B12C0" w:rsidRDefault="00D036AC" w:rsidP="001929B8"/>
        </w:tc>
      </w:tr>
      <w:tr w:rsidR="00A14303" w:rsidRPr="001B12C0" w14:paraId="224F010F" w14:textId="77777777" w:rsidTr="005D534E">
        <w:tc>
          <w:tcPr>
            <w:tcW w:w="209" w:type="pct"/>
          </w:tcPr>
          <w:p w14:paraId="3B71917A" w14:textId="2E96AB3D" w:rsidR="00D036AC" w:rsidRPr="00EF768B" w:rsidRDefault="00EF768B" w:rsidP="001929B8">
            <w:r w:rsidRPr="00EF768B">
              <w:lastRenderedPageBreak/>
              <w:t>21</w:t>
            </w:r>
          </w:p>
        </w:tc>
        <w:tc>
          <w:tcPr>
            <w:tcW w:w="617" w:type="pct"/>
          </w:tcPr>
          <w:p w14:paraId="6F1DBCFB" w14:textId="56CAC197" w:rsidR="00D036AC" w:rsidRPr="001B12C0" w:rsidRDefault="00D036AC" w:rsidP="001929B8">
            <w:pPr>
              <w:rPr>
                <w:b/>
                <w:i/>
              </w:rPr>
            </w:pPr>
            <w:proofErr w:type="spellStart"/>
            <w:r w:rsidRPr="001B12C0">
              <w:rPr>
                <w:b/>
                <w:i/>
              </w:rPr>
              <w:t>Khanyisa</w:t>
            </w:r>
            <w:proofErr w:type="spellEnd"/>
            <w:r w:rsidRPr="001B12C0">
              <w:rPr>
                <w:b/>
                <w:i/>
              </w:rPr>
              <w:t xml:space="preserve"> Project </w:t>
            </w:r>
          </w:p>
          <w:p w14:paraId="62E7E7BC" w14:textId="77777777" w:rsidR="00D036AC" w:rsidRPr="001B12C0" w:rsidRDefault="00D036AC" w:rsidP="001929B8">
            <w:r w:rsidRPr="001B12C0">
              <w:t>(2017)</w:t>
            </w:r>
          </w:p>
          <w:p w14:paraId="75B20F8E" w14:textId="77777777" w:rsidR="00D036AC" w:rsidRPr="001B12C0" w:rsidRDefault="00D036AC" w:rsidP="001929B8">
            <w:pPr>
              <w:rPr>
                <w:b/>
                <w:i/>
              </w:rPr>
            </w:pPr>
          </w:p>
        </w:tc>
        <w:tc>
          <w:tcPr>
            <w:tcW w:w="519" w:type="pct"/>
          </w:tcPr>
          <w:p w14:paraId="4B0BA8E1" w14:textId="77777777" w:rsidR="00D036AC" w:rsidRPr="001B12C0" w:rsidRDefault="00D036AC" w:rsidP="001929B8">
            <w:r w:rsidRPr="001B12C0">
              <w:t>South Africa</w:t>
            </w:r>
          </w:p>
        </w:tc>
        <w:tc>
          <w:tcPr>
            <w:tcW w:w="546" w:type="pct"/>
          </w:tcPr>
          <w:p w14:paraId="195AA7F7" w14:textId="77777777" w:rsidR="00D036AC" w:rsidRPr="001B12C0" w:rsidRDefault="00D036AC" w:rsidP="001929B8">
            <w:r w:rsidRPr="001B12C0">
              <w:t>National NGO: Groundwork</w:t>
            </w:r>
          </w:p>
        </w:tc>
        <w:tc>
          <w:tcPr>
            <w:tcW w:w="588" w:type="pct"/>
          </w:tcPr>
          <w:p w14:paraId="45EA7B9B" w14:textId="77777777" w:rsidR="00D036AC" w:rsidRPr="001B12C0" w:rsidRDefault="00D036AC" w:rsidP="001929B8">
            <w:r w:rsidRPr="001B12C0">
              <w:t>Government</w:t>
            </w:r>
          </w:p>
        </w:tc>
        <w:tc>
          <w:tcPr>
            <w:tcW w:w="521" w:type="pct"/>
          </w:tcPr>
          <w:p w14:paraId="4F94D115" w14:textId="7A8D74FD" w:rsidR="00D036AC" w:rsidRPr="001B12C0" w:rsidRDefault="00574E37" w:rsidP="001929B8">
            <w:r>
              <w:t xml:space="preserve">No. </w:t>
            </w:r>
          </w:p>
          <w:p w14:paraId="1B26026D" w14:textId="455F45A6" w:rsidR="00D036AC" w:rsidRPr="001B12C0" w:rsidRDefault="00D036AC" w:rsidP="001929B8">
            <w:proofErr w:type="spellStart"/>
            <w:r w:rsidRPr="001B12C0">
              <w:t>Earthlife</w:t>
            </w:r>
            <w:proofErr w:type="spellEnd"/>
            <w:r w:rsidR="00574E37">
              <w:t xml:space="preserve"> South Africa</w:t>
            </w:r>
            <w:r w:rsidRPr="001B12C0">
              <w:t xml:space="preserve"> is one of its partners</w:t>
            </w:r>
            <w:r>
              <w:t>.</w:t>
            </w:r>
          </w:p>
        </w:tc>
        <w:tc>
          <w:tcPr>
            <w:tcW w:w="2000" w:type="pct"/>
          </w:tcPr>
          <w:p w14:paraId="1C37C360" w14:textId="77777777" w:rsidR="00D036AC" w:rsidRPr="001B12C0" w:rsidRDefault="00D036AC" w:rsidP="001929B8">
            <w:r w:rsidRPr="001B12C0">
              <w:t xml:space="preserve">Following the </w:t>
            </w:r>
            <w:proofErr w:type="spellStart"/>
            <w:r w:rsidRPr="001B12C0">
              <w:t>Earthlife</w:t>
            </w:r>
            <w:proofErr w:type="spellEnd"/>
            <w:r w:rsidRPr="001B12C0">
              <w:t xml:space="preserve"> decision, this is an application to South Africa’s High Court to review and set aside Ministerial approval to develop a coal-fired power plant (</w:t>
            </w:r>
            <w:proofErr w:type="spellStart"/>
            <w:r w:rsidRPr="001B12C0">
              <w:t>Khanyisa</w:t>
            </w:r>
            <w:proofErr w:type="spellEnd"/>
            <w:r w:rsidRPr="001B12C0">
              <w:t xml:space="preserve"> project) without considering climate change impacts and risks in the EIA. Decision pending. </w:t>
            </w:r>
          </w:p>
        </w:tc>
      </w:tr>
      <w:tr w:rsidR="00A14303" w:rsidRPr="001B12C0" w14:paraId="764B7C72" w14:textId="77777777" w:rsidTr="005D534E">
        <w:tc>
          <w:tcPr>
            <w:tcW w:w="209" w:type="pct"/>
          </w:tcPr>
          <w:p w14:paraId="45FCBCB5" w14:textId="1901D4ED" w:rsidR="00D036AC" w:rsidRPr="00EF768B" w:rsidRDefault="00EF768B" w:rsidP="001929B8">
            <w:r w:rsidRPr="00EF768B">
              <w:t>22</w:t>
            </w:r>
          </w:p>
        </w:tc>
        <w:tc>
          <w:tcPr>
            <w:tcW w:w="617" w:type="pct"/>
          </w:tcPr>
          <w:p w14:paraId="4BE8655B" w14:textId="0EE6C413" w:rsidR="00D036AC" w:rsidRPr="001B12C0" w:rsidRDefault="00D036AC" w:rsidP="001929B8">
            <w:pPr>
              <w:rPr>
                <w:b/>
                <w:i/>
              </w:rPr>
            </w:pPr>
            <w:proofErr w:type="spellStart"/>
            <w:r w:rsidRPr="001B12C0">
              <w:rPr>
                <w:b/>
                <w:i/>
              </w:rPr>
              <w:t>KiPower</w:t>
            </w:r>
            <w:proofErr w:type="spellEnd"/>
            <w:r w:rsidRPr="001B12C0">
              <w:rPr>
                <w:b/>
                <w:i/>
              </w:rPr>
              <w:t xml:space="preserve"> </w:t>
            </w:r>
          </w:p>
          <w:p w14:paraId="2D8523C9" w14:textId="77777777" w:rsidR="00D036AC" w:rsidRPr="001B12C0" w:rsidRDefault="00D036AC" w:rsidP="001929B8">
            <w:pPr>
              <w:rPr>
                <w:b/>
                <w:i/>
              </w:rPr>
            </w:pPr>
            <w:r w:rsidRPr="001B12C0">
              <w:rPr>
                <w:b/>
                <w:i/>
              </w:rPr>
              <w:t xml:space="preserve">Project </w:t>
            </w:r>
          </w:p>
          <w:p w14:paraId="67BA93AF" w14:textId="77777777" w:rsidR="00D036AC" w:rsidRPr="001B12C0" w:rsidRDefault="00D036AC" w:rsidP="001929B8">
            <w:r w:rsidRPr="001B12C0">
              <w:t>(2017)</w:t>
            </w:r>
          </w:p>
          <w:p w14:paraId="7BC08D38" w14:textId="77777777" w:rsidR="00D036AC" w:rsidRPr="001B12C0" w:rsidRDefault="00D036AC" w:rsidP="001929B8">
            <w:pPr>
              <w:rPr>
                <w:b/>
              </w:rPr>
            </w:pPr>
          </w:p>
        </w:tc>
        <w:tc>
          <w:tcPr>
            <w:tcW w:w="519" w:type="pct"/>
          </w:tcPr>
          <w:p w14:paraId="24F685B9" w14:textId="77777777" w:rsidR="00D036AC" w:rsidRPr="001B12C0" w:rsidRDefault="00D036AC" w:rsidP="001929B8">
            <w:r w:rsidRPr="001B12C0">
              <w:t>South Africa</w:t>
            </w:r>
          </w:p>
        </w:tc>
        <w:tc>
          <w:tcPr>
            <w:tcW w:w="546" w:type="pct"/>
          </w:tcPr>
          <w:p w14:paraId="2074BEBC" w14:textId="77777777" w:rsidR="00D036AC" w:rsidRPr="001B12C0" w:rsidRDefault="00D036AC" w:rsidP="001929B8">
            <w:r w:rsidRPr="001B12C0">
              <w:t>National NGO: Groundwork</w:t>
            </w:r>
          </w:p>
        </w:tc>
        <w:tc>
          <w:tcPr>
            <w:tcW w:w="588" w:type="pct"/>
          </w:tcPr>
          <w:p w14:paraId="39C5F270" w14:textId="77777777" w:rsidR="00D036AC" w:rsidRPr="001B12C0" w:rsidRDefault="00D036AC" w:rsidP="001929B8">
            <w:r w:rsidRPr="001B12C0">
              <w:t>Government</w:t>
            </w:r>
          </w:p>
        </w:tc>
        <w:tc>
          <w:tcPr>
            <w:tcW w:w="521" w:type="pct"/>
          </w:tcPr>
          <w:p w14:paraId="79F278BE" w14:textId="313C40DE" w:rsidR="00D036AC" w:rsidRPr="001B12C0" w:rsidRDefault="00574E37" w:rsidP="001929B8">
            <w:r>
              <w:t xml:space="preserve">No. </w:t>
            </w:r>
          </w:p>
          <w:p w14:paraId="660F0ADB" w14:textId="2376314D" w:rsidR="00D036AC" w:rsidRPr="001B12C0" w:rsidRDefault="00D036AC" w:rsidP="001929B8">
            <w:proofErr w:type="spellStart"/>
            <w:r w:rsidRPr="001B12C0">
              <w:t>Earthlife</w:t>
            </w:r>
            <w:proofErr w:type="spellEnd"/>
            <w:r w:rsidR="00574E37">
              <w:t xml:space="preserve"> </w:t>
            </w:r>
            <w:proofErr w:type="spellStart"/>
            <w:r w:rsidR="00574E37">
              <w:t>Sough</w:t>
            </w:r>
            <w:proofErr w:type="spellEnd"/>
            <w:r w:rsidR="00574E37">
              <w:t xml:space="preserve"> Africa</w:t>
            </w:r>
            <w:r w:rsidRPr="001B12C0">
              <w:t xml:space="preserve"> </w:t>
            </w:r>
            <w:r w:rsidRPr="001B12C0">
              <w:lastRenderedPageBreak/>
              <w:t>is one of its partners</w:t>
            </w:r>
            <w:r>
              <w:t>.</w:t>
            </w:r>
          </w:p>
        </w:tc>
        <w:tc>
          <w:tcPr>
            <w:tcW w:w="2000" w:type="pct"/>
          </w:tcPr>
          <w:p w14:paraId="6A205AE2" w14:textId="77777777" w:rsidR="00D036AC" w:rsidRPr="001B12C0" w:rsidRDefault="00D036AC" w:rsidP="001929B8">
            <w:r w:rsidRPr="001B12C0">
              <w:lastRenderedPageBreak/>
              <w:t xml:space="preserve">Following the </w:t>
            </w:r>
            <w:proofErr w:type="spellStart"/>
            <w:r w:rsidRPr="001B12C0">
              <w:t>Earthlife</w:t>
            </w:r>
            <w:proofErr w:type="spellEnd"/>
            <w:r w:rsidRPr="001B12C0">
              <w:t xml:space="preserve"> decision, this is an application to South Africa’s High Court to review and set aside Ministerial approval to develop a coal-fired power plant (</w:t>
            </w:r>
            <w:proofErr w:type="spellStart"/>
            <w:r w:rsidRPr="001B12C0">
              <w:t>KiPower</w:t>
            </w:r>
            <w:proofErr w:type="spellEnd"/>
            <w:r w:rsidRPr="001B12C0">
              <w:t xml:space="preserve">) without </w:t>
            </w:r>
            <w:r w:rsidRPr="001B12C0">
              <w:lastRenderedPageBreak/>
              <w:t xml:space="preserve">considering climate change impacts and risks in the EIA. Decision pending. </w:t>
            </w:r>
          </w:p>
        </w:tc>
      </w:tr>
      <w:tr w:rsidR="00A14303" w:rsidRPr="001B12C0" w14:paraId="67D9B7C3" w14:textId="77777777" w:rsidTr="005D534E">
        <w:tc>
          <w:tcPr>
            <w:tcW w:w="209" w:type="pct"/>
            <w:tcBorders>
              <w:bottom w:val="single" w:sz="4" w:space="0" w:color="auto"/>
            </w:tcBorders>
          </w:tcPr>
          <w:p w14:paraId="3533F164" w14:textId="50563370" w:rsidR="00D036AC" w:rsidRPr="00EF768B" w:rsidRDefault="00EF768B" w:rsidP="001929B8">
            <w:r w:rsidRPr="00EF768B">
              <w:lastRenderedPageBreak/>
              <w:t>23</w:t>
            </w:r>
          </w:p>
        </w:tc>
        <w:tc>
          <w:tcPr>
            <w:tcW w:w="617" w:type="pct"/>
            <w:tcBorders>
              <w:bottom w:val="single" w:sz="4" w:space="0" w:color="auto"/>
            </w:tcBorders>
          </w:tcPr>
          <w:p w14:paraId="73E75BBE" w14:textId="15EF1E2F" w:rsidR="0007563E" w:rsidRDefault="0007563E" w:rsidP="001929B8">
            <w:pPr>
              <w:rPr>
                <w:b/>
                <w:i/>
              </w:rPr>
            </w:pPr>
            <w:r>
              <w:rPr>
                <w:b/>
                <w:i/>
              </w:rPr>
              <w:t xml:space="preserve">Kenneth </w:t>
            </w:r>
            <w:proofErr w:type="spellStart"/>
            <w:r>
              <w:rPr>
                <w:b/>
                <w:i/>
              </w:rPr>
              <w:t>Kakuru</w:t>
            </w:r>
            <w:proofErr w:type="spellEnd"/>
            <w:r>
              <w:rPr>
                <w:b/>
                <w:i/>
              </w:rPr>
              <w:t xml:space="preserve"> and </w:t>
            </w:r>
            <w:proofErr w:type="spellStart"/>
            <w:r>
              <w:rPr>
                <w:b/>
                <w:i/>
              </w:rPr>
              <w:t>Greenwatch</w:t>
            </w:r>
            <w:proofErr w:type="spellEnd"/>
            <w:r>
              <w:rPr>
                <w:b/>
                <w:i/>
              </w:rPr>
              <w:t xml:space="preserve"> v. Attorney General of Uganda</w:t>
            </w:r>
          </w:p>
          <w:p w14:paraId="48F21447" w14:textId="658115F4" w:rsidR="00D036AC" w:rsidRPr="001B12C0" w:rsidRDefault="0007563E" w:rsidP="001929B8">
            <w:pPr>
              <w:rPr>
                <w:b/>
                <w:i/>
              </w:rPr>
            </w:pPr>
            <w:r>
              <w:rPr>
                <w:b/>
                <w:i/>
              </w:rPr>
              <w:t>(</w:t>
            </w:r>
            <w:r w:rsidR="00D036AC" w:rsidRPr="001B12C0">
              <w:rPr>
                <w:b/>
                <w:i/>
              </w:rPr>
              <w:t>Uganda</w:t>
            </w:r>
            <w:r>
              <w:rPr>
                <w:b/>
                <w:i/>
              </w:rPr>
              <w:t>n</w:t>
            </w:r>
            <w:r w:rsidR="00D036AC" w:rsidRPr="001B12C0">
              <w:rPr>
                <w:b/>
                <w:i/>
              </w:rPr>
              <w:t xml:space="preserve"> </w:t>
            </w:r>
            <w:r w:rsidR="00D036AC">
              <w:rPr>
                <w:b/>
                <w:i/>
              </w:rPr>
              <w:t>Y</w:t>
            </w:r>
            <w:r w:rsidR="00D036AC" w:rsidRPr="001B12C0">
              <w:rPr>
                <w:b/>
                <w:i/>
              </w:rPr>
              <w:t xml:space="preserve">ouths </w:t>
            </w:r>
            <w:r>
              <w:rPr>
                <w:b/>
                <w:i/>
              </w:rPr>
              <w:t>case)</w:t>
            </w:r>
          </w:p>
          <w:p w14:paraId="0A00D32B" w14:textId="77777777" w:rsidR="00D036AC" w:rsidRPr="001B12C0" w:rsidRDefault="00D036AC" w:rsidP="001929B8">
            <w:r w:rsidRPr="001B12C0">
              <w:t>(2012)</w:t>
            </w:r>
          </w:p>
          <w:p w14:paraId="5CB1D742" w14:textId="77777777" w:rsidR="00D036AC" w:rsidRPr="001B12C0" w:rsidRDefault="00D036AC" w:rsidP="001929B8">
            <w:pPr>
              <w:rPr>
                <w:b/>
                <w:i/>
              </w:rPr>
            </w:pPr>
          </w:p>
        </w:tc>
        <w:tc>
          <w:tcPr>
            <w:tcW w:w="519" w:type="pct"/>
            <w:tcBorders>
              <w:bottom w:val="single" w:sz="4" w:space="0" w:color="auto"/>
            </w:tcBorders>
          </w:tcPr>
          <w:p w14:paraId="2D9BF97C" w14:textId="77777777" w:rsidR="00D036AC" w:rsidRPr="001B12C0" w:rsidRDefault="00D036AC" w:rsidP="001929B8">
            <w:r w:rsidRPr="001B12C0">
              <w:t>Uganda</w:t>
            </w:r>
          </w:p>
        </w:tc>
        <w:tc>
          <w:tcPr>
            <w:tcW w:w="546" w:type="pct"/>
            <w:tcBorders>
              <w:bottom w:val="single" w:sz="4" w:space="0" w:color="auto"/>
            </w:tcBorders>
          </w:tcPr>
          <w:p w14:paraId="53BEE336" w14:textId="77777777" w:rsidR="00D036AC" w:rsidRPr="001B12C0" w:rsidRDefault="00D036AC" w:rsidP="001929B8">
            <w:r w:rsidRPr="001B12C0">
              <w:t>Local NGO (</w:t>
            </w:r>
            <w:proofErr w:type="spellStart"/>
            <w:r w:rsidRPr="001B12C0">
              <w:t>Greenwatch</w:t>
            </w:r>
            <w:proofErr w:type="spellEnd"/>
            <w:r w:rsidRPr="001B12C0">
              <w:t>) filed on behalf of local youth plaintiffs</w:t>
            </w:r>
          </w:p>
          <w:p w14:paraId="5D1F6E4D" w14:textId="77777777" w:rsidR="00D036AC" w:rsidRPr="001B12C0" w:rsidRDefault="00D036AC" w:rsidP="001929B8"/>
        </w:tc>
        <w:tc>
          <w:tcPr>
            <w:tcW w:w="588" w:type="pct"/>
            <w:tcBorders>
              <w:bottom w:val="single" w:sz="4" w:space="0" w:color="auto"/>
            </w:tcBorders>
          </w:tcPr>
          <w:p w14:paraId="19D75817" w14:textId="77777777" w:rsidR="00D036AC" w:rsidRPr="001B12C0" w:rsidRDefault="00D036AC" w:rsidP="001929B8">
            <w:r w:rsidRPr="001B12C0">
              <w:t>Government</w:t>
            </w:r>
          </w:p>
        </w:tc>
        <w:tc>
          <w:tcPr>
            <w:tcW w:w="521" w:type="pct"/>
            <w:tcBorders>
              <w:bottom w:val="single" w:sz="4" w:space="0" w:color="auto"/>
            </w:tcBorders>
          </w:tcPr>
          <w:p w14:paraId="755B3535" w14:textId="77777777" w:rsidR="00D036AC" w:rsidRPr="001B12C0" w:rsidRDefault="00D036AC" w:rsidP="001929B8">
            <w:r w:rsidRPr="001B12C0">
              <w:t>Yes.</w:t>
            </w:r>
          </w:p>
          <w:p w14:paraId="47151DB3" w14:textId="77777777" w:rsidR="00D036AC" w:rsidRPr="001B12C0" w:rsidRDefault="00D036AC" w:rsidP="001929B8">
            <w:r w:rsidRPr="001B12C0">
              <w:t>Partnership with Our Children’s Trust and other NGOs</w:t>
            </w:r>
            <w:r>
              <w:t xml:space="preserve">. </w:t>
            </w:r>
          </w:p>
        </w:tc>
        <w:tc>
          <w:tcPr>
            <w:tcW w:w="2000" w:type="pct"/>
            <w:tcBorders>
              <w:bottom w:val="single" w:sz="4" w:space="0" w:color="auto"/>
            </w:tcBorders>
          </w:tcPr>
          <w:p w14:paraId="44F44FA1" w14:textId="77777777" w:rsidR="00D036AC" w:rsidRDefault="00D036AC" w:rsidP="001929B8">
            <w:r w:rsidRPr="001B12C0">
              <w:t xml:space="preserve">The complaint invokes a governmental public trust duty under Articles 39 and 237 of the Ugandan Constitution to protect atmospheric resources from climate change for the benefit of its people (and future generations). The court is invited to issue orders compelling the government to </w:t>
            </w:r>
            <w:proofErr w:type="spellStart"/>
            <w:r w:rsidRPr="001B12C0">
              <w:t>fulfill</w:t>
            </w:r>
            <w:proofErr w:type="spellEnd"/>
            <w:r w:rsidRPr="001B12C0">
              <w:t xml:space="preserve"> its international climate treaty obligations, conduct proper carbon accounting, and implement climate mitigation and adaptation plans. Since 2012, there have been procedural delays. There was a hearing scheduled on 27 June 2018 (High Court) where plaintiffs were expected to present evidence to make their case. A decision is still pending. </w:t>
            </w:r>
          </w:p>
          <w:p w14:paraId="10214827" w14:textId="110E4FC1" w:rsidR="00EE0A1C" w:rsidRPr="001B12C0" w:rsidRDefault="00EE0A1C" w:rsidP="001929B8"/>
        </w:tc>
      </w:tr>
      <w:tr w:rsidR="00EE0A1C" w:rsidRPr="001B12C0" w14:paraId="19497DD5" w14:textId="77777777" w:rsidTr="005D534E">
        <w:tc>
          <w:tcPr>
            <w:tcW w:w="209" w:type="pct"/>
            <w:tcBorders>
              <w:bottom w:val="single" w:sz="4" w:space="0" w:color="auto"/>
            </w:tcBorders>
          </w:tcPr>
          <w:p w14:paraId="41793D13" w14:textId="62DD56A3" w:rsidR="00EE0A1C" w:rsidRPr="00EF768B" w:rsidRDefault="00EE0A1C" w:rsidP="001929B8">
            <w:r w:rsidRPr="00EE0A1C">
              <w:rPr>
                <w:highlight w:val="yellow"/>
              </w:rPr>
              <w:t>24</w:t>
            </w:r>
          </w:p>
        </w:tc>
        <w:tc>
          <w:tcPr>
            <w:tcW w:w="617" w:type="pct"/>
            <w:tcBorders>
              <w:bottom w:val="single" w:sz="4" w:space="0" w:color="auto"/>
            </w:tcBorders>
          </w:tcPr>
          <w:p w14:paraId="6328CC3B" w14:textId="3A7A4F0F" w:rsidR="00EE0A1C" w:rsidRDefault="00EE0A1C" w:rsidP="001929B8">
            <w:pPr>
              <w:rPr>
                <w:b/>
                <w:i/>
              </w:rPr>
            </w:pPr>
            <w:r>
              <w:rPr>
                <w:b/>
                <w:i/>
              </w:rPr>
              <w:t xml:space="preserve">Save </w:t>
            </w:r>
            <w:proofErr w:type="spellStart"/>
            <w:r>
              <w:rPr>
                <w:b/>
                <w:i/>
              </w:rPr>
              <w:t>Lamu</w:t>
            </w:r>
            <w:proofErr w:type="spellEnd"/>
            <w:r>
              <w:rPr>
                <w:b/>
                <w:i/>
              </w:rPr>
              <w:t xml:space="preserve"> et al v. National Environmental Management Authority and Amu Power Co. Ltd. </w:t>
            </w:r>
          </w:p>
        </w:tc>
        <w:tc>
          <w:tcPr>
            <w:tcW w:w="519" w:type="pct"/>
            <w:tcBorders>
              <w:bottom w:val="single" w:sz="4" w:space="0" w:color="auto"/>
            </w:tcBorders>
          </w:tcPr>
          <w:p w14:paraId="2F2FD478" w14:textId="036811E1" w:rsidR="00EE0A1C" w:rsidRPr="001B12C0" w:rsidRDefault="00EE0A1C" w:rsidP="001929B8">
            <w:r>
              <w:t xml:space="preserve">Kenya </w:t>
            </w:r>
          </w:p>
        </w:tc>
        <w:tc>
          <w:tcPr>
            <w:tcW w:w="546" w:type="pct"/>
            <w:tcBorders>
              <w:bottom w:val="single" w:sz="4" w:space="0" w:color="auto"/>
            </w:tcBorders>
          </w:tcPr>
          <w:p w14:paraId="58F6BBAF" w14:textId="06C72100" w:rsidR="00EE0A1C" w:rsidRPr="001B12C0" w:rsidRDefault="00EE0A1C" w:rsidP="001929B8">
            <w:r>
              <w:t>Local NGO and members of community affected by the development of the project</w:t>
            </w:r>
          </w:p>
        </w:tc>
        <w:tc>
          <w:tcPr>
            <w:tcW w:w="588" w:type="pct"/>
            <w:tcBorders>
              <w:bottom w:val="single" w:sz="4" w:space="0" w:color="auto"/>
            </w:tcBorders>
          </w:tcPr>
          <w:p w14:paraId="0C8B1C58" w14:textId="00684469" w:rsidR="00EE0A1C" w:rsidRPr="001B12C0" w:rsidRDefault="00EE0A1C" w:rsidP="001929B8">
            <w:r>
              <w:t>Government and Project Proponent</w:t>
            </w:r>
          </w:p>
        </w:tc>
        <w:tc>
          <w:tcPr>
            <w:tcW w:w="521" w:type="pct"/>
            <w:tcBorders>
              <w:bottom w:val="single" w:sz="4" w:space="0" w:color="auto"/>
            </w:tcBorders>
          </w:tcPr>
          <w:p w14:paraId="4FCB016F" w14:textId="1FA67A34" w:rsidR="00EE0A1C" w:rsidRPr="001B12C0" w:rsidRDefault="00EE0A1C" w:rsidP="001929B8">
            <w:r>
              <w:t xml:space="preserve">Yes </w:t>
            </w:r>
          </w:p>
        </w:tc>
        <w:tc>
          <w:tcPr>
            <w:tcW w:w="2000" w:type="pct"/>
            <w:tcBorders>
              <w:bottom w:val="single" w:sz="4" w:space="0" w:color="auto"/>
            </w:tcBorders>
          </w:tcPr>
          <w:p w14:paraId="781576C3" w14:textId="1963EFC2" w:rsidR="00EE0A1C" w:rsidRDefault="00EE0A1C" w:rsidP="001929B8">
            <w:r>
              <w:t xml:space="preserve">Kenya’s National Environmental Tribunal set aside the issuance of an EIA license to construct a coal-fired power plant on the basis, inter alia, that the EIA failed to consider climate change impacts and the Climate Change Act 2016. </w:t>
            </w:r>
          </w:p>
          <w:p w14:paraId="6945CD91" w14:textId="77777777" w:rsidR="00EE0A1C" w:rsidRDefault="00EE0A1C" w:rsidP="001929B8"/>
          <w:p w14:paraId="40D438D1" w14:textId="77777777" w:rsidR="00EE0A1C" w:rsidRDefault="00EE0A1C" w:rsidP="001929B8"/>
          <w:p w14:paraId="6464A9D0" w14:textId="77777777" w:rsidR="00EE0A1C" w:rsidRDefault="00EE0A1C" w:rsidP="001929B8"/>
          <w:p w14:paraId="41183B63" w14:textId="77777777" w:rsidR="00EE0A1C" w:rsidRDefault="00EE0A1C" w:rsidP="001929B8"/>
          <w:p w14:paraId="14D7F5DD" w14:textId="77777777" w:rsidR="00EE0A1C" w:rsidRDefault="00EE0A1C" w:rsidP="001929B8"/>
          <w:p w14:paraId="3A02D245" w14:textId="59AB1F2D" w:rsidR="00EE0A1C" w:rsidRPr="001B12C0" w:rsidRDefault="00EE0A1C" w:rsidP="001929B8"/>
        </w:tc>
      </w:tr>
      <w:tr w:rsidR="00D036AC" w:rsidRPr="001B12C0" w14:paraId="0B9F2A6A" w14:textId="77777777" w:rsidTr="00451BA1">
        <w:tc>
          <w:tcPr>
            <w:tcW w:w="5000" w:type="pct"/>
            <w:gridSpan w:val="7"/>
            <w:shd w:val="clear" w:color="auto" w:fill="D9D9D9" w:themeFill="background1" w:themeFillShade="D9"/>
          </w:tcPr>
          <w:p w14:paraId="73D002DE" w14:textId="77777777" w:rsidR="00D036AC" w:rsidRDefault="00D036AC" w:rsidP="00D036AC">
            <w:pPr>
              <w:jc w:val="center"/>
              <w:rPr>
                <w:b/>
              </w:rPr>
            </w:pPr>
          </w:p>
          <w:p w14:paraId="558112B8" w14:textId="77777777" w:rsidR="00D036AC" w:rsidRDefault="00D036AC" w:rsidP="00D036AC">
            <w:pPr>
              <w:jc w:val="center"/>
              <w:rPr>
                <w:b/>
              </w:rPr>
            </w:pPr>
            <w:r w:rsidRPr="001B12C0">
              <w:rPr>
                <w:b/>
              </w:rPr>
              <w:t>LATIN AMERICA</w:t>
            </w:r>
          </w:p>
          <w:p w14:paraId="2FD11F96" w14:textId="77777777" w:rsidR="00D036AC" w:rsidRDefault="00D036AC" w:rsidP="00D036AC">
            <w:pPr>
              <w:jc w:val="center"/>
            </w:pPr>
          </w:p>
          <w:p w14:paraId="266BAB81" w14:textId="0E13FCAD" w:rsidR="00EE0A1C" w:rsidRPr="001B12C0" w:rsidRDefault="00EE0A1C" w:rsidP="00EE0A1C"/>
        </w:tc>
      </w:tr>
      <w:tr w:rsidR="00A14303" w:rsidRPr="001B12C0" w14:paraId="291F47F6" w14:textId="77777777" w:rsidTr="005D534E">
        <w:tc>
          <w:tcPr>
            <w:tcW w:w="209" w:type="pct"/>
          </w:tcPr>
          <w:p w14:paraId="0D3CDA27" w14:textId="336A1040" w:rsidR="00D036AC" w:rsidRPr="00A14303" w:rsidRDefault="00A14303" w:rsidP="001929B8">
            <w:r w:rsidRPr="00A14303">
              <w:lastRenderedPageBreak/>
              <w:t>2</w:t>
            </w:r>
            <w:r w:rsidR="00EE0A1C">
              <w:t>5</w:t>
            </w:r>
          </w:p>
        </w:tc>
        <w:tc>
          <w:tcPr>
            <w:tcW w:w="617" w:type="pct"/>
          </w:tcPr>
          <w:p w14:paraId="742AE0F9" w14:textId="4CFC7C64" w:rsidR="00D036AC" w:rsidRDefault="00D036AC" w:rsidP="001929B8">
            <w:pPr>
              <w:rPr>
                <w:b/>
                <w:i/>
              </w:rPr>
            </w:pPr>
            <w:r>
              <w:rPr>
                <w:b/>
                <w:i/>
              </w:rPr>
              <w:t xml:space="preserve">Public Prosecutor’s Office v. </w:t>
            </w:r>
            <w:r w:rsidRPr="001B12C0">
              <w:rPr>
                <w:b/>
                <w:i/>
              </w:rPr>
              <w:t>Oliveira</w:t>
            </w:r>
          </w:p>
          <w:p w14:paraId="2C05A0B3" w14:textId="77777777" w:rsidR="00D036AC" w:rsidRPr="00915DE3" w:rsidRDefault="00D036AC" w:rsidP="001929B8">
            <w:r w:rsidRPr="00915DE3">
              <w:t>(2008)</w:t>
            </w:r>
          </w:p>
        </w:tc>
        <w:tc>
          <w:tcPr>
            <w:tcW w:w="519" w:type="pct"/>
          </w:tcPr>
          <w:p w14:paraId="6EF2D0C3" w14:textId="77777777" w:rsidR="00D036AC" w:rsidRPr="001B12C0" w:rsidRDefault="00D036AC" w:rsidP="001929B8">
            <w:r w:rsidRPr="001B12C0">
              <w:t>Brazil</w:t>
            </w:r>
          </w:p>
        </w:tc>
        <w:tc>
          <w:tcPr>
            <w:tcW w:w="546" w:type="pct"/>
          </w:tcPr>
          <w:p w14:paraId="743FAB98" w14:textId="77777777" w:rsidR="00D036AC" w:rsidRPr="001B12C0" w:rsidRDefault="00D036AC" w:rsidP="001929B8">
            <w:r w:rsidRPr="001B12C0">
              <w:t xml:space="preserve">Public Prosecutor </w:t>
            </w:r>
          </w:p>
        </w:tc>
        <w:tc>
          <w:tcPr>
            <w:tcW w:w="588" w:type="pct"/>
          </w:tcPr>
          <w:p w14:paraId="49A6CFA5" w14:textId="77777777" w:rsidR="00D036AC" w:rsidRPr="001B12C0" w:rsidRDefault="00D036AC" w:rsidP="001929B8">
            <w:r w:rsidRPr="001B12C0">
              <w:t>Farmers</w:t>
            </w:r>
          </w:p>
        </w:tc>
        <w:tc>
          <w:tcPr>
            <w:tcW w:w="521" w:type="pct"/>
          </w:tcPr>
          <w:p w14:paraId="1F78B64C" w14:textId="77777777" w:rsidR="00D036AC" w:rsidRPr="001B12C0" w:rsidRDefault="00D036AC" w:rsidP="001929B8">
            <w:pPr>
              <w:jc w:val="center"/>
            </w:pPr>
            <w:r w:rsidRPr="001B12C0">
              <w:t>No</w:t>
            </w:r>
          </w:p>
        </w:tc>
        <w:tc>
          <w:tcPr>
            <w:tcW w:w="2000" w:type="pct"/>
          </w:tcPr>
          <w:p w14:paraId="74F654C7" w14:textId="77777777" w:rsidR="00D036AC" w:rsidRPr="001B12C0" w:rsidRDefault="00D036AC" w:rsidP="001929B8">
            <w:r w:rsidRPr="001B12C0">
              <w:t xml:space="preserve">The Public Prosecutor brought enforcement proceedings (pursuant to the forestry law) to stop the use of burning in sugarcane harvesting practices. The Brazilian Superior Court of Justice considered, amongst other environmental impacts, the negative effects of carbon emissions.  </w:t>
            </w:r>
          </w:p>
        </w:tc>
      </w:tr>
      <w:tr w:rsidR="00A14303" w:rsidRPr="001B12C0" w14:paraId="170F1AED" w14:textId="77777777" w:rsidTr="005D534E">
        <w:tc>
          <w:tcPr>
            <w:tcW w:w="209" w:type="pct"/>
          </w:tcPr>
          <w:p w14:paraId="2B429D56" w14:textId="5FC9A6EB" w:rsidR="00D036AC" w:rsidRPr="00A14303" w:rsidRDefault="00A14303" w:rsidP="001929B8">
            <w:r w:rsidRPr="00A14303">
              <w:t>2</w:t>
            </w:r>
            <w:r w:rsidR="00EE0A1C">
              <w:t>6</w:t>
            </w:r>
          </w:p>
        </w:tc>
        <w:tc>
          <w:tcPr>
            <w:tcW w:w="617" w:type="pct"/>
          </w:tcPr>
          <w:p w14:paraId="301870F9" w14:textId="7289CB21" w:rsidR="00D036AC" w:rsidRDefault="00D036AC" w:rsidP="001929B8">
            <w:pPr>
              <w:rPr>
                <w:b/>
                <w:i/>
              </w:rPr>
            </w:pPr>
            <w:r>
              <w:rPr>
                <w:b/>
                <w:i/>
              </w:rPr>
              <w:t xml:space="preserve">Sao Paulo Public Prosecutor’s Office v. United Airlines &amp; others </w:t>
            </w:r>
            <w:r w:rsidRPr="001B12C0">
              <w:rPr>
                <w:b/>
                <w:i/>
              </w:rPr>
              <w:t xml:space="preserve"> </w:t>
            </w:r>
          </w:p>
          <w:p w14:paraId="34B2DAAC" w14:textId="77777777" w:rsidR="00D036AC" w:rsidRPr="00915DE3" w:rsidRDefault="00D036AC" w:rsidP="001929B8">
            <w:r w:rsidRPr="00915DE3">
              <w:t>(2014)</w:t>
            </w:r>
          </w:p>
          <w:p w14:paraId="4C7BC6A2" w14:textId="77777777" w:rsidR="00D036AC" w:rsidRPr="001B12C0" w:rsidRDefault="00D036AC" w:rsidP="001929B8">
            <w:pPr>
              <w:rPr>
                <w:b/>
                <w:i/>
              </w:rPr>
            </w:pPr>
          </w:p>
          <w:p w14:paraId="43802000" w14:textId="77777777" w:rsidR="00D036AC" w:rsidRPr="001B12C0" w:rsidRDefault="00D036AC" w:rsidP="001929B8">
            <w:pPr>
              <w:rPr>
                <w:b/>
                <w:i/>
              </w:rPr>
            </w:pPr>
          </w:p>
          <w:p w14:paraId="2558701A" w14:textId="77777777" w:rsidR="00D036AC" w:rsidRPr="001B12C0" w:rsidRDefault="00D036AC" w:rsidP="001929B8">
            <w:pPr>
              <w:rPr>
                <w:b/>
                <w:i/>
              </w:rPr>
            </w:pPr>
          </w:p>
        </w:tc>
        <w:tc>
          <w:tcPr>
            <w:tcW w:w="519" w:type="pct"/>
          </w:tcPr>
          <w:p w14:paraId="4CD14F97" w14:textId="77777777" w:rsidR="00D036AC" w:rsidRPr="001B12C0" w:rsidRDefault="00D036AC" w:rsidP="001929B8">
            <w:r w:rsidRPr="001B12C0">
              <w:t xml:space="preserve">Brazil </w:t>
            </w:r>
          </w:p>
        </w:tc>
        <w:tc>
          <w:tcPr>
            <w:tcW w:w="546" w:type="pct"/>
          </w:tcPr>
          <w:p w14:paraId="14E72BE6" w14:textId="77777777" w:rsidR="00D036AC" w:rsidRPr="001B12C0" w:rsidRDefault="00D036AC" w:rsidP="001929B8">
            <w:r w:rsidRPr="001B12C0">
              <w:t>Sao Paulo</w:t>
            </w:r>
          </w:p>
          <w:p w14:paraId="038BDA72" w14:textId="77777777" w:rsidR="00D036AC" w:rsidRPr="001B12C0" w:rsidRDefault="00D036AC" w:rsidP="001929B8">
            <w:r w:rsidRPr="001B12C0">
              <w:t>Public Prosecutor</w:t>
            </w:r>
          </w:p>
        </w:tc>
        <w:tc>
          <w:tcPr>
            <w:tcW w:w="588" w:type="pct"/>
          </w:tcPr>
          <w:p w14:paraId="2747EA42" w14:textId="77777777" w:rsidR="00D036AC" w:rsidRPr="001B12C0" w:rsidRDefault="00D036AC" w:rsidP="001929B8">
            <w:r w:rsidRPr="001B12C0">
              <w:t xml:space="preserve">Seven international airlines using Sao Paulo’s international airport </w:t>
            </w:r>
          </w:p>
        </w:tc>
        <w:tc>
          <w:tcPr>
            <w:tcW w:w="521" w:type="pct"/>
          </w:tcPr>
          <w:p w14:paraId="0CF2AB37" w14:textId="77777777" w:rsidR="00D036AC" w:rsidRPr="001B12C0" w:rsidRDefault="00D036AC" w:rsidP="001929B8">
            <w:pPr>
              <w:jc w:val="center"/>
            </w:pPr>
            <w:r w:rsidRPr="001B12C0">
              <w:t>No</w:t>
            </w:r>
          </w:p>
        </w:tc>
        <w:tc>
          <w:tcPr>
            <w:tcW w:w="2000" w:type="pct"/>
          </w:tcPr>
          <w:p w14:paraId="549F0A29" w14:textId="77777777" w:rsidR="00D036AC" w:rsidRPr="001B12C0" w:rsidRDefault="00D036AC" w:rsidP="001929B8">
            <w:r>
              <w:t>The Public Prosecutor of Sao Paulo brought a group of cases seeking to compel airlines that use the Sao Paulo international airport to offset their carbon emissions. The c</w:t>
            </w:r>
            <w:r w:rsidRPr="001B12C0">
              <w:t xml:space="preserve">ourt </w:t>
            </w:r>
            <w:r>
              <w:t>was asked to</w:t>
            </w:r>
            <w:r w:rsidRPr="001B12C0">
              <w:t xml:space="preserve"> order the reforestation of lands around the airport to offset GHGs and other pollutants. The court rejected the suits on the ground that it lacked jurisdiction over the claims. </w:t>
            </w:r>
          </w:p>
          <w:p w14:paraId="7455B509" w14:textId="77777777" w:rsidR="00D036AC" w:rsidRPr="001B12C0" w:rsidRDefault="00D036AC" w:rsidP="001929B8"/>
        </w:tc>
      </w:tr>
      <w:tr w:rsidR="00A14303" w:rsidRPr="001B12C0" w14:paraId="46ACCA68" w14:textId="77777777" w:rsidTr="005D534E">
        <w:tc>
          <w:tcPr>
            <w:tcW w:w="209" w:type="pct"/>
          </w:tcPr>
          <w:p w14:paraId="0BB3FC11" w14:textId="0F9BADA4" w:rsidR="00D036AC" w:rsidRPr="00A14303" w:rsidRDefault="00A14303" w:rsidP="001929B8">
            <w:r w:rsidRPr="00A14303">
              <w:t>2</w:t>
            </w:r>
            <w:r w:rsidR="00EE0A1C">
              <w:t>7</w:t>
            </w:r>
          </w:p>
        </w:tc>
        <w:tc>
          <w:tcPr>
            <w:tcW w:w="617" w:type="pct"/>
          </w:tcPr>
          <w:p w14:paraId="3988A4EE" w14:textId="359AB8E5" w:rsidR="00D036AC" w:rsidRPr="001B12C0" w:rsidRDefault="00D036AC" w:rsidP="001929B8">
            <w:pPr>
              <w:rPr>
                <w:b/>
                <w:i/>
              </w:rPr>
            </w:pPr>
            <w:r w:rsidRPr="001B12C0">
              <w:rPr>
                <w:b/>
                <w:i/>
              </w:rPr>
              <w:t>Maia Filho</w:t>
            </w:r>
            <w:r>
              <w:rPr>
                <w:b/>
                <w:i/>
              </w:rPr>
              <w:t xml:space="preserve"> v. Federal Environmental Agency </w:t>
            </w:r>
          </w:p>
          <w:p w14:paraId="4A2C0618" w14:textId="77777777" w:rsidR="00D036AC" w:rsidRPr="001B12C0" w:rsidRDefault="00D036AC" w:rsidP="001929B8">
            <w:r>
              <w:t>(2015)</w:t>
            </w:r>
          </w:p>
        </w:tc>
        <w:tc>
          <w:tcPr>
            <w:tcW w:w="519" w:type="pct"/>
          </w:tcPr>
          <w:p w14:paraId="15F29313" w14:textId="77777777" w:rsidR="00D036AC" w:rsidRPr="001B12C0" w:rsidRDefault="00D036AC" w:rsidP="001929B8">
            <w:r w:rsidRPr="001B12C0">
              <w:t>Brazil</w:t>
            </w:r>
          </w:p>
        </w:tc>
        <w:tc>
          <w:tcPr>
            <w:tcW w:w="546" w:type="pct"/>
          </w:tcPr>
          <w:p w14:paraId="1600F6E7" w14:textId="77777777" w:rsidR="00D036AC" w:rsidRPr="001B12C0" w:rsidRDefault="00D036AC" w:rsidP="001929B8">
            <w:r w:rsidRPr="001B12C0">
              <w:t xml:space="preserve">Individual </w:t>
            </w:r>
          </w:p>
        </w:tc>
        <w:tc>
          <w:tcPr>
            <w:tcW w:w="588" w:type="pct"/>
          </w:tcPr>
          <w:p w14:paraId="3E0CBBD5" w14:textId="77777777" w:rsidR="00D036AC" w:rsidRPr="001B12C0" w:rsidRDefault="00D036AC" w:rsidP="001929B8">
            <w:r w:rsidRPr="001B12C0">
              <w:t>Government</w:t>
            </w:r>
          </w:p>
          <w:p w14:paraId="098EB1E6" w14:textId="77777777" w:rsidR="00D036AC" w:rsidRPr="001B12C0" w:rsidRDefault="00D036AC" w:rsidP="001929B8">
            <w:r w:rsidRPr="001B12C0">
              <w:t>(IBAMA – Federal</w:t>
            </w:r>
            <w:r>
              <w:t xml:space="preserve"> Environmental</w:t>
            </w:r>
            <w:r w:rsidRPr="001B12C0">
              <w:t xml:space="preserve"> Agency)</w:t>
            </w:r>
          </w:p>
        </w:tc>
        <w:tc>
          <w:tcPr>
            <w:tcW w:w="521" w:type="pct"/>
          </w:tcPr>
          <w:p w14:paraId="424B7E06" w14:textId="77777777" w:rsidR="00D036AC" w:rsidRPr="001B12C0" w:rsidRDefault="00D036AC" w:rsidP="001929B8">
            <w:pPr>
              <w:jc w:val="center"/>
            </w:pPr>
            <w:r w:rsidRPr="001B12C0">
              <w:t>No</w:t>
            </w:r>
          </w:p>
        </w:tc>
        <w:tc>
          <w:tcPr>
            <w:tcW w:w="2000" w:type="pct"/>
          </w:tcPr>
          <w:p w14:paraId="652E923B" w14:textId="77777777" w:rsidR="00D036AC" w:rsidRPr="001B12C0" w:rsidRDefault="00D036AC" w:rsidP="001929B8">
            <w:r w:rsidRPr="001B12C0">
              <w:t>The Brazilian Superior Court of Justice upheld the imposition of a fine for burning 600 h</w:t>
            </w:r>
            <w:r>
              <w:t>ectares</w:t>
            </w:r>
            <w:r w:rsidRPr="001B12C0">
              <w:t xml:space="preserve"> of pasture to clear it for livestock grazing. In their opinion, the judges recognized that the restrictions on burning for agricultural purposes were justified in part by climate change considerations. </w:t>
            </w:r>
          </w:p>
        </w:tc>
      </w:tr>
      <w:tr w:rsidR="00A14303" w:rsidRPr="001B12C0" w14:paraId="3C5A08E3" w14:textId="77777777" w:rsidTr="005D534E">
        <w:tc>
          <w:tcPr>
            <w:tcW w:w="209" w:type="pct"/>
          </w:tcPr>
          <w:p w14:paraId="47CB5E53" w14:textId="462287B6" w:rsidR="00D036AC" w:rsidRPr="00A14303" w:rsidRDefault="00A14303" w:rsidP="001929B8">
            <w:r w:rsidRPr="00A14303">
              <w:t>2</w:t>
            </w:r>
            <w:r w:rsidR="00EE0A1C">
              <w:t>8</w:t>
            </w:r>
          </w:p>
        </w:tc>
        <w:tc>
          <w:tcPr>
            <w:tcW w:w="617" w:type="pct"/>
          </w:tcPr>
          <w:p w14:paraId="6DDDE3FA" w14:textId="12D9C79C" w:rsidR="00D036AC" w:rsidRPr="001B12C0" w:rsidRDefault="00D036AC" w:rsidP="001929B8">
            <w:pPr>
              <w:rPr>
                <w:b/>
                <w:i/>
              </w:rPr>
            </w:pPr>
            <w:r w:rsidRPr="001B12C0">
              <w:rPr>
                <w:b/>
                <w:i/>
              </w:rPr>
              <w:t>Public Prosecutor’s Office v</w:t>
            </w:r>
            <w:r>
              <w:rPr>
                <w:b/>
                <w:i/>
              </w:rPr>
              <w:t>.</w:t>
            </w:r>
            <w:r w:rsidRPr="001B12C0">
              <w:rPr>
                <w:b/>
                <w:i/>
              </w:rPr>
              <w:t xml:space="preserve"> H Carlos </w:t>
            </w:r>
            <w:proofErr w:type="spellStart"/>
            <w:r w:rsidRPr="001B12C0">
              <w:rPr>
                <w:b/>
                <w:i/>
              </w:rPr>
              <w:t>Scheider</w:t>
            </w:r>
            <w:proofErr w:type="spellEnd"/>
            <w:r w:rsidRPr="001B12C0">
              <w:rPr>
                <w:b/>
                <w:i/>
              </w:rPr>
              <w:t xml:space="preserve"> S/A Comercio e </w:t>
            </w:r>
            <w:proofErr w:type="spellStart"/>
            <w:r w:rsidRPr="001B12C0">
              <w:rPr>
                <w:b/>
                <w:i/>
              </w:rPr>
              <w:t>Industria</w:t>
            </w:r>
            <w:proofErr w:type="spellEnd"/>
            <w:r w:rsidRPr="001B12C0">
              <w:rPr>
                <w:b/>
                <w:i/>
              </w:rPr>
              <w:t xml:space="preserve"> </w:t>
            </w:r>
          </w:p>
          <w:p w14:paraId="747FD2BF" w14:textId="77777777" w:rsidR="00D036AC" w:rsidRPr="00D82A82" w:rsidRDefault="00D036AC" w:rsidP="001929B8">
            <w:r>
              <w:lastRenderedPageBreak/>
              <w:t>(2007)</w:t>
            </w:r>
          </w:p>
        </w:tc>
        <w:tc>
          <w:tcPr>
            <w:tcW w:w="519" w:type="pct"/>
          </w:tcPr>
          <w:p w14:paraId="66C4DD00" w14:textId="77777777" w:rsidR="00D036AC" w:rsidRPr="001B12C0" w:rsidRDefault="00D036AC" w:rsidP="001929B8">
            <w:r w:rsidRPr="001B12C0">
              <w:lastRenderedPageBreak/>
              <w:t>Brazil</w:t>
            </w:r>
          </w:p>
        </w:tc>
        <w:tc>
          <w:tcPr>
            <w:tcW w:w="546" w:type="pct"/>
          </w:tcPr>
          <w:p w14:paraId="295F2D55" w14:textId="77777777" w:rsidR="00D036AC" w:rsidRPr="001B12C0" w:rsidRDefault="00D036AC" w:rsidP="001929B8">
            <w:r w:rsidRPr="001B12C0">
              <w:t>Public Prosecutor</w:t>
            </w:r>
          </w:p>
        </w:tc>
        <w:tc>
          <w:tcPr>
            <w:tcW w:w="588" w:type="pct"/>
          </w:tcPr>
          <w:p w14:paraId="435AD1AC" w14:textId="77777777" w:rsidR="00D036AC" w:rsidRPr="001B12C0" w:rsidRDefault="00D036AC" w:rsidP="001929B8">
            <w:r w:rsidRPr="001B12C0">
              <w:t>Company</w:t>
            </w:r>
          </w:p>
        </w:tc>
        <w:tc>
          <w:tcPr>
            <w:tcW w:w="521" w:type="pct"/>
          </w:tcPr>
          <w:p w14:paraId="0E2A8B61" w14:textId="77777777" w:rsidR="00D036AC" w:rsidRPr="001B12C0" w:rsidRDefault="00D036AC" w:rsidP="001929B8">
            <w:pPr>
              <w:jc w:val="center"/>
            </w:pPr>
            <w:r w:rsidRPr="001B12C0">
              <w:t>No</w:t>
            </w:r>
          </w:p>
        </w:tc>
        <w:tc>
          <w:tcPr>
            <w:tcW w:w="2000" w:type="pct"/>
          </w:tcPr>
          <w:p w14:paraId="1131BE31" w14:textId="77777777" w:rsidR="00D036AC" w:rsidRPr="001B12C0" w:rsidRDefault="00D036AC" w:rsidP="001929B8">
            <w:r w:rsidRPr="001B12C0">
              <w:t xml:space="preserve">The Public Prosecutor filed civil proceeding against the company for draining and clearing a mangrove forest to build a landfill and various structures in its place. The trial court ruled in </w:t>
            </w:r>
            <w:proofErr w:type="spellStart"/>
            <w:r w:rsidRPr="001B12C0">
              <w:t>favor</w:t>
            </w:r>
            <w:proofErr w:type="spellEnd"/>
            <w:r w:rsidRPr="001B12C0">
              <w:t xml:space="preserve"> of the Public Prosecutor. Its decision was upheld on appeal to the regional court and the Superior Court of Justice. The appellate judgment noted that mangroves serve important </w:t>
            </w:r>
            <w:r w:rsidRPr="001B12C0">
              <w:lastRenderedPageBreak/>
              <w:t>environmental functions and sea level rise makes it especially important to preserve them.</w:t>
            </w:r>
          </w:p>
        </w:tc>
      </w:tr>
      <w:tr w:rsidR="00A14303" w:rsidRPr="001B12C0" w14:paraId="2A6612A4" w14:textId="77777777" w:rsidTr="005D534E">
        <w:tc>
          <w:tcPr>
            <w:tcW w:w="209" w:type="pct"/>
            <w:tcBorders>
              <w:bottom w:val="single" w:sz="4" w:space="0" w:color="auto"/>
            </w:tcBorders>
          </w:tcPr>
          <w:p w14:paraId="5814C2E9" w14:textId="3470B2D3" w:rsidR="00D036AC" w:rsidRPr="00A14303" w:rsidRDefault="00A14303" w:rsidP="001929B8">
            <w:r w:rsidRPr="00A14303">
              <w:lastRenderedPageBreak/>
              <w:t>2</w:t>
            </w:r>
            <w:r w:rsidR="00EE0A1C">
              <w:t>9</w:t>
            </w:r>
          </w:p>
        </w:tc>
        <w:tc>
          <w:tcPr>
            <w:tcW w:w="617" w:type="pct"/>
            <w:tcBorders>
              <w:bottom w:val="single" w:sz="4" w:space="0" w:color="auto"/>
            </w:tcBorders>
          </w:tcPr>
          <w:p w14:paraId="6513B0F3" w14:textId="650EAC37" w:rsidR="00D036AC" w:rsidRPr="001B12C0" w:rsidRDefault="00A14303" w:rsidP="001929B8">
            <w:pPr>
              <w:rPr>
                <w:b/>
                <w:i/>
              </w:rPr>
            </w:pPr>
            <w:r>
              <w:rPr>
                <w:b/>
                <w:i/>
              </w:rPr>
              <w:t xml:space="preserve">Extraordinary Appeal to Declare the </w:t>
            </w:r>
            <w:proofErr w:type="spellStart"/>
            <w:r>
              <w:rPr>
                <w:b/>
                <w:i/>
              </w:rPr>
              <w:t>Unconstitut</w:t>
            </w:r>
            <w:r w:rsidR="007809EC">
              <w:rPr>
                <w:b/>
                <w:i/>
              </w:rPr>
              <w:t>-</w:t>
            </w:r>
            <w:r>
              <w:rPr>
                <w:b/>
                <w:i/>
              </w:rPr>
              <w:t>ionality</w:t>
            </w:r>
            <w:proofErr w:type="spellEnd"/>
            <w:r>
              <w:rPr>
                <w:b/>
                <w:i/>
              </w:rPr>
              <w:t xml:space="preserve"> of Law Number 1.952 </w:t>
            </w:r>
          </w:p>
          <w:p w14:paraId="3F7834DE" w14:textId="77777777" w:rsidR="00D036AC" w:rsidRPr="001B12C0" w:rsidRDefault="00D036AC" w:rsidP="001929B8">
            <w:r w:rsidRPr="001B12C0">
              <w:t>(2015)</w:t>
            </w:r>
          </w:p>
          <w:p w14:paraId="0190F348" w14:textId="77777777" w:rsidR="00D036AC" w:rsidRPr="001B12C0" w:rsidRDefault="00D036AC" w:rsidP="001929B8">
            <w:pPr>
              <w:rPr>
                <w:b/>
                <w:i/>
              </w:rPr>
            </w:pPr>
          </w:p>
          <w:p w14:paraId="30D1C156" w14:textId="77777777" w:rsidR="00D036AC" w:rsidRPr="001B12C0" w:rsidRDefault="00D036AC" w:rsidP="001929B8">
            <w:pPr>
              <w:rPr>
                <w:b/>
                <w:i/>
              </w:rPr>
            </w:pPr>
          </w:p>
        </w:tc>
        <w:tc>
          <w:tcPr>
            <w:tcW w:w="519" w:type="pct"/>
            <w:tcBorders>
              <w:bottom w:val="single" w:sz="4" w:space="0" w:color="auto"/>
            </w:tcBorders>
          </w:tcPr>
          <w:p w14:paraId="79F2D236" w14:textId="77777777" w:rsidR="00D036AC" w:rsidRPr="001B12C0" w:rsidRDefault="00D036AC" w:rsidP="001929B8">
            <w:r w:rsidRPr="001B12C0">
              <w:t xml:space="preserve">Brazil </w:t>
            </w:r>
          </w:p>
        </w:tc>
        <w:tc>
          <w:tcPr>
            <w:tcW w:w="546" w:type="pct"/>
            <w:tcBorders>
              <w:bottom w:val="single" w:sz="4" w:space="0" w:color="auto"/>
            </w:tcBorders>
          </w:tcPr>
          <w:p w14:paraId="73776261" w14:textId="77777777" w:rsidR="00D036AC" w:rsidRPr="001B12C0" w:rsidRDefault="00D036AC" w:rsidP="001929B8">
            <w:r w:rsidRPr="001B12C0">
              <w:t>Trade Unions</w:t>
            </w:r>
          </w:p>
          <w:p w14:paraId="4606161A" w14:textId="77777777" w:rsidR="00D036AC" w:rsidRPr="001B12C0" w:rsidRDefault="00D036AC" w:rsidP="001929B8">
            <w:r w:rsidRPr="001B12C0">
              <w:t xml:space="preserve">(Union of alcohol manufacturers and Union of Sugar producers in the state of Sao Paolo) </w:t>
            </w:r>
          </w:p>
          <w:p w14:paraId="728ACED1" w14:textId="77777777" w:rsidR="00D036AC" w:rsidRPr="001B12C0" w:rsidRDefault="00D036AC" w:rsidP="001929B8"/>
        </w:tc>
        <w:tc>
          <w:tcPr>
            <w:tcW w:w="588" w:type="pct"/>
            <w:tcBorders>
              <w:bottom w:val="single" w:sz="4" w:space="0" w:color="auto"/>
            </w:tcBorders>
          </w:tcPr>
          <w:p w14:paraId="522D0CEE" w14:textId="77777777" w:rsidR="00D036AC" w:rsidRPr="001B12C0" w:rsidRDefault="00D036AC" w:rsidP="001929B8">
            <w:r w:rsidRPr="001B12C0">
              <w:t>Municipal government</w:t>
            </w:r>
          </w:p>
        </w:tc>
        <w:tc>
          <w:tcPr>
            <w:tcW w:w="521" w:type="pct"/>
            <w:tcBorders>
              <w:bottom w:val="single" w:sz="4" w:space="0" w:color="auto"/>
            </w:tcBorders>
          </w:tcPr>
          <w:p w14:paraId="2555DA9B" w14:textId="77777777" w:rsidR="00D036AC" w:rsidRPr="001B12C0" w:rsidRDefault="00D036AC" w:rsidP="001929B8">
            <w:pPr>
              <w:jc w:val="center"/>
            </w:pPr>
            <w:r w:rsidRPr="001B12C0">
              <w:t>No</w:t>
            </w:r>
          </w:p>
        </w:tc>
        <w:tc>
          <w:tcPr>
            <w:tcW w:w="2000" w:type="pct"/>
            <w:tcBorders>
              <w:bottom w:val="single" w:sz="4" w:space="0" w:color="auto"/>
            </w:tcBorders>
          </w:tcPr>
          <w:p w14:paraId="69B04579" w14:textId="59A25CA5" w:rsidR="00D036AC" w:rsidRPr="001B12C0" w:rsidRDefault="00D036AC" w:rsidP="001929B8">
            <w:r w:rsidRPr="001B12C0">
              <w:t xml:space="preserve">Unions sought to declare a legislation of the municipality of </w:t>
            </w:r>
            <w:proofErr w:type="spellStart"/>
            <w:r w:rsidRPr="001B12C0">
              <w:t>Paulinia</w:t>
            </w:r>
            <w:proofErr w:type="spellEnd"/>
            <w:r w:rsidRPr="001B12C0">
              <w:t xml:space="preserve">, which prohibited intentional burning of sugarcane straw in its territory, to be unconstitutional. </w:t>
            </w:r>
            <w:r>
              <w:t>The f</w:t>
            </w:r>
            <w:r w:rsidRPr="001B12C0">
              <w:t xml:space="preserve">irst level court (Sao Paulo </w:t>
            </w:r>
            <w:r>
              <w:t>S</w:t>
            </w:r>
            <w:r w:rsidRPr="001B12C0">
              <w:t xml:space="preserve">tate </w:t>
            </w:r>
            <w:r>
              <w:t>C</w:t>
            </w:r>
            <w:r w:rsidRPr="001B12C0">
              <w:t xml:space="preserve">ourt) ruled in </w:t>
            </w:r>
            <w:proofErr w:type="spellStart"/>
            <w:r w:rsidRPr="001B12C0">
              <w:t>favor</w:t>
            </w:r>
            <w:proofErr w:type="spellEnd"/>
            <w:r w:rsidRPr="001B12C0">
              <w:t xml:space="preserve"> of the defendant. The state of Sao Paolo appealed to the </w:t>
            </w:r>
            <w:r w:rsidR="00A14303">
              <w:t>Brazilian High Court</w:t>
            </w:r>
            <w:r w:rsidRPr="001B12C0">
              <w:t xml:space="preserve">, claiming that the municipal law harmed the state’s economy. The trade unions also presented similar appeals to the </w:t>
            </w:r>
            <w:r w:rsidR="00A14303">
              <w:t>High Court.</w:t>
            </w:r>
            <w:r w:rsidRPr="001B12C0">
              <w:t xml:space="preserve"> Decision reversed. </w:t>
            </w:r>
          </w:p>
        </w:tc>
      </w:tr>
      <w:tr w:rsidR="00A14303" w:rsidRPr="001B12C0" w14:paraId="593F973F" w14:textId="77777777" w:rsidTr="005D534E">
        <w:tc>
          <w:tcPr>
            <w:tcW w:w="209" w:type="pct"/>
            <w:tcBorders>
              <w:bottom w:val="single" w:sz="4" w:space="0" w:color="auto"/>
            </w:tcBorders>
          </w:tcPr>
          <w:p w14:paraId="4F7C05A9" w14:textId="1F642EB8" w:rsidR="00D036AC" w:rsidRPr="00A14303" w:rsidRDefault="00EE0A1C" w:rsidP="001929B8">
            <w:r>
              <w:t>30</w:t>
            </w:r>
          </w:p>
        </w:tc>
        <w:tc>
          <w:tcPr>
            <w:tcW w:w="617" w:type="pct"/>
            <w:tcBorders>
              <w:bottom w:val="single" w:sz="4" w:space="0" w:color="auto"/>
            </w:tcBorders>
          </w:tcPr>
          <w:p w14:paraId="28E5F5B2" w14:textId="2F86551D" w:rsidR="00D036AC" w:rsidRPr="001B12C0" w:rsidRDefault="00D036AC" w:rsidP="001929B8">
            <w:r w:rsidRPr="001B12C0">
              <w:rPr>
                <w:b/>
                <w:i/>
              </w:rPr>
              <w:t>Protection of High-Altitude Ecosystem</w:t>
            </w:r>
            <w:r w:rsidRPr="001B12C0">
              <w:t xml:space="preserve"> (</w:t>
            </w:r>
            <w:r>
              <w:t>2016)</w:t>
            </w:r>
          </w:p>
        </w:tc>
        <w:tc>
          <w:tcPr>
            <w:tcW w:w="519" w:type="pct"/>
            <w:tcBorders>
              <w:bottom w:val="single" w:sz="4" w:space="0" w:color="auto"/>
            </w:tcBorders>
          </w:tcPr>
          <w:p w14:paraId="190F7885" w14:textId="77777777" w:rsidR="00D036AC" w:rsidRPr="001B12C0" w:rsidRDefault="00D036AC" w:rsidP="001929B8">
            <w:r w:rsidRPr="001B12C0">
              <w:t xml:space="preserve">Colombia </w:t>
            </w:r>
          </w:p>
          <w:p w14:paraId="018F4B68" w14:textId="77777777" w:rsidR="00D036AC" w:rsidRPr="001B12C0" w:rsidRDefault="00D036AC" w:rsidP="001929B8"/>
          <w:p w14:paraId="714C7406" w14:textId="77777777" w:rsidR="00D036AC" w:rsidRPr="001B12C0" w:rsidRDefault="00D036AC" w:rsidP="001929B8"/>
          <w:p w14:paraId="1D0C0092" w14:textId="77777777" w:rsidR="00D036AC" w:rsidRPr="001B12C0" w:rsidRDefault="00D036AC" w:rsidP="001929B8"/>
          <w:p w14:paraId="707E9FC0" w14:textId="77777777" w:rsidR="00D036AC" w:rsidRPr="001B12C0" w:rsidRDefault="00D036AC" w:rsidP="001929B8"/>
        </w:tc>
        <w:tc>
          <w:tcPr>
            <w:tcW w:w="546" w:type="pct"/>
            <w:tcBorders>
              <w:bottom w:val="single" w:sz="4" w:space="0" w:color="auto"/>
            </w:tcBorders>
          </w:tcPr>
          <w:p w14:paraId="44C38A3A" w14:textId="77777777" w:rsidR="00D036AC" w:rsidRPr="001B12C0" w:rsidRDefault="00D036AC" w:rsidP="001929B8">
            <w:r w:rsidRPr="001B12C0">
              <w:t>Individuals</w:t>
            </w:r>
          </w:p>
        </w:tc>
        <w:tc>
          <w:tcPr>
            <w:tcW w:w="588" w:type="pct"/>
            <w:tcBorders>
              <w:bottom w:val="single" w:sz="4" w:space="0" w:color="auto"/>
            </w:tcBorders>
          </w:tcPr>
          <w:p w14:paraId="1C9AA81E" w14:textId="77777777" w:rsidR="00D036AC" w:rsidRPr="001B12C0" w:rsidRDefault="00D036AC" w:rsidP="001929B8">
            <w:r w:rsidRPr="001B12C0">
              <w:t>Government</w:t>
            </w:r>
          </w:p>
        </w:tc>
        <w:tc>
          <w:tcPr>
            <w:tcW w:w="521" w:type="pct"/>
            <w:tcBorders>
              <w:bottom w:val="single" w:sz="4" w:space="0" w:color="auto"/>
            </w:tcBorders>
          </w:tcPr>
          <w:p w14:paraId="74304097" w14:textId="77777777" w:rsidR="00D036AC" w:rsidRPr="001B12C0" w:rsidRDefault="00D036AC" w:rsidP="001929B8">
            <w:pPr>
              <w:jc w:val="center"/>
            </w:pPr>
            <w:r w:rsidRPr="001B12C0">
              <w:t>No</w:t>
            </w:r>
          </w:p>
        </w:tc>
        <w:tc>
          <w:tcPr>
            <w:tcW w:w="2000" w:type="pct"/>
            <w:tcBorders>
              <w:bottom w:val="single" w:sz="4" w:space="0" w:color="auto"/>
            </w:tcBorders>
          </w:tcPr>
          <w:p w14:paraId="7A2ADBCF" w14:textId="77777777" w:rsidR="00D036AC" w:rsidRPr="001B12C0" w:rsidRDefault="00D036AC" w:rsidP="001929B8">
            <w:r w:rsidRPr="001B12C0">
              <w:t xml:space="preserve">Constitutional Court struck down provisions in the laws that established Colombia’s National Development Plan that allowed infrastructure development that will threaten high altitude ecosystems known as “paramos.” The Court highlighted that, amongst other important ecosystem services, the paramos was an important carbon capture system. </w:t>
            </w:r>
          </w:p>
        </w:tc>
      </w:tr>
      <w:tr w:rsidR="00A14303" w:rsidRPr="001B12C0" w14:paraId="2FD71090" w14:textId="77777777" w:rsidTr="005D534E">
        <w:tc>
          <w:tcPr>
            <w:tcW w:w="209" w:type="pct"/>
            <w:tcBorders>
              <w:bottom w:val="single" w:sz="4" w:space="0" w:color="auto"/>
            </w:tcBorders>
          </w:tcPr>
          <w:p w14:paraId="58D7F142" w14:textId="615AC059" w:rsidR="00D036AC" w:rsidRPr="00A14303" w:rsidRDefault="00A14303" w:rsidP="001929B8">
            <w:r w:rsidRPr="00A14303">
              <w:t>3</w:t>
            </w:r>
            <w:r w:rsidR="00EE0A1C">
              <w:t>1</w:t>
            </w:r>
          </w:p>
        </w:tc>
        <w:tc>
          <w:tcPr>
            <w:tcW w:w="617" w:type="pct"/>
            <w:tcBorders>
              <w:bottom w:val="single" w:sz="4" w:space="0" w:color="auto"/>
            </w:tcBorders>
          </w:tcPr>
          <w:p w14:paraId="779A403F" w14:textId="63F21336" w:rsidR="00D036AC" w:rsidRPr="001B12C0" w:rsidRDefault="00D036AC" w:rsidP="001929B8">
            <w:pPr>
              <w:rPr>
                <w:b/>
                <w:i/>
              </w:rPr>
            </w:pPr>
            <w:r w:rsidRPr="001B12C0">
              <w:rPr>
                <w:b/>
                <w:i/>
              </w:rPr>
              <w:t xml:space="preserve">Future Generations v </w:t>
            </w:r>
          </w:p>
          <w:p w14:paraId="739FB475" w14:textId="77777777" w:rsidR="00D036AC" w:rsidRPr="001B12C0" w:rsidRDefault="00D036AC" w:rsidP="001929B8">
            <w:pPr>
              <w:rPr>
                <w:b/>
                <w:i/>
              </w:rPr>
            </w:pPr>
            <w:r w:rsidRPr="001B12C0">
              <w:rPr>
                <w:b/>
                <w:i/>
              </w:rPr>
              <w:t>Ministry of Env</w:t>
            </w:r>
            <w:r>
              <w:rPr>
                <w:b/>
                <w:i/>
              </w:rPr>
              <w:t>ironment</w:t>
            </w:r>
          </w:p>
          <w:p w14:paraId="50DAEB35" w14:textId="77777777" w:rsidR="00D036AC" w:rsidRPr="001B12C0" w:rsidRDefault="00D036AC" w:rsidP="001929B8">
            <w:r w:rsidRPr="001B12C0">
              <w:t>(2018)</w:t>
            </w:r>
          </w:p>
        </w:tc>
        <w:tc>
          <w:tcPr>
            <w:tcW w:w="519" w:type="pct"/>
            <w:tcBorders>
              <w:bottom w:val="single" w:sz="4" w:space="0" w:color="auto"/>
            </w:tcBorders>
          </w:tcPr>
          <w:p w14:paraId="797E3016" w14:textId="77777777" w:rsidR="00D036AC" w:rsidRPr="001B12C0" w:rsidRDefault="00D036AC" w:rsidP="001929B8">
            <w:r w:rsidRPr="001B12C0">
              <w:t xml:space="preserve">Colombia </w:t>
            </w:r>
          </w:p>
          <w:p w14:paraId="7907A20B" w14:textId="77777777" w:rsidR="00D036AC" w:rsidRPr="001B12C0" w:rsidRDefault="00D036AC" w:rsidP="001929B8"/>
        </w:tc>
        <w:tc>
          <w:tcPr>
            <w:tcW w:w="546" w:type="pct"/>
            <w:tcBorders>
              <w:bottom w:val="single" w:sz="4" w:space="0" w:color="auto"/>
            </w:tcBorders>
          </w:tcPr>
          <w:p w14:paraId="34E0691F" w14:textId="77777777" w:rsidR="00D036AC" w:rsidRPr="001B12C0" w:rsidRDefault="00D036AC" w:rsidP="001929B8">
            <w:r w:rsidRPr="001B12C0">
              <w:t xml:space="preserve">25 youths aged between 7 and 26 years (represented by Colombian NGO, </w:t>
            </w:r>
            <w:proofErr w:type="spellStart"/>
            <w:r w:rsidRPr="001B12C0">
              <w:t>Dejustica</w:t>
            </w:r>
            <w:proofErr w:type="spellEnd"/>
            <w:r w:rsidRPr="001B12C0">
              <w:t>)</w:t>
            </w:r>
          </w:p>
        </w:tc>
        <w:tc>
          <w:tcPr>
            <w:tcW w:w="588" w:type="pct"/>
            <w:tcBorders>
              <w:bottom w:val="single" w:sz="4" w:space="0" w:color="auto"/>
            </w:tcBorders>
          </w:tcPr>
          <w:p w14:paraId="202D9E1C" w14:textId="77777777" w:rsidR="00D036AC" w:rsidRPr="001B12C0" w:rsidRDefault="00D036AC" w:rsidP="001929B8">
            <w:r w:rsidRPr="001B12C0">
              <w:t>Government</w:t>
            </w:r>
          </w:p>
        </w:tc>
        <w:tc>
          <w:tcPr>
            <w:tcW w:w="521" w:type="pct"/>
            <w:tcBorders>
              <w:bottom w:val="single" w:sz="4" w:space="0" w:color="auto"/>
            </w:tcBorders>
            <w:vAlign w:val="center"/>
          </w:tcPr>
          <w:p w14:paraId="11175577" w14:textId="77777777" w:rsidR="00D036AC" w:rsidRPr="001B12C0" w:rsidRDefault="00D036AC" w:rsidP="001929B8">
            <w:r w:rsidRPr="001B12C0">
              <w:t>Yes.</w:t>
            </w:r>
          </w:p>
          <w:p w14:paraId="47368009" w14:textId="77777777" w:rsidR="00D036AC" w:rsidRPr="001B12C0" w:rsidRDefault="00D036AC" w:rsidP="001929B8">
            <w:proofErr w:type="spellStart"/>
            <w:r w:rsidRPr="001B12C0">
              <w:t>Dejustica</w:t>
            </w:r>
            <w:proofErr w:type="spellEnd"/>
            <w:r w:rsidRPr="001B12C0">
              <w:t xml:space="preserve"> states clearly on its website that it seeks to foster </w:t>
            </w:r>
            <w:r>
              <w:t>G</w:t>
            </w:r>
            <w:r w:rsidRPr="001B12C0">
              <w:t xml:space="preserve">lobal </w:t>
            </w:r>
            <w:r>
              <w:t>N</w:t>
            </w:r>
            <w:r w:rsidRPr="001B12C0">
              <w:t xml:space="preserve">orth and </w:t>
            </w:r>
            <w:r>
              <w:t>G</w:t>
            </w:r>
            <w:r w:rsidRPr="001B12C0">
              <w:t xml:space="preserve">lobal </w:t>
            </w:r>
            <w:r>
              <w:t>S</w:t>
            </w:r>
            <w:r w:rsidRPr="001B12C0">
              <w:t xml:space="preserve">outh </w:t>
            </w:r>
            <w:r w:rsidRPr="001B12C0">
              <w:lastRenderedPageBreak/>
              <w:t>collaboration through, for example, participation in transnational advocacy networks.</w:t>
            </w:r>
          </w:p>
        </w:tc>
        <w:tc>
          <w:tcPr>
            <w:tcW w:w="2000" w:type="pct"/>
            <w:tcBorders>
              <w:bottom w:val="single" w:sz="4" w:space="0" w:color="auto"/>
            </w:tcBorders>
          </w:tcPr>
          <w:p w14:paraId="10DAAFE4" w14:textId="77777777" w:rsidR="00D036AC" w:rsidRPr="001B12C0" w:rsidRDefault="00D036AC" w:rsidP="001929B8">
            <w:r w:rsidRPr="001B12C0">
              <w:lastRenderedPageBreak/>
              <w:t xml:space="preserve">Plaintiffs alleged that climate change, along with the government’s failure to reduce deforestation and ensure compliance with a target for zero-net deforestation in the Colombian Amazon by the year 2020, (as agreed under the Paris Agreement and the National Development Plan 2014-2018), threatened plaintiffs’ fundamental rights. The Lower Court ruled against the plaintiffs. Supreme Court reversed the lower court decision, recognizing that fundamental rights of life </w:t>
            </w:r>
            <w:r w:rsidRPr="001B12C0">
              <w:lastRenderedPageBreak/>
              <w:t xml:space="preserve">and human dignity are linked to the environment. The Supreme Court also recognized that the Amazon is a “subject of rights.” Ordered the government to implement action plans to reduce deforestation in the Amazon. </w:t>
            </w:r>
          </w:p>
          <w:p w14:paraId="309A7068" w14:textId="77777777" w:rsidR="00D036AC" w:rsidRPr="001B12C0" w:rsidRDefault="00D036AC" w:rsidP="001929B8"/>
        </w:tc>
      </w:tr>
      <w:tr w:rsidR="00A14303" w:rsidRPr="001B12C0" w14:paraId="56FA5951" w14:textId="77777777" w:rsidTr="005D534E">
        <w:tc>
          <w:tcPr>
            <w:tcW w:w="209" w:type="pct"/>
            <w:tcBorders>
              <w:bottom w:val="single" w:sz="4" w:space="0" w:color="auto"/>
            </w:tcBorders>
          </w:tcPr>
          <w:p w14:paraId="4F71CB8C" w14:textId="072D745C" w:rsidR="00D036AC" w:rsidRPr="00A14303" w:rsidRDefault="00A14303" w:rsidP="001929B8">
            <w:r w:rsidRPr="00A14303">
              <w:lastRenderedPageBreak/>
              <w:t>3</w:t>
            </w:r>
            <w:r w:rsidR="00EE0A1C">
              <w:t>2</w:t>
            </w:r>
          </w:p>
        </w:tc>
        <w:tc>
          <w:tcPr>
            <w:tcW w:w="617" w:type="pct"/>
            <w:tcBorders>
              <w:bottom w:val="single" w:sz="4" w:space="0" w:color="auto"/>
            </w:tcBorders>
          </w:tcPr>
          <w:p w14:paraId="68A3226D" w14:textId="6F4F475E" w:rsidR="00D036AC" w:rsidRPr="001B12C0" w:rsidRDefault="00D036AC" w:rsidP="001929B8">
            <w:pPr>
              <w:rPr>
                <w:b/>
                <w:i/>
              </w:rPr>
            </w:pPr>
            <w:r w:rsidRPr="001B12C0">
              <w:rPr>
                <w:b/>
                <w:i/>
              </w:rPr>
              <w:t xml:space="preserve">Advisory Opinion on the </w:t>
            </w:r>
            <w:r>
              <w:rPr>
                <w:b/>
                <w:i/>
              </w:rPr>
              <w:t>C</w:t>
            </w:r>
            <w:r w:rsidRPr="001B12C0">
              <w:rPr>
                <w:b/>
                <w:i/>
              </w:rPr>
              <w:t>onstitutionality of bilateral treaty</w:t>
            </w:r>
          </w:p>
          <w:p w14:paraId="556C9FB0" w14:textId="77777777" w:rsidR="00D036AC" w:rsidRPr="001B12C0" w:rsidRDefault="00D036AC" w:rsidP="001929B8">
            <w:r w:rsidRPr="001B12C0">
              <w:t>(</w:t>
            </w:r>
            <w:r>
              <w:t>2013)</w:t>
            </w:r>
          </w:p>
        </w:tc>
        <w:tc>
          <w:tcPr>
            <w:tcW w:w="519" w:type="pct"/>
            <w:tcBorders>
              <w:bottom w:val="single" w:sz="4" w:space="0" w:color="auto"/>
            </w:tcBorders>
          </w:tcPr>
          <w:p w14:paraId="433718F3" w14:textId="77777777" w:rsidR="00D036AC" w:rsidRPr="001B12C0" w:rsidRDefault="00D036AC" w:rsidP="001929B8">
            <w:r w:rsidRPr="001B12C0">
              <w:t>Ecuador</w:t>
            </w:r>
          </w:p>
          <w:p w14:paraId="33C4FF57" w14:textId="77777777" w:rsidR="00D036AC" w:rsidRPr="001B12C0" w:rsidRDefault="00D036AC" w:rsidP="001929B8"/>
        </w:tc>
        <w:tc>
          <w:tcPr>
            <w:tcW w:w="546" w:type="pct"/>
            <w:tcBorders>
              <w:bottom w:val="single" w:sz="4" w:space="0" w:color="auto"/>
            </w:tcBorders>
          </w:tcPr>
          <w:p w14:paraId="27847703" w14:textId="77777777" w:rsidR="00D036AC" w:rsidRPr="001B12C0" w:rsidRDefault="00D036AC" w:rsidP="001929B8">
            <w:pPr>
              <w:jc w:val="center"/>
            </w:pPr>
            <w:r w:rsidRPr="001B12C0">
              <w:t>-</w:t>
            </w:r>
          </w:p>
        </w:tc>
        <w:tc>
          <w:tcPr>
            <w:tcW w:w="588" w:type="pct"/>
            <w:tcBorders>
              <w:bottom w:val="single" w:sz="4" w:space="0" w:color="auto"/>
            </w:tcBorders>
          </w:tcPr>
          <w:p w14:paraId="1FD66FBB" w14:textId="77777777" w:rsidR="00D036AC" w:rsidRPr="001B12C0" w:rsidRDefault="00D036AC" w:rsidP="001929B8">
            <w:pPr>
              <w:jc w:val="center"/>
            </w:pPr>
            <w:r w:rsidRPr="001B12C0">
              <w:t>-</w:t>
            </w:r>
          </w:p>
        </w:tc>
        <w:tc>
          <w:tcPr>
            <w:tcW w:w="521" w:type="pct"/>
            <w:tcBorders>
              <w:bottom w:val="single" w:sz="4" w:space="0" w:color="auto"/>
            </w:tcBorders>
          </w:tcPr>
          <w:p w14:paraId="008910E9" w14:textId="77777777" w:rsidR="00D036AC" w:rsidRPr="001B12C0" w:rsidRDefault="00D036AC" w:rsidP="001929B8">
            <w:pPr>
              <w:jc w:val="center"/>
            </w:pPr>
            <w:r w:rsidRPr="001B12C0">
              <w:t>No</w:t>
            </w:r>
          </w:p>
        </w:tc>
        <w:tc>
          <w:tcPr>
            <w:tcW w:w="2000" w:type="pct"/>
            <w:tcBorders>
              <w:bottom w:val="single" w:sz="4" w:space="0" w:color="auto"/>
            </w:tcBorders>
          </w:tcPr>
          <w:p w14:paraId="255A620F" w14:textId="77777777" w:rsidR="00D036AC" w:rsidRPr="001B12C0" w:rsidRDefault="00D036AC" w:rsidP="001929B8">
            <w:r w:rsidRPr="001B12C0">
              <w:t xml:space="preserve">The Constitutional Court held that the bilateral treaty on climate change, biodiversity and sustainable development between Ecuador and Peru is constitutional but must receive Parliamentary approval. </w:t>
            </w:r>
          </w:p>
          <w:p w14:paraId="1770A1C2" w14:textId="77777777" w:rsidR="00D036AC" w:rsidRPr="001B12C0" w:rsidRDefault="00D036AC" w:rsidP="001929B8"/>
        </w:tc>
      </w:tr>
      <w:tr w:rsidR="00A14303" w:rsidRPr="001B12C0" w14:paraId="222BF865" w14:textId="77777777" w:rsidTr="005D534E">
        <w:tc>
          <w:tcPr>
            <w:tcW w:w="209" w:type="pct"/>
          </w:tcPr>
          <w:p w14:paraId="53B9905B" w14:textId="1D2904A5" w:rsidR="00D036AC" w:rsidRPr="00A14303" w:rsidRDefault="00A14303" w:rsidP="001929B8">
            <w:r w:rsidRPr="00A14303">
              <w:t>3</w:t>
            </w:r>
            <w:r w:rsidR="00EE0A1C">
              <w:t>3</w:t>
            </w:r>
          </w:p>
        </w:tc>
        <w:tc>
          <w:tcPr>
            <w:tcW w:w="617" w:type="pct"/>
          </w:tcPr>
          <w:p w14:paraId="5D4165B5" w14:textId="5B9A9100" w:rsidR="00D036AC" w:rsidRPr="001B12C0" w:rsidRDefault="00D036AC" w:rsidP="001929B8">
            <w:pPr>
              <w:rPr>
                <w:b/>
                <w:i/>
              </w:rPr>
            </w:pPr>
            <w:r w:rsidRPr="001B12C0">
              <w:rPr>
                <w:b/>
                <w:i/>
              </w:rPr>
              <w:t>Advisory Opinion on the Environment and Human Rights</w:t>
            </w:r>
          </w:p>
          <w:p w14:paraId="30E7BADB" w14:textId="77777777" w:rsidR="00D036AC" w:rsidRPr="001B12C0" w:rsidRDefault="00D036AC" w:rsidP="001929B8">
            <w:pPr>
              <w:rPr>
                <w:b/>
                <w:i/>
              </w:rPr>
            </w:pPr>
            <w:r w:rsidRPr="001B12C0">
              <w:t>(2018)</w:t>
            </w:r>
          </w:p>
        </w:tc>
        <w:tc>
          <w:tcPr>
            <w:tcW w:w="519" w:type="pct"/>
          </w:tcPr>
          <w:p w14:paraId="44F81ED4" w14:textId="77777777" w:rsidR="00D036AC" w:rsidRPr="001B12C0" w:rsidRDefault="00D036AC" w:rsidP="001929B8">
            <w:r w:rsidRPr="001B12C0">
              <w:t>Inter-American Court of Human Rights (IACHR)</w:t>
            </w:r>
          </w:p>
        </w:tc>
        <w:tc>
          <w:tcPr>
            <w:tcW w:w="546" w:type="pct"/>
          </w:tcPr>
          <w:p w14:paraId="7DC3787D" w14:textId="77777777" w:rsidR="00D036AC" w:rsidRPr="001B12C0" w:rsidRDefault="00D036AC" w:rsidP="001929B8">
            <w:pPr>
              <w:jc w:val="center"/>
            </w:pPr>
            <w:r w:rsidRPr="001B12C0">
              <w:t>-</w:t>
            </w:r>
          </w:p>
        </w:tc>
        <w:tc>
          <w:tcPr>
            <w:tcW w:w="588" w:type="pct"/>
          </w:tcPr>
          <w:p w14:paraId="4EF24C92" w14:textId="77777777" w:rsidR="00D036AC" w:rsidRPr="001B12C0" w:rsidRDefault="00D036AC" w:rsidP="001929B8">
            <w:pPr>
              <w:jc w:val="center"/>
            </w:pPr>
            <w:r w:rsidRPr="001B12C0">
              <w:t>-</w:t>
            </w:r>
          </w:p>
        </w:tc>
        <w:tc>
          <w:tcPr>
            <w:tcW w:w="521" w:type="pct"/>
          </w:tcPr>
          <w:p w14:paraId="40704BF0" w14:textId="77777777" w:rsidR="00D036AC" w:rsidRPr="001B12C0" w:rsidRDefault="00D036AC" w:rsidP="001929B8">
            <w:pPr>
              <w:jc w:val="center"/>
            </w:pPr>
            <w:r w:rsidRPr="001B12C0">
              <w:t>No</w:t>
            </w:r>
          </w:p>
        </w:tc>
        <w:tc>
          <w:tcPr>
            <w:tcW w:w="2000" w:type="pct"/>
          </w:tcPr>
          <w:p w14:paraId="2F1E1A4B" w14:textId="77777777" w:rsidR="00D036AC" w:rsidRPr="001B12C0" w:rsidRDefault="00D036AC" w:rsidP="001929B8">
            <w:r w:rsidRPr="001B12C0">
              <w:t xml:space="preserve">In this Advisory Opinion, the court recognized an “independent” right to a healthy environment that is justiciable under Article 26 of the American Convention (Progressive Development). This gives rise to the possibility that environmental harm could be justiciable without evidence of harm to human individuals. </w:t>
            </w:r>
          </w:p>
          <w:p w14:paraId="30E37C80" w14:textId="77777777" w:rsidR="00D036AC" w:rsidRPr="001B12C0" w:rsidRDefault="00D036AC" w:rsidP="001929B8"/>
        </w:tc>
      </w:tr>
      <w:tr w:rsidR="00EE0A1C" w:rsidRPr="001B12C0" w14:paraId="50E1DD83" w14:textId="77777777" w:rsidTr="005D534E">
        <w:tc>
          <w:tcPr>
            <w:tcW w:w="209" w:type="pct"/>
          </w:tcPr>
          <w:p w14:paraId="6D049D9F" w14:textId="0F2202F2" w:rsidR="00EE0A1C" w:rsidRDefault="00EE0A1C" w:rsidP="001929B8"/>
          <w:p w14:paraId="26D7B0F1" w14:textId="4B1B2D0C" w:rsidR="00EE0A1C" w:rsidRDefault="00EE0A1C" w:rsidP="001929B8">
            <w:r w:rsidRPr="00EE0A1C">
              <w:rPr>
                <w:highlight w:val="yellow"/>
              </w:rPr>
              <w:t>34</w:t>
            </w:r>
          </w:p>
          <w:p w14:paraId="1075B80A" w14:textId="77777777" w:rsidR="00EE0A1C" w:rsidRDefault="00EE0A1C" w:rsidP="001929B8"/>
          <w:p w14:paraId="3F727A0A" w14:textId="651FCFDA" w:rsidR="00EE0A1C" w:rsidRPr="00A14303" w:rsidRDefault="00EE0A1C" w:rsidP="001929B8"/>
        </w:tc>
        <w:tc>
          <w:tcPr>
            <w:tcW w:w="617" w:type="pct"/>
          </w:tcPr>
          <w:p w14:paraId="07F292FC" w14:textId="7808C85F" w:rsidR="00EE0A1C" w:rsidRDefault="00160528" w:rsidP="001929B8">
            <w:pPr>
              <w:rPr>
                <w:b/>
                <w:i/>
              </w:rPr>
            </w:pPr>
            <w:r>
              <w:rPr>
                <w:b/>
                <w:i/>
              </w:rPr>
              <w:t xml:space="preserve">Barrick and </w:t>
            </w:r>
            <w:proofErr w:type="spellStart"/>
            <w:r>
              <w:rPr>
                <w:b/>
                <w:i/>
              </w:rPr>
              <w:t>Exploraciones</w:t>
            </w:r>
            <w:proofErr w:type="spellEnd"/>
            <w:r>
              <w:rPr>
                <w:b/>
                <w:i/>
              </w:rPr>
              <w:t xml:space="preserve"> </w:t>
            </w:r>
            <w:proofErr w:type="spellStart"/>
            <w:r>
              <w:rPr>
                <w:b/>
                <w:i/>
              </w:rPr>
              <w:t>Mineras</w:t>
            </w:r>
            <w:proofErr w:type="spellEnd"/>
            <w:r>
              <w:rPr>
                <w:b/>
                <w:i/>
              </w:rPr>
              <w:t xml:space="preserve"> </w:t>
            </w:r>
            <w:proofErr w:type="spellStart"/>
            <w:r>
              <w:rPr>
                <w:b/>
                <w:i/>
              </w:rPr>
              <w:t>Argentinas</w:t>
            </w:r>
            <w:proofErr w:type="spellEnd"/>
            <w:r>
              <w:rPr>
                <w:b/>
                <w:i/>
              </w:rPr>
              <w:t xml:space="preserve"> SA v. Argentina </w:t>
            </w:r>
          </w:p>
          <w:p w14:paraId="03FBCBEB" w14:textId="13AB829D" w:rsidR="00160528" w:rsidRPr="00160528" w:rsidRDefault="00160528" w:rsidP="001929B8">
            <w:pPr>
              <w:rPr>
                <w:bCs/>
                <w:iCs/>
              </w:rPr>
            </w:pPr>
            <w:r w:rsidRPr="00160528">
              <w:rPr>
                <w:bCs/>
                <w:iCs/>
              </w:rPr>
              <w:t xml:space="preserve">(2019) </w:t>
            </w:r>
          </w:p>
          <w:p w14:paraId="25C0B178" w14:textId="6FD98C91" w:rsidR="00160528" w:rsidRPr="001B12C0" w:rsidRDefault="00160528" w:rsidP="001929B8">
            <w:pPr>
              <w:rPr>
                <w:b/>
                <w:i/>
              </w:rPr>
            </w:pPr>
          </w:p>
        </w:tc>
        <w:tc>
          <w:tcPr>
            <w:tcW w:w="519" w:type="pct"/>
          </w:tcPr>
          <w:p w14:paraId="6C650848" w14:textId="799E2406" w:rsidR="00EE0A1C" w:rsidRPr="001B12C0" w:rsidRDefault="00160528" w:rsidP="001929B8">
            <w:r>
              <w:lastRenderedPageBreak/>
              <w:t xml:space="preserve">Argentinian Supreme Court </w:t>
            </w:r>
          </w:p>
        </w:tc>
        <w:tc>
          <w:tcPr>
            <w:tcW w:w="546" w:type="pct"/>
          </w:tcPr>
          <w:p w14:paraId="37320ABC" w14:textId="7EF1A559" w:rsidR="00EE0A1C" w:rsidRDefault="00160528" w:rsidP="00160528">
            <w:pPr>
              <w:rPr>
                <w:bCs/>
                <w:iCs/>
              </w:rPr>
            </w:pPr>
            <w:r>
              <w:t xml:space="preserve">Mining companies; Barrick and </w:t>
            </w:r>
            <w:proofErr w:type="spellStart"/>
            <w:r w:rsidRPr="00160528">
              <w:rPr>
                <w:bCs/>
                <w:iCs/>
              </w:rPr>
              <w:t>Exploraciones</w:t>
            </w:r>
            <w:proofErr w:type="spellEnd"/>
            <w:r w:rsidRPr="00160528">
              <w:rPr>
                <w:bCs/>
                <w:iCs/>
              </w:rPr>
              <w:t xml:space="preserve"> </w:t>
            </w:r>
            <w:proofErr w:type="spellStart"/>
            <w:r w:rsidRPr="00160528">
              <w:rPr>
                <w:bCs/>
                <w:iCs/>
              </w:rPr>
              <w:t>Mineras</w:t>
            </w:r>
            <w:proofErr w:type="spellEnd"/>
            <w:r w:rsidRPr="00160528">
              <w:rPr>
                <w:bCs/>
                <w:iCs/>
              </w:rPr>
              <w:t xml:space="preserve"> </w:t>
            </w:r>
            <w:proofErr w:type="spellStart"/>
            <w:r w:rsidRPr="00160528">
              <w:rPr>
                <w:bCs/>
                <w:iCs/>
              </w:rPr>
              <w:t>Argentinas</w:t>
            </w:r>
            <w:proofErr w:type="spellEnd"/>
            <w:r w:rsidRPr="00160528">
              <w:rPr>
                <w:bCs/>
                <w:iCs/>
              </w:rPr>
              <w:t xml:space="preserve"> SA</w:t>
            </w:r>
            <w:r>
              <w:rPr>
                <w:bCs/>
                <w:iCs/>
              </w:rPr>
              <w:t xml:space="preserve">, </w:t>
            </w:r>
            <w:r>
              <w:rPr>
                <w:bCs/>
                <w:iCs/>
              </w:rPr>
              <w:lastRenderedPageBreak/>
              <w:t>concession</w:t>
            </w:r>
            <w:r w:rsidR="007809EC">
              <w:rPr>
                <w:bCs/>
                <w:iCs/>
              </w:rPr>
              <w:t>-</w:t>
            </w:r>
            <w:proofErr w:type="spellStart"/>
            <w:r>
              <w:rPr>
                <w:bCs/>
                <w:iCs/>
              </w:rPr>
              <w:t>aires</w:t>
            </w:r>
            <w:proofErr w:type="spellEnd"/>
            <w:r>
              <w:rPr>
                <w:bCs/>
                <w:iCs/>
              </w:rPr>
              <w:t xml:space="preserve"> of the Pascua Lama mine  </w:t>
            </w:r>
          </w:p>
          <w:p w14:paraId="4E5AEEF2" w14:textId="77777777" w:rsidR="00160528" w:rsidRDefault="00160528" w:rsidP="00160528">
            <w:pPr>
              <w:rPr>
                <w:bCs/>
                <w:iCs/>
              </w:rPr>
            </w:pPr>
          </w:p>
          <w:p w14:paraId="7AFB9B21" w14:textId="15D2AD9C" w:rsidR="00160528" w:rsidRPr="001B12C0" w:rsidRDefault="00160528" w:rsidP="00160528"/>
        </w:tc>
        <w:tc>
          <w:tcPr>
            <w:tcW w:w="588" w:type="pct"/>
          </w:tcPr>
          <w:p w14:paraId="217B2D43" w14:textId="2C55AA1F" w:rsidR="00EE0A1C" w:rsidRPr="001B12C0" w:rsidRDefault="00160528" w:rsidP="001929B8">
            <w:pPr>
              <w:jc w:val="center"/>
            </w:pPr>
            <w:r>
              <w:lastRenderedPageBreak/>
              <w:t xml:space="preserve">Government </w:t>
            </w:r>
          </w:p>
        </w:tc>
        <w:tc>
          <w:tcPr>
            <w:tcW w:w="521" w:type="pct"/>
          </w:tcPr>
          <w:p w14:paraId="0D8428F4" w14:textId="3CB4EA6B" w:rsidR="00EE0A1C" w:rsidRPr="001B12C0" w:rsidRDefault="00160528" w:rsidP="001929B8">
            <w:pPr>
              <w:jc w:val="center"/>
            </w:pPr>
            <w:r>
              <w:t xml:space="preserve">No </w:t>
            </w:r>
          </w:p>
        </w:tc>
        <w:tc>
          <w:tcPr>
            <w:tcW w:w="2000" w:type="pct"/>
          </w:tcPr>
          <w:p w14:paraId="7B076512" w14:textId="30255991" w:rsidR="00291EA7" w:rsidRDefault="00160528" w:rsidP="001929B8">
            <w:r>
              <w:t>The mining companies allege</w:t>
            </w:r>
            <w:r w:rsidR="00935020">
              <w:t>d</w:t>
            </w:r>
            <w:r>
              <w:t xml:space="preserve"> that certain articles of the Glacial Protection Law (Law 26, 639) are unconstitutional because, inter alia, the law infringes upon provincial autonomy in environmental law and governance. In addition, the law adversely affects their rights to explore and mine gold. The court ruled that Article 41 of the National Constitution (right to </w:t>
            </w:r>
            <w:r>
              <w:lastRenderedPageBreak/>
              <w:t xml:space="preserve">healthy environment) and Article 124 (states that provinces have domain over their natural resources) must be interpreted in such a way as to combine the national and provincial interests to promote environmental protection. </w:t>
            </w:r>
            <w:r w:rsidR="00291EA7">
              <w:t xml:space="preserve">Glacial protection is deemed highly important from the perspectives of biodiversity protection, ecosystem protection and climate change. The court refers to the Paris Agreement and the Sustainable Development Goals. The court held that the mining companies had not proven that there has been regulatory activity by national authorities that has adversely affected their legitimate interests. </w:t>
            </w:r>
          </w:p>
          <w:p w14:paraId="07AEB007" w14:textId="2AFD556E" w:rsidR="00EE0A1C" w:rsidRDefault="00291EA7" w:rsidP="001929B8">
            <w:r>
              <w:t xml:space="preserve">The court upheld the Glacial Protection Law. </w:t>
            </w:r>
          </w:p>
          <w:p w14:paraId="2223C24E" w14:textId="78E86D1B" w:rsidR="00291EA7" w:rsidRPr="001B12C0" w:rsidRDefault="00291EA7" w:rsidP="001929B8"/>
        </w:tc>
      </w:tr>
      <w:tr w:rsidR="00D036AC" w:rsidRPr="001B12C0" w14:paraId="68C576F7" w14:textId="77777777" w:rsidTr="005D534E">
        <w:tc>
          <w:tcPr>
            <w:tcW w:w="209" w:type="pct"/>
            <w:shd w:val="clear" w:color="auto" w:fill="D9D9D9" w:themeFill="background1" w:themeFillShade="D9"/>
          </w:tcPr>
          <w:p w14:paraId="0D63AECD" w14:textId="77777777" w:rsidR="00D036AC" w:rsidRPr="001B12C0" w:rsidRDefault="00D036AC" w:rsidP="001929B8">
            <w:pPr>
              <w:rPr>
                <w:b/>
              </w:rPr>
            </w:pPr>
          </w:p>
        </w:tc>
        <w:tc>
          <w:tcPr>
            <w:tcW w:w="4791" w:type="pct"/>
            <w:gridSpan w:val="6"/>
            <w:shd w:val="clear" w:color="auto" w:fill="D9D9D9" w:themeFill="background1" w:themeFillShade="D9"/>
          </w:tcPr>
          <w:p w14:paraId="0BE4EF85" w14:textId="10E3C75B" w:rsidR="00D036AC" w:rsidRPr="001B12C0" w:rsidRDefault="00D036AC" w:rsidP="001929B8">
            <w:r w:rsidRPr="001B12C0">
              <w:rPr>
                <w:b/>
              </w:rPr>
              <w:t>PACIFIC</w:t>
            </w:r>
          </w:p>
        </w:tc>
      </w:tr>
      <w:tr w:rsidR="00D036AC" w:rsidRPr="001B12C0" w14:paraId="78861E16" w14:textId="77777777" w:rsidTr="005D534E">
        <w:tc>
          <w:tcPr>
            <w:tcW w:w="209" w:type="pct"/>
            <w:tcBorders>
              <w:bottom w:val="single" w:sz="4" w:space="0" w:color="auto"/>
            </w:tcBorders>
          </w:tcPr>
          <w:p w14:paraId="5836BD16" w14:textId="77777777" w:rsidR="00D036AC" w:rsidRPr="001B12C0" w:rsidRDefault="00D036AC" w:rsidP="001929B8"/>
        </w:tc>
        <w:tc>
          <w:tcPr>
            <w:tcW w:w="4791" w:type="pct"/>
            <w:gridSpan w:val="6"/>
            <w:tcBorders>
              <w:bottom w:val="single" w:sz="4" w:space="0" w:color="auto"/>
            </w:tcBorders>
          </w:tcPr>
          <w:p w14:paraId="7A71BDAA" w14:textId="44359F8D" w:rsidR="00D036AC" w:rsidRPr="001B12C0" w:rsidRDefault="00D036AC" w:rsidP="001929B8">
            <w:r w:rsidRPr="001B12C0">
              <w:t xml:space="preserve">No cases yet but there have been cases involving Pacific Island citizens seeking asylum in </w:t>
            </w:r>
            <w:r>
              <w:t>New Zealand</w:t>
            </w:r>
            <w:r w:rsidRPr="001B12C0">
              <w:t xml:space="preserve"> on environmental grounds</w:t>
            </w:r>
            <w:r>
              <w:t xml:space="preserve">. The </w:t>
            </w:r>
            <w:r w:rsidRPr="009A10B3">
              <w:rPr>
                <w:i/>
              </w:rPr>
              <w:t>Micronesia v the Czech Republic</w:t>
            </w:r>
            <w:r w:rsidRPr="009A10B3">
              <w:t xml:space="preserve"> case</w:t>
            </w:r>
            <w:r>
              <w:t xml:space="preserve"> is also notable.</w:t>
            </w:r>
            <w:r w:rsidRPr="001B12C0">
              <w:t xml:space="preserve"> See Table </w:t>
            </w:r>
            <w:r>
              <w:t xml:space="preserve">2 below. </w:t>
            </w:r>
          </w:p>
        </w:tc>
      </w:tr>
    </w:tbl>
    <w:p w14:paraId="4C3D3198" w14:textId="77777777" w:rsidR="00134E78" w:rsidRPr="001B12C0" w:rsidRDefault="00134E78" w:rsidP="00134E78">
      <w:pPr>
        <w:pStyle w:val="BodyText"/>
        <w:rPr>
          <w:rFonts w:ascii="Times New Roman" w:hAnsi="Times New Roman"/>
          <w:b/>
        </w:rPr>
      </w:pPr>
    </w:p>
    <w:p w14:paraId="62A47AF2" w14:textId="77777777" w:rsidR="00134E78" w:rsidRPr="001B12C0" w:rsidRDefault="00134E78" w:rsidP="00134E78">
      <w:pPr>
        <w:pStyle w:val="Caption"/>
        <w:rPr>
          <w:b w:val="0"/>
        </w:rPr>
      </w:pPr>
      <w:r w:rsidRPr="001B12C0">
        <w:rPr>
          <w:color w:val="000000" w:themeColor="text1"/>
        </w:rPr>
        <w:t xml:space="preserve">Table </w:t>
      </w:r>
      <w:r w:rsidRPr="001B12C0">
        <w:rPr>
          <w:color w:val="000000" w:themeColor="text1"/>
        </w:rPr>
        <w:fldChar w:fldCharType="begin"/>
      </w:r>
      <w:r w:rsidRPr="001B12C0">
        <w:rPr>
          <w:color w:val="000000" w:themeColor="text1"/>
        </w:rPr>
        <w:instrText xml:space="preserve"> SEQ Table \* ARABIC </w:instrText>
      </w:r>
      <w:r w:rsidRPr="001B12C0">
        <w:rPr>
          <w:color w:val="000000" w:themeColor="text1"/>
        </w:rPr>
        <w:fldChar w:fldCharType="separate"/>
      </w:r>
      <w:r>
        <w:rPr>
          <w:noProof/>
          <w:color w:val="000000" w:themeColor="text1"/>
        </w:rPr>
        <w:t>2</w:t>
      </w:r>
      <w:r w:rsidRPr="001B12C0">
        <w:rPr>
          <w:color w:val="000000" w:themeColor="text1"/>
        </w:rPr>
        <w:fldChar w:fldCharType="end"/>
      </w:r>
      <w:r w:rsidRPr="001B12C0">
        <w:rPr>
          <w:color w:val="000000" w:themeColor="text1"/>
        </w:rPr>
        <w:t>: Cases involving Global South plaintiffs in Global North courts</w:t>
      </w:r>
    </w:p>
    <w:tbl>
      <w:tblPr>
        <w:tblStyle w:val="TableGrid"/>
        <w:tblW w:w="6076" w:type="pct"/>
        <w:tblLayout w:type="fixed"/>
        <w:tblLook w:val="04A0" w:firstRow="1" w:lastRow="0" w:firstColumn="1" w:lastColumn="0" w:noHBand="0" w:noVBand="1"/>
      </w:tblPr>
      <w:tblGrid>
        <w:gridCol w:w="562"/>
        <w:gridCol w:w="1015"/>
        <w:gridCol w:w="1239"/>
        <w:gridCol w:w="1128"/>
        <w:gridCol w:w="1317"/>
        <w:gridCol w:w="2291"/>
        <w:gridCol w:w="5910"/>
      </w:tblGrid>
      <w:tr w:rsidR="00A14303" w:rsidRPr="001B12C0" w14:paraId="037EDCDF" w14:textId="77777777" w:rsidTr="0038184C">
        <w:tc>
          <w:tcPr>
            <w:tcW w:w="586" w:type="pct"/>
            <w:gridSpan w:val="2"/>
            <w:shd w:val="pct15" w:color="auto" w:fill="auto"/>
          </w:tcPr>
          <w:p w14:paraId="5B0D70E0" w14:textId="0FC3894E" w:rsidR="00A14303" w:rsidRPr="001B12C0" w:rsidRDefault="00A14303" w:rsidP="001929B8">
            <w:pPr>
              <w:jc w:val="center"/>
              <w:rPr>
                <w:b/>
              </w:rPr>
            </w:pPr>
            <w:r w:rsidRPr="001B12C0">
              <w:rPr>
                <w:b/>
              </w:rPr>
              <w:t>Case/</w:t>
            </w:r>
          </w:p>
          <w:p w14:paraId="2DB02ED9" w14:textId="77777777" w:rsidR="00A14303" w:rsidRPr="001B12C0" w:rsidRDefault="00A14303" w:rsidP="001929B8">
            <w:pPr>
              <w:jc w:val="center"/>
              <w:rPr>
                <w:b/>
              </w:rPr>
            </w:pPr>
            <w:r w:rsidRPr="001B12C0">
              <w:rPr>
                <w:b/>
              </w:rPr>
              <w:t>Year</w:t>
            </w:r>
          </w:p>
        </w:tc>
        <w:tc>
          <w:tcPr>
            <w:tcW w:w="460" w:type="pct"/>
            <w:shd w:val="pct15" w:color="auto" w:fill="auto"/>
          </w:tcPr>
          <w:p w14:paraId="5B01FCC5" w14:textId="77777777" w:rsidR="00A14303" w:rsidRPr="001B12C0" w:rsidRDefault="00A14303" w:rsidP="001929B8">
            <w:pPr>
              <w:jc w:val="center"/>
              <w:rPr>
                <w:b/>
              </w:rPr>
            </w:pPr>
            <w:r w:rsidRPr="001B12C0">
              <w:rPr>
                <w:b/>
              </w:rPr>
              <w:t>Jurisdiction</w:t>
            </w:r>
          </w:p>
        </w:tc>
        <w:tc>
          <w:tcPr>
            <w:tcW w:w="419" w:type="pct"/>
            <w:shd w:val="pct15" w:color="auto" w:fill="auto"/>
          </w:tcPr>
          <w:p w14:paraId="764AE568" w14:textId="77777777" w:rsidR="00A14303" w:rsidRPr="001B12C0" w:rsidRDefault="00A14303" w:rsidP="001929B8">
            <w:pPr>
              <w:jc w:val="center"/>
              <w:rPr>
                <w:b/>
              </w:rPr>
            </w:pPr>
            <w:r w:rsidRPr="001B12C0">
              <w:rPr>
                <w:b/>
              </w:rPr>
              <w:t>Plaintiff(s)</w:t>
            </w:r>
          </w:p>
        </w:tc>
        <w:tc>
          <w:tcPr>
            <w:tcW w:w="489" w:type="pct"/>
            <w:shd w:val="pct15" w:color="auto" w:fill="auto"/>
          </w:tcPr>
          <w:p w14:paraId="324FD0CD" w14:textId="77777777" w:rsidR="00A14303" w:rsidRPr="001B12C0" w:rsidRDefault="00A14303" w:rsidP="001929B8">
            <w:pPr>
              <w:jc w:val="center"/>
              <w:rPr>
                <w:b/>
              </w:rPr>
            </w:pPr>
            <w:r w:rsidRPr="001B12C0">
              <w:rPr>
                <w:b/>
              </w:rPr>
              <w:t>Defendant(s)</w:t>
            </w:r>
          </w:p>
        </w:tc>
        <w:tc>
          <w:tcPr>
            <w:tcW w:w="851" w:type="pct"/>
            <w:shd w:val="pct15" w:color="auto" w:fill="auto"/>
          </w:tcPr>
          <w:p w14:paraId="3B0A126D" w14:textId="77777777" w:rsidR="00A14303" w:rsidRPr="001B12C0" w:rsidRDefault="00A14303" w:rsidP="001929B8">
            <w:pPr>
              <w:jc w:val="center"/>
              <w:rPr>
                <w:b/>
              </w:rPr>
            </w:pPr>
            <w:r w:rsidRPr="001B12C0">
              <w:rPr>
                <w:b/>
              </w:rPr>
              <w:t>Global North/South NGO(s) partner</w:t>
            </w:r>
          </w:p>
        </w:tc>
        <w:tc>
          <w:tcPr>
            <w:tcW w:w="2195" w:type="pct"/>
            <w:shd w:val="pct15" w:color="auto" w:fill="auto"/>
          </w:tcPr>
          <w:p w14:paraId="0C71C428" w14:textId="77777777" w:rsidR="00A14303" w:rsidRPr="001B12C0" w:rsidRDefault="00A14303" w:rsidP="001929B8">
            <w:pPr>
              <w:jc w:val="center"/>
              <w:rPr>
                <w:b/>
              </w:rPr>
            </w:pPr>
            <w:r w:rsidRPr="001B12C0">
              <w:rPr>
                <w:b/>
              </w:rPr>
              <w:t>Summary of Facts</w:t>
            </w:r>
          </w:p>
        </w:tc>
      </w:tr>
      <w:tr w:rsidR="00A14303" w:rsidRPr="001B12C0" w14:paraId="4B579859" w14:textId="77777777" w:rsidTr="0038184C">
        <w:tc>
          <w:tcPr>
            <w:tcW w:w="209" w:type="pct"/>
          </w:tcPr>
          <w:p w14:paraId="210C7E57" w14:textId="37A9478E" w:rsidR="00A14303" w:rsidRPr="00A14303" w:rsidRDefault="00A14303" w:rsidP="001929B8">
            <w:r w:rsidRPr="00A14303">
              <w:t>1</w:t>
            </w:r>
          </w:p>
        </w:tc>
        <w:tc>
          <w:tcPr>
            <w:tcW w:w="377" w:type="pct"/>
          </w:tcPr>
          <w:p w14:paraId="34EBFC2D" w14:textId="03885AB5" w:rsidR="00A14303" w:rsidRPr="009A10B3" w:rsidRDefault="00A14303" w:rsidP="001929B8">
            <w:pPr>
              <w:rPr>
                <w:b/>
                <w:i/>
              </w:rPr>
            </w:pPr>
            <w:proofErr w:type="spellStart"/>
            <w:r w:rsidRPr="009A10B3">
              <w:rPr>
                <w:b/>
                <w:i/>
              </w:rPr>
              <w:t>Lliuya</w:t>
            </w:r>
            <w:proofErr w:type="spellEnd"/>
            <w:r w:rsidRPr="009A10B3">
              <w:rPr>
                <w:b/>
                <w:i/>
              </w:rPr>
              <w:t xml:space="preserve"> v RWE</w:t>
            </w:r>
          </w:p>
          <w:p w14:paraId="5C3627C8" w14:textId="77777777" w:rsidR="00A14303" w:rsidRPr="001B12C0" w:rsidRDefault="00A14303" w:rsidP="001929B8">
            <w:r w:rsidRPr="001B12C0">
              <w:t>(2015)</w:t>
            </w:r>
          </w:p>
        </w:tc>
        <w:tc>
          <w:tcPr>
            <w:tcW w:w="460" w:type="pct"/>
          </w:tcPr>
          <w:p w14:paraId="24A110E7" w14:textId="77777777" w:rsidR="00A14303" w:rsidRPr="001B12C0" w:rsidRDefault="00A14303" w:rsidP="001929B8">
            <w:r w:rsidRPr="001B12C0">
              <w:t>Germany</w:t>
            </w:r>
          </w:p>
        </w:tc>
        <w:tc>
          <w:tcPr>
            <w:tcW w:w="419" w:type="pct"/>
          </w:tcPr>
          <w:p w14:paraId="52124150" w14:textId="77777777" w:rsidR="00A14303" w:rsidRPr="001B12C0" w:rsidRDefault="00A14303" w:rsidP="001929B8">
            <w:r w:rsidRPr="001B12C0">
              <w:t xml:space="preserve">A Peruvian farmer, Mr </w:t>
            </w:r>
            <w:proofErr w:type="spellStart"/>
            <w:r w:rsidRPr="001B12C0">
              <w:t>Saúl</w:t>
            </w:r>
            <w:proofErr w:type="spellEnd"/>
            <w:r w:rsidRPr="001B12C0">
              <w:t xml:space="preserve"> Luciano </w:t>
            </w:r>
            <w:proofErr w:type="spellStart"/>
            <w:r w:rsidRPr="001B12C0">
              <w:t>Lliuya</w:t>
            </w:r>
            <w:proofErr w:type="spellEnd"/>
          </w:p>
        </w:tc>
        <w:tc>
          <w:tcPr>
            <w:tcW w:w="489" w:type="pct"/>
          </w:tcPr>
          <w:p w14:paraId="21607A46" w14:textId="77777777" w:rsidR="00A14303" w:rsidRPr="001B12C0" w:rsidRDefault="00A14303" w:rsidP="001929B8">
            <w:r w:rsidRPr="001B12C0">
              <w:t>German energy utility, RWE</w:t>
            </w:r>
          </w:p>
        </w:tc>
        <w:tc>
          <w:tcPr>
            <w:tcW w:w="851" w:type="pct"/>
          </w:tcPr>
          <w:p w14:paraId="0D3F8B9A" w14:textId="77777777" w:rsidR="00A14303" w:rsidRPr="001B12C0" w:rsidRDefault="00A14303" w:rsidP="001929B8">
            <w:proofErr w:type="spellStart"/>
            <w:r w:rsidRPr="001B12C0">
              <w:t>Lliuya</w:t>
            </w:r>
            <w:proofErr w:type="spellEnd"/>
            <w:r w:rsidRPr="001B12C0">
              <w:t xml:space="preserve"> receives support from a German NGO known as </w:t>
            </w:r>
            <w:proofErr w:type="spellStart"/>
            <w:r w:rsidRPr="001B12C0">
              <w:t>Germanwatch</w:t>
            </w:r>
            <w:proofErr w:type="spellEnd"/>
            <w:r w:rsidRPr="001B12C0">
              <w:t>.</w:t>
            </w:r>
          </w:p>
        </w:tc>
        <w:tc>
          <w:tcPr>
            <w:tcW w:w="2195" w:type="pct"/>
          </w:tcPr>
          <w:p w14:paraId="59DB40F3" w14:textId="77777777" w:rsidR="00A14303" w:rsidRPr="001B12C0" w:rsidRDefault="00A14303" w:rsidP="001929B8">
            <w:pPr>
              <w:pStyle w:val="BodyTextFirstIndent"/>
              <w:ind w:firstLine="0"/>
            </w:pPr>
            <w:proofErr w:type="spellStart"/>
            <w:r w:rsidRPr="001B12C0">
              <w:t>Lliuya</w:t>
            </w:r>
            <w:proofErr w:type="spellEnd"/>
            <w:r w:rsidRPr="001B12C0">
              <w:t xml:space="preserve"> filed a lawsuit against RWE in the Regional Court in Essen, Germany. Mr </w:t>
            </w:r>
            <w:proofErr w:type="spellStart"/>
            <w:r w:rsidRPr="001B12C0">
              <w:t>Lliuya</w:t>
            </w:r>
            <w:proofErr w:type="spellEnd"/>
            <w:r w:rsidRPr="001B12C0">
              <w:t xml:space="preserve"> claims that the significant GHG emissions from RWE’s coal-fired power plants </w:t>
            </w:r>
            <w:r>
              <w:t>cause</w:t>
            </w:r>
            <w:r w:rsidRPr="001B12C0">
              <w:t xml:space="preserve"> climate change that threatens his family, his property and his home town of Huaraz, Peru that lies in the valley at the base of glacier-covered mountains. RWE has disputed responsibility for climate change-induced damage in the Peruvian </w:t>
            </w:r>
            <w:r w:rsidRPr="001B12C0">
              <w:lastRenderedPageBreak/>
              <w:t xml:space="preserve">Andes mountains and has questioned whether Huaraz faces any actual flooding risk. In November 2017, following Mr </w:t>
            </w:r>
            <w:proofErr w:type="spellStart"/>
            <w:r w:rsidRPr="001B12C0">
              <w:t>Lliuya’s</w:t>
            </w:r>
            <w:proofErr w:type="spellEnd"/>
            <w:r w:rsidRPr="001B12C0">
              <w:t xml:space="preserve"> appeal of the Regional Court’s decision dismissing his claim, the </w:t>
            </w:r>
            <w:proofErr w:type="spellStart"/>
            <w:r w:rsidRPr="001B12C0">
              <w:t>Oberlandesgerichsthof</w:t>
            </w:r>
            <w:proofErr w:type="spellEnd"/>
            <w:r w:rsidRPr="001B12C0">
              <w:t xml:space="preserve"> (Higher District Court) of Hamm determined that the case could go forward to the evidentiary stage. The court will hear the parties’ evidence and arguments in coming months.</w:t>
            </w:r>
          </w:p>
        </w:tc>
      </w:tr>
      <w:tr w:rsidR="00A14303" w:rsidRPr="001B12C0" w14:paraId="6F7FB39E" w14:textId="77777777" w:rsidTr="0038184C">
        <w:tc>
          <w:tcPr>
            <w:tcW w:w="209" w:type="pct"/>
          </w:tcPr>
          <w:p w14:paraId="73BCA941" w14:textId="742AF304" w:rsidR="00A14303" w:rsidRPr="00A14303" w:rsidRDefault="00A14303" w:rsidP="001929B8">
            <w:r w:rsidRPr="00A14303">
              <w:lastRenderedPageBreak/>
              <w:t>2</w:t>
            </w:r>
          </w:p>
        </w:tc>
        <w:tc>
          <w:tcPr>
            <w:tcW w:w="377" w:type="pct"/>
          </w:tcPr>
          <w:p w14:paraId="03AA176D" w14:textId="5B18D481" w:rsidR="00037EDE" w:rsidRDefault="00037EDE" w:rsidP="001929B8">
            <w:pPr>
              <w:rPr>
                <w:b/>
                <w:i/>
              </w:rPr>
            </w:pPr>
            <w:r>
              <w:rPr>
                <w:b/>
                <w:i/>
              </w:rPr>
              <w:t xml:space="preserve">Carvalho &amp; others v </w:t>
            </w:r>
            <w:proofErr w:type="spellStart"/>
            <w:r>
              <w:rPr>
                <w:b/>
                <w:i/>
              </w:rPr>
              <w:t>Parl</w:t>
            </w:r>
            <w:r w:rsidR="00B22F9D">
              <w:rPr>
                <w:b/>
                <w:i/>
              </w:rPr>
              <w:t>-</w:t>
            </w:r>
            <w:r>
              <w:rPr>
                <w:b/>
                <w:i/>
              </w:rPr>
              <w:t>iament</w:t>
            </w:r>
            <w:proofErr w:type="spellEnd"/>
            <w:r>
              <w:rPr>
                <w:b/>
                <w:i/>
              </w:rPr>
              <w:t xml:space="preserve"> &amp; Council</w:t>
            </w:r>
          </w:p>
          <w:p w14:paraId="7A7C61A6" w14:textId="254DECAF" w:rsidR="00A14303" w:rsidRPr="001B12C0" w:rsidRDefault="00037EDE" w:rsidP="001929B8">
            <w:pPr>
              <w:rPr>
                <w:b/>
                <w:i/>
              </w:rPr>
            </w:pPr>
            <w:r>
              <w:rPr>
                <w:b/>
                <w:i/>
              </w:rPr>
              <w:t>(</w:t>
            </w:r>
            <w:r w:rsidR="00A14303" w:rsidRPr="001B12C0">
              <w:rPr>
                <w:b/>
                <w:i/>
              </w:rPr>
              <w:t>People’s Climate Case</w:t>
            </w:r>
            <w:r>
              <w:rPr>
                <w:b/>
                <w:i/>
              </w:rPr>
              <w:t>)</w:t>
            </w:r>
          </w:p>
          <w:p w14:paraId="10BB1CE9" w14:textId="77777777" w:rsidR="00A14303" w:rsidRPr="001B12C0" w:rsidRDefault="00A14303" w:rsidP="001929B8">
            <w:r w:rsidRPr="001B12C0">
              <w:t>(2018)</w:t>
            </w:r>
          </w:p>
        </w:tc>
        <w:tc>
          <w:tcPr>
            <w:tcW w:w="460" w:type="pct"/>
          </w:tcPr>
          <w:p w14:paraId="7550D701" w14:textId="77777777" w:rsidR="00A14303" w:rsidRPr="001B12C0" w:rsidRDefault="00A14303" w:rsidP="001929B8">
            <w:r w:rsidRPr="001B12C0">
              <w:t>European General Court</w:t>
            </w:r>
          </w:p>
        </w:tc>
        <w:tc>
          <w:tcPr>
            <w:tcW w:w="419" w:type="pct"/>
          </w:tcPr>
          <w:p w14:paraId="395542B1" w14:textId="77777777" w:rsidR="00A14303" w:rsidRPr="001B12C0" w:rsidRDefault="00A14303" w:rsidP="001929B8">
            <w:r w:rsidRPr="001B12C0">
              <w:t>Families and youth from Europe, Kenya and Fiji</w:t>
            </w:r>
          </w:p>
          <w:p w14:paraId="16EC478F" w14:textId="77777777" w:rsidR="00A14303" w:rsidRPr="001B12C0" w:rsidRDefault="00A14303" w:rsidP="001929B8"/>
        </w:tc>
        <w:tc>
          <w:tcPr>
            <w:tcW w:w="489" w:type="pct"/>
          </w:tcPr>
          <w:p w14:paraId="018208D4" w14:textId="18A4DF9B" w:rsidR="00A14303" w:rsidRPr="001B12C0" w:rsidRDefault="00A14303" w:rsidP="001929B8">
            <w:r w:rsidRPr="001B12C0">
              <w:t>European Parliament and the Council of European Union</w:t>
            </w:r>
            <w:r>
              <w:t xml:space="preserve"> (EU)</w:t>
            </w:r>
          </w:p>
        </w:tc>
        <w:tc>
          <w:tcPr>
            <w:tcW w:w="851" w:type="pct"/>
          </w:tcPr>
          <w:p w14:paraId="74995241" w14:textId="77777777" w:rsidR="00A14303" w:rsidRPr="001B12C0" w:rsidRDefault="00A14303" w:rsidP="001929B8">
            <w:r w:rsidRPr="001B12C0">
              <w:t xml:space="preserve">German NGO, Protect the Planet, is bearing all the legal costs. Climate Action Network, Europe’s largest coalition of NGOs working on energy and climate issues, also provides support. </w:t>
            </w:r>
          </w:p>
        </w:tc>
        <w:tc>
          <w:tcPr>
            <w:tcW w:w="2195" w:type="pct"/>
          </w:tcPr>
          <w:p w14:paraId="38F56C05" w14:textId="51E9E8F1" w:rsidR="00A14303" w:rsidRDefault="00A14303" w:rsidP="001929B8">
            <w:r w:rsidRPr="009E6EC7">
              <w:t xml:space="preserve">The Plaintiffs </w:t>
            </w:r>
            <w:r>
              <w:t xml:space="preserve">asked </w:t>
            </w:r>
            <w:r w:rsidRPr="009E6EC7">
              <w:t xml:space="preserve">the court to mandate that the European Parliament and the </w:t>
            </w:r>
            <w:r>
              <w:t xml:space="preserve">EU </w:t>
            </w:r>
            <w:r w:rsidRPr="009E6EC7">
              <w:t xml:space="preserve">Council take more stringent climate mitigation measures to protect their fundamental rights of life, health, occupation and property. One of the grounds raised by the plaintiffs is that the European </w:t>
            </w:r>
            <w:proofErr w:type="spellStart"/>
            <w:r w:rsidRPr="009E6EC7">
              <w:t>Unions’s</w:t>
            </w:r>
            <w:proofErr w:type="spellEnd"/>
            <w:r w:rsidRPr="009E6EC7">
              <w:t xml:space="preserve"> 2030 climate target to reduce GHG emissions by 40% by 2030 is insufficient on the basis of the Paris Agreement. </w:t>
            </w:r>
          </w:p>
          <w:p w14:paraId="159A4F0D" w14:textId="392D93E6" w:rsidR="00A14303" w:rsidRDefault="00A14303" w:rsidP="001929B8"/>
          <w:p w14:paraId="2DEA0781" w14:textId="77777777" w:rsidR="00A14303" w:rsidRDefault="00A14303" w:rsidP="00B05E74">
            <w:r>
              <w:t xml:space="preserve">On 8 May 2019, the court ruled against the plaintiffs. The court found that the applicants had not established that the contested provisions of the legislative package infringed their fundamental rights. In paragraph 50, the court ruled that while it is true that every individual is affected by climate change and this is recognised by the EU and its member states, this fact alone does not mean that “there exists standing to bring an action against a measure of general application”. </w:t>
            </w:r>
            <w:r w:rsidR="00B05E74">
              <w:t xml:space="preserve">On 11 July 2019, the plaintiffs filed an appeal to the European Court of Justice. </w:t>
            </w:r>
          </w:p>
          <w:p w14:paraId="3A3DCA1E" w14:textId="3FF4D05B" w:rsidR="00B05E74" w:rsidRPr="009E6EC7" w:rsidRDefault="00B05E74" w:rsidP="00B05E74"/>
        </w:tc>
      </w:tr>
      <w:tr w:rsidR="00A14303" w:rsidRPr="001B12C0" w14:paraId="61213783" w14:textId="77777777" w:rsidTr="0038184C">
        <w:tc>
          <w:tcPr>
            <w:tcW w:w="209" w:type="pct"/>
          </w:tcPr>
          <w:p w14:paraId="103D4ADE" w14:textId="2EB9D7E4" w:rsidR="00A14303" w:rsidRPr="00A14303" w:rsidRDefault="00A14303" w:rsidP="001929B8">
            <w:r w:rsidRPr="00A14303">
              <w:t>3</w:t>
            </w:r>
          </w:p>
        </w:tc>
        <w:tc>
          <w:tcPr>
            <w:tcW w:w="377" w:type="pct"/>
          </w:tcPr>
          <w:p w14:paraId="111AA29F" w14:textId="27B61B2D" w:rsidR="00A14303" w:rsidRPr="009E6EC7" w:rsidRDefault="00A14303" w:rsidP="001929B8">
            <w:pPr>
              <w:rPr>
                <w:b/>
                <w:i/>
              </w:rPr>
            </w:pPr>
            <w:r w:rsidRPr="009E6EC7">
              <w:rPr>
                <w:b/>
                <w:i/>
              </w:rPr>
              <w:t>In re: AD (Tuvalu)</w:t>
            </w:r>
          </w:p>
          <w:p w14:paraId="45DD68BB" w14:textId="77777777" w:rsidR="00A14303" w:rsidRPr="009E6EC7" w:rsidRDefault="00A14303" w:rsidP="001929B8">
            <w:r w:rsidRPr="009E6EC7">
              <w:t>(2014)</w:t>
            </w:r>
          </w:p>
          <w:p w14:paraId="5A07A5E6" w14:textId="77777777" w:rsidR="00A14303" w:rsidRPr="001B12C0" w:rsidRDefault="00A14303" w:rsidP="001929B8">
            <w:pPr>
              <w:rPr>
                <w:highlight w:val="yellow"/>
              </w:rPr>
            </w:pPr>
          </w:p>
        </w:tc>
        <w:tc>
          <w:tcPr>
            <w:tcW w:w="460" w:type="pct"/>
          </w:tcPr>
          <w:p w14:paraId="72744BD5" w14:textId="77777777" w:rsidR="00A14303" w:rsidRPr="001B12C0" w:rsidRDefault="00A14303" w:rsidP="001929B8">
            <w:r>
              <w:lastRenderedPageBreak/>
              <w:t>New Zealand</w:t>
            </w:r>
          </w:p>
        </w:tc>
        <w:tc>
          <w:tcPr>
            <w:tcW w:w="419" w:type="pct"/>
          </w:tcPr>
          <w:p w14:paraId="728E1E11" w14:textId="77777777" w:rsidR="00A14303" w:rsidRPr="001B12C0" w:rsidRDefault="00A14303" w:rsidP="001929B8">
            <w:r>
              <w:t>Family from Tuvalu</w:t>
            </w:r>
          </w:p>
        </w:tc>
        <w:tc>
          <w:tcPr>
            <w:tcW w:w="489" w:type="pct"/>
          </w:tcPr>
          <w:p w14:paraId="51245D66" w14:textId="77777777" w:rsidR="00A14303" w:rsidRPr="001B12C0" w:rsidRDefault="00A14303" w:rsidP="001929B8">
            <w:r>
              <w:t xml:space="preserve">Appeal before the Immigration and </w:t>
            </w:r>
            <w:r>
              <w:lastRenderedPageBreak/>
              <w:t xml:space="preserve">Protection Tribunal </w:t>
            </w:r>
          </w:p>
        </w:tc>
        <w:tc>
          <w:tcPr>
            <w:tcW w:w="851" w:type="pct"/>
          </w:tcPr>
          <w:p w14:paraId="7B1FE931" w14:textId="77777777" w:rsidR="00A14303" w:rsidRPr="001B12C0" w:rsidRDefault="00A14303" w:rsidP="001929B8">
            <w:pPr>
              <w:jc w:val="center"/>
            </w:pPr>
            <w:r>
              <w:lastRenderedPageBreak/>
              <w:t>No</w:t>
            </w:r>
          </w:p>
        </w:tc>
        <w:tc>
          <w:tcPr>
            <w:tcW w:w="2195" w:type="pct"/>
          </w:tcPr>
          <w:p w14:paraId="12420686" w14:textId="77777777" w:rsidR="00A14303" w:rsidRPr="009E6EC7" w:rsidRDefault="00A14303" w:rsidP="001929B8">
            <w:r w:rsidRPr="009E6EC7">
              <w:t xml:space="preserve">A family from Tuvalu appealed after they were denied New Zealand resident visas. The family argued, inter alia, that they would be at risk of suffering the adverse impacts of climate change if they were deported to Tuvalu. Tribunal allowed their appeal but explicitly </w:t>
            </w:r>
            <w:r w:rsidRPr="009E6EC7">
              <w:lastRenderedPageBreak/>
              <w:t xml:space="preserve">declined to reach the question of whether climate change provided a basis for granting residents visas. It did recognize that climate change may affect the enjoyment of human rights. </w:t>
            </w:r>
          </w:p>
          <w:p w14:paraId="0A00F0C4" w14:textId="77777777" w:rsidR="00A14303" w:rsidRPr="009E6EC7" w:rsidRDefault="00A14303" w:rsidP="001929B8"/>
        </w:tc>
      </w:tr>
      <w:tr w:rsidR="00A14303" w:rsidRPr="001B12C0" w14:paraId="74A0D7A8" w14:textId="77777777" w:rsidTr="0038184C">
        <w:tc>
          <w:tcPr>
            <w:tcW w:w="209" w:type="pct"/>
          </w:tcPr>
          <w:p w14:paraId="0410A6E5" w14:textId="2A9C0DFC" w:rsidR="00A14303" w:rsidRPr="00A14303" w:rsidRDefault="00A14303" w:rsidP="001929B8">
            <w:r w:rsidRPr="00A14303">
              <w:lastRenderedPageBreak/>
              <w:t>4</w:t>
            </w:r>
          </w:p>
        </w:tc>
        <w:tc>
          <w:tcPr>
            <w:tcW w:w="377" w:type="pct"/>
          </w:tcPr>
          <w:p w14:paraId="525B9227" w14:textId="7526585D" w:rsidR="00A14303" w:rsidRDefault="00A14303" w:rsidP="001929B8">
            <w:pPr>
              <w:rPr>
                <w:b/>
                <w:i/>
              </w:rPr>
            </w:pPr>
            <w:r>
              <w:rPr>
                <w:b/>
                <w:i/>
              </w:rPr>
              <w:t xml:space="preserve">Ioane </w:t>
            </w:r>
            <w:proofErr w:type="spellStart"/>
            <w:r>
              <w:rPr>
                <w:b/>
                <w:i/>
              </w:rPr>
              <w:t>Teitiota</w:t>
            </w:r>
            <w:proofErr w:type="spellEnd"/>
            <w:r>
              <w:rPr>
                <w:b/>
                <w:i/>
              </w:rPr>
              <w:t xml:space="preserve"> v Chief Exec</w:t>
            </w:r>
            <w:r w:rsidR="00B22F9D">
              <w:rPr>
                <w:b/>
                <w:i/>
              </w:rPr>
              <w:t>-</w:t>
            </w:r>
            <w:proofErr w:type="spellStart"/>
            <w:r>
              <w:rPr>
                <w:b/>
                <w:i/>
              </w:rPr>
              <w:t>utive</w:t>
            </w:r>
            <w:proofErr w:type="spellEnd"/>
            <w:r>
              <w:rPr>
                <w:b/>
                <w:i/>
              </w:rPr>
              <w:t xml:space="preserve"> of the Ministry of Business, </w:t>
            </w:r>
            <w:proofErr w:type="spellStart"/>
            <w:r>
              <w:rPr>
                <w:b/>
                <w:i/>
              </w:rPr>
              <w:t>Innov</w:t>
            </w:r>
            <w:r w:rsidR="00B22F9D">
              <w:rPr>
                <w:b/>
                <w:i/>
              </w:rPr>
              <w:t>-</w:t>
            </w:r>
            <w:r>
              <w:rPr>
                <w:b/>
                <w:i/>
              </w:rPr>
              <w:t>ation</w:t>
            </w:r>
            <w:proofErr w:type="spellEnd"/>
            <w:r>
              <w:rPr>
                <w:b/>
                <w:i/>
              </w:rPr>
              <w:t xml:space="preserve"> and Employ</w:t>
            </w:r>
            <w:r w:rsidR="00B22F9D">
              <w:rPr>
                <w:b/>
                <w:i/>
              </w:rPr>
              <w:t>-</w:t>
            </w:r>
            <w:proofErr w:type="spellStart"/>
            <w:r>
              <w:rPr>
                <w:b/>
                <w:i/>
              </w:rPr>
              <w:t>ment</w:t>
            </w:r>
            <w:proofErr w:type="spellEnd"/>
            <w:r>
              <w:rPr>
                <w:b/>
                <w:i/>
              </w:rPr>
              <w:t xml:space="preserve"> </w:t>
            </w:r>
          </w:p>
          <w:p w14:paraId="1E02BBC9" w14:textId="77777777" w:rsidR="00A14303" w:rsidRPr="0032103D" w:rsidRDefault="00A14303" w:rsidP="001929B8">
            <w:r w:rsidRPr="0032103D">
              <w:t>(2015)</w:t>
            </w:r>
          </w:p>
          <w:p w14:paraId="69EACAC9" w14:textId="77777777" w:rsidR="00A14303" w:rsidRDefault="00A14303" w:rsidP="001929B8">
            <w:pPr>
              <w:rPr>
                <w:i/>
              </w:rPr>
            </w:pPr>
          </w:p>
          <w:p w14:paraId="6F7266C5" w14:textId="77777777" w:rsidR="00A14303" w:rsidRPr="009E6EC7" w:rsidRDefault="00A14303" w:rsidP="001929B8">
            <w:pPr>
              <w:rPr>
                <w:i/>
              </w:rPr>
            </w:pPr>
          </w:p>
        </w:tc>
        <w:tc>
          <w:tcPr>
            <w:tcW w:w="460" w:type="pct"/>
          </w:tcPr>
          <w:p w14:paraId="12DD8709" w14:textId="77777777" w:rsidR="00A14303" w:rsidRDefault="00A14303" w:rsidP="001929B8">
            <w:r>
              <w:t>New Zealand</w:t>
            </w:r>
          </w:p>
        </w:tc>
        <w:tc>
          <w:tcPr>
            <w:tcW w:w="419" w:type="pct"/>
          </w:tcPr>
          <w:p w14:paraId="5792144C" w14:textId="77777777" w:rsidR="00A14303" w:rsidRDefault="00A14303" w:rsidP="001929B8">
            <w:r>
              <w:t>A Kiribati citizen</w:t>
            </w:r>
          </w:p>
        </w:tc>
        <w:tc>
          <w:tcPr>
            <w:tcW w:w="489" w:type="pct"/>
          </w:tcPr>
          <w:p w14:paraId="1A219203" w14:textId="77777777" w:rsidR="00A14303" w:rsidRDefault="00A14303" w:rsidP="001929B8">
            <w:r>
              <w:t>New Zealand government</w:t>
            </w:r>
          </w:p>
        </w:tc>
        <w:tc>
          <w:tcPr>
            <w:tcW w:w="851" w:type="pct"/>
          </w:tcPr>
          <w:p w14:paraId="14EB2DDF" w14:textId="77777777" w:rsidR="00A14303" w:rsidRDefault="00A14303" w:rsidP="001929B8">
            <w:pPr>
              <w:jc w:val="center"/>
            </w:pPr>
          </w:p>
        </w:tc>
        <w:tc>
          <w:tcPr>
            <w:tcW w:w="2195" w:type="pct"/>
          </w:tcPr>
          <w:p w14:paraId="1D4B8101" w14:textId="77777777" w:rsidR="00A14303" w:rsidRPr="009E6EC7" w:rsidRDefault="00A14303" w:rsidP="001929B8">
            <w:r w:rsidRPr="009E6EC7">
              <w:t xml:space="preserve">The applicant appealed the denial of refugee statue in the High Court. He argued that the effects of climate change on </w:t>
            </w:r>
            <w:proofErr w:type="spellStart"/>
            <w:r w:rsidRPr="009E6EC7">
              <w:t>Kirabati</w:t>
            </w:r>
            <w:proofErr w:type="spellEnd"/>
            <w:r w:rsidRPr="009E6EC7">
              <w:t xml:space="preserve">, namely rising ocean levels and environmental degradation, are forcing citizens off the island. The High Court found that the impacts of climate change on </w:t>
            </w:r>
            <w:proofErr w:type="spellStart"/>
            <w:r w:rsidRPr="009E6EC7">
              <w:t>Kirabati</w:t>
            </w:r>
            <w:proofErr w:type="spellEnd"/>
            <w:r w:rsidRPr="009E6EC7">
              <w:t xml:space="preserve"> did not qualify the appellant for refugee status because the applicant was not subjected to “persecution” as required for the 1951 United Nations Convention relating to the Status of Refugees. The applicant appealed the decision to the Court of Appeals. In dismissing the application, the Court of Appeals noted the gravity of climate change but stated that the Refugee Convention did not appropriately address the issue. The applicant appealed to the Supreme Court. The Supreme Court affirmed the lower courts’ conclusions.</w:t>
            </w:r>
          </w:p>
        </w:tc>
      </w:tr>
      <w:tr w:rsidR="00A14303" w:rsidRPr="001B12C0" w14:paraId="6B6E6663" w14:textId="77777777" w:rsidTr="0038184C">
        <w:tc>
          <w:tcPr>
            <w:tcW w:w="209" w:type="pct"/>
          </w:tcPr>
          <w:p w14:paraId="4B7BDB68" w14:textId="3FD15350" w:rsidR="00A14303" w:rsidRPr="00A14303" w:rsidRDefault="00A14303" w:rsidP="001929B8">
            <w:r w:rsidRPr="00A14303">
              <w:t>5</w:t>
            </w:r>
          </w:p>
        </w:tc>
        <w:tc>
          <w:tcPr>
            <w:tcW w:w="377" w:type="pct"/>
          </w:tcPr>
          <w:p w14:paraId="597E2F22" w14:textId="5A4CD947" w:rsidR="00A14303" w:rsidRPr="001B12C0" w:rsidRDefault="00A14303" w:rsidP="001929B8">
            <w:pPr>
              <w:rPr>
                <w:b/>
                <w:i/>
              </w:rPr>
            </w:pPr>
            <w:r>
              <w:rPr>
                <w:b/>
                <w:i/>
              </w:rPr>
              <w:t>Micro</w:t>
            </w:r>
            <w:r w:rsidR="00B22F9D">
              <w:rPr>
                <w:b/>
                <w:i/>
              </w:rPr>
              <w:t>-</w:t>
            </w:r>
            <w:proofErr w:type="spellStart"/>
            <w:r>
              <w:rPr>
                <w:b/>
                <w:i/>
              </w:rPr>
              <w:t>nesia</w:t>
            </w:r>
            <w:proofErr w:type="spellEnd"/>
            <w:r>
              <w:rPr>
                <w:b/>
                <w:i/>
              </w:rPr>
              <w:t xml:space="preserve"> v the Czech Republic</w:t>
            </w:r>
          </w:p>
          <w:p w14:paraId="58E302CB" w14:textId="77777777" w:rsidR="00A14303" w:rsidRPr="001B12C0" w:rsidRDefault="00A14303" w:rsidP="001929B8">
            <w:r w:rsidRPr="001B12C0">
              <w:t>(2009)</w:t>
            </w:r>
          </w:p>
          <w:p w14:paraId="17EEFE9D" w14:textId="77777777" w:rsidR="00A14303" w:rsidRPr="001B12C0" w:rsidRDefault="00A14303" w:rsidP="001929B8">
            <w:pPr>
              <w:rPr>
                <w:highlight w:val="yellow"/>
              </w:rPr>
            </w:pPr>
          </w:p>
        </w:tc>
        <w:tc>
          <w:tcPr>
            <w:tcW w:w="460" w:type="pct"/>
          </w:tcPr>
          <w:p w14:paraId="46AA90D8" w14:textId="77777777" w:rsidR="00A14303" w:rsidRPr="001B12C0" w:rsidRDefault="00A14303" w:rsidP="001929B8">
            <w:r w:rsidRPr="001B12C0">
              <w:lastRenderedPageBreak/>
              <w:t>The Czech Republic</w:t>
            </w:r>
          </w:p>
        </w:tc>
        <w:tc>
          <w:tcPr>
            <w:tcW w:w="419" w:type="pct"/>
          </w:tcPr>
          <w:p w14:paraId="18839712" w14:textId="77777777" w:rsidR="00A14303" w:rsidRPr="001B12C0" w:rsidRDefault="00A14303" w:rsidP="001929B8">
            <w:r w:rsidRPr="001B12C0">
              <w:t>Federated States of Micronesia</w:t>
            </w:r>
          </w:p>
          <w:p w14:paraId="0B4756E6" w14:textId="77777777" w:rsidR="00A14303" w:rsidRPr="001B12C0" w:rsidRDefault="00A14303" w:rsidP="001929B8">
            <w:r w:rsidRPr="001B12C0">
              <w:t>(FSM)</w:t>
            </w:r>
          </w:p>
        </w:tc>
        <w:tc>
          <w:tcPr>
            <w:tcW w:w="489" w:type="pct"/>
          </w:tcPr>
          <w:p w14:paraId="4ADD625D" w14:textId="77777777" w:rsidR="00A14303" w:rsidRPr="001B12C0" w:rsidRDefault="00A14303" w:rsidP="001929B8">
            <w:r w:rsidRPr="001B12C0">
              <w:t>Government</w:t>
            </w:r>
            <w:r>
              <w:t xml:space="preserve"> of the Czech Republic </w:t>
            </w:r>
          </w:p>
        </w:tc>
        <w:tc>
          <w:tcPr>
            <w:tcW w:w="851" w:type="pct"/>
          </w:tcPr>
          <w:p w14:paraId="2A135517" w14:textId="77777777" w:rsidR="00A14303" w:rsidRPr="001B12C0" w:rsidRDefault="00A14303" w:rsidP="001929B8">
            <w:r w:rsidRPr="001B12C0">
              <w:t>Greenpeace provided assistance to FSM.</w:t>
            </w:r>
          </w:p>
          <w:p w14:paraId="42B41BE3" w14:textId="77777777" w:rsidR="00A14303" w:rsidRPr="001B12C0" w:rsidRDefault="00A14303" w:rsidP="001929B8"/>
        </w:tc>
        <w:tc>
          <w:tcPr>
            <w:tcW w:w="2195" w:type="pct"/>
          </w:tcPr>
          <w:p w14:paraId="129EA6B7" w14:textId="77777777" w:rsidR="00A14303" w:rsidRPr="001B12C0" w:rsidRDefault="00A14303" w:rsidP="001929B8">
            <w:pPr>
              <w:jc w:val="both"/>
            </w:pPr>
            <w:r w:rsidRPr="001B12C0">
              <w:t xml:space="preserve">Climate change was a core issue in FSM’s submissions. FSM argued, </w:t>
            </w:r>
            <w:r w:rsidRPr="001B12C0">
              <w:rPr>
                <w:i/>
              </w:rPr>
              <w:t>inter alia</w:t>
            </w:r>
            <w:r w:rsidRPr="001B12C0">
              <w:t xml:space="preserve">, that the EIA for the proposed rebuilding of </w:t>
            </w:r>
            <w:proofErr w:type="spellStart"/>
            <w:r w:rsidRPr="001B12C0">
              <w:t>Prunerov</w:t>
            </w:r>
            <w:proofErr w:type="spellEnd"/>
            <w:r w:rsidRPr="001B12C0">
              <w:t xml:space="preserve"> II, a lignite-fired power plant, failed to consider the climate change impacts of </w:t>
            </w:r>
            <w:proofErr w:type="spellStart"/>
            <w:r w:rsidRPr="001B12C0">
              <w:t>Prunerov</w:t>
            </w:r>
            <w:proofErr w:type="spellEnd"/>
            <w:r w:rsidRPr="001B12C0">
              <w:t xml:space="preserve"> II and evaluate alternatives. FSM brought a claim under Article 3 of the EC Directive 85/337 and corresponding Czech law, requesting a Transboundary Environmental Impact Assessment (TEIA) </w:t>
            </w:r>
            <w:r w:rsidRPr="001B12C0">
              <w:lastRenderedPageBreak/>
              <w:t xml:space="preserve">to be done. Although FSM is not an EU member, Greenpeace argued that unlike the EC Directive, the Czech EIA law includes within its ambit states outside the EU. On 26 January 2010, the Czech Environmental Minister announced that the government will request an independent assessment of the planned expansion of </w:t>
            </w:r>
            <w:proofErr w:type="spellStart"/>
            <w:r w:rsidRPr="001B12C0">
              <w:t>Prunerov</w:t>
            </w:r>
            <w:proofErr w:type="spellEnd"/>
            <w:r w:rsidRPr="001B12C0">
              <w:t xml:space="preserve"> II. However, FSM’s concern that the initial EIA failed to assess climate effects of </w:t>
            </w:r>
            <w:proofErr w:type="spellStart"/>
            <w:r w:rsidRPr="001B12C0">
              <w:t>Prunerov</w:t>
            </w:r>
            <w:proofErr w:type="spellEnd"/>
            <w:r w:rsidRPr="001B12C0">
              <w:t xml:space="preserve"> II was not addressed.</w:t>
            </w:r>
          </w:p>
        </w:tc>
      </w:tr>
    </w:tbl>
    <w:p w14:paraId="055ACEBE" w14:textId="77777777" w:rsidR="00134E78" w:rsidRPr="001B12C0" w:rsidRDefault="00134E78" w:rsidP="00134E78">
      <w:pPr>
        <w:pStyle w:val="BodyText"/>
        <w:rPr>
          <w:rFonts w:ascii="Times New Roman" w:hAnsi="Times New Roman"/>
          <w:b/>
        </w:rPr>
      </w:pPr>
    </w:p>
    <w:p w14:paraId="236A834B" w14:textId="77777777" w:rsidR="005C7A45" w:rsidRDefault="00132181"/>
    <w:sectPr w:rsidR="005C7A45" w:rsidSect="00203904">
      <w:pgSz w:w="15840" w:h="12240" w:orient="landscape"/>
      <w:pgMar w:top="3154" w:right="2592" w:bottom="2880" w:left="2160" w:header="1584" w:footer="144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52A"/>
    <w:multiLevelType w:val="multilevel"/>
    <w:tmpl w:val="96AA8A28"/>
    <w:lvl w:ilvl="0">
      <w:start w:val="1"/>
      <w:numFmt w:val="upperRoman"/>
      <w:pStyle w:val="Heading1"/>
      <w:lvlText w:val="%1."/>
      <w:lvlJc w:val="left"/>
      <w:pPr>
        <w:ind w:left="1015" w:hanging="142"/>
      </w:pPr>
      <w:rPr>
        <w:rFonts w:hint="default"/>
      </w:rPr>
    </w:lvl>
    <w:lvl w:ilvl="1">
      <w:start w:val="1"/>
      <w:numFmt w:val="upperLetter"/>
      <w:pStyle w:val="Heading2"/>
      <w:lvlText w:val="%2."/>
      <w:lvlJc w:val="left"/>
      <w:pPr>
        <w:ind w:left="873" w:firstLine="0"/>
      </w:pPr>
      <w:rPr>
        <w:rFonts w:hint="default"/>
      </w:rPr>
    </w:lvl>
    <w:lvl w:ilvl="2">
      <w:start w:val="1"/>
      <w:numFmt w:val="decimal"/>
      <w:pStyle w:val="Heading3"/>
      <w:lvlText w:val="%3."/>
      <w:lvlJc w:val="left"/>
      <w:pPr>
        <w:ind w:left="873" w:firstLine="0"/>
      </w:pPr>
      <w:rPr>
        <w:rFonts w:hint="default"/>
      </w:rPr>
    </w:lvl>
    <w:lvl w:ilvl="3">
      <w:start w:val="1"/>
      <w:numFmt w:val="lowerLetter"/>
      <w:pStyle w:val="Heading4"/>
      <w:lvlText w:val="%4)"/>
      <w:lvlJc w:val="left"/>
      <w:pPr>
        <w:ind w:left="3033" w:firstLine="0"/>
      </w:pPr>
      <w:rPr>
        <w:rFonts w:hint="default"/>
      </w:rPr>
    </w:lvl>
    <w:lvl w:ilvl="4">
      <w:start w:val="1"/>
      <w:numFmt w:val="decimal"/>
      <w:pStyle w:val="Heading5"/>
      <w:lvlText w:val="(%5)"/>
      <w:lvlJc w:val="left"/>
      <w:pPr>
        <w:ind w:left="3753" w:firstLine="0"/>
      </w:pPr>
      <w:rPr>
        <w:rFonts w:hint="default"/>
      </w:rPr>
    </w:lvl>
    <w:lvl w:ilvl="5">
      <w:start w:val="1"/>
      <w:numFmt w:val="lowerLetter"/>
      <w:pStyle w:val="Heading6"/>
      <w:lvlText w:val="(%6)"/>
      <w:lvlJc w:val="left"/>
      <w:pPr>
        <w:ind w:left="4473" w:firstLine="0"/>
      </w:pPr>
      <w:rPr>
        <w:rFonts w:hint="default"/>
      </w:rPr>
    </w:lvl>
    <w:lvl w:ilvl="6">
      <w:start w:val="1"/>
      <w:numFmt w:val="lowerRoman"/>
      <w:pStyle w:val="Heading7"/>
      <w:lvlText w:val="(%7)"/>
      <w:lvlJc w:val="left"/>
      <w:pPr>
        <w:ind w:left="5193" w:firstLine="0"/>
      </w:pPr>
      <w:rPr>
        <w:rFonts w:hint="default"/>
      </w:rPr>
    </w:lvl>
    <w:lvl w:ilvl="7">
      <w:start w:val="1"/>
      <w:numFmt w:val="lowerLetter"/>
      <w:pStyle w:val="Heading8"/>
      <w:lvlText w:val="(%8)"/>
      <w:lvlJc w:val="left"/>
      <w:pPr>
        <w:ind w:left="5913" w:firstLine="0"/>
      </w:pPr>
      <w:rPr>
        <w:rFonts w:hint="default"/>
      </w:rPr>
    </w:lvl>
    <w:lvl w:ilvl="8">
      <w:start w:val="1"/>
      <w:numFmt w:val="lowerRoman"/>
      <w:pStyle w:val="Heading9"/>
      <w:lvlText w:val="(%9)"/>
      <w:lvlJc w:val="left"/>
      <w:pPr>
        <w:ind w:left="6633"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78"/>
    <w:rsid w:val="00037EDE"/>
    <w:rsid w:val="0007563E"/>
    <w:rsid w:val="000B51BA"/>
    <w:rsid w:val="00132181"/>
    <w:rsid w:val="00134E78"/>
    <w:rsid w:val="00160528"/>
    <w:rsid w:val="00203904"/>
    <w:rsid w:val="00225DD8"/>
    <w:rsid w:val="00236613"/>
    <w:rsid w:val="00291EA7"/>
    <w:rsid w:val="0038184C"/>
    <w:rsid w:val="00451BA1"/>
    <w:rsid w:val="004A0C70"/>
    <w:rsid w:val="00574E37"/>
    <w:rsid w:val="005D534E"/>
    <w:rsid w:val="007809EC"/>
    <w:rsid w:val="00836DAC"/>
    <w:rsid w:val="00935020"/>
    <w:rsid w:val="00A14303"/>
    <w:rsid w:val="00AB4460"/>
    <w:rsid w:val="00B05E74"/>
    <w:rsid w:val="00B22F9D"/>
    <w:rsid w:val="00BB5E07"/>
    <w:rsid w:val="00C239BB"/>
    <w:rsid w:val="00C65EFA"/>
    <w:rsid w:val="00C83DC1"/>
    <w:rsid w:val="00D036AC"/>
    <w:rsid w:val="00ED5C14"/>
    <w:rsid w:val="00EE0A1C"/>
    <w:rsid w:val="00EF7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9707"/>
  <w14:defaultImageDpi w14:val="32767"/>
  <w15:chartTrackingRefBased/>
  <w15:docId w15:val="{F4C3DE4A-8C11-5E4F-B1BC-5E665E5D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4E78"/>
    <w:rPr>
      <w:rFonts w:ascii="Times New Roman" w:eastAsia="Times New Roman" w:hAnsi="Times New Roman" w:cs="Times New Roman"/>
      <w:lang w:val="en-SG"/>
    </w:rPr>
  </w:style>
  <w:style w:type="paragraph" w:styleId="Heading1">
    <w:name w:val="heading 1"/>
    <w:basedOn w:val="Normal"/>
    <w:next w:val="Normal"/>
    <w:link w:val="Heading1Char"/>
    <w:uiPriority w:val="9"/>
    <w:qFormat/>
    <w:rsid w:val="00134E78"/>
    <w:pPr>
      <w:keepNext/>
      <w:keepLines/>
      <w:numPr>
        <w:numId w:val="1"/>
      </w:numPr>
      <w:spacing w:after="100"/>
      <w:ind w:left="567" w:firstLine="0"/>
      <w:jc w:val="center"/>
      <w:outlineLvl w:val="0"/>
    </w:pPr>
    <w:rPr>
      <w:rFonts w:eastAsia="MS Gothic"/>
      <w:bCs/>
      <w:smallCaps/>
      <w:lang w:val="x-none" w:eastAsia="x-none"/>
    </w:rPr>
  </w:style>
  <w:style w:type="paragraph" w:styleId="Heading2">
    <w:name w:val="heading 2"/>
    <w:basedOn w:val="Normal"/>
    <w:next w:val="Normal"/>
    <w:link w:val="Heading2Char"/>
    <w:qFormat/>
    <w:rsid w:val="00134E78"/>
    <w:pPr>
      <w:keepNext/>
      <w:keepLines/>
      <w:numPr>
        <w:ilvl w:val="1"/>
        <w:numId w:val="1"/>
      </w:numPr>
      <w:spacing w:after="100"/>
      <w:outlineLvl w:val="1"/>
    </w:pPr>
    <w:rPr>
      <w:rFonts w:eastAsia="MS Gothic"/>
      <w:bCs/>
      <w:i/>
      <w:lang w:val="x-none" w:eastAsia="x-none"/>
    </w:rPr>
  </w:style>
  <w:style w:type="paragraph" w:styleId="Heading3">
    <w:name w:val="heading 3"/>
    <w:basedOn w:val="Normal"/>
    <w:next w:val="Normal"/>
    <w:link w:val="Heading3Char"/>
    <w:qFormat/>
    <w:rsid w:val="00134E78"/>
    <w:pPr>
      <w:keepNext/>
      <w:keepLines/>
      <w:numPr>
        <w:ilvl w:val="2"/>
        <w:numId w:val="1"/>
      </w:numPr>
      <w:snapToGrid w:val="0"/>
      <w:spacing w:after="100"/>
      <w:outlineLvl w:val="2"/>
    </w:pPr>
    <w:rPr>
      <w:rFonts w:eastAsia="MS Gothic"/>
      <w:bCs/>
      <w:szCs w:val="20"/>
      <w:lang w:val="x-none" w:eastAsia="x-none"/>
    </w:rPr>
  </w:style>
  <w:style w:type="paragraph" w:styleId="Heading4">
    <w:name w:val="heading 4"/>
    <w:basedOn w:val="Normal"/>
    <w:next w:val="Normal"/>
    <w:link w:val="Heading4Char"/>
    <w:qFormat/>
    <w:rsid w:val="00134E78"/>
    <w:pPr>
      <w:keepNext/>
      <w:keepLines/>
      <w:numPr>
        <w:ilvl w:val="3"/>
        <w:numId w:val="1"/>
      </w:numPr>
      <w:spacing w:before="200"/>
      <w:outlineLvl w:val="3"/>
    </w:pPr>
    <w:rPr>
      <w:rFonts w:ascii="Calibri" w:eastAsia="MS Gothic" w:hAnsi="Calibri"/>
      <w:b/>
      <w:bCs/>
      <w:i/>
      <w:iCs/>
      <w:color w:val="4F81BD"/>
      <w:sz w:val="20"/>
      <w:szCs w:val="20"/>
      <w:lang w:eastAsia="x-none"/>
    </w:rPr>
  </w:style>
  <w:style w:type="paragraph" w:styleId="Heading5">
    <w:name w:val="heading 5"/>
    <w:basedOn w:val="Normal"/>
    <w:next w:val="Normal"/>
    <w:link w:val="Heading5Char"/>
    <w:qFormat/>
    <w:rsid w:val="00134E78"/>
    <w:pPr>
      <w:keepNext/>
      <w:keepLines/>
      <w:numPr>
        <w:ilvl w:val="4"/>
        <w:numId w:val="1"/>
      </w:numPr>
      <w:spacing w:before="200"/>
      <w:outlineLvl w:val="4"/>
    </w:pPr>
    <w:rPr>
      <w:rFonts w:ascii="Calibri" w:eastAsia="MS Gothic" w:hAnsi="Calibri"/>
      <w:color w:val="244061"/>
      <w:sz w:val="20"/>
      <w:szCs w:val="20"/>
      <w:lang w:eastAsia="x-none"/>
    </w:rPr>
  </w:style>
  <w:style w:type="paragraph" w:styleId="Heading6">
    <w:name w:val="heading 6"/>
    <w:basedOn w:val="Normal"/>
    <w:next w:val="Normal"/>
    <w:link w:val="Heading6Char"/>
    <w:qFormat/>
    <w:rsid w:val="00134E78"/>
    <w:pPr>
      <w:keepNext/>
      <w:keepLines/>
      <w:numPr>
        <w:ilvl w:val="5"/>
        <w:numId w:val="1"/>
      </w:numPr>
      <w:spacing w:before="200"/>
      <w:outlineLvl w:val="5"/>
    </w:pPr>
    <w:rPr>
      <w:rFonts w:ascii="Calibri" w:eastAsia="MS Gothic" w:hAnsi="Calibri"/>
      <w:i/>
      <w:iCs/>
      <w:color w:val="244061"/>
      <w:sz w:val="20"/>
      <w:szCs w:val="20"/>
      <w:lang w:eastAsia="x-none"/>
    </w:rPr>
  </w:style>
  <w:style w:type="paragraph" w:styleId="Heading7">
    <w:name w:val="heading 7"/>
    <w:basedOn w:val="Normal"/>
    <w:next w:val="Normal"/>
    <w:link w:val="Heading7Char"/>
    <w:qFormat/>
    <w:rsid w:val="00134E78"/>
    <w:pPr>
      <w:keepNext/>
      <w:keepLines/>
      <w:numPr>
        <w:ilvl w:val="6"/>
        <w:numId w:val="1"/>
      </w:numPr>
      <w:spacing w:before="200"/>
      <w:outlineLvl w:val="6"/>
    </w:pPr>
    <w:rPr>
      <w:rFonts w:ascii="Calibri" w:eastAsia="MS Gothic" w:hAnsi="Calibri"/>
      <w:i/>
      <w:iCs/>
      <w:color w:val="404040"/>
      <w:sz w:val="20"/>
      <w:szCs w:val="20"/>
      <w:lang w:eastAsia="x-none"/>
    </w:rPr>
  </w:style>
  <w:style w:type="paragraph" w:styleId="Heading8">
    <w:name w:val="heading 8"/>
    <w:basedOn w:val="Normal"/>
    <w:next w:val="Normal"/>
    <w:link w:val="Heading8Char"/>
    <w:qFormat/>
    <w:rsid w:val="00134E78"/>
    <w:pPr>
      <w:keepNext/>
      <w:keepLines/>
      <w:numPr>
        <w:ilvl w:val="7"/>
        <w:numId w:val="1"/>
      </w:numPr>
      <w:spacing w:before="200"/>
      <w:outlineLvl w:val="7"/>
    </w:pPr>
    <w:rPr>
      <w:rFonts w:ascii="Calibri" w:eastAsia="MS Gothic" w:hAnsi="Calibri"/>
      <w:color w:val="363636"/>
      <w:sz w:val="20"/>
      <w:szCs w:val="20"/>
      <w:lang w:eastAsia="x-none"/>
    </w:rPr>
  </w:style>
  <w:style w:type="paragraph" w:styleId="Heading9">
    <w:name w:val="heading 9"/>
    <w:basedOn w:val="Normal"/>
    <w:next w:val="Normal"/>
    <w:link w:val="Heading9Char"/>
    <w:qFormat/>
    <w:rsid w:val="00134E78"/>
    <w:pPr>
      <w:keepNext/>
      <w:keepLines/>
      <w:numPr>
        <w:ilvl w:val="8"/>
        <w:numId w:val="1"/>
      </w:numPr>
      <w:spacing w:before="200"/>
      <w:outlineLvl w:val="8"/>
    </w:pPr>
    <w:rPr>
      <w:rFonts w:ascii="Calibri" w:eastAsia="MS Gothic" w:hAnsi="Calibri"/>
      <w:i/>
      <w:iCs/>
      <w:color w:val="363636"/>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E78"/>
    <w:rPr>
      <w:rFonts w:ascii="Times New Roman" w:eastAsia="MS Gothic" w:hAnsi="Times New Roman" w:cs="Times New Roman"/>
      <w:bCs/>
      <w:smallCaps/>
      <w:lang w:val="x-none" w:eastAsia="x-none"/>
    </w:rPr>
  </w:style>
  <w:style w:type="character" w:customStyle="1" w:styleId="Heading2Char">
    <w:name w:val="Heading 2 Char"/>
    <w:basedOn w:val="DefaultParagraphFont"/>
    <w:link w:val="Heading2"/>
    <w:rsid w:val="00134E78"/>
    <w:rPr>
      <w:rFonts w:ascii="Times New Roman" w:eastAsia="MS Gothic" w:hAnsi="Times New Roman" w:cs="Times New Roman"/>
      <w:bCs/>
      <w:i/>
      <w:lang w:val="x-none" w:eastAsia="x-none"/>
    </w:rPr>
  </w:style>
  <w:style w:type="character" w:customStyle="1" w:styleId="Heading3Char">
    <w:name w:val="Heading 3 Char"/>
    <w:basedOn w:val="DefaultParagraphFont"/>
    <w:link w:val="Heading3"/>
    <w:rsid w:val="00134E78"/>
    <w:rPr>
      <w:rFonts w:ascii="Times New Roman" w:eastAsia="MS Gothic" w:hAnsi="Times New Roman" w:cs="Times New Roman"/>
      <w:bCs/>
      <w:szCs w:val="20"/>
      <w:lang w:val="x-none" w:eastAsia="x-none"/>
    </w:rPr>
  </w:style>
  <w:style w:type="character" w:customStyle="1" w:styleId="Heading4Char">
    <w:name w:val="Heading 4 Char"/>
    <w:basedOn w:val="DefaultParagraphFont"/>
    <w:link w:val="Heading4"/>
    <w:rsid w:val="00134E78"/>
    <w:rPr>
      <w:rFonts w:ascii="Calibri" w:eastAsia="MS Gothic" w:hAnsi="Calibri" w:cs="Times New Roman"/>
      <w:b/>
      <w:bCs/>
      <w:i/>
      <w:iCs/>
      <w:color w:val="4F81BD"/>
      <w:sz w:val="20"/>
      <w:szCs w:val="20"/>
      <w:lang w:val="en-SG" w:eastAsia="x-none"/>
    </w:rPr>
  </w:style>
  <w:style w:type="character" w:customStyle="1" w:styleId="Heading5Char">
    <w:name w:val="Heading 5 Char"/>
    <w:basedOn w:val="DefaultParagraphFont"/>
    <w:link w:val="Heading5"/>
    <w:rsid w:val="00134E78"/>
    <w:rPr>
      <w:rFonts w:ascii="Calibri" w:eastAsia="MS Gothic" w:hAnsi="Calibri" w:cs="Times New Roman"/>
      <w:color w:val="244061"/>
      <w:sz w:val="20"/>
      <w:szCs w:val="20"/>
      <w:lang w:val="en-SG" w:eastAsia="x-none"/>
    </w:rPr>
  </w:style>
  <w:style w:type="character" w:customStyle="1" w:styleId="Heading6Char">
    <w:name w:val="Heading 6 Char"/>
    <w:basedOn w:val="DefaultParagraphFont"/>
    <w:link w:val="Heading6"/>
    <w:rsid w:val="00134E78"/>
    <w:rPr>
      <w:rFonts w:ascii="Calibri" w:eastAsia="MS Gothic" w:hAnsi="Calibri" w:cs="Times New Roman"/>
      <w:i/>
      <w:iCs/>
      <w:color w:val="244061"/>
      <w:sz w:val="20"/>
      <w:szCs w:val="20"/>
      <w:lang w:val="en-SG" w:eastAsia="x-none"/>
    </w:rPr>
  </w:style>
  <w:style w:type="character" w:customStyle="1" w:styleId="Heading7Char">
    <w:name w:val="Heading 7 Char"/>
    <w:basedOn w:val="DefaultParagraphFont"/>
    <w:link w:val="Heading7"/>
    <w:rsid w:val="00134E78"/>
    <w:rPr>
      <w:rFonts w:ascii="Calibri" w:eastAsia="MS Gothic" w:hAnsi="Calibri" w:cs="Times New Roman"/>
      <w:i/>
      <w:iCs/>
      <w:color w:val="404040"/>
      <w:sz w:val="20"/>
      <w:szCs w:val="20"/>
      <w:lang w:val="en-SG" w:eastAsia="x-none"/>
    </w:rPr>
  </w:style>
  <w:style w:type="character" w:customStyle="1" w:styleId="Heading8Char">
    <w:name w:val="Heading 8 Char"/>
    <w:basedOn w:val="DefaultParagraphFont"/>
    <w:link w:val="Heading8"/>
    <w:rsid w:val="00134E78"/>
    <w:rPr>
      <w:rFonts w:ascii="Calibri" w:eastAsia="MS Gothic" w:hAnsi="Calibri" w:cs="Times New Roman"/>
      <w:color w:val="363636"/>
      <w:sz w:val="20"/>
      <w:szCs w:val="20"/>
      <w:lang w:val="en-SG" w:eastAsia="x-none"/>
    </w:rPr>
  </w:style>
  <w:style w:type="character" w:customStyle="1" w:styleId="Heading9Char">
    <w:name w:val="Heading 9 Char"/>
    <w:basedOn w:val="DefaultParagraphFont"/>
    <w:link w:val="Heading9"/>
    <w:rsid w:val="00134E78"/>
    <w:rPr>
      <w:rFonts w:ascii="Calibri" w:eastAsia="MS Gothic" w:hAnsi="Calibri" w:cs="Times New Roman"/>
      <w:i/>
      <w:iCs/>
      <w:color w:val="363636"/>
      <w:sz w:val="20"/>
      <w:szCs w:val="20"/>
      <w:lang w:val="en-SG" w:eastAsia="x-none"/>
    </w:rPr>
  </w:style>
  <w:style w:type="paragraph" w:styleId="BodyText">
    <w:name w:val="Body Text"/>
    <w:basedOn w:val="Normal"/>
    <w:link w:val="BodyTextChar"/>
    <w:uiPriority w:val="99"/>
    <w:rsid w:val="00134E78"/>
    <w:pPr>
      <w:spacing w:after="120"/>
    </w:pPr>
    <w:rPr>
      <w:rFonts w:ascii="Cambria" w:hAnsi="Cambria"/>
    </w:rPr>
  </w:style>
  <w:style w:type="character" w:customStyle="1" w:styleId="BodyTextChar">
    <w:name w:val="Body Text Char"/>
    <w:basedOn w:val="DefaultParagraphFont"/>
    <w:link w:val="BodyText"/>
    <w:uiPriority w:val="99"/>
    <w:rsid w:val="00134E78"/>
    <w:rPr>
      <w:rFonts w:ascii="Cambria" w:eastAsia="Times New Roman" w:hAnsi="Cambria" w:cs="Times New Roman"/>
      <w:lang w:val="en-SG"/>
    </w:rPr>
  </w:style>
  <w:style w:type="paragraph" w:styleId="Caption">
    <w:name w:val="caption"/>
    <w:basedOn w:val="Normal"/>
    <w:next w:val="Normal"/>
    <w:qFormat/>
    <w:rsid w:val="00134E78"/>
    <w:pPr>
      <w:spacing w:after="200"/>
    </w:pPr>
    <w:rPr>
      <w:b/>
      <w:bCs/>
      <w:color w:val="4F81BD"/>
      <w:sz w:val="18"/>
      <w:szCs w:val="18"/>
    </w:rPr>
  </w:style>
  <w:style w:type="table" w:styleId="TableGrid">
    <w:name w:val="Table Grid"/>
    <w:basedOn w:val="TableNormal"/>
    <w:uiPriority w:val="39"/>
    <w:rsid w:val="00134E78"/>
    <w:rPr>
      <w:rFonts w:ascii="Cambria" w:eastAsia="Cambria"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nhideWhenUsed/>
    <w:rsid w:val="00134E78"/>
    <w:pPr>
      <w:spacing w:after="0"/>
      <w:ind w:firstLine="360"/>
    </w:pPr>
    <w:rPr>
      <w:rFonts w:ascii="Times New Roman" w:hAnsi="Times New Roman"/>
    </w:rPr>
  </w:style>
  <w:style w:type="character" w:customStyle="1" w:styleId="BodyTextFirstIndentChar">
    <w:name w:val="Body Text First Indent Char"/>
    <w:basedOn w:val="BodyTextChar"/>
    <w:link w:val="BodyTextFirstIndent"/>
    <w:rsid w:val="00134E78"/>
    <w:rPr>
      <w:rFonts w:ascii="Times New Roman" w:eastAsia="Times New Roman" w:hAnsi="Times New Roman" w:cs="Times New Roman"/>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4091</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Shuwen, Jolene (Director, APCEL)</dc:creator>
  <cp:keywords/>
  <dc:description/>
  <cp:lastModifiedBy>Erin Lovall</cp:lastModifiedBy>
  <cp:revision>2</cp:revision>
  <dcterms:created xsi:type="dcterms:W3CDTF">2019-08-22T22:48:00Z</dcterms:created>
  <dcterms:modified xsi:type="dcterms:W3CDTF">2019-08-22T22:48:00Z</dcterms:modified>
</cp:coreProperties>
</file>