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60" w:rsidRPr="007E4A60" w:rsidRDefault="007E4A60" w:rsidP="007E4A60">
      <w:pPr>
        <w:keepNext/>
        <w:keepLines/>
        <w:spacing w:before="200" w:line="276" w:lineRule="auto"/>
        <w:outlineLvl w:val="1"/>
        <w:rPr>
          <w:rFonts w:asciiTheme="majorHAnsi" w:eastAsiaTheme="majorEastAsia" w:hAnsiTheme="majorHAnsi" w:cstheme="majorBidi"/>
          <w:b/>
          <w:bCs/>
          <w:sz w:val="26"/>
          <w:szCs w:val="26"/>
          <w:lang w:val="en-US" w:eastAsia="da-DK"/>
        </w:rPr>
      </w:pPr>
      <w:bookmarkStart w:id="0" w:name="_GoBack"/>
      <w:bookmarkEnd w:id="0"/>
      <w:r w:rsidRPr="007E4A60">
        <w:rPr>
          <w:rFonts w:asciiTheme="majorHAnsi" w:eastAsiaTheme="majorEastAsia" w:hAnsiTheme="majorHAnsi" w:cstheme="majorBidi"/>
          <w:b/>
          <w:bCs/>
          <w:sz w:val="26"/>
          <w:szCs w:val="26"/>
          <w:lang w:val="en-US" w:eastAsia="da-DK"/>
        </w:rPr>
        <w:t>A</w:t>
      </w:r>
      <w:r w:rsidRPr="007E4A60">
        <w:rPr>
          <w:rFonts w:asciiTheme="majorHAnsi" w:eastAsiaTheme="majorEastAsia" w:hAnsiTheme="majorHAnsi" w:cstheme="majorBidi"/>
          <w:b/>
          <w:bCs/>
          <w:sz w:val="26"/>
          <w:szCs w:val="26"/>
          <w:lang w:val="en-US" w:eastAsia="da-DK"/>
        </w:rPr>
        <w:t>ppendix</w:t>
      </w:r>
      <w:r w:rsidRPr="007E4A60">
        <w:rPr>
          <w:rFonts w:asciiTheme="majorHAnsi" w:eastAsiaTheme="majorEastAsia" w:hAnsiTheme="majorHAnsi" w:cstheme="majorBidi"/>
          <w:b/>
          <w:bCs/>
          <w:sz w:val="26"/>
          <w:szCs w:val="26"/>
          <w:lang w:val="en-US" w:eastAsia="da-DK"/>
        </w:rPr>
        <w:t xml:space="preserve"> to “</w:t>
      </w:r>
      <w:r w:rsidRPr="007E4A60">
        <w:rPr>
          <w:rFonts w:asciiTheme="majorHAnsi" w:eastAsiaTheme="majorEastAsia" w:hAnsiTheme="majorHAnsi" w:cstheme="majorBidi"/>
          <w:b/>
          <w:bCs/>
          <w:sz w:val="26"/>
          <w:szCs w:val="26"/>
          <w:lang w:val="en-US" w:eastAsia="da-DK"/>
        </w:rPr>
        <w:t>Jurisdiction Size and Local Government Policy Expenditure: Assessing the Effect of Municipal Amalgamation</w:t>
      </w:r>
      <w:r w:rsidRPr="007E4A60">
        <w:rPr>
          <w:rFonts w:asciiTheme="majorHAnsi" w:eastAsiaTheme="majorEastAsia" w:hAnsiTheme="majorHAnsi" w:cstheme="majorBidi"/>
          <w:b/>
          <w:bCs/>
          <w:sz w:val="26"/>
          <w:szCs w:val="26"/>
          <w:lang w:val="en-US" w:eastAsia="da-DK"/>
        </w:rPr>
        <w:t>” b</w:t>
      </w:r>
      <w:r w:rsidRPr="007E4A60">
        <w:rPr>
          <w:rFonts w:asciiTheme="majorHAnsi" w:eastAsiaTheme="majorEastAsia" w:hAnsiTheme="majorHAnsi" w:cstheme="majorBidi"/>
          <w:b/>
          <w:bCs/>
          <w:sz w:val="26"/>
          <w:szCs w:val="26"/>
          <w:lang w:val="en-US" w:eastAsia="da-DK"/>
        </w:rPr>
        <w:t>y</w:t>
      </w:r>
      <w:r w:rsidRPr="007E4A60">
        <w:rPr>
          <w:rFonts w:asciiTheme="majorHAnsi" w:eastAsiaTheme="majorEastAsia" w:hAnsiTheme="majorHAnsi" w:cstheme="majorBidi"/>
          <w:b/>
          <w:bCs/>
          <w:sz w:val="26"/>
          <w:szCs w:val="26"/>
          <w:lang w:val="en-US" w:eastAsia="da-DK"/>
        </w:rPr>
        <w:t xml:space="preserve"> </w:t>
      </w:r>
      <w:r w:rsidRPr="007E4A60">
        <w:rPr>
          <w:rFonts w:asciiTheme="majorHAnsi" w:eastAsiaTheme="majorEastAsia" w:hAnsiTheme="majorHAnsi" w:cstheme="majorBidi"/>
          <w:b/>
          <w:bCs/>
          <w:sz w:val="26"/>
          <w:szCs w:val="26"/>
          <w:lang w:val="en-US" w:eastAsia="da-DK"/>
        </w:rPr>
        <w:t xml:space="preserve">Jens Blom-Hansen, Kurt </w:t>
      </w:r>
      <w:proofErr w:type="spellStart"/>
      <w:r w:rsidRPr="007E4A60">
        <w:rPr>
          <w:rFonts w:asciiTheme="majorHAnsi" w:eastAsiaTheme="majorEastAsia" w:hAnsiTheme="majorHAnsi" w:cstheme="majorBidi"/>
          <w:b/>
          <w:bCs/>
          <w:sz w:val="26"/>
          <w:szCs w:val="26"/>
          <w:lang w:val="en-US" w:eastAsia="da-DK"/>
        </w:rPr>
        <w:t>Houlberg</w:t>
      </w:r>
      <w:proofErr w:type="spellEnd"/>
      <w:r w:rsidRPr="007E4A60">
        <w:rPr>
          <w:rFonts w:asciiTheme="majorHAnsi" w:eastAsiaTheme="majorEastAsia" w:hAnsiTheme="majorHAnsi" w:cstheme="majorBidi"/>
          <w:b/>
          <w:bCs/>
          <w:sz w:val="26"/>
          <w:szCs w:val="26"/>
          <w:lang w:val="en-US" w:eastAsia="da-DK"/>
        </w:rPr>
        <w:t>, Søren Serritzlew,</w:t>
      </w:r>
      <w:r w:rsidRPr="007E4A60">
        <w:rPr>
          <w:rFonts w:asciiTheme="majorHAnsi" w:eastAsiaTheme="majorEastAsia" w:hAnsiTheme="majorHAnsi" w:cstheme="majorBidi"/>
          <w:b/>
          <w:bCs/>
          <w:sz w:val="26"/>
          <w:szCs w:val="26"/>
          <w:lang w:val="en-US" w:eastAsia="da-DK"/>
        </w:rPr>
        <w:t xml:space="preserve"> and</w:t>
      </w:r>
      <w:r w:rsidRPr="007E4A60">
        <w:rPr>
          <w:rFonts w:asciiTheme="majorHAnsi" w:eastAsiaTheme="majorEastAsia" w:hAnsiTheme="majorHAnsi" w:cstheme="majorBidi"/>
          <w:b/>
          <w:bCs/>
          <w:sz w:val="26"/>
          <w:szCs w:val="26"/>
          <w:lang w:val="en-US" w:eastAsia="da-DK"/>
        </w:rPr>
        <w:t xml:space="preserve"> Daniel Treisman, </w:t>
      </w:r>
    </w:p>
    <w:p w:rsidR="007E4A60" w:rsidRPr="007E4A60" w:rsidRDefault="007E4A60" w:rsidP="007E4A60">
      <w:pPr>
        <w:spacing w:after="200" w:line="480" w:lineRule="auto"/>
        <w:rPr>
          <w:rFonts w:asciiTheme="minorHAnsi" w:eastAsiaTheme="minorEastAsia" w:hAnsiTheme="minorHAnsi" w:cstheme="minorBidi"/>
          <w:sz w:val="22"/>
          <w:szCs w:val="22"/>
          <w:lang w:val="en-US" w:eastAsia="da-DK"/>
        </w:rPr>
      </w:pPr>
    </w:p>
    <w:p w:rsidR="007E4A60" w:rsidRPr="007E4A60" w:rsidRDefault="007E4A60" w:rsidP="007E4A60">
      <w:pPr>
        <w:spacing w:after="200" w:line="480" w:lineRule="auto"/>
        <w:rPr>
          <w:rFonts w:asciiTheme="minorHAnsi" w:eastAsiaTheme="minorEastAsia" w:hAnsiTheme="minorHAnsi" w:cstheme="minorBidi"/>
          <w:sz w:val="22"/>
          <w:szCs w:val="22"/>
          <w:lang w:val="en-US" w:eastAsia="da-DK"/>
        </w:rPr>
      </w:pPr>
      <w:r w:rsidRPr="007E4A60">
        <w:rPr>
          <w:rFonts w:asciiTheme="minorHAnsi" w:eastAsiaTheme="minorEastAsia" w:hAnsiTheme="minorHAnsi" w:cstheme="minorBidi"/>
          <w:sz w:val="22"/>
          <w:szCs w:val="22"/>
          <w:lang w:val="en-US" w:eastAsia="da-DK"/>
        </w:rPr>
        <w:t xml:space="preserve">All data are register data from the Danish government’s statistical office, </w:t>
      </w:r>
      <w:r w:rsidRPr="007E4A60">
        <w:rPr>
          <w:rFonts w:asciiTheme="minorHAnsi" w:eastAsiaTheme="minorEastAsia" w:hAnsiTheme="minorHAnsi" w:cstheme="minorBidi"/>
          <w:i/>
          <w:sz w:val="22"/>
          <w:szCs w:val="22"/>
          <w:lang w:val="en-US" w:eastAsia="da-DK"/>
        </w:rPr>
        <w:t>Statistics Denmark</w:t>
      </w:r>
      <w:r w:rsidRPr="007E4A60">
        <w:rPr>
          <w:rFonts w:asciiTheme="minorHAnsi" w:eastAsiaTheme="minorEastAsia" w:hAnsiTheme="minorHAnsi" w:cstheme="minorBidi"/>
          <w:sz w:val="22"/>
          <w:szCs w:val="22"/>
          <w:lang w:val="en-US" w:eastAsia="da-DK"/>
        </w:rPr>
        <w:t>. They include local expenditure data, which stem from the municipalities’ accounting system, a uniform system specified by the Danish Ministry of the Interior, controlled by independent auditors and reported to Statistics Denmark. In addition Statistics Denmark collects demographic and socioeconomic data on all municipalities.</w:t>
      </w:r>
    </w:p>
    <w:p w:rsidR="007E4A60" w:rsidRPr="007E4A60" w:rsidRDefault="007E4A60" w:rsidP="007E4A60">
      <w:pPr>
        <w:spacing w:after="200" w:line="276" w:lineRule="auto"/>
        <w:rPr>
          <w:rFonts w:asciiTheme="minorHAnsi" w:eastAsiaTheme="minorEastAsia" w:hAnsiTheme="minorHAnsi" w:cstheme="minorBidi"/>
          <w:sz w:val="22"/>
          <w:szCs w:val="22"/>
          <w:lang w:val="en-US" w:eastAsia="da-DK"/>
        </w:rPr>
      </w:pPr>
    </w:p>
    <w:p w:rsidR="007E4A60" w:rsidRPr="007E4A60" w:rsidRDefault="007E4A60" w:rsidP="007E4A60">
      <w:pPr>
        <w:spacing w:after="200" w:line="276" w:lineRule="auto"/>
        <w:rPr>
          <w:rFonts w:asciiTheme="minorHAnsi" w:eastAsiaTheme="minorEastAsia" w:hAnsiTheme="minorHAnsi" w:cstheme="minorBidi"/>
          <w:b/>
          <w:sz w:val="18"/>
          <w:szCs w:val="18"/>
          <w:lang w:val="en-US" w:eastAsia="da-DK"/>
        </w:rPr>
      </w:pPr>
      <w:r w:rsidRPr="007E4A60">
        <w:rPr>
          <w:rFonts w:asciiTheme="minorHAnsi" w:eastAsiaTheme="minorEastAsia" w:hAnsiTheme="minorHAnsi" w:cstheme="minorBidi"/>
          <w:b/>
          <w:sz w:val="18"/>
          <w:szCs w:val="18"/>
          <w:lang w:val="en-US" w:eastAsia="da-DK"/>
        </w:rPr>
        <w:t>Table A1: Measurement of variables</w:t>
      </w:r>
    </w:p>
    <w:tbl>
      <w:tblPr>
        <w:tblW w:w="0" w:type="auto"/>
        <w:jc w:val="center"/>
        <w:tblLayout w:type="fixed"/>
        <w:tblCellMar>
          <w:left w:w="57" w:type="dxa"/>
          <w:right w:w="57" w:type="dxa"/>
        </w:tblCellMar>
        <w:tblLook w:val="0000" w:firstRow="0" w:lastRow="0" w:firstColumn="0" w:lastColumn="0" w:noHBand="0" w:noVBand="0"/>
      </w:tblPr>
      <w:tblGrid>
        <w:gridCol w:w="1723"/>
        <w:gridCol w:w="4713"/>
        <w:gridCol w:w="829"/>
        <w:gridCol w:w="829"/>
        <w:gridCol w:w="829"/>
        <w:gridCol w:w="829"/>
      </w:tblGrid>
      <w:tr w:rsidR="007E4A60" w:rsidRPr="007E4A60" w:rsidTr="00B627B0">
        <w:trPr>
          <w:jc w:val="center"/>
        </w:trPr>
        <w:tc>
          <w:tcPr>
            <w:tcW w:w="1723" w:type="dxa"/>
            <w:tcBorders>
              <w:top w:val="single" w:sz="4" w:space="0" w:color="auto"/>
              <w:left w:val="nil"/>
              <w:bottom w:val="single" w:sz="6" w:space="0" w:color="auto"/>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VARIABLES</w:t>
            </w:r>
          </w:p>
        </w:tc>
        <w:tc>
          <w:tcPr>
            <w:tcW w:w="4713" w:type="dxa"/>
            <w:tcBorders>
              <w:top w:val="single" w:sz="4" w:space="0" w:color="auto"/>
              <w:left w:val="nil"/>
              <w:bottom w:val="single" w:sz="6" w:space="0" w:color="auto"/>
              <w:right w:val="nil"/>
            </w:tcBorders>
          </w:tcPr>
          <w:p w:rsidR="007E4A60" w:rsidRPr="007E4A60" w:rsidRDefault="007E4A60" w:rsidP="007E4A60">
            <w:pPr>
              <w:widowControl w:val="0"/>
              <w:autoSpaceDE w:val="0"/>
              <w:autoSpaceDN w:val="0"/>
              <w:adjustRightInd w:val="0"/>
              <w:spacing w:after="120"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Measurement</w:t>
            </w:r>
          </w:p>
        </w:tc>
        <w:tc>
          <w:tcPr>
            <w:tcW w:w="829" w:type="dxa"/>
            <w:tcBorders>
              <w:top w:val="single" w:sz="4" w:space="0" w:color="auto"/>
              <w:left w:val="nil"/>
              <w:bottom w:val="single" w:sz="6" w:space="0" w:color="auto"/>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Mean</w:t>
            </w:r>
          </w:p>
        </w:tc>
        <w:tc>
          <w:tcPr>
            <w:tcW w:w="829" w:type="dxa"/>
            <w:tcBorders>
              <w:top w:val="single" w:sz="4" w:space="0" w:color="auto"/>
              <w:left w:val="nil"/>
              <w:bottom w:val="single" w:sz="6" w:space="0" w:color="auto"/>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Std. Dev.</w:t>
            </w:r>
          </w:p>
        </w:tc>
        <w:tc>
          <w:tcPr>
            <w:tcW w:w="829" w:type="dxa"/>
            <w:tcBorders>
              <w:top w:val="single" w:sz="4" w:space="0" w:color="auto"/>
              <w:left w:val="nil"/>
              <w:bottom w:val="single" w:sz="6" w:space="0" w:color="auto"/>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Min</w:t>
            </w:r>
          </w:p>
        </w:tc>
        <w:tc>
          <w:tcPr>
            <w:tcW w:w="829" w:type="dxa"/>
            <w:tcBorders>
              <w:top w:val="single" w:sz="4" w:space="0" w:color="auto"/>
              <w:left w:val="nil"/>
              <w:bottom w:val="single" w:sz="6" w:space="0" w:color="auto"/>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Max</w:t>
            </w:r>
          </w:p>
        </w:tc>
      </w:tr>
      <w:tr w:rsidR="007E4A60" w:rsidRPr="007E4A60" w:rsidTr="00B627B0">
        <w:trPr>
          <w:trHeight w:val="1309"/>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20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Day care </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Municipal net current expenditures for day care per 0-5 year old.</w:t>
            </w:r>
            <w:r w:rsidRPr="007E4A60">
              <w:rPr>
                <w:rFonts w:ascii="Verdana" w:eastAsiaTheme="minorEastAsia" w:hAnsi="Verdana" w:cs="Arial"/>
                <w:sz w:val="14"/>
                <w:szCs w:val="14"/>
                <w:lang w:val="en-US" w:eastAsia="da-DK"/>
              </w:rPr>
              <w:t xml:space="preserve"> 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5.10, 5.11, 5.12, 5.1, 5.14 (estimated share for the 0-5 year old), 5.17, 5.18 &amp; 5.19</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5.25.10, 5.25.11, 5.25.12, 5.25.1, 5.25.14 (estimated share for the 0-5 year old), 5.25.17, 5.25.18, 5.25.19, 3.22.09 &amp; 3.22.16</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65519</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9520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41895</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101188</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Schools</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Municipal net current expenditures for public primary and lower secondary schools per 6-16 year old, including compulsory grants for pupils in private schools.</w:t>
            </w:r>
            <w:r w:rsidRPr="007E4A60">
              <w:rPr>
                <w:rFonts w:ascii="Verdana" w:eastAsiaTheme="minorEastAsia" w:hAnsi="Verdana" w:cs="Arial"/>
                <w:sz w:val="14"/>
                <w:szCs w:val="14"/>
                <w:lang w:val="en-US" w:eastAsia="da-DK"/>
              </w:rPr>
              <w:t xml:space="preserve"> 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2.32, 3.01, 3.02, 3.03, 3.04, 3.05, 3.07, 3.08, 3.10, 3.12, 3.49, 5.14 (estimated share for the 6+ year old), 5.15 &amp; 5.16</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3.22.01, 3.22.02, 3.22.03, 3.22.04, 3.22.05, 3.22.06, 3.22.07, 3.22.08, 3.22.10, 3.22.12, 3.22.14, 3.22.18, 5.25.14 (estimated share for the 6+ year old), 5.25.15 &amp; 5.25.16</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73689</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8672</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58424</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106757</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Elder care</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Municipal net current expenditures for elder care per 65+ year old. </w:t>
            </w:r>
            <w:r w:rsidRPr="007E4A60">
              <w:rPr>
                <w:rFonts w:ascii="Verdana" w:eastAsiaTheme="minorEastAsia" w:hAnsi="Verdana" w:cs="Arial"/>
                <w:sz w:val="14"/>
                <w:szCs w:val="14"/>
                <w:lang w:val="en-US" w:eastAsia="da-DK"/>
              </w:rPr>
              <w:t>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5.32, 5.34, 5.54 (group 02-07,20,91,93), 5.92, 5.94 (grp. 11) </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5.32.32 (excluding grp. 002, 003), 5.32.33 (excluding grp. 004 </w:t>
            </w:r>
            <w:r w:rsidRPr="007E4A60">
              <w:rPr>
                <w:rFonts w:ascii="Verdana" w:eastAsiaTheme="minorEastAsia" w:hAnsi="Verdana" w:cstheme="minorBidi"/>
                <w:sz w:val="14"/>
                <w:szCs w:val="14"/>
                <w:lang w:val="en-US" w:eastAsia="da-DK"/>
              </w:rPr>
              <w:lastRenderedPageBreak/>
              <w:t>(</w:t>
            </w:r>
            <w:proofErr w:type="spellStart"/>
            <w:r w:rsidRPr="007E4A60">
              <w:rPr>
                <w:rFonts w:ascii="Verdana" w:eastAsiaTheme="minorEastAsia" w:hAnsi="Verdana" w:cstheme="minorBidi"/>
                <w:sz w:val="14"/>
                <w:szCs w:val="14"/>
                <w:lang w:val="en-US" w:eastAsia="da-DK"/>
              </w:rPr>
              <w:t>til</w:t>
            </w:r>
            <w:proofErr w:type="spellEnd"/>
            <w:r w:rsidRPr="007E4A60">
              <w:rPr>
                <w:rFonts w:ascii="Verdana" w:eastAsiaTheme="minorEastAsia" w:hAnsi="Verdana" w:cstheme="minorBidi"/>
                <w:sz w:val="14"/>
                <w:szCs w:val="14"/>
                <w:lang w:val="en-US" w:eastAsia="da-DK"/>
              </w:rPr>
              <w:t xml:space="preserve"> 2012: grp. 003)), 5.32.34, 5.32.35 (excluding grp. 001-004, 008, 091), 5.32.37, 5.22.07 (grp. 008 (from 2012)), 5.57.76</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lastRenderedPageBreak/>
              <w:t>47487</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7107</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11422</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70643</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lastRenderedPageBreak/>
              <w:t>Children with special needs</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Municipal net current expenditures for children and young people with special needs per 0-22 year old. </w:t>
            </w:r>
            <w:r w:rsidRPr="007E4A60">
              <w:rPr>
                <w:rFonts w:ascii="Verdana" w:eastAsiaTheme="minorEastAsia" w:hAnsi="Verdana" w:cs="Arial"/>
                <w:sz w:val="14"/>
                <w:szCs w:val="14"/>
                <w:lang w:val="en-US" w:eastAsia="da-DK"/>
              </w:rPr>
              <w:t>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5.20, 5.21, 5.23 &amp; 5.24</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5.25.20, 5.25.21, 5.25.23, 5.25.24 &amp; 5.22.07 (grp. 002-005 (from 2012))</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8129</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2684</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310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22097</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Roads</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Municipal net current expenditures for road maintenance per capita, excluding snow clearing. Income from parking bills are not included from 2008 and onward (</w:t>
            </w:r>
            <w:proofErr w:type="spellStart"/>
            <w:r w:rsidRPr="007E4A60">
              <w:rPr>
                <w:rFonts w:ascii="Verdana" w:eastAsiaTheme="minorEastAsia" w:hAnsi="Verdana" w:cstheme="minorBidi"/>
                <w:sz w:val="14"/>
                <w:szCs w:val="14"/>
                <w:lang w:val="en-US" w:eastAsia="da-DK"/>
              </w:rPr>
              <w:t>registrated</w:t>
            </w:r>
            <w:proofErr w:type="spellEnd"/>
            <w:r w:rsidRPr="007E4A60">
              <w:rPr>
                <w:rFonts w:ascii="Verdana" w:eastAsiaTheme="minorEastAsia" w:hAnsi="Verdana" w:cstheme="minorBidi"/>
                <w:sz w:val="14"/>
                <w:szCs w:val="14"/>
                <w:lang w:val="en-US" w:eastAsia="da-DK"/>
              </w:rPr>
              <w:t xml:space="preserve"> separately in the accounting system from 2008). </w:t>
            </w:r>
            <w:r w:rsidRPr="007E4A60">
              <w:rPr>
                <w:rFonts w:ascii="Verdana" w:eastAsiaTheme="minorEastAsia" w:hAnsi="Verdana" w:cs="Arial"/>
                <w:sz w:val="14"/>
                <w:szCs w:val="14"/>
                <w:lang w:val="en-US" w:eastAsia="da-DK"/>
              </w:rPr>
              <w:t>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2.01, 2.03, 2.05, 2.09 &amp; 2.11</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2.22.01, 2.22.03, 2.22.05, 2.22.11 &amp; 2.22.12</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946</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318</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181</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3167</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Culture</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Municipal net current expenditures for culture and leisure activities per capita (including parks, sport centers and grants for cinemas and theatres and local clubs). </w:t>
            </w:r>
            <w:r w:rsidRPr="007E4A60">
              <w:rPr>
                <w:rFonts w:ascii="Verdana" w:eastAsiaTheme="minorEastAsia" w:hAnsi="Verdana" w:cs="Arial"/>
                <w:sz w:val="14"/>
                <w:szCs w:val="14"/>
                <w:lang w:val="en-US" w:eastAsia="da-DK"/>
              </w:rPr>
              <w:t>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0.20, 0.21, 0.22, 0.23, 0.24, 0.30, 0.31, 0.32, 0.33, 0.34, 0.35, 3.50, 3.60, 3.61, 3.62, 3.63, 3.64 &amp; 3.70 – 3.78</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0.28.20, 0.28.31, 0.28.35, 3.32.50, 3.35.60, 3. 35.61, 3.35.62, 3.35.63, 3.35.64 &amp; 3.38.70 – 3.38.78</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2104</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595</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973</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4839</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Administration</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Municipal net current expenditures for administration per capita. Expenditures for administrative and political organization in main account 6 </w:t>
            </w:r>
            <w:r w:rsidRPr="007E4A60">
              <w:rPr>
                <w:rFonts w:ascii="Verdana" w:eastAsiaTheme="minorEastAsia" w:hAnsi="Verdana" w:cs="Arial"/>
                <w:sz w:val="14"/>
                <w:szCs w:val="14"/>
                <w:lang w:val="en-US" w:eastAsia="da-DK"/>
              </w:rPr>
              <w:t>Administration and common tasks. More specifically the f</w:t>
            </w:r>
            <w:r w:rsidRPr="007E4A60">
              <w:rPr>
                <w:rFonts w:ascii="Verdana" w:eastAsiaTheme="minorEastAsia" w:hAnsi="Verdana" w:cstheme="minorBidi"/>
                <w:sz w:val="14"/>
                <w:szCs w:val="14"/>
                <w:lang w:val="en-US" w:eastAsia="da-DK"/>
              </w:rPr>
              <w:t xml:space="preserve">inal accounts for account numbers 6.42.40, 6.42.41, 6.42.42, 6.45.50, 6.45.51, 6.45.53, 6.45.54, 6.45.55, 6.48.60, 6.48.61, 6.48.62, 6.48.63, 6.48.66, 6.48.67 &amp; 6.48.68. Expenditures for elections, staff pensions and </w:t>
            </w:r>
            <w:proofErr w:type="spellStart"/>
            <w:r w:rsidRPr="007E4A60">
              <w:rPr>
                <w:rFonts w:ascii="Verdana" w:eastAsiaTheme="minorEastAsia" w:hAnsi="Verdana" w:cstheme="minorBidi"/>
                <w:sz w:val="14"/>
                <w:szCs w:val="14"/>
                <w:lang w:val="en-US" w:eastAsia="da-DK"/>
              </w:rPr>
              <w:t>wagefunds</w:t>
            </w:r>
            <w:proofErr w:type="spellEnd"/>
            <w:r w:rsidRPr="007E4A60">
              <w:rPr>
                <w:rFonts w:ascii="Verdana" w:eastAsiaTheme="minorEastAsia" w:hAnsi="Verdana" w:cstheme="minorBidi"/>
                <w:sz w:val="14"/>
                <w:szCs w:val="14"/>
                <w:lang w:val="en-US" w:eastAsia="da-DK"/>
              </w:rPr>
              <w:t xml:space="preserve"> not included. Expenditures for amalgamation committees in 2006 not included.</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5632</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1067</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3368</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13418</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Labor market activities</w:t>
            </w:r>
          </w:p>
        </w:tc>
        <w:tc>
          <w:tcPr>
            <w:tcW w:w="4713" w:type="dxa"/>
            <w:tcBorders>
              <w:top w:val="nil"/>
              <w:left w:val="nil"/>
              <w:bottom w:val="nil"/>
              <w:right w:val="nil"/>
            </w:tcBorders>
          </w:tcPr>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Municipal net current expenditures for labor market activities per capita (including income transfers, excluding services for insured unemployed). </w:t>
            </w:r>
            <w:r w:rsidRPr="007E4A60">
              <w:rPr>
                <w:rFonts w:ascii="Verdana" w:eastAsiaTheme="minorEastAsia" w:hAnsi="Verdana" w:cs="Arial"/>
                <w:sz w:val="14"/>
                <w:szCs w:val="14"/>
                <w:lang w:val="en-US" w:eastAsia="da-DK"/>
              </w:rPr>
              <w:t>Following</w:t>
            </w:r>
            <w:r w:rsidRPr="007E4A60">
              <w:rPr>
                <w:rFonts w:ascii="Verdana" w:eastAsiaTheme="minorEastAsia" w:hAnsi="Verdana" w:cstheme="minorBidi"/>
                <w:sz w:val="14"/>
                <w:szCs w:val="14"/>
                <w:lang w:val="en-US" w:eastAsia="da-DK"/>
              </w:rPr>
              <w:t xml:space="preserve"> account numbers are used pre-reform: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3.45, 5.01, 5.04, 5.05, 5.41, 5.60, 5.61, 5.65, 5.67, 5.68, 5.69, 5.71, 5.91, 5.92, 5.98</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and post-reform:</w:t>
            </w:r>
          </w:p>
          <w:p w:rsidR="007E4A60" w:rsidRPr="007E4A60" w:rsidRDefault="007E4A60" w:rsidP="007E4A60">
            <w:pPr>
              <w:tabs>
                <w:tab w:val="left" w:pos="5132"/>
                <w:tab w:val="left" w:pos="9755"/>
              </w:tabs>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3.30.45, 3.38.77, 5.46.60, 5.46.61, 5.46.65, 5.48.67, 5. 48.68, 5. 48.69, 5.48.70, 5.57.71, 5.57.72, 5.57.73, 5.57.74, 5.57.75, 5.57.76, 5.57.77, 5.58.80 (excluding grp. 004, 005), 5.58.81, 5.68.90, 5.68.97, 5.68.98</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8734</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2291</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3245</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17109</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lastRenderedPageBreak/>
              <w:t>Total expenditures</w:t>
            </w:r>
          </w:p>
        </w:tc>
        <w:tc>
          <w:tcPr>
            <w:tcW w:w="471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Total net expenditures in the eight policy areas above calculated per capita</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proofErr w:type="gramStart"/>
            <w:r w:rsidRPr="007E4A60">
              <w:rPr>
                <w:rFonts w:ascii="Verdana" w:eastAsiaTheme="minorEastAsia" w:hAnsi="Verdana" w:cs="Arial"/>
                <w:color w:val="000000"/>
                <w:sz w:val="14"/>
                <w:szCs w:val="14"/>
                <w:lang w:eastAsia="da-DK"/>
              </w:rPr>
              <w:t>43051</w:t>
            </w:r>
            <w:proofErr w:type="gramEnd"/>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4001</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proofErr w:type="gramStart"/>
            <w:r w:rsidRPr="007E4A60">
              <w:rPr>
                <w:rFonts w:ascii="Verdana" w:eastAsiaTheme="minorEastAsia" w:hAnsi="Verdana" w:cs="Arial"/>
                <w:color w:val="000000"/>
                <w:sz w:val="14"/>
                <w:szCs w:val="14"/>
                <w:lang w:eastAsia="da-DK"/>
              </w:rPr>
              <w:t>34250</w:t>
            </w:r>
            <w:proofErr w:type="gramEnd"/>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proofErr w:type="gramStart"/>
            <w:r w:rsidRPr="007E4A60">
              <w:rPr>
                <w:rFonts w:ascii="Verdana" w:eastAsiaTheme="minorEastAsia" w:hAnsi="Verdana" w:cs="Arial"/>
                <w:color w:val="000000"/>
                <w:sz w:val="14"/>
                <w:szCs w:val="14"/>
                <w:lang w:eastAsia="da-DK"/>
              </w:rPr>
              <w:t>56641</w:t>
            </w:r>
            <w:proofErr w:type="gramEnd"/>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Small island</w:t>
            </w:r>
          </w:p>
        </w:tc>
        <w:tc>
          <w:tcPr>
            <w:tcW w:w="471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Dummy for 5 small island municipalities</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.053</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.223</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Dispersal of settlement</w:t>
            </w:r>
          </w:p>
        </w:tc>
        <w:tc>
          <w:tcPr>
            <w:tcW w:w="471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Measures the average time it will take a citizen to reach 2000 fellow citizens. The criterion is part of the post reform Equalization Scheme. Source: Ministry of the Interior. Data not available for 2003-2006 and assumed unchanged from 2003 to 2007. </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2.418</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1.700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.412</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16.383</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Socioeconomic expenditure needs</w:t>
            </w:r>
          </w:p>
        </w:tc>
        <w:tc>
          <w:tcPr>
            <w:tcW w:w="471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Socioeconomic needs per capita according to the objective criterions in the Equalization Scheme. All years calculated on the basis of criteria and weights in the 2010 </w:t>
            </w:r>
            <w:proofErr w:type="spellStart"/>
            <w:r w:rsidRPr="007E4A60">
              <w:rPr>
                <w:rFonts w:ascii="Verdana" w:eastAsiaTheme="minorEastAsia" w:hAnsi="Verdana" w:cstheme="minorBidi"/>
                <w:sz w:val="14"/>
                <w:szCs w:val="14"/>
                <w:lang w:val="en-US" w:eastAsia="da-DK"/>
              </w:rPr>
              <w:t>equalisation</w:t>
            </w:r>
            <w:proofErr w:type="spellEnd"/>
            <w:r w:rsidRPr="007E4A60">
              <w:rPr>
                <w:rFonts w:ascii="Verdana" w:eastAsiaTheme="minorEastAsia" w:hAnsi="Verdana" w:cstheme="minorBidi"/>
                <w:sz w:val="14"/>
                <w:szCs w:val="14"/>
                <w:lang w:val="en-US" w:eastAsia="da-DK"/>
              </w:rPr>
              <w:t xml:space="preserve"> system. Due to the reform of the </w:t>
            </w:r>
            <w:proofErr w:type="spellStart"/>
            <w:r w:rsidRPr="007E4A60">
              <w:rPr>
                <w:rFonts w:ascii="Verdana" w:eastAsiaTheme="minorEastAsia" w:hAnsi="Verdana" w:cstheme="minorBidi"/>
                <w:sz w:val="14"/>
                <w:szCs w:val="14"/>
                <w:lang w:val="en-US" w:eastAsia="da-DK"/>
              </w:rPr>
              <w:t>equalisation</w:t>
            </w:r>
            <w:proofErr w:type="spellEnd"/>
            <w:r w:rsidRPr="007E4A60">
              <w:rPr>
                <w:rFonts w:ascii="Verdana" w:eastAsiaTheme="minorEastAsia" w:hAnsi="Verdana" w:cstheme="minorBidi"/>
                <w:sz w:val="14"/>
                <w:szCs w:val="14"/>
                <w:lang w:val="en-US" w:eastAsia="da-DK"/>
              </w:rPr>
              <w:t xml:space="preserve"> scheme in 2007 data for a number of the criterions are not available for 2003-2006 and assumed unchanged from 2003 to 2007.</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16144</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4128</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7720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31689</w:t>
            </w:r>
          </w:p>
        </w:tc>
      </w:tr>
      <w:tr w:rsidR="007E4A60" w:rsidRPr="007E4A60" w:rsidTr="00B627B0">
        <w:trPr>
          <w:jc w:val="center"/>
        </w:trPr>
        <w:tc>
          <w:tcPr>
            <w:tcW w:w="1723"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Fiscal pressure</w:t>
            </w:r>
          </w:p>
        </w:tc>
        <w:tc>
          <w:tcPr>
            <w:tcW w:w="4713"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Total demographic and socioeconomic expenditure needs relative to the financial base of the municipality. Expenditure needs are calculated according to the objective criterions in the Equalization Scheme. Financial base is a weighted measure of tax base (income tax and property tax), taxes from companies, other taxes, interest and payment of loans (</w:t>
            </w:r>
            <w:proofErr w:type="spellStart"/>
            <w:r w:rsidRPr="007E4A60">
              <w:rPr>
                <w:rFonts w:ascii="Verdana" w:eastAsiaTheme="minorEastAsia" w:hAnsi="Verdana" w:cstheme="minorBidi"/>
                <w:sz w:val="14"/>
                <w:szCs w:val="14"/>
                <w:lang w:val="en-US" w:eastAsia="da-DK"/>
              </w:rPr>
              <w:t>Houlberg</w:t>
            </w:r>
            <w:proofErr w:type="spellEnd"/>
            <w:r w:rsidRPr="007E4A60">
              <w:rPr>
                <w:rFonts w:ascii="Verdana" w:eastAsiaTheme="minorEastAsia" w:hAnsi="Verdana" w:cstheme="minorBidi"/>
                <w:sz w:val="14"/>
                <w:szCs w:val="14"/>
                <w:lang w:val="en-US" w:eastAsia="da-DK"/>
              </w:rPr>
              <w:t xml:space="preserve"> 2011).</w:t>
            </w:r>
          </w:p>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Measured as an indicator measuring the within year position of the individual municipality relative to a national average set at 100. Due to changes in the Equalization Scheme the indicator cannot be compared across years and therefore measures the within year position of the municipality relative to the national average.</w:t>
            </w:r>
          </w:p>
        </w:tc>
        <w:tc>
          <w:tcPr>
            <w:tcW w:w="829" w:type="dxa"/>
            <w:tcBorders>
              <w:top w:val="nil"/>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100.4</w:t>
            </w:r>
          </w:p>
        </w:tc>
        <w:tc>
          <w:tcPr>
            <w:tcW w:w="829" w:type="dxa"/>
            <w:tcBorders>
              <w:top w:val="nil"/>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5.749</w:t>
            </w:r>
          </w:p>
        </w:tc>
        <w:tc>
          <w:tcPr>
            <w:tcW w:w="829"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73.0</w:t>
            </w:r>
          </w:p>
        </w:tc>
        <w:tc>
          <w:tcPr>
            <w:tcW w:w="829"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113.2</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Party fragmentation </w:t>
            </w:r>
          </w:p>
        </w:tc>
        <w:tc>
          <w:tcPr>
            <w:tcW w:w="4713" w:type="dxa"/>
            <w:tcBorders>
              <w:top w:val="nil"/>
              <w:left w:val="nil"/>
              <w:bottom w:val="nil"/>
              <w:right w:val="nil"/>
            </w:tcBorders>
          </w:tcPr>
          <w:p w:rsidR="007E4A60" w:rsidRPr="007E4A60" w:rsidRDefault="007E4A60" w:rsidP="007E4A60">
            <w:pPr>
              <w:spacing w:after="120"/>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fldChar w:fldCharType="begin"/>
            </w:r>
            <w:r w:rsidRPr="007E4A60">
              <w:rPr>
                <w:rFonts w:ascii="Verdana" w:eastAsiaTheme="minorEastAsia" w:hAnsi="Verdana" w:cstheme="minorBidi"/>
                <w:sz w:val="14"/>
                <w:szCs w:val="14"/>
                <w:lang w:val="en-US" w:eastAsia="da-DK"/>
              </w:rPr>
              <w:instrText xml:space="preserve"> QUOTE </w:instrText>
            </w:r>
            <w:r w:rsidRPr="007E4A60">
              <w:rPr>
                <w:rFonts w:asciiTheme="minorHAnsi" w:eastAsiaTheme="minorEastAsia" w:hAnsiTheme="minorHAnsi" w:cstheme="minorBidi"/>
                <w:noProof/>
                <w:position w:val="-14"/>
                <w:sz w:val="22"/>
                <w:szCs w:val="22"/>
                <w:lang w:eastAsia="da-DK"/>
              </w:rPr>
              <w:drawing>
                <wp:inline distT="0" distB="0" distL="0" distR="0" wp14:anchorId="42341DFA" wp14:editId="646EC7F9">
                  <wp:extent cx="161925" cy="1809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E4A60">
              <w:rPr>
                <w:rFonts w:ascii="Verdana" w:eastAsiaTheme="minorEastAsia" w:hAnsi="Verdana" w:cstheme="minorBidi"/>
                <w:sz w:val="14"/>
                <w:szCs w:val="14"/>
                <w:lang w:val="en-US" w:eastAsia="da-DK"/>
              </w:rPr>
              <w:instrText xml:space="preserve"> </w:instrText>
            </w:r>
            <w:r w:rsidRPr="007E4A60">
              <w:rPr>
                <w:rFonts w:ascii="Verdana" w:eastAsiaTheme="minorEastAsia" w:hAnsi="Verdana" w:cstheme="minorBidi"/>
                <w:sz w:val="14"/>
                <w:szCs w:val="14"/>
                <w:lang w:val="en-US" w:eastAsia="da-DK"/>
              </w:rPr>
              <w:fldChar w:fldCharType="end"/>
            </w:r>
            <m:oMath>
              <m:f>
                <m:fPr>
                  <m:ctrlPr>
                    <w:rPr>
                      <w:rFonts w:ascii="Cambria Math" w:eastAsiaTheme="minorEastAsia" w:cstheme="minorBidi"/>
                      <w:i/>
                      <w:sz w:val="22"/>
                      <w:szCs w:val="22"/>
                      <w:lang w:eastAsia="da-DK"/>
                    </w:rPr>
                  </m:ctrlPr>
                </m:fPr>
                <m:num>
                  <m:r>
                    <w:rPr>
                      <w:rFonts w:ascii="Cambria Math" w:eastAsiaTheme="minorEastAsia" w:cstheme="minorBidi"/>
                      <w:sz w:val="22"/>
                      <w:szCs w:val="22"/>
                      <w:lang w:val="en-US" w:eastAsia="da-DK"/>
                    </w:rPr>
                    <m:t>1</m:t>
                  </m:r>
                </m:num>
                <m:den>
                  <m:nary>
                    <m:naryPr>
                      <m:chr m:val="∑"/>
                      <m:limLoc m:val="undOvr"/>
                      <m:ctrlPr>
                        <w:rPr>
                          <w:rFonts w:ascii="Cambria Math" w:eastAsiaTheme="minorEastAsia" w:cstheme="minorBidi"/>
                          <w:i/>
                          <w:sz w:val="22"/>
                          <w:szCs w:val="22"/>
                          <w:lang w:eastAsia="da-DK"/>
                        </w:rPr>
                      </m:ctrlPr>
                    </m:naryPr>
                    <m:sub>
                      <m:r>
                        <w:rPr>
                          <w:rFonts w:ascii="Cambria Math" w:eastAsiaTheme="minorEastAsia" w:hAnsi="Cambria Math" w:cstheme="minorBidi"/>
                          <w:sz w:val="22"/>
                          <w:szCs w:val="22"/>
                          <w:lang w:eastAsia="da-DK"/>
                        </w:rPr>
                        <m:t>n</m:t>
                      </m:r>
                    </m:sub>
                    <m:sup>
                      <m:r>
                        <w:rPr>
                          <w:rFonts w:ascii="Cambria Math" w:eastAsiaTheme="minorEastAsia" w:hAnsi="Cambria Math" w:cstheme="minorBidi"/>
                          <w:sz w:val="22"/>
                          <w:szCs w:val="22"/>
                          <w:lang w:eastAsia="da-DK"/>
                        </w:rPr>
                        <m:t>i</m:t>
                      </m:r>
                    </m:sup>
                    <m:e>
                      <m:sSubSup>
                        <m:sSubSupPr>
                          <m:ctrlPr>
                            <w:rPr>
                              <w:rFonts w:ascii="Cambria Math" w:eastAsiaTheme="minorEastAsia" w:cstheme="minorBidi"/>
                              <w:i/>
                              <w:sz w:val="22"/>
                              <w:szCs w:val="22"/>
                              <w:lang w:eastAsia="da-DK"/>
                            </w:rPr>
                          </m:ctrlPr>
                        </m:sSubSupPr>
                        <m:e>
                          <m:r>
                            <w:rPr>
                              <w:rFonts w:ascii="Cambria Math" w:eastAsiaTheme="minorEastAsia" w:hAnsi="Cambria Math" w:cstheme="minorBidi"/>
                              <w:sz w:val="22"/>
                              <w:szCs w:val="22"/>
                              <w:lang w:eastAsia="da-DK"/>
                            </w:rPr>
                            <m:t>x</m:t>
                          </m:r>
                        </m:e>
                        <m:sub>
                          <m:r>
                            <w:rPr>
                              <w:rFonts w:ascii="Cambria Math" w:eastAsiaTheme="minorEastAsia" w:hAnsi="Cambria Math" w:cstheme="minorBidi"/>
                              <w:sz w:val="22"/>
                              <w:szCs w:val="22"/>
                              <w:lang w:eastAsia="da-DK"/>
                            </w:rPr>
                            <m:t>i</m:t>
                          </m:r>
                        </m:sub>
                        <m:sup>
                          <m:r>
                            <w:rPr>
                              <w:rFonts w:ascii="Cambria Math" w:eastAsiaTheme="minorEastAsia" w:cstheme="minorBidi"/>
                              <w:sz w:val="22"/>
                              <w:szCs w:val="22"/>
                              <w:lang w:val="en-US" w:eastAsia="da-DK"/>
                            </w:rPr>
                            <m:t>2</m:t>
                          </m:r>
                        </m:sup>
                      </m:sSubSup>
                    </m:e>
                  </m:nary>
                </m:den>
              </m:f>
            </m:oMath>
            <w:r w:rsidRPr="007E4A60">
              <w:rPr>
                <w:rFonts w:eastAsiaTheme="minorEastAsia" w:cstheme="minorBidi"/>
                <w:sz w:val="22"/>
                <w:szCs w:val="22"/>
                <w:lang w:val="en-US" w:eastAsia="da-DK"/>
              </w:rPr>
              <w:t xml:space="preserve"> </w:t>
            </w:r>
            <w:proofErr w:type="gramStart"/>
            <w:r w:rsidRPr="007E4A60">
              <w:rPr>
                <w:rFonts w:eastAsiaTheme="minorEastAsia" w:cstheme="minorBidi"/>
                <w:sz w:val="22"/>
                <w:szCs w:val="22"/>
                <w:lang w:val="en-US" w:eastAsia="da-DK"/>
              </w:rPr>
              <w:t xml:space="preserve">,  </w:t>
            </w:r>
            <w:r w:rsidRPr="007E4A60">
              <w:rPr>
                <w:rFonts w:ascii="Verdana" w:eastAsiaTheme="minorEastAsia" w:hAnsi="Verdana" w:cstheme="minorBidi"/>
                <w:sz w:val="14"/>
                <w:szCs w:val="14"/>
                <w:lang w:val="en-US" w:eastAsia="da-DK"/>
              </w:rPr>
              <w:t>n</w:t>
            </w:r>
            <w:proofErr w:type="gramEnd"/>
            <w:r w:rsidRPr="007E4A60">
              <w:rPr>
                <w:rFonts w:ascii="Verdana" w:eastAsiaTheme="minorEastAsia" w:hAnsi="Verdana" w:cstheme="minorBidi"/>
                <w:sz w:val="14"/>
                <w:szCs w:val="14"/>
                <w:lang w:val="en-US" w:eastAsia="da-DK"/>
              </w:rPr>
              <w:t>=the number of parties in the municipality and x=the party’s share of seats in the council.</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3.555</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.723</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1.920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6.785</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Share of socialist seats in the council</w:t>
            </w:r>
          </w:p>
        </w:tc>
        <w:tc>
          <w:tcPr>
            <w:tcW w:w="471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GB" w:eastAsia="da-DK"/>
              </w:rPr>
              <w:t>The number of socialist councillors in the council as a percentage of the number of seats in the council.</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43.405</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13.805</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6.667</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78.947</w:t>
            </w:r>
          </w:p>
        </w:tc>
      </w:tr>
      <w:tr w:rsidR="007E4A60" w:rsidRPr="007E4A60" w:rsidTr="00B627B0">
        <w:trPr>
          <w:jc w:val="center"/>
        </w:trPr>
        <w:tc>
          <w:tcPr>
            <w:tcW w:w="172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val="en-US" w:eastAsia="da-DK"/>
              </w:rPr>
              <w:t>Amalg</w:t>
            </w:r>
            <w:r w:rsidRPr="007E4A60">
              <w:rPr>
                <w:rFonts w:ascii="Verdana" w:eastAsiaTheme="minorEastAsia" w:hAnsi="Verdana" w:cstheme="minorBidi"/>
                <w:sz w:val="14"/>
                <w:szCs w:val="14"/>
                <w:lang w:eastAsia="da-DK"/>
              </w:rPr>
              <w:t>amated</w:t>
            </w:r>
            <w:proofErr w:type="spellEnd"/>
            <w:r w:rsidRPr="007E4A60">
              <w:rPr>
                <w:rFonts w:ascii="Verdana" w:eastAsiaTheme="minorEastAsia" w:hAnsi="Verdana" w:cstheme="minorBidi"/>
                <w:sz w:val="14"/>
                <w:szCs w:val="14"/>
                <w:lang w:eastAsia="da-DK"/>
              </w:rPr>
              <w:t xml:space="preserve"> (dummy)</w:t>
            </w:r>
          </w:p>
        </w:tc>
        <w:tc>
          <w:tcPr>
            <w:tcW w:w="4713"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Dummy assigned the value 1 to all 66 amalgamated municipalities (0 for 29 non-amalgamated municipalities)</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.694</w:t>
            </w:r>
          </w:p>
        </w:tc>
        <w:tc>
          <w:tcPr>
            <w:tcW w:w="829" w:type="dxa"/>
            <w:tcBorders>
              <w:top w:val="nil"/>
              <w:left w:val="nil"/>
              <w:bottom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eastAsia="da-DK"/>
              </w:rPr>
              <w:t>.461</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0</w:t>
            </w:r>
          </w:p>
        </w:tc>
        <w:tc>
          <w:tcPr>
            <w:tcW w:w="829" w:type="dxa"/>
            <w:tcBorders>
              <w:top w:val="nil"/>
              <w:left w:val="nil"/>
              <w:bottom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w:t>
            </w:r>
          </w:p>
        </w:tc>
      </w:tr>
      <w:tr w:rsidR="007E4A60" w:rsidRPr="007E4A60" w:rsidTr="00B627B0">
        <w:trPr>
          <w:jc w:val="center"/>
        </w:trPr>
        <w:tc>
          <w:tcPr>
            <w:tcW w:w="1723"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Spending per unit supplied: day-care</w:t>
            </w:r>
          </w:p>
        </w:tc>
        <w:tc>
          <w:tcPr>
            <w:tcW w:w="4713"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Net current expenditure per child enrolled in municipal day care</w:t>
            </w:r>
          </w:p>
        </w:tc>
        <w:tc>
          <w:tcPr>
            <w:tcW w:w="829" w:type="dxa"/>
            <w:tcBorders>
              <w:top w:val="nil"/>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val="en-US" w:eastAsia="da-DK"/>
              </w:rPr>
              <w:t>81095</w:t>
            </w:r>
          </w:p>
        </w:tc>
        <w:tc>
          <w:tcPr>
            <w:tcW w:w="829" w:type="dxa"/>
            <w:tcBorders>
              <w:top w:val="nil"/>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eastAsia="da-DK"/>
              </w:rPr>
            </w:pPr>
            <w:r w:rsidRPr="007E4A60">
              <w:rPr>
                <w:rFonts w:ascii="Verdana" w:eastAsiaTheme="minorEastAsia" w:hAnsi="Verdana" w:cs="Arial"/>
                <w:color w:val="000000"/>
                <w:sz w:val="14"/>
                <w:szCs w:val="14"/>
                <w:lang w:val="en-US" w:eastAsia="da-DK"/>
              </w:rPr>
              <w:t>11392</w:t>
            </w:r>
          </w:p>
        </w:tc>
        <w:tc>
          <w:tcPr>
            <w:tcW w:w="829"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54724</w:t>
            </w:r>
          </w:p>
        </w:tc>
        <w:tc>
          <w:tcPr>
            <w:tcW w:w="829" w:type="dxa"/>
            <w:tcBorders>
              <w:top w:val="nil"/>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125804</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Units supplied: day-care</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No. of children enrolled in municipal day care as a percentage of 0-5 year old</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80.795</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3.504</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63.485</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96.663</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Spending per unit supplied: schools</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Net current expenditure per child enrolled in primary and lower secondary schools (public and private)</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83049</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9986</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64014</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125334</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Units supplied: schools</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No. of children enrolled in primary and lower secondary schools as a percentage of the population</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12.821</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1.242</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8.728</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16.786</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Spending per unit supplied: elder care</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Net current expenditure per housing unit for elderly and number of hours of home care for recipients of home care. Units weighted by an average yearly cost per housing unit of DKK 400,000 and an average cost of DKK 400 per hour of home care. 2007 data not available</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1958.1</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516.4</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496.8</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4739.3</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lastRenderedPageBreak/>
              <w:t>Units supplied: elder care</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No of housing units for elderly and number of hours of home care for recipients of home care per 65+ year old. Weights see above</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25.681</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7.629</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8.318</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50.585</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Spending per unit supplied: children with special needs</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Net current expenditure per child 0-22 year old removed from their family</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903416</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246488</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156134</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2181396</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Units supplied: children with special needs</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Number of children removed from their family per 1000 0-22 year old</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9.450</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3.527</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1.988</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27.660</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Spending per unit supplied: roads</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Net current expenditure (for road maintenance) per kilometer municipal road</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110790</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105662</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17621</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699678</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Units supplied: roads</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Kilometers of municipal roads per capita</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15.543</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10.901</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1.347</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76.627</w:t>
            </w:r>
          </w:p>
        </w:tc>
      </w:tr>
      <w:tr w:rsidR="007E4A60" w:rsidRPr="007E4A60" w:rsidTr="00B627B0">
        <w:trPr>
          <w:jc w:val="center"/>
        </w:trPr>
        <w:tc>
          <w:tcPr>
            <w:tcW w:w="172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Spending per unit supplied: labor market</w:t>
            </w:r>
          </w:p>
        </w:tc>
        <w:tc>
          <w:tcPr>
            <w:tcW w:w="4713" w:type="dxa"/>
            <w:tcBorders>
              <w:left w:val="nil"/>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Net current expenditure per citizen on welfare (excluding old age pension). Full year equivalents. Figures before and after 2007 are not fully comparable due to changes in registers and definitions.</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59550</w:t>
            </w:r>
          </w:p>
        </w:tc>
        <w:tc>
          <w:tcPr>
            <w:tcW w:w="829" w:type="dxa"/>
            <w:tcBorders>
              <w:left w:val="nil"/>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12747</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23807</w:t>
            </w:r>
          </w:p>
        </w:tc>
        <w:tc>
          <w:tcPr>
            <w:tcW w:w="829" w:type="dxa"/>
            <w:tcBorders>
              <w:left w:val="nil"/>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91083</w:t>
            </w:r>
          </w:p>
        </w:tc>
      </w:tr>
      <w:tr w:rsidR="007E4A60" w:rsidRPr="007E4A60" w:rsidTr="00B627B0">
        <w:trPr>
          <w:jc w:val="center"/>
        </w:trPr>
        <w:tc>
          <w:tcPr>
            <w:tcW w:w="1723" w:type="dxa"/>
            <w:tcBorders>
              <w:left w:val="nil"/>
              <w:bottom w:val="single" w:sz="4" w:space="0" w:color="auto"/>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Units supplied: labor market</w:t>
            </w:r>
          </w:p>
        </w:tc>
        <w:tc>
          <w:tcPr>
            <w:tcW w:w="4713" w:type="dxa"/>
            <w:tcBorders>
              <w:left w:val="nil"/>
              <w:bottom w:val="single" w:sz="4" w:space="0" w:color="auto"/>
              <w:right w:val="nil"/>
            </w:tcBorders>
          </w:tcPr>
          <w:p w:rsidR="007E4A60" w:rsidRPr="007E4A60" w:rsidRDefault="007E4A60" w:rsidP="007E4A60">
            <w:pPr>
              <w:widowControl w:val="0"/>
              <w:autoSpaceDE w:val="0"/>
              <w:autoSpaceDN w:val="0"/>
              <w:adjustRightInd w:val="0"/>
              <w:spacing w:after="120"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Citizens on welfare (excluding old age pension) as a percentage of the population</w:t>
            </w:r>
          </w:p>
        </w:tc>
        <w:tc>
          <w:tcPr>
            <w:tcW w:w="829" w:type="dxa"/>
            <w:tcBorders>
              <w:left w:val="nil"/>
              <w:bottom w:val="single" w:sz="4" w:space="0" w:color="auto"/>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14.752</w:t>
            </w:r>
          </w:p>
        </w:tc>
        <w:tc>
          <w:tcPr>
            <w:tcW w:w="829" w:type="dxa"/>
            <w:tcBorders>
              <w:left w:val="nil"/>
              <w:bottom w:val="single" w:sz="4" w:space="0" w:color="auto"/>
              <w:right w:val="nil"/>
            </w:tcBorders>
          </w:tcPr>
          <w:p w:rsidR="007E4A60" w:rsidRPr="007E4A60" w:rsidRDefault="007E4A60" w:rsidP="007E4A60">
            <w:pPr>
              <w:autoSpaceDE w:val="0"/>
              <w:autoSpaceDN w:val="0"/>
              <w:adjustRightInd w:val="0"/>
              <w:spacing w:after="200" w:line="240" w:lineRule="auto"/>
              <w:ind w:left="60" w:right="60"/>
              <w:jc w:val="right"/>
              <w:rPr>
                <w:rFonts w:ascii="Verdana" w:eastAsiaTheme="minorEastAsia" w:hAnsi="Verdana" w:cs="Arial"/>
                <w:color w:val="000000"/>
                <w:sz w:val="14"/>
                <w:szCs w:val="14"/>
                <w:lang w:val="en-US" w:eastAsia="da-DK"/>
              </w:rPr>
            </w:pPr>
            <w:r w:rsidRPr="007E4A60">
              <w:rPr>
                <w:rFonts w:ascii="Verdana" w:eastAsiaTheme="minorEastAsia" w:hAnsi="Verdana" w:cs="Arial"/>
                <w:color w:val="000000"/>
                <w:sz w:val="14"/>
                <w:szCs w:val="14"/>
                <w:lang w:val="en-US" w:eastAsia="da-DK"/>
              </w:rPr>
              <w:t>2.675</w:t>
            </w:r>
          </w:p>
        </w:tc>
        <w:tc>
          <w:tcPr>
            <w:tcW w:w="829" w:type="dxa"/>
            <w:tcBorders>
              <w:left w:val="nil"/>
              <w:bottom w:val="single" w:sz="4" w:space="0" w:color="auto"/>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7.185</w:t>
            </w:r>
          </w:p>
        </w:tc>
        <w:tc>
          <w:tcPr>
            <w:tcW w:w="829" w:type="dxa"/>
            <w:tcBorders>
              <w:left w:val="nil"/>
              <w:bottom w:val="single" w:sz="4" w:space="0" w:color="auto"/>
              <w:right w:val="nil"/>
            </w:tcBorders>
          </w:tcPr>
          <w:p w:rsidR="007E4A60" w:rsidRPr="007E4A60" w:rsidRDefault="007E4A60" w:rsidP="007E4A60">
            <w:pPr>
              <w:widowControl w:val="0"/>
              <w:autoSpaceDE w:val="0"/>
              <w:autoSpaceDN w:val="0"/>
              <w:adjustRightInd w:val="0"/>
              <w:spacing w:after="120" w:line="240" w:lineRule="auto"/>
              <w:jc w:val="right"/>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23.762</w:t>
            </w:r>
          </w:p>
        </w:tc>
      </w:tr>
    </w:tbl>
    <w:p w:rsidR="007E4A60" w:rsidRPr="007E4A60" w:rsidRDefault="007E4A60" w:rsidP="007E4A60">
      <w:pPr>
        <w:spacing w:after="200" w:line="276" w:lineRule="auto"/>
        <w:rPr>
          <w:rFonts w:ascii="Verdana" w:eastAsiaTheme="minorEastAsia" w:hAnsi="Verdana" w:cstheme="minorBidi"/>
          <w:sz w:val="16"/>
          <w:szCs w:val="16"/>
          <w:lang w:val="en-US" w:eastAsia="da-DK"/>
        </w:rPr>
      </w:pPr>
      <w:r w:rsidRPr="007E4A60">
        <w:rPr>
          <w:rFonts w:ascii="Verdana" w:eastAsiaTheme="minorEastAsia" w:hAnsi="Verdana" w:cstheme="minorBidi"/>
          <w:sz w:val="16"/>
          <w:szCs w:val="16"/>
          <w:lang w:val="en-US" w:eastAsia="da-DK"/>
        </w:rPr>
        <w:t>N=1140 for all variables, except for no. of children enrolled in schools (N=1139) and housing units for elderly and number of recipients of home (N=1039). All economic figures are based on final accounts and calculated in 2014 prices.</w:t>
      </w:r>
    </w:p>
    <w:p w:rsidR="007E4A60" w:rsidRPr="007E4A60" w:rsidRDefault="007E4A60" w:rsidP="007E4A60">
      <w:pPr>
        <w:spacing w:after="200" w:line="276" w:lineRule="auto"/>
        <w:rPr>
          <w:rFonts w:asciiTheme="minorHAnsi" w:eastAsiaTheme="minorEastAsia" w:hAnsiTheme="minorHAnsi" w:cstheme="minorBidi"/>
          <w:sz w:val="22"/>
          <w:szCs w:val="22"/>
          <w:lang w:val="en-US" w:eastAsia="da-DK"/>
        </w:rPr>
      </w:pPr>
      <w:r w:rsidRPr="007E4A60">
        <w:rPr>
          <w:rFonts w:ascii="Verdana" w:eastAsiaTheme="minorEastAsia" w:hAnsi="Verdana" w:cstheme="minorBidi"/>
          <w:sz w:val="14"/>
          <w:szCs w:val="14"/>
          <w:lang w:val="en-US" w:eastAsia="da-DK"/>
        </w:rPr>
        <w:br w:type="page"/>
      </w:r>
      <w:r w:rsidRPr="007E4A60">
        <w:rPr>
          <w:rFonts w:asciiTheme="minorHAnsi" w:eastAsiaTheme="minorEastAsia" w:hAnsiTheme="minorHAnsi" w:cstheme="minorBidi"/>
          <w:b/>
          <w:sz w:val="18"/>
          <w:szCs w:val="18"/>
          <w:lang w:val="en-US" w:eastAsia="da-DK"/>
        </w:rPr>
        <w:lastRenderedPageBreak/>
        <w:t xml:space="preserve"> Table A2.  Single year estimates for spending per unit and no. of units supplied in six policy areas. Units supplied measured as a proportion of the no. of citizens in the target group, except for schools where the total population serve as the base. </w:t>
      </w:r>
    </w:p>
    <w:tbl>
      <w:tblPr>
        <w:tblW w:w="14917" w:type="dxa"/>
        <w:jc w:val="center"/>
        <w:tblLayout w:type="fixed"/>
        <w:tblCellMar>
          <w:left w:w="75" w:type="dxa"/>
          <w:right w:w="75" w:type="dxa"/>
        </w:tblCellMar>
        <w:tblLook w:val="0000" w:firstRow="0" w:lastRow="0" w:firstColumn="0" w:lastColumn="0" w:noHBand="0" w:noVBand="0"/>
      </w:tblPr>
      <w:tblGrid>
        <w:gridCol w:w="2162"/>
        <w:gridCol w:w="1062"/>
        <w:gridCol w:w="1063"/>
        <w:gridCol w:w="1063"/>
        <w:gridCol w:w="1063"/>
        <w:gridCol w:w="1063"/>
        <w:gridCol w:w="1063"/>
        <w:gridCol w:w="1063"/>
        <w:gridCol w:w="1063"/>
        <w:gridCol w:w="1063"/>
        <w:gridCol w:w="1063"/>
        <w:gridCol w:w="1063"/>
        <w:gridCol w:w="1063"/>
      </w:tblGrid>
      <w:tr w:rsidR="007E4A60" w:rsidRPr="007E4A60" w:rsidTr="00B627B0">
        <w:trPr>
          <w:trHeight w:val="268"/>
          <w:jc w:val="center"/>
        </w:trPr>
        <w:tc>
          <w:tcPr>
            <w:tcW w:w="2162"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val="en-US" w:eastAsia="da-DK"/>
              </w:rPr>
            </w:pPr>
          </w:p>
        </w:tc>
        <w:tc>
          <w:tcPr>
            <w:tcW w:w="2125" w:type="dxa"/>
            <w:gridSpan w:val="2"/>
            <w:tcBorders>
              <w:top w:val="single" w:sz="6" w:space="0" w:color="auto"/>
              <w:left w:val="single" w:sz="4" w:space="0" w:color="auto"/>
              <w:bottom w:val="nil"/>
              <w:right w:val="single" w:sz="4" w:space="0" w:color="auto"/>
            </w:tcBorders>
          </w:tcPr>
          <w:p w:rsidR="007E4A60" w:rsidRPr="007E4A60" w:rsidRDefault="007E4A60" w:rsidP="007E4A60">
            <w:pPr>
              <w:widowControl w:val="0"/>
              <w:autoSpaceDE w:val="0"/>
              <w:autoSpaceDN w:val="0"/>
              <w:adjustRightInd w:val="0"/>
              <w:spacing w:line="240" w:lineRule="auto"/>
              <w:ind w:left="225"/>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Day-care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(per 0-5 year old)</w:t>
            </w:r>
          </w:p>
        </w:tc>
        <w:tc>
          <w:tcPr>
            <w:tcW w:w="2126" w:type="dxa"/>
            <w:gridSpan w:val="2"/>
            <w:tcBorders>
              <w:top w:val="single" w:sz="6" w:space="0" w:color="auto"/>
              <w:left w:val="single" w:sz="4" w:space="0" w:color="auto"/>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Schools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(per 6-16 year old)</w:t>
            </w:r>
          </w:p>
        </w:tc>
        <w:tc>
          <w:tcPr>
            <w:tcW w:w="2126" w:type="dxa"/>
            <w:gridSpan w:val="2"/>
            <w:tcBorders>
              <w:top w:val="single" w:sz="6" w:space="0" w:color="auto"/>
              <w:left w:val="single" w:sz="4" w:space="0" w:color="auto"/>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Elder care</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(per 65+ year old)</w:t>
            </w:r>
          </w:p>
        </w:tc>
        <w:tc>
          <w:tcPr>
            <w:tcW w:w="2126" w:type="dxa"/>
            <w:gridSpan w:val="2"/>
            <w:tcBorders>
              <w:top w:val="single" w:sz="6" w:space="0" w:color="auto"/>
              <w:left w:val="single" w:sz="4" w:space="0" w:color="auto"/>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Children with special needs (per 0-22 year old)</w:t>
            </w:r>
          </w:p>
        </w:tc>
        <w:tc>
          <w:tcPr>
            <w:tcW w:w="2126" w:type="dxa"/>
            <w:gridSpan w:val="2"/>
            <w:tcBorders>
              <w:top w:val="single" w:sz="6" w:space="0" w:color="auto"/>
              <w:left w:val="single" w:sz="4" w:space="0" w:color="auto"/>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Roads</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eastAsia="da-DK"/>
              </w:rPr>
              <w:t xml:space="preserve">(per </w:t>
            </w:r>
            <w:proofErr w:type="spellStart"/>
            <w:r w:rsidRPr="007E4A60">
              <w:rPr>
                <w:rFonts w:ascii="Verdana" w:eastAsiaTheme="minorEastAsia" w:hAnsi="Verdana" w:cstheme="minorBidi"/>
                <w:sz w:val="12"/>
                <w:szCs w:val="12"/>
                <w:lang w:eastAsia="da-DK"/>
              </w:rPr>
              <w:t>capita</w:t>
            </w:r>
            <w:proofErr w:type="spellEnd"/>
            <w:r w:rsidRPr="007E4A60">
              <w:rPr>
                <w:rFonts w:ascii="Verdana" w:eastAsiaTheme="minorEastAsia" w:hAnsi="Verdana" w:cstheme="minorBidi"/>
                <w:sz w:val="12"/>
                <w:szCs w:val="12"/>
                <w:lang w:eastAsia="da-DK"/>
              </w:rPr>
              <w:t>)</w:t>
            </w:r>
          </w:p>
        </w:tc>
        <w:tc>
          <w:tcPr>
            <w:tcW w:w="2126" w:type="dxa"/>
            <w:gridSpan w:val="2"/>
            <w:tcBorders>
              <w:top w:val="single" w:sz="6" w:space="0" w:color="auto"/>
              <w:left w:val="single" w:sz="4" w:space="0" w:color="auto"/>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Labor market activities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(per capita)</w:t>
            </w:r>
          </w:p>
        </w:tc>
      </w:tr>
      <w:tr w:rsidR="007E4A60" w:rsidRPr="007E4A60" w:rsidTr="00B627B0">
        <w:trPr>
          <w:trHeight w:val="268"/>
          <w:jc w:val="center"/>
        </w:trPr>
        <w:tc>
          <w:tcPr>
            <w:tcW w:w="2162"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val="en-US" w:eastAsia="da-DK"/>
              </w:rPr>
            </w:pPr>
          </w:p>
        </w:tc>
        <w:tc>
          <w:tcPr>
            <w:tcW w:w="1062" w:type="dxa"/>
            <w:tcBorders>
              <w:top w:val="single" w:sz="6" w:space="0" w:color="auto"/>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w:t>
            </w:r>
          </w:p>
        </w:tc>
        <w:tc>
          <w:tcPr>
            <w:tcW w:w="1063"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w:t>
            </w:r>
          </w:p>
        </w:tc>
        <w:tc>
          <w:tcPr>
            <w:tcW w:w="1063" w:type="dxa"/>
            <w:tcBorders>
              <w:top w:val="single" w:sz="6" w:space="0" w:color="auto"/>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w:t>
            </w:r>
          </w:p>
        </w:tc>
        <w:tc>
          <w:tcPr>
            <w:tcW w:w="1063"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w:t>
            </w:r>
          </w:p>
        </w:tc>
        <w:tc>
          <w:tcPr>
            <w:tcW w:w="1063" w:type="dxa"/>
            <w:tcBorders>
              <w:top w:val="single" w:sz="6" w:space="0" w:color="auto"/>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w:t>
            </w:r>
          </w:p>
        </w:tc>
        <w:tc>
          <w:tcPr>
            <w:tcW w:w="1063"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w:t>
            </w:r>
          </w:p>
        </w:tc>
        <w:tc>
          <w:tcPr>
            <w:tcW w:w="1063" w:type="dxa"/>
            <w:tcBorders>
              <w:top w:val="single" w:sz="6" w:space="0" w:color="auto"/>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w:t>
            </w:r>
          </w:p>
        </w:tc>
        <w:tc>
          <w:tcPr>
            <w:tcW w:w="1063"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w:t>
            </w:r>
          </w:p>
        </w:tc>
        <w:tc>
          <w:tcPr>
            <w:tcW w:w="1063" w:type="dxa"/>
            <w:tcBorders>
              <w:top w:val="single" w:sz="6" w:space="0" w:color="auto"/>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w:t>
            </w:r>
          </w:p>
        </w:tc>
        <w:tc>
          <w:tcPr>
            <w:tcW w:w="1063"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w:t>
            </w:r>
          </w:p>
        </w:tc>
        <w:tc>
          <w:tcPr>
            <w:tcW w:w="1063" w:type="dxa"/>
            <w:tcBorders>
              <w:top w:val="single" w:sz="6" w:space="0" w:color="auto"/>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w:t>
            </w:r>
          </w:p>
        </w:tc>
        <w:tc>
          <w:tcPr>
            <w:tcW w:w="1063" w:type="dxa"/>
            <w:tcBorders>
              <w:top w:val="single" w:sz="6" w:space="0" w:color="auto"/>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w:t>
            </w:r>
          </w:p>
        </w:tc>
      </w:tr>
      <w:tr w:rsidR="007E4A60" w:rsidRPr="007E4A60" w:rsidTr="00B627B0">
        <w:trPr>
          <w:jc w:val="center"/>
        </w:trPr>
        <w:tc>
          <w:tcPr>
            <w:tcW w:w="2162"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Spending per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unit supplied</w:t>
            </w:r>
          </w:p>
        </w:tc>
        <w:tc>
          <w:tcPr>
            <w:tcW w:w="1063"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No. of units supplied</w:t>
            </w:r>
          </w:p>
        </w:tc>
        <w:tc>
          <w:tcPr>
            <w:tcW w:w="1063" w:type="dxa"/>
            <w:tcBorders>
              <w:top w:val="nil"/>
              <w:left w:val="single" w:sz="4" w:space="0" w:color="auto"/>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Spending per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unit supplied</w:t>
            </w:r>
          </w:p>
        </w:tc>
        <w:tc>
          <w:tcPr>
            <w:tcW w:w="1063"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No. of units supplied</w:t>
            </w:r>
          </w:p>
        </w:tc>
        <w:tc>
          <w:tcPr>
            <w:tcW w:w="1063" w:type="dxa"/>
            <w:tcBorders>
              <w:top w:val="nil"/>
              <w:left w:val="single" w:sz="4" w:space="0" w:color="auto"/>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Spending per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unit supplied</w:t>
            </w:r>
          </w:p>
        </w:tc>
        <w:tc>
          <w:tcPr>
            <w:tcW w:w="1063"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No. of units supplied</w:t>
            </w:r>
          </w:p>
        </w:tc>
        <w:tc>
          <w:tcPr>
            <w:tcW w:w="1063" w:type="dxa"/>
            <w:tcBorders>
              <w:top w:val="nil"/>
              <w:left w:val="single" w:sz="4" w:space="0" w:color="auto"/>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Spending per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unit supplied</w:t>
            </w:r>
          </w:p>
        </w:tc>
        <w:tc>
          <w:tcPr>
            <w:tcW w:w="1063"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No. of units supplied</w:t>
            </w:r>
          </w:p>
        </w:tc>
        <w:tc>
          <w:tcPr>
            <w:tcW w:w="1063" w:type="dxa"/>
            <w:tcBorders>
              <w:top w:val="nil"/>
              <w:left w:val="single" w:sz="4" w:space="0" w:color="auto"/>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Spending per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unit supplied</w:t>
            </w:r>
          </w:p>
        </w:tc>
        <w:tc>
          <w:tcPr>
            <w:tcW w:w="1063"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No. of units supplied</w:t>
            </w:r>
          </w:p>
        </w:tc>
        <w:tc>
          <w:tcPr>
            <w:tcW w:w="1063" w:type="dxa"/>
            <w:tcBorders>
              <w:top w:val="nil"/>
              <w:left w:val="single" w:sz="4" w:space="0" w:color="auto"/>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Spending per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unit supplied</w:t>
            </w:r>
          </w:p>
        </w:tc>
        <w:tc>
          <w:tcPr>
            <w:tcW w:w="1063" w:type="dxa"/>
            <w:tcBorders>
              <w:top w:val="nil"/>
              <w:left w:val="nil"/>
              <w:bottom w:val="single" w:sz="6"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No. of units supplied</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val="en-US" w:eastAsia="da-DK"/>
              </w:rPr>
              <w:t>Amalgamated (dummy)</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-2,493.35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0.74</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-2,189.48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-157.20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2.47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26,061.84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-60,120.80***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0.95</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1,722.36*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2,512.66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0.68</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2,536.55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(122.26)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(2.06)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61,314.62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21,379.80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1,029.33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2"/>
                <w:szCs w:val="12"/>
                <w:lang w:eastAsia="da-DK"/>
              </w:rPr>
            </w:pPr>
            <w:proofErr w:type="spellStart"/>
            <w:r w:rsidRPr="007E4A60">
              <w:rPr>
                <w:rFonts w:ascii="Verdana" w:eastAsiaTheme="minorEastAsia" w:hAnsi="Verdana" w:cstheme="minorBidi"/>
                <w:b/>
                <w:sz w:val="12"/>
                <w:szCs w:val="12"/>
                <w:lang w:eastAsia="da-DK"/>
              </w:rPr>
              <w:t>DiD</w:t>
            </w:r>
            <w:proofErr w:type="spellEnd"/>
            <w:r w:rsidRPr="007E4A60">
              <w:rPr>
                <w:rFonts w:ascii="Verdana" w:eastAsiaTheme="minorEastAsia" w:hAnsi="Verdana" w:cstheme="minorBidi"/>
                <w:b/>
                <w:sz w:val="12"/>
                <w:szCs w:val="12"/>
                <w:lang w:eastAsia="da-DK"/>
              </w:rPr>
              <w:t xml:space="preserve"> </w:t>
            </w:r>
            <w:proofErr w:type="spellStart"/>
            <w:r w:rsidRPr="007E4A60">
              <w:rPr>
                <w:rFonts w:ascii="Verdana" w:eastAsiaTheme="minorEastAsia" w:hAnsi="Verdana" w:cstheme="minorBidi"/>
                <w:b/>
                <w:sz w:val="12"/>
                <w:szCs w:val="12"/>
                <w:lang w:eastAsia="da-DK"/>
              </w:rPr>
              <w:t>estimators</w:t>
            </w:r>
            <w:proofErr w:type="spellEnd"/>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2004</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425.34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1,606.02**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21.99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32,603.91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5,619.99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18.11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(924.62)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(682.68)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(44.80)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0.80</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41,438.58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6,581.36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(257.88)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2005</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-1,919.60</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0.68</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4,400.17***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-16.64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-879.05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-3,687.17</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335.31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1,229.51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0.82</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1,527.43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(74.41)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52,268.01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9,374.05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(613.41)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2006</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-1,702.10</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0.87</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3,254.65**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8.73</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0.84</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66,619.17</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45,204.93***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107.31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1,458.56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1,296.26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(74.60)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74,289.17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15,315.11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(688.27)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(0.19)</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2007</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-3,174.12*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0.70</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1,351.47</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-23,996.02</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0.60</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-8,723.77</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-195.69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0.83***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1,692.60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0.69</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1,569.99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56,834.08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12,679.20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0.76</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(811.25)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(0.25)</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2008</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-1,766.59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1,069.58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31.85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-3.26**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-14,022.49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0.87</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-8,669.94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375.74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0.93***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1,941.29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0.97</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1,593.12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(101.83)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69,538.94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13,120.86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0.78</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(897.42)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(0.29)</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2009</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-132.11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2,601.84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-3.32**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-9,338.09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1,329.69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-356.81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1,718.50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1,697.93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(110.83)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67,631.36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12,909.25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(994.70)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(0.31)</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2010</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445.91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1,721.99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-25.36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-51,699.01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0.99</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2,765.33</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1.73**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-1,550.78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1,932.00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2,111.48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(128.50)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1.61</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59,006.48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0.74</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14,148.27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(960.67)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2011</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948.38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2,465.10</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27.95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-2.80*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-47,085.48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-12,164.29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-1,002.85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1,730.30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0.88</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2,196.66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(118.79)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1.69</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62,816.43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10,257.26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0.87</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(999.85)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(0.29)</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2012</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-617.39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1,830.11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13.09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-2.64</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-29,665.11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-44,606.44***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2.53***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-1,018.22</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1.49***</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1,763.35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0.76</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2,062.45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(123.47)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1.72</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71,086.98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0.76</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12,236.19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(915.69)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2013</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1,279.05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0.61</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3,463.25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78.07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-3.43*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-66,721.02</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-22,718.98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-1,108.77</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1.22***</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1,925.68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2,292.20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(112.28)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1.74</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65,368.60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15,535.64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0.84</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(979.42)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roofErr w:type="spellStart"/>
            <w:r w:rsidRPr="007E4A60">
              <w:rPr>
                <w:rFonts w:ascii="Verdana" w:eastAsiaTheme="minorEastAsia" w:hAnsi="Verdana" w:cstheme="minorBidi"/>
                <w:sz w:val="12"/>
                <w:szCs w:val="12"/>
                <w:lang w:eastAsia="da-DK"/>
              </w:rPr>
              <w:t>Amalgamated</w:t>
            </w:r>
            <w:proofErr w:type="spellEnd"/>
            <w:r w:rsidRPr="007E4A60">
              <w:rPr>
                <w:rFonts w:ascii="Verdana" w:eastAsiaTheme="minorEastAsia" w:hAnsi="Verdana" w:cstheme="minorBidi"/>
                <w:sz w:val="12"/>
                <w:szCs w:val="12"/>
                <w:lang w:eastAsia="da-DK"/>
              </w:rPr>
              <w:t xml:space="preserve"> * 2014</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2,572.53</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4,628.58*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105.95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-3.69**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-71,337.29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-28,236.26**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-838.94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0.98***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2,064.88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0.88</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2,390.23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(131.01)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1.79</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75,101.30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12,871.24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0.92</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1,251.76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r w:rsidRPr="007E4A60">
              <w:rPr>
                <w:rFonts w:ascii="Verdana" w:eastAsiaTheme="minorEastAsia" w:hAnsi="Verdana" w:cstheme="minorBidi"/>
                <w:b/>
                <w:sz w:val="14"/>
                <w:szCs w:val="14"/>
                <w:lang w:eastAsia="da-DK"/>
              </w:rPr>
              <w:t>Control variables</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Small Island</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10,719.13**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10,284.72**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-1.63***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140.30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301,614.17***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0.85</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8,654.81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-2.59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-940.48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0.45</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5,034.35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5,090.71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(131.08)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72,896.15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1.89</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33,373.96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(2.40)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1,165.01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0.73</w:t>
            </w:r>
            <w:proofErr w:type="gramEnd"/>
            <w:r w:rsidRPr="007E4A60">
              <w:rPr>
                <w:rFonts w:ascii="Verdana" w:eastAsiaTheme="minorEastAsia" w:hAnsi="Verdana"/>
                <w:sz w:val="12"/>
                <w:szCs w:val="12"/>
                <w:lang w:eastAsia="da-DK"/>
              </w:rPr>
              <w:t>)</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Dispersal of settlement</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-1,819.05***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-849.64**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-63,183.23***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-23,748.03***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-1,529.69***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(603.23)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(388.88)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21.63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10,158.36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5,399.77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(172.09)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Fiscal pressure </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-990.20***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-760.13***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-17.97***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-8,379.57***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-7,650.31***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-71.38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(113.07)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(124.75)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5.90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2,367.07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1,117.58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(49.80)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(0.02)</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val="en-US" w:eastAsia="da-DK"/>
              </w:rPr>
            </w:pPr>
            <w:proofErr w:type="spellStart"/>
            <w:r w:rsidRPr="007E4A60">
              <w:rPr>
                <w:rFonts w:ascii="Verdana" w:eastAsiaTheme="minorEastAsia" w:hAnsi="Verdana" w:cstheme="minorBidi"/>
                <w:sz w:val="12"/>
                <w:szCs w:val="12"/>
                <w:lang w:val="en-US" w:eastAsia="da-DK"/>
              </w:rPr>
              <w:t>Socioec</w:t>
            </w:r>
            <w:proofErr w:type="spellEnd"/>
            <w:r w:rsidRPr="007E4A60">
              <w:rPr>
                <w:rFonts w:ascii="Verdana" w:eastAsiaTheme="minorEastAsia" w:hAnsi="Verdana" w:cstheme="minorBidi"/>
                <w:sz w:val="12"/>
                <w:szCs w:val="12"/>
                <w:lang w:val="en-US" w:eastAsia="da-DK"/>
              </w:rPr>
              <w:t>. expenditure needs</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0.60***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0.91***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-9.46*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4.25**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0.72***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val="en-US"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(5.15)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Party fragmentation</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880.50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-51.15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-38.19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-2,210.91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-4,779.83</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-0.95**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850.94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0.10</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(594.50)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(781.82)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(40.65)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22,522.14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6,926.73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(597.97)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xml:space="preserve">Share of socialist seats </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143.13***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110.65**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3.20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120.96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-282.09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52.31*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0.04***</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(42.51)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(54.59)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(2.59)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1,046.13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(421.50)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(30.05)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(0.01)</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2"/>
                <w:szCs w:val="12"/>
                <w:lang w:eastAsia="da-DK"/>
              </w:rPr>
            </w:pPr>
            <w:r w:rsidRPr="007E4A60">
              <w:rPr>
                <w:rFonts w:ascii="Verdana" w:eastAsiaTheme="minorEastAsia" w:hAnsi="Verdana" w:cstheme="minorBidi"/>
                <w:b/>
                <w:sz w:val="12"/>
                <w:szCs w:val="12"/>
                <w:lang w:eastAsia="da-DK"/>
              </w:rPr>
              <w:t xml:space="preserve">Year </w:t>
            </w:r>
            <w:proofErr w:type="spellStart"/>
            <w:r w:rsidRPr="007E4A60">
              <w:rPr>
                <w:rFonts w:ascii="Verdana" w:eastAsiaTheme="minorEastAsia" w:hAnsi="Verdana" w:cstheme="minorBidi"/>
                <w:b/>
                <w:sz w:val="12"/>
                <w:szCs w:val="12"/>
                <w:lang w:eastAsia="da-DK"/>
              </w:rPr>
              <w:t>dummies</w:t>
            </w:r>
            <w:proofErr w:type="spellEnd"/>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2004</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-1,212.67</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-749.33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43.13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-35,933.94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-3,746.14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2,800.95***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0.11</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(842.85)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(611.58)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(30.10)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37,797.94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6,369.35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(223.34)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2005</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-1,496.60</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-3,645.53**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55.08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-2,039.22</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-205.55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7,622.13***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-0.93***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1,042.61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0.77</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1,420.74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(66.89)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49,526.90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8,756.70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(521.34)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2006</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875.93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-3,249.29***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0.36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-26,353.95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-62,860.59***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13,958.62***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-2.63***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1,332.54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0.69</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1,218.15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(66.12)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68,945.17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14,060.97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(591.98)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2007</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3,443.47**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4.71***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1,541.79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137,465.17***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2,994.05</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0.88</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15,338.00***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-2.93***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1,467.74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0.60</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1,417.22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49,466.02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11,916.09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0.72</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(703.92)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2008</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2,879.03</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5.87***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3,148.06**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421.29***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-6.23***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175,592.79***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0.05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1,248.64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0.97</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19,474.52***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-3.46***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1,755.74</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0.88</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1,433.68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(88.17)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63,077.19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0.66</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12,343.41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0.70</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(748.59)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2009</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4,856.29***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5.25***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5,205.08***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466.06***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-6.87***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225,249.44***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-9,776.64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18,982.67***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-2.74***</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1,556.31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1,515.97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(99.21)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60,857.15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0.61</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12,095.46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0.79</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(836.55)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(0.28)</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lastRenderedPageBreak/>
              <w:t>2010</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1,545.18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6.56***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5,295.74**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555.02***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-8.83***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271,370.85***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-14,500.91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1.87**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19,996.97***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-2.25***</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1,852.73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0.67</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2,044.57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(126.83)</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53,759.26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0.66</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13,950.71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0.86</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1,068.06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(0.26)</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2011</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-1,650.29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5.82***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2,074.39</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453.07***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-9.96***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202,674.80***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-1,245.78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1.77*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27,214.57***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-2.53***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1,649.10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0.81</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2,116.35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(115.28)</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56,610.92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9,801.91</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0.90</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1,127.66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2012</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-239.69</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5.84***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610.74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543.31***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-10.68***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198,485.30***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-0.46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30,483.66**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30,713.75***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-3.01***</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1,655.39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1,927.62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(0.21)</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(119.66)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(1.59)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65,555.06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0.67</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12,377.86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0.97</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(996.60)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(0.25)</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2"/>
                <w:szCs w:val="12"/>
                <w:lang w:eastAsia="da-DK"/>
              </w:rPr>
            </w:pPr>
            <w:r w:rsidRPr="007E4A60">
              <w:rPr>
                <w:rFonts w:ascii="Verdana" w:eastAsiaTheme="minorEastAsia" w:hAnsi="Verdana" w:cstheme="minorBidi"/>
                <w:sz w:val="12"/>
                <w:szCs w:val="12"/>
                <w:lang w:eastAsia="da-DK"/>
              </w:rPr>
              <w:t>2013</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-1,139.14</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-2,230.78</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505.17***</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-10.98***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282,490.54***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0.89</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16,923.31</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2.03**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34,982.66***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-3.11***</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1,767.73</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0.72</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2,157.25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(111.21)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58,964.36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0.61</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15,845.95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0.85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1,035.98</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(0.24)</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r w:rsidRPr="007E4A60">
              <w:rPr>
                <w:rFonts w:ascii="Verdana" w:eastAsiaTheme="minorEastAsia" w:hAnsi="Verdana"/>
                <w:sz w:val="12"/>
                <w:szCs w:val="12"/>
                <w:lang w:eastAsia="da-DK"/>
              </w:rPr>
              <w:t>2014</w:t>
            </w: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-946.74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4.63***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-574.05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-0.57**</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556.45***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-11.54***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287,537.40***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0.69</w:t>
            </w:r>
            <w:proofErr w:type="gramEnd"/>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20,056.93</w:t>
            </w:r>
            <w:proofErr w:type="gramEnd"/>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2.19**</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37,858.44***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-3.59***</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1,912.16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0.75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2,265.27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(121.15)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69,464.06</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0.63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12,789.70</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0.93</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1,308.02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(0.23)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roofErr w:type="spellStart"/>
            <w:r w:rsidRPr="007E4A60">
              <w:rPr>
                <w:rFonts w:ascii="Verdana" w:eastAsiaTheme="minorEastAsia" w:hAnsi="Verdana"/>
                <w:sz w:val="12"/>
                <w:szCs w:val="12"/>
                <w:lang w:eastAsia="da-DK"/>
              </w:rPr>
              <w:t>Constant</w:t>
            </w:r>
            <w:proofErr w:type="spellEnd"/>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166,768.35***</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86.75***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140,892.82***</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16.33***</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3,184.16***</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10.56</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1,888,660.50***</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-5.50*</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944,494.51***</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-27.52***</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33,621.64***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-8.83***</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9,666.19</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2.65</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12,872.97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(1.38)</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(559.04)</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(7.55)</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223,355.35</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(3.24)</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103,067.67</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5.61</w:t>
            </w:r>
            <w:proofErr w:type="gramEnd"/>
            <w:r w:rsidRPr="007E4A60">
              <w:rPr>
                <w:rFonts w:ascii="Verdana" w:eastAsiaTheme="minorEastAsia" w:hAnsi="Verdana"/>
                <w:sz w:val="12"/>
                <w:szCs w:val="12"/>
                <w:lang w:eastAsia="da-DK"/>
              </w:rPr>
              <w:t>)</w:t>
            </w: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4,875.12</w:t>
            </w:r>
            <w:proofErr w:type="gramEnd"/>
            <w:r w:rsidRPr="007E4A60">
              <w:rPr>
                <w:rFonts w:ascii="Verdana" w:eastAsiaTheme="minorEastAsia" w:hAnsi="Verdana"/>
                <w:sz w:val="12"/>
                <w:szCs w:val="12"/>
                <w:lang w:eastAsia="da-DK"/>
              </w:rPr>
              <w:t>)</w:t>
            </w: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w:t>
            </w:r>
            <w:proofErr w:type="gramStart"/>
            <w:r w:rsidRPr="007E4A60">
              <w:rPr>
                <w:rFonts w:ascii="Verdana" w:eastAsiaTheme="minorEastAsia" w:hAnsi="Verdana"/>
                <w:sz w:val="12"/>
                <w:szCs w:val="12"/>
                <w:lang w:eastAsia="da-DK"/>
              </w:rPr>
              <w:t>1.67</w:t>
            </w:r>
            <w:proofErr w:type="gramEnd"/>
            <w:r w:rsidRPr="007E4A60">
              <w:rPr>
                <w:rFonts w:ascii="Verdana" w:eastAsiaTheme="minorEastAsia" w:hAnsi="Verdana"/>
                <w:sz w:val="12"/>
                <w:szCs w:val="12"/>
                <w:lang w:eastAsia="da-DK"/>
              </w:rPr>
              <w:t>)</w:t>
            </w:r>
          </w:p>
        </w:tc>
      </w:tr>
      <w:tr w:rsidR="007E4A60" w:rsidRPr="007E4A60" w:rsidTr="00B627B0">
        <w:trPr>
          <w:jc w:val="center"/>
        </w:trPr>
        <w:tc>
          <w:tcPr>
            <w:tcW w:w="2162"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
        </w:tc>
        <w:tc>
          <w:tcPr>
            <w:tcW w:w="1062"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single" w:sz="4" w:space="0" w:color="auto"/>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c>
          <w:tcPr>
            <w:tcW w:w="1063" w:type="dxa"/>
            <w:tcBorders>
              <w:top w:val="nil"/>
              <w:left w:val="nil"/>
              <w:bottom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
        </w:tc>
      </w:tr>
      <w:tr w:rsidR="007E4A60" w:rsidRPr="007E4A60" w:rsidTr="00B627B0">
        <w:trPr>
          <w:jc w:val="center"/>
        </w:trPr>
        <w:tc>
          <w:tcPr>
            <w:tcW w:w="2162"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r w:rsidRPr="007E4A60">
              <w:rPr>
                <w:rFonts w:ascii="Verdana" w:eastAsiaTheme="minorEastAsia" w:hAnsi="Verdana"/>
                <w:sz w:val="12"/>
                <w:szCs w:val="12"/>
                <w:lang w:eastAsia="da-DK"/>
              </w:rPr>
              <w:t>Observations</w:t>
            </w:r>
          </w:p>
        </w:tc>
        <w:tc>
          <w:tcPr>
            <w:tcW w:w="1062" w:type="dxa"/>
            <w:tcBorders>
              <w:top w:val="nil"/>
              <w:left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1,139</w:t>
            </w:r>
          </w:p>
        </w:tc>
        <w:tc>
          <w:tcPr>
            <w:tcW w:w="1063"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1,139</w:t>
            </w:r>
          </w:p>
        </w:tc>
        <w:tc>
          <w:tcPr>
            <w:tcW w:w="1063" w:type="dxa"/>
            <w:tcBorders>
              <w:top w:val="nil"/>
              <w:left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1,039</w:t>
            </w:r>
          </w:p>
        </w:tc>
        <w:tc>
          <w:tcPr>
            <w:tcW w:w="1063"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1,039</w:t>
            </w:r>
          </w:p>
        </w:tc>
        <w:tc>
          <w:tcPr>
            <w:tcW w:w="1063" w:type="dxa"/>
            <w:tcBorders>
              <w:top w:val="nil"/>
              <w:left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c>
          <w:tcPr>
            <w:tcW w:w="1063" w:type="dxa"/>
            <w:tcBorders>
              <w:top w:val="nil"/>
              <w:left w:val="nil"/>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r w:rsidRPr="007E4A60">
              <w:rPr>
                <w:rFonts w:ascii="Verdana" w:eastAsiaTheme="minorEastAsia" w:hAnsi="Verdana"/>
                <w:sz w:val="12"/>
                <w:szCs w:val="12"/>
                <w:lang w:eastAsia="da-DK"/>
              </w:rPr>
              <w:t>1,140</w:t>
            </w:r>
          </w:p>
        </w:tc>
      </w:tr>
      <w:tr w:rsidR="007E4A60" w:rsidRPr="007E4A60" w:rsidTr="00B627B0">
        <w:trPr>
          <w:jc w:val="center"/>
        </w:trPr>
        <w:tc>
          <w:tcPr>
            <w:tcW w:w="2162"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2"/>
                <w:szCs w:val="12"/>
                <w:lang w:eastAsia="da-DK"/>
              </w:rPr>
            </w:pPr>
            <w:proofErr w:type="spellStart"/>
            <w:r w:rsidRPr="007E4A60">
              <w:rPr>
                <w:rFonts w:ascii="Verdana" w:eastAsiaTheme="minorEastAsia" w:hAnsi="Verdana"/>
                <w:sz w:val="12"/>
                <w:szCs w:val="12"/>
                <w:lang w:eastAsia="da-DK"/>
              </w:rPr>
              <w:t>Adj</w:t>
            </w:r>
            <w:proofErr w:type="spellEnd"/>
            <w:r w:rsidRPr="007E4A60">
              <w:rPr>
                <w:rFonts w:ascii="Verdana" w:eastAsiaTheme="minorEastAsia" w:hAnsi="Verdana"/>
                <w:sz w:val="12"/>
                <w:szCs w:val="12"/>
                <w:lang w:eastAsia="da-DK"/>
              </w:rPr>
              <w:t>. R</w:t>
            </w:r>
            <w:r w:rsidRPr="007E4A60">
              <w:rPr>
                <w:rFonts w:ascii="Verdana" w:eastAsiaTheme="minorEastAsia" w:hAnsi="Verdana"/>
                <w:sz w:val="12"/>
                <w:szCs w:val="12"/>
                <w:vertAlign w:val="superscript"/>
                <w:lang w:eastAsia="da-DK"/>
              </w:rPr>
              <w:t>2</w:t>
            </w:r>
          </w:p>
        </w:tc>
        <w:tc>
          <w:tcPr>
            <w:tcW w:w="1062" w:type="dxa"/>
            <w:tcBorders>
              <w:top w:val="nil"/>
              <w:left w:val="single" w:sz="4" w:space="0" w:color="auto"/>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0.654</w:t>
            </w:r>
            <w:proofErr w:type="gramEnd"/>
          </w:p>
        </w:tc>
        <w:tc>
          <w:tcPr>
            <w:tcW w:w="1063"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0.492</w:t>
            </w:r>
            <w:proofErr w:type="gramEnd"/>
          </w:p>
        </w:tc>
        <w:tc>
          <w:tcPr>
            <w:tcW w:w="1063" w:type="dxa"/>
            <w:tcBorders>
              <w:top w:val="nil"/>
              <w:left w:val="single" w:sz="4" w:space="0" w:color="auto"/>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0.547</w:t>
            </w:r>
            <w:proofErr w:type="gramEnd"/>
          </w:p>
        </w:tc>
        <w:tc>
          <w:tcPr>
            <w:tcW w:w="1063"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0.486</w:t>
            </w:r>
            <w:proofErr w:type="gramEnd"/>
          </w:p>
        </w:tc>
        <w:tc>
          <w:tcPr>
            <w:tcW w:w="1063" w:type="dxa"/>
            <w:tcBorders>
              <w:top w:val="nil"/>
              <w:left w:val="single" w:sz="4" w:space="0" w:color="auto"/>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0.370</w:t>
            </w:r>
            <w:proofErr w:type="gramEnd"/>
          </w:p>
        </w:tc>
        <w:tc>
          <w:tcPr>
            <w:tcW w:w="1063"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0.573</w:t>
            </w:r>
            <w:proofErr w:type="gramEnd"/>
          </w:p>
        </w:tc>
        <w:tc>
          <w:tcPr>
            <w:tcW w:w="1063" w:type="dxa"/>
            <w:tcBorders>
              <w:top w:val="nil"/>
              <w:left w:val="single" w:sz="4" w:space="0" w:color="auto"/>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0.369</w:t>
            </w:r>
            <w:proofErr w:type="gramEnd"/>
          </w:p>
        </w:tc>
        <w:tc>
          <w:tcPr>
            <w:tcW w:w="1063"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0.525</w:t>
            </w:r>
            <w:proofErr w:type="gramEnd"/>
          </w:p>
        </w:tc>
        <w:tc>
          <w:tcPr>
            <w:tcW w:w="1063" w:type="dxa"/>
            <w:tcBorders>
              <w:top w:val="nil"/>
              <w:left w:val="single" w:sz="4" w:space="0" w:color="auto"/>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0.714</w:t>
            </w:r>
            <w:proofErr w:type="gramEnd"/>
          </w:p>
        </w:tc>
        <w:tc>
          <w:tcPr>
            <w:tcW w:w="1063"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0.891</w:t>
            </w:r>
            <w:proofErr w:type="gramEnd"/>
          </w:p>
        </w:tc>
        <w:tc>
          <w:tcPr>
            <w:tcW w:w="1063" w:type="dxa"/>
            <w:tcBorders>
              <w:top w:val="nil"/>
              <w:left w:val="single" w:sz="4" w:space="0" w:color="auto"/>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0.921</w:t>
            </w:r>
            <w:proofErr w:type="gramEnd"/>
          </w:p>
        </w:tc>
        <w:tc>
          <w:tcPr>
            <w:tcW w:w="1063" w:type="dxa"/>
            <w:tcBorders>
              <w:top w:val="nil"/>
              <w:left w:val="nil"/>
              <w:bottom w:val="single" w:sz="4" w:space="0" w:color="auto"/>
              <w:right w:val="single" w:sz="4" w:space="0" w:color="auto"/>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2"/>
                <w:szCs w:val="12"/>
                <w:lang w:eastAsia="da-DK"/>
              </w:rPr>
            </w:pPr>
            <w:proofErr w:type="gramStart"/>
            <w:r w:rsidRPr="007E4A60">
              <w:rPr>
                <w:rFonts w:ascii="Verdana" w:eastAsiaTheme="minorEastAsia" w:hAnsi="Verdana"/>
                <w:sz w:val="12"/>
                <w:szCs w:val="12"/>
                <w:lang w:eastAsia="da-DK"/>
              </w:rPr>
              <w:t>0.823</w:t>
            </w:r>
            <w:proofErr w:type="gramEnd"/>
          </w:p>
        </w:tc>
      </w:tr>
    </w:tbl>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Robust standard errors in parentheses</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2"/>
          <w:szCs w:val="12"/>
          <w:lang w:val="en-US" w:eastAsia="da-DK"/>
        </w:rPr>
      </w:pPr>
      <w:r w:rsidRPr="007E4A60">
        <w:rPr>
          <w:rFonts w:ascii="Verdana" w:eastAsiaTheme="minorEastAsia" w:hAnsi="Verdana" w:cstheme="minorBidi"/>
          <w:sz w:val="12"/>
          <w:szCs w:val="12"/>
          <w:lang w:val="en-US" w:eastAsia="da-DK"/>
        </w:rPr>
        <w:t>*** p&lt;0.01, ** p&lt;0.05, * p&lt;0.1</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p>
    <w:p w:rsidR="007E4A60" w:rsidRPr="007E4A60" w:rsidRDefault="007E4A60" w:rsidP="007E4A60">
      <w:pPr>
        <w:spacing w:after="200" w:line="276" w:lineRule="auto"/>
        <w:rPr>
          <w:rFonts w:asciiTheme="minorHAnsi" w:eastAsiaTheme="minorEastAsia" w:hAnsiTheme="minorHAnsi" w:cstheme="minorBidi"/>
          <w:sz w:val="22"/>
          <w:szCs w:val="22"/>
          <w:lang w:val="en-US" w:eastAsia="da-DK"/>
        </w:rPr>
        <w:sectPr w:rsidR="007E4A60" w:rsidRPr="007E4A60" w:rsidSect="009A3F05">
          <w:pgSz w:w="16838" w:h="11906" w:orient="landscape"/>
          <w:pgMar w:top="1134" w:right="1701" w:bottom="851" w:left="1701" w:header="708" w:footer="169" w:gutter="0"/>
          <w:cols w:space="708"/>
          <w:docGrid w:linePitch="360"/>
        </w:sectPr>
      </w:pPr>
    </w:p>
    <w:p w:rsidR="007E4A60" w:rsidRPr="007E4A60" w:rsidRDefault="007E4A60" w:rsidP="007E4A60">
      <w:pPr>
        <w:spacing w:after="200" w:line="276" w:lineRule="auto"/>
        <w:rPr>
          <w:rFonts w:asciiTheme="minorHAnsi" w:eastAsiaTheme="minorEastAsia" w:hAnsiTheme="minorHAnsi" w:cstheme="minorBidi"/>
          <w:b/>
          <w:sz w:val="18"/>
          <w:szCs w:val="18"/>
          <w:lang w:val="en-US" w:eastAsia="da-DK"/>
        </w:rPr>
      </w:pPr>
      <w:r w:rsidRPr="007E4A60">
        <w:rPr>
          <w:rFonts w:asciiTheme="minorHAnsi" w:eastAsiaTheme="minorEastAsia" w:hAnsiTheme="minorHAnsi" w:cstheme="minorBidi"/>
          <w:b/>
          <w:sz w:val="18"/>
          <w:szCs w:val="18"/>
          <w:lang w:val="en-US" w:eastAsia="da-DK"/>
        </w:rPr>
        <w:lastRenderedPageBreak/>
        <w:t>Table A3.  Single year estimates of total exp. Robustness test of amalgamations with the smallest average pre-reform size</w:t>
      </w:r>
    </w:p>
    <w:tbl>
      <w:tblPr>
        <w:tblW w:w="10587" w:type="dxa"/>
        <w:jc w:val="center"/>
        <w:tblLayout w:type="fixed"/>
        <w:tblCellMar>
          <w:left w:w="75" w:type="dxa"/>
          <w:right w:w="75" w:type="dxa"/>
        </w:tblCellMar>
        <w:tblLook w:val="0000" w:firstRow="0" w:lastRow="0" w:firstColumn="0" w:lastColumn="0" w:noHBand="0" w:noVBand="0"/>
      </w:tblPr>
      <w:tblGrid>
        <w:gridCol w:w="3099"/>
        <w:gridCol w:w="1872"/>
        <w:gridCol w:w="1872"/>
        <w:gridCol w:w="1872"/>
        <w:gridCol w:w="1872"/>
      </w:tblGrid>
      <w:tr w:rsidR="007E4A60" w:rsidRPr="007E4A60" w:rsidTr="00B627B0">
        <w:trPr>
          <w:jc w:val="center"/>
        </w:trPr>
        <w:tc>
          <w:tcPr>
            <w:tcW w:w="3099"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val="en-US" w:eastAsia="da-DK"/>
              </w:rPr>
            </w:pPr>
          </w:p>
        </w:tc>
        <w:tc>
          <w:tcPr>
            <w:tcW w:w="1872"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val="en-US" w:eastAsia="da-DK"/>
              </w:rPr>
            </w:pPr>
            <w:r w:rsidRPr="007E4A60">
              <w:rPr>
                <w:rFonts w:ascii="Verdana" w:eastAsiaTheme="minorEastAsia" w:hAnsi="Verdana"/>
                <w:sz w:val="14"/>
                <w:szCs w:val="14"/>
                <w:lang w:val="en-US" w:eastAsia="da-DK"/>
              </w:rPr>
              <w:t>(1)</w:t>
            </w:r>
          </w:p>
        </w:tc>
        <w:tc>
          <w:tcPr>
            <w:tcW w:w="1872"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val="en-US" w:eastAsia="da-DK"/>
              </w:rPr>
            </w:pPr>
            <w:r w:rsidRPr="007E4A60">
              <w:rPr>
                <w:rFonts w:ascii="Verdana" w:eastAsiaTheme="minorEastAsia" w:hAnsi="Verdana"/>
                <w:sz w:val="14"/>
                <w:szCs w:val="14"/>
                <w:lang w:val="en-US" w:eastAsia="da-DK"/>
              </w:rPr>
              <w:t>(2)</w:t>
            </w:r>
          </w:p>
        </w:tc>
        <w:tc>
          <w:tcPr>
            <w:tcW w:w="1872"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val="en-US" w:eastAsia="da-DK"/>
              </w:rPr>
            </w:pPr>
            <w:r w:rsidRPr="007E4A60">
              <w:rPr>
                <w:rFonts w:ascii="Verdana" w:eastAsiaTheme="minorEastAsia" w:hAnsi="Verdana"/>
                <w:sz w:val="14"/>
                <w:szCs w:val="14"/>
                <w:lang w:val="en-US" w:eastAsia="da-DK"/>
              </w:rPr>
              <w:t>(3)</w:t>
            </w:r>
          </w:p>
        </w:tc>
        <w:tc>
          <w:tcPr>
            <w:tcW w:w="1872"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val="en-US" w:eastAsia="da-DK"/>
              </w:rPr>
            </w:pPr>
            <w:r w:rsidRPr="007E4A60">
              <w:rPr>
                <w:rFonts w:ascii="Verdana" w:eastAsiaTheme="minorEastAsia" w:hAnsi="Verdana"/>
                <w:sz w:val="14"/>
                <w:szCs w:val="14"/>
                <w:lang w:val="en-US" w:eastAsia="da-DK"/>
              </w:rPr>
              <w:t>(4)</w:t>
            </w:r>
          </w:p>
        </w:tc>
      </w:tr>
      <w:tr w:rsidR="007E4A60" w:rsidRPr="007E4A60" w:rsidTr="00B627B0">
        <w:trPr>
          <w:jc w:val="center"/>
        </w:trPr>
        <w:tc>
          <w:tcPr>
            <w:tcW w:w="3099"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val="en-US" w:eastAsia="da-DK"/>
              </w:rPr>
            </w:pP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All amalgamations included</w:t>
            </w: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Only amalgamations with an average pre-reform size &lt; 10,000 inhabitants included</w:t>
            </w: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Only amalgamations with an average pre-reform size &lt; 12,000 inhabitants included</w:t>
            </w: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Only amalgamations with an average pre-reform size &lt; 15,000 inhabitants included</w:t>
            </w:r>
          </w:p>
        </w:tc>
      </w:tr>
      <w:tr w:rsidR="007E4A60" w:rsidRPr="007E4A60" w:rsidTr="00B627B0">
        <w:trPr>
          <w:jc w:val="center"/>
        </w:trPr>
        <w:tc>
          <w:tcPr>
            <w:tcW w:w="3099"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val="en-US" w:eastAsia="da-DK"/>
              </w:rPr>
            </w:pP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Total expenditures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cstheme="minorBidi"/>
                <w:sz w:val="14"/>
                <w:szCs w:val="14"/>
                <w:lang w:val="en-US" w:eastAsia="da-DK"/>
              </w:rPr>
              <w:t>per capita</w:t>
            </w: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Total expenditures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cstheme="minorBidi"/>
                <w:sz w:val="14"/>
                <w:szCs w:val="14"/>
                <w:lang w:val="en-US" w:eastAsia="da-DK"/>
              </w:rPr>
              <w:t>per capita</w:t>
            </w: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Total expenditures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cstheme="minorBidi"/>
                <w:sz w:val="14"/>
                <w:szCs w:val="14"/>
                <w:lang w:val="en-US" w:eastAsia="da-DK"/>
              </w:rPr>
              <w:t>per capita</w:t>
            </w:r>
          </w:p>
        </w:tc>
        <w:tc>
          <w:tcPr>
            <w:tcW w:w="187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Total expenditures </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cstheme="minorBidi"/>
                <w:sz w:val="14"/>
                <w:szCs w:val="14"/>
                <w:lang w:val="en-US" w:eastAsia="da-DK"/>
              </w:rPr>
              <w:t>per capita</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val="en-US" w:eastAsia="da-DK"/>
              </w:rPr>
              <w:t>Amalgamated (dummy)</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-105.30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452.32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108.96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15.26</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(640.76)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(813.64)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(753.66)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(720.67)</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proofErr w:type="spellStart"/>
            <w:r w:rsidRPr="007E4A60">
              <w:rPr>
                <w:rFonts w:ascii="Verdana" w:eastAsiaTheme="minorEastAsia" w:hAnsi="Verdana" w:cstheme="minorBidi"/>
                <w:b/>
                <w:sz w:val="14"/>
                <w:szCs w:val="14"/>
                <w:lang w:eastAsia="da-DK"/>
              </w:rPr>
              <w:t>DiD</w:t>
            </w:r>
            <w:proofErr w:type="spellEnd"/>
            <w:r w:rsidRPr="007E4A60">
              <w:rPr>
                <w:rFonts w:ascii="Verdana" w:eastAsiaTheme="minorEastAsia" w:hAnsi="Verdana" w:cstheme="minorBidi"/>
                <w:b/>
                <w:sz w:val="14"/>
                <w:szCs w:val="14"/>
                <w:lang w:eastAsia="da-DK"/>
              </w:rPr>
              <w:t xml:space="preserve"> </w:t>
            </w:r>
            <w:proofErr w:type="spellStart"/>
            <w:r w:rsidRPr="007E4A60">
              <w:rPr>
                <w:rFonts w:ascii="Verdana" w:eastAsiaTheme="minorEastAsia" w:hAnsi="Verdana" w:cstheme="minorBidi"/>
                <w:b/>
                <w:sz w:val="14"/>
                <w:szCs w:val="14"/>
                <w:lang w:eastAsia="da-DK"/>
              </w:rPr>
              <w:t>estimators</w:t>
            </w:r>
            <w:proofErr w:type="spell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54.69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131.62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155.79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163.69</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(215.78)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(272.86)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(233.90)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(227.14)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2005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386.47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631.11*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658.78**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566.00*</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(283.01)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(359.80)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(302.98)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(297.43)</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2006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574.09*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689.13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845.67**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809.77**</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(335.43)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(525.70)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(386.08)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(361.68)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2007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230.29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137.04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362.48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277.45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(404.19)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(573.78)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(487.61)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(448.98)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2008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209.92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456.40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546.04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387.15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(428.99)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(634.68)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(506.09)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(467.22)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222.53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300.26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640.09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448.17</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(470.28)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(719.09)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(530.70)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(504.94)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2010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156.04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271.90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695.02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461.23</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(567.82)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(749.72)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(620.96)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(597.56)</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2011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464.87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418.45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1,065.03</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790.04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(639.61)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(830.54)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(708.95)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(690.65)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2012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421.04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458.69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723.86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566.58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(549.16)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(778.07)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(631.63)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(606.80)</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2013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961.97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1,142.50</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1,313.11**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1,132.02*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(599.57)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(755.34)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(647.99)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(632.88)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Amalgamated</w:t>
            </w:r>
            <w:proofErr w:type="spellEnd"/>
            <w:r w:rsidRPr="007E4A60">
              <w:rPr>
                <w:rFonts w:ascii="Verdana" w:eastAsiaTheme="minorEastAsia" w:hAnsi="Verdana" w:cstheme="minorBidi"/>
                <w:sz w:val="14"/>
                <w:szCs w:val="14"/>
                <w:lang w:eastAsia="da-DK"/>
              </w:rPr>
              <w:t xml:space="preserve"> * 2014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873.96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821.10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1,062.41</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962.44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(589.70)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(764.41)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(645.76)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(622.55)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r w:rsidRPr="007E4A60">
              <w:rPr>
                <w:rFonts w:ascii="Verdana" w:eastAsiaTheme="minorEastAsia" w:hAnsi="Verdana" w:cstheme="minorBidi"/>
                <w:b/>
                <w:sz w:val="14"/>
                <w:szCs w:val="14"/>
                <w:lang w:eastAsia="da-DK"/>
              </w:rPr>
              <w:t>Control variables</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Small Island</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3,997.76***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3,516.30***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3,750.40***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3,758.59***</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(957.94)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1,067.64</w:t>
            </w:r>
            <w:proofErr w:type="gram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(965.59)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(940.42)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Dispersal of settlement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25.62</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-14.78</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9.08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23.11</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(96.31)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(86.41)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(89.62)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(95.26)</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Fiscal pressure </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-239.80***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-247.00***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-259.22***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-256.28***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(30.23)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(41.06)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(37.02)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(35.12)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roofErr w:type="spellStart"/>
            <w:r w:rsidRPr="007E4A60">
              <w:rPr>
                <w:rFonts w:ascii="Verdana" w:eastAsiaTheme="minorEastAsia" w:hAnsi="Verdana" w:cstheme="minorBidi"/>
                <w:sz w:val="14"/>
                <w:szCs w:val="14"/>
                <w:lang w:val="en-US" w:eastAsia="da-DK"/>
              </w:rPr>
              <w:t>Socioec</w:t>
            </w:r>
            <w:proofErr w:type="spellEnd"/>
            <w:r w:rsidRPr="007E4A60">
              <w:rPr>
                <w:rFonts w:ascii="Verdana" w:eastAsiaTheme="minorEastAsia" w:hAnsi="Verdana" w:cstheme="minorBidi"/>
                <w:sz w:val="14"/>
                <w:szCs w:val="14"/>
                <w:lang w:val="en-US" w:eastAsia="da-DK"/>
              </w:rPr>
              <w:t>. expenditure needs</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0.64***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0.69***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0.67***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0.67***</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(0.06)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(0.05)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(0.04)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Party fragmentation</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231.67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308.19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324.63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282.44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(167.08)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(264.44)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(204.84)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(196.11)</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Share of socialist seats </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22.72</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6.13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15.46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15.35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(15.40)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24.85</w:t>
            </w:r>
            <w:proofErr w:type="gram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18.85</w:t>
            </w:r>
            <w:proofErr w:type="gram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(17.50)</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r w:rsidRPr="007E4A60">
              <w:rPr>
                <w:rFonts w:ascii="Verdana" w:eastAsiaTheme="minorEastAsia" w:hAnsi="Verdana" w:cstheme="minorBidi"/>
                <w:b/>
                <w:sz w:val="14"/>
                <w:szCs w:val="14"/>
                <w:lang w:eastAsia="da-DK"/>
              </w:rPr>
              <w:t xml:space="preserve">Year </w:t>
            </w:r>
            <w:proofErr w:type="spellStart"/>
            <w:r w:rsidRPr="007E4A60">
              <w:rPr>
                <w:rFonts w:ascii="Verdana" w:eastAsiaTheme="minorEastAsia" w:hAnsi="Verdana" w:cstheme="minorBidi"/>
                <w:b/>
                <w:sz w:val="14"/>
                <w:szCs w:val="14"/>
                <w:lang w:eastAsia="da-DK"/>
              </w:rPr>
              <w:t>dummies</w:t>
            </w:r>
            <w:proofErr w:type="spell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2004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848.16***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849.73***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839.09***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841.36***</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(202.81)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(209.58)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(209.82)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(208.35)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2005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959.74***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940.21***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925.12***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941.52***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(258.26)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(265.89)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(265.98)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(262.84)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2006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550.50*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531.15*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535.72*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547.44*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(304.35)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(311.45)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(316.55)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(312.29)</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2007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2,625.98***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2,611.00***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2,634.96***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2,642.28***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(360.74)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(389.48)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(384.52)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(377.33)</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2008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3,289.26***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3,266.90***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3,293.75***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3,300.71***</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(385.51)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(409.18)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(399.98)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(393.62)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2009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4,126.35***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4,089.77***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4,110.28***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4,119.15***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(415.87)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(428.02)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(421.21)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(418.84)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2010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3,943.54***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3,962.19***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3,927.58***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3,956.68***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(546.51)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(588.12)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(568.17)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(563.14)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2011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3,480.80***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3,521.37***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3,490.54***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3,518.01***</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(609.79)</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(659.81)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(634.33)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(629.55)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2012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3,888.38***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3,930.02***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3,913.27***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3,937.62***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(509.94)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(566.21)</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(534.42)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(528.86)</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2013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3,573.18***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3,609.20***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3,576.34***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3,604.42***</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(562.87)</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(601.22)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(578.05)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(574.45)</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2014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3,825.05***</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3,874.94***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3,832.48***</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3,862.11***</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(550.46)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(590.00)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(566.52)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(563.94)</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roofErr w:type="spellStart"/>
            <w:r w:rsidRPr="007E4A60">
              <w:rPr>
                <w:rFonts w:ascii="Verdana" w:eastAsiaTheme="minorEastAsia" w:hAnsi="Verdana"/>
                <w:sz w:val="14"/>
                <w:szCs w:val="14"/>
                <w:lang w:eastAsia="da-DK"/>
              </w:rPr>
              <w:t>Constant</w:t>
            </w:r>
            <w:proofErr w:type="spell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51,948.30***</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52,303.42***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53,396.84***</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53,161.93***</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2,966.03</w:t>
            </w:r>
            <w:proofErr w:type="gram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4,195.05</w:t>
            </w:r>
            <w:proofErr w:type="gram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3,656.93</w:t>
            </w:r>
            <w:proofErr w:type="gram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w:t>
            </w:r>
            <w:proofErr w:type="gramStart"/>
            <w:r w:rsidRPr="007E4A60">
              <w:rPr>
                <w:rFonts w:ascii="Verdana" w:eastAsiaTheme="minorEastAsia" w:hAnsi="Verdana"/>
                <w:sz w:val="14"/>
                <w:szCs w:val="14"/>
                <w:lang w:eastAsia="da-DK"/>
              </w:rPr>
              <w:t>3,428.39</w:t>
            </w:r>
            <w:proofErr w:type="gramEnd"/>
            <w:r w:rsidRPr="007E4A60">
              <w:rPr>
                <w:rFonts w:ascii="Verdana" w:eastAsiaTheme="minorEastAsia" w:hAnsi="Verdana"/>
                <w:sz w:val="14"/>
                <w:szCs w:val="14"/>
                <w:lang w:eastAsia="da-DK"/>
              </w:rPr>
              <w:t>)</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r>
      <w:tr w:rsidR="007E4A60" w:rsidRPr="007E4A60" w:rsidTr="00B627B0">
        <w:trPr>
          <w:jc w:val="center"/>
        </w:trPr>
        <w:tc>
          <w:tcPr>
            <w:tcW w:w="3099" w:type="dxa"/>
            <w:tcBorders>
              <w:top w:val="nil"/>
              <w:left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r w:rsidRPr="007E4A60">
              <w:rPr>
                <w:rFonts w:ascii="Verdana" w:eastAsiaTheme="minorEastAsia" w:hAnsi="Verdana"/>
                <w:sz w:val="14"/>
                <w:szCs w:val="14"/>
                <w:lang w:eastAsia="da-DK"/>
              </w:rPr>
              <w:t>Observations</w:t>
            </w:r>
          </w:p>
        </w:tc>
        <w:tc>
          <w:tcPr>
            <w:tcW w:w="1872"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1,140</w:t>
            </w:r>
          </w:p>
        </w:tc>
        <w:tc>
          <w:tcPr>
            <w:tcW w:w="1872"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504</w:t>
            </w:r>
          </w:p>
        </w:tc>
        <w:tc>
          <w:tcPr>
            <w:tcW w:w="1872"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732</w:t>
            </w:r>
          </w:p>
        </w:tc>
        <w:tc>
          <w:tcPr>
            <w:tcW w:w="1872"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828</w:t>
            </w: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roofErr w:type="spellStart"/>
            <w:r w:rsidRPr="007E4A60">
              <w:rPr>
                <w:rFonts w:ascii="Verdana" w:eastAsiaTheme="minorEastAsia" w:hAnsi="Verdana"/>
                <w:sz w:val="14"/>
                <w:szCs w:val="14"/>
                <w:lang w:eastAsia="da-DK"/>
              </w:rPr>
              <w:t>Adj</w:t>
            </w:r>
            <w:proofErr w:type="spellEnd"/>
            <w:r w:rsidRPr="007E4A60">
              <w:rPr>
                <w:rFonts w:ascii="Verdana" w:eastAsiaTheme="minorEastAsia" w:hAnsi="Verdana"/>
                <w:sz w:val="14"/>
                <w:szCs w:val="14"/>
                <w:lang w:eastAsia="da-DK"/>
              </w:rPr>
              <w:t>. R</w:t>
            </w:r>
            <w:r w:rsidRPr="007E4A60">
              <w:rPr>
                <w:rFonts w:ascii="Verdana" w:eastAsiaTheme="minorEastAsia" w:hAnsi="Verdana"/>
                <w:sz w:val="14"/>
                <w:szCs w:val="14"/>
                <w:vertAlign w:val="superscript"/>
                <w:lang w:eastAsia="da-DK"/>
              </w:rPr>
              <w:t>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0.804</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0.826</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0.834</w:t>
            </w:r>
            <w:proofErr w:type="gram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roofErr w:type="gramStart"/>
            <w:r w:rsidRPr="007E4A60">
              <w:rPr>
                <w:rFonts w:ascii="Verdana" w:eastAsiaTheme="minorEastAsia" w:hAnsi="Verdana"/>
                <w:sz w:val="14"/>
                <w:szCs w:val="14"/>
                <w:lang w:eastAsia="da-DK"/>
              </w:rPr>
              <w:t>0.837</w:t>
            </w:r>
            <w:proofErr w:type="gramEnd"/>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proofErr w:type="spellStart"/>
            <w:r w:rsidRPr="007E4A60">
              <w:rPr>
                <w:rFonts w:ascii="Verdana" w:eastAsiaTheme="minorEastAsia" w:hAnsi="Verdana"/>
                <w:sz w:val="14"/>
                <w:szCs w:val="14"/>
                <w:lang w:eastAsia="da-DK"/>
              </w:rPr>
              <w:t>Number</w:t>
            </w:r>
            <w:proofErr w:type="spellEnd"/>
            <w:r w:rsidRPr="007E4A60">
              <w:rPr>
                <w:rFonts w:ascii="Verdana" w:eastAsiaTheme="minorEastAsia" w:hAnsi="Verdana"/>
                <w:sz w:val="14"/>
                <w:szCs w:val="14"/>
                <w:lang w:eastAsia="da-DK"/>
              </w:rPr>
              <w:t xml:space="preserve"> of </w:t>
            </w:r>
            <w:proofErr w:type="spellStart"/>
            <w:r w:rsidRPr="007E4A60">
              <w:rPr>
                <w:rFonts w:ascii="Verdana" w:eastAsiaTheme="minorEastAsia" w:hAnsi="Verdana"/>
                <w:sz w:val="14"/>
                <w:szCs w:val="14"/>
                <w:lang w:eastAsia="da-DK"/>
              </w:rPr>
              <w:t>municipalities</w:t>
            </w:r>
            <w:proofErr w:type="spellEnd"/>
            <w:r w:rsidRPr="007E4A60">
              <w:rPr>
                <w:rFonts w:ascii="Verdana" w:eastAsiaTheme="minorEastAsia" w:hAnsi="Verdana"/>
                <w:sz w:val="14"/>
                <w:szCs w:val="14"/>
                <w:lang w:eastAsia="da-DK"/>
              </w:rPr>
              <w:t>:</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p>
        </w:tc>
      </w:tr>
      <w:tr w:rsidR="007E4A60" w:rsidRPr="007E4A60" w:rsidTr="00B627B0">
        <w:trPr>
          <w:jc w:val="center"/>
        </w:trPr>
        <w:tc>
          <w:tcPr>
            <w:tcW w:w="3099"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r w:rsidRPr="007E4A60">
              <w:rPr>
                <w:rFonts w:ascii="Verdana" w:eastAsiaTheme="minorEastAsia" w:hAnsi="Verdana"/>
                <w:sz w:val="14"/>
                <w:szCs w:val="14"/>
                <w:lang w:eastAsia="da-DK"/>
              </w:rPr>
              <w:t xml:space="preserve">- </w:t>
            </w:r>
            <w:proofErr w:type="spellStart"/>
            <w:r w:rsidRPr="007E4A60">
              <w:rPr>
                <w:rFonts w:ascii="Verdana" w:eastAsiaTheme="minorEastAsia" w:hAnsi="Verdana"/>
                <w:sz w:val="14"/>
                <w:szCs w:val="14"/>
                <w:lang w:eastAsia="da-DK"/>
              </w:rPr>
              <w:t>amalgamated</w:t>
            </w:r>
            <w:proofErr w:type="spellEnd"/>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66</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13</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32</w:t>
            </w:r>
          </w:p>
        </w:tc>
        <w:tc>
          <w:tcPr>
            <w:tcW w:w="187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40</w:t>
            </w:r>
          </w:p>
        </w:tc>
      </w:tr>
      <w:tr w:rsidR="007E4A60" w:rsidRPr="007E4A60" w:rsidTr="00B627B0">
        <w:trPr>
          <w:jc w:val="center"/>
        </w:trPr>
        <w:tc>
          <w:tcPr>
            <w:tcW w:w="3099"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sz w:val="14"/>
                <w:szCs w:val="14"/>
                <w:lang w:eastAsia="da-DK"/>
              </w:rPr>
            </w:pPr>
            <w:r w:rsidRPr="007E4A60">
              <w:rPr>
                <w:rFonts w:ascii="Verdana" w:eastAsiaTheme="minorEastAsia" w:hAnsi="Verdana"/>
                <w:sz w:val="14"/>
                <w:szCs w:val="14"/>
                <w:lang w:eastAsia="da-DK"/>
              </w:rPr>
              <w:lastRenderedPageBreak/>
              <w:t xml:space="preserve">- not </w:t>
            </w:r>
            <w:proofErr w:type="spellStart"/>
            <w:r w:rsidRPr="007E4A60">
              <w:rPr>
                <w:rFonts w:ascii="Verdana" w:eastAsiaTheme="minorEastAsia" w:hAnsi="Verdana"/>
                <w:sz w:val="14"/>
                <w:szCs w:val="14"/>
                <w:lang w:eastAsia="da-DK"/>
              </w:rPr>
              <w:t>amalgamated</w:t>
            </w:r>
            <w:proofErr w:type="spellEnd"/>
          </w:p>
        </w:tc>
        <w:tc>
          <w:tcPr>
            <w:tcW w:w="1872"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29</w:t>
            </w:r>
          </w:p>
        </w:tc>
        <w:tc>
          <w:tcPr>
            <w:tcW w:w="1872"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29</w:t>
            </w:r>
          </w:p>
        </w:tc>
        <w:tc>
          <w:tcPr>
            <w:tcW w:w="1872"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29</w:t>
            </w:r>
          </w:p>
        </w:tc>
        <w:tc>
          <w:tcPr>
            <w:tcW w:w="1872"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eastAsia="da-DK"/>
              </w:rPr>
            </w:pPr>
            <w:r w:rsidRPr="007E4A60">
              <w:rPr>
                <w:rFonts w:ascii="Verdana" w:eastAsiaTheme="minorEastAsia" w:hAnsi="Verdana"/>
                <w:sz w:val="14"/>
                <w:szCs w:val="14"/>
                <w:lang w:eastAsia="da-DK"/>
              </w:rPr>
              <w:t>29</w:t>
            </w:r>
          </w:p>
        </w:tc>
      </w:tr>
    </w:tbl>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val="en-US" w:eastAsia="da-DK"/>
        </w:rPr>
      </w:pPr>
      <w:r w:rsidRPr="007E4A60">
        <w:rPr>
          <w:rFonts w:ascii="Verdana" w:eastAsiaTheme="minorEastAsia" w:hAnsi="Verdana"/>
          <w:sz w:val="14"/>
          <w:szCs w:val="14"/>
          <w:lang w:val="en-US" w:eastAsia="da-DK"/>
        </w:rPr>
        <w:t>Robust standard errors in parentheses (clustered at each municipality)</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sz w:val="14"/>
          <w:szCs w:val="14"/>
          <w:lang w:val="en-US" w:eastAsia="da-DK"/>
        </w:rPr>
      </w:pPr>
      <w:r w:rsidRPr="007E4A60">
        <w:rPr>
          <w:rFonts w:ascii="Verdana" w:eastAsiaTheme="minorEastAsia" w:hAnsi="Verdana"/>
          <w:sz w:val="14"/>
          <w:szCs w:val="14"/>
          <w:lang w:val="en-US" w:eastAsia="da-DK"/>
        </w:rPr>
        <w:t>*** p&lt;0.01, ** p&lt;0.05, * p&lt;0.1</w:t>
      </w:r>
    </w:p>
    <w:p w:rsidR="007E4A60" w:rsidRPr="007E4A60" w:rsidRDefault="007E4A60" w:rsidP="007E4A60">
      <w:pPr>
        <w:spacing w:after="200" w:line="276" w:lineRule="auto"/>
        <w:rPr>
          <w:rFonts w:asciiTheme="minorHAnsi" w:eastAsiaTheme="minorEastAsia" w:hAnsiTheme="minorHAnsi" w:cstheme="minorBidi"/>
          <w:sz w:val="22"/>
          <w:szCs w:val="22"/>
          <w:lang w:val="en-US" w:eastAsia="da-DK"/>
        </w:rPr>
      </w:pPr>
    </w:p>
    <w:p w:rsidR="007E4A60" w:rsidRPr="007E4A60" w:rsidRDefault="007E4A60" w:rsidP="007E4A60">
      <w:pPr>
        <w:keepNext/>
        <w:keepLines/>
        <w:spacing w:before="200" w:line="276" w:lineRule="auto"/>
        <w:outlineLvl w:val="1"/>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ind w:firstLine="1304"/>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pPr>
    </w:p>
    <w:p w:rsidR="007E4A60" w:rsidRPr="007E4A60" w:rsidRDefault="007E4A60" w:rsidP="007E4A60">
      <w:pPr>
        <w:spacing w:after="200" w:line="276" w:lineRule="auto"/>
        <w:rPr>
          <w:rFonts w:ascii="Verdana" w:eastAsiaTheme="minorEastAsia" w:hAnsi="Verdana"/>
          <w:sz w:val="14"/>
          <w:szCs w:val="14"/>
          <w:lang w:val="en-US" w:eastAsia="da-DK"/>
        </w:rPr>
        <w:sectPr w:rsidR="007E4A60" w:rsidRPr="007E4A60" w:rsidSect="00BC4196">
          <w:pgSz w:w="11906" w:h="16838"/>
          <w:pgMar w:top="1701" w:right="1134" w:bottom="1701" w:left="1134" w:header="708" w:footer="708" w:gutter="0"/>
          <w:cols w:space="708"/>
          <w:docGrid w:linePitch="360"/>
        </w:sectPr>
      </w:pPr>
    </w:p>
    <w:p w:rsidR="007E4A60" w:rsidRPr="007E4A60" w:rsidRDefault="007E4A60" w:rsidP="007E4A60">
      <w:pPr>
        <w:keepNext/>
        <w:keepLines/>
        <w:spacing w:before="200" w:line="276" w:lineRule="auto"/>
        <w:outlineLvl w:val="1"/>
        <w:rPr>
          <w:rFonts w:asciiTheme="minorHAnsi" w:eastAsiaTheme="minorEastAsia" w:hAnsiTheme="minorHAnsi" w:cstheme="minorBidi"/>
          <w:b/>
          <w:sz w:val="18"/>
          <w:szCs w:val="18"/>
          <w:lang w:val="en-US" w:eastAsia="da-DK"/>
        </w:rPr>
      </w:pPr>
      <w:r w:rsidRPr="007E4A60">
        <w:rPr>
          <w:rFonts w:asciiTheme="minorHAnsi" w:eastAsiaTheme="minorEastAsia" w:hAnsiTheme="minorHAnsi" w:cstheme="minorBidi"/>
          <w:b/>
          <w:sz w:val="18"/>
          <w:szCs w:val="18"/>
          <w:lang w:val="en-US" w:eastAsia="da-DK"/>
        </w:rPr>
        <w:lastRenderedPageBreak/>
        <w:t xml:space="preserve">Table A4.  Split-file analyses for amalgamated municipalities with relatively heterogeneous pre-reform spending levels (upper part of table) and relatively homogenous pre-reform spending levels (lower part of table) within each of the eight policy areas. </w:t>
      </w:r>
    </w:p>
    <w:tbl>
      <w:tblPr>
        <w:tblW w:w="13679" w:type="dxa"/>
        <w:jc w:val="center"/>
        <w:tblLayout w:type="fixed"/>
        <w:tblCellMar>
          <w:left w:w="75" w:type="dxa"/>
          <w:right w:w="75" w:type="dxa"/>
        </w:tblCellMar>
        <w:tblLook w:val="0000" w:firstRow="0" w:lastRow="0" w:firstColumn="0" w:lastColumn="0" w:noHBand="0" w:noVBand="0"/>
      </w:tblPr>
      <w:tblGrid>
        <w:gridCol w:w="2292"/>
        <w:gridCol w:w="1265"/>
        <w:gridCol w:w="1265"/>
        <w:gridCol w:w="1265"/>
        <w:gridCol w:w="1265"/>
        <w:gridCol w:w="1266"/>
        <w:gridCol w:w="1265"/>
        <w:gridCol w:w="1265"/>
        <w:gridCol w:w="1265"/>
        <w:gridCol w:w="1266"/>
      </w:tblGrid>
      <w:tr w:rsidR="007E4A60" w:rsidRPr="007E4A60" w:rsidTr="00B627B0">
        <w:trPr>
          <w:jc w:val="center"/>
        </w:trPr>
        <w:tc>
          <w:tcPr>
            <w:tcW w:w="2292"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w:t>
            </w:r>
          </w:p>
        </w:tc>
        <w:tc>
          <w:tcPr>
            <w:tcW w:w="1266"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w:t>
            </w:r>
          </w:p>
        </w:tc>
        <w:tc>
          <w:tcPr>
            <w:tcW w:w="1266"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w:t>
            </w:r>
          </w:p>
        </w:tc>
      </w:tr>
      <w:tr w:rsidR="007E4A60" w:rsidRPr="007E4A60" w:rsidTr="00B627B0">
        <w:trPr>
          <w:jc w:val="center"/>
        </w:trPr>
        <w:tc>
          <w:tcPr>
            <w:tcW w:w="2292"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b/>
                <w:sz w:val="14"/>
                <w:szCs w:val="14"/>
                <w:lang w:val="en-US" w:eastAsia="da-DK"/>
              </w:rPr>
              <w:t>Expenditure heterogeneity &gt;= median</w:t>
            </w: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ind w:left="225"/>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Day-care </w:t>
            </w:r>
          </w:p>
          <w:p w:rsidR="007E4A60" w:rsidRPr="007E4A60" w:rsidRDefault="007E4A60" w:rsidP="007E4A60">
            <w:pPr>
              <w:widowControl w:val="0"/>
              <w:autoSpaceDE w:val="0"/>
              <w:autoSpaceDN w:val="0"/>
              <w:adjustRightInd w:val="0"/>
              <w:spacing w:line="240" w:lineRule="auto"/>
              <w:ind w:left="225"/>
              <w:jc w:val="center"/>
              <w:rPr>
                <w:rFonts w:ascii="Verdana" w:eastAsiaTheme="minorEastAsia" w:hAnsi="Verdana" w:cstheme="minorBidi"/>
                <w:sz w:val="14"/>
                <w:szCs w:val="14"/>
                <w:lang w:val="en-US"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Schools </w:t>
            </w: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Elder care</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Children with special needs </w:t>
            </w:r>
          </w:p>
        </w:tc>
        <w:tc>
          <w:tcPr>
            <w:tcW w:w="1266"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Roads</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Culture</w:t>
            </w:r>
            <w:proofErr w:type="spellEnd"/>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Admini</w:t>
            </w:r>
            <w:proofErr w:type="spellEnd"/>
            <w:r w:rsidRPr="007E4A60">
              <w:rPr>
                <w:rFonts w:ascii="Verdana" w:eastAsiaTheme="minorEastAsia" w:hAnsi="Verdana" w:cstheme="minorBidi"/>
                <w:sz w:val="14"/>
                <w:szCs w:val="14"/>
                <w:lang w:eastAsia="da-DK"/>
              </w:rPr>
              <w:t>-</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stration</w:t>
            </w:r>
            <w:proofErr w:type="spellEnd"/>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Labor market activities </w:t>
            </w:r>
          </w:p>
        </w:tc>
        <w:tc>
          <w:tcPr>
            <w:tcW w:w="1266"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Total expenditures </w:t>
            </w:r>
          </w:p>
        </w:tc>
      </w:tr>
      <w:tr w:rsidR="007E4A60" w:rsidRPr="007E4A60" w:rsidTr="00B627B0">
        <w:trPr>
          <w:jc w:val="center"/>
        </w:trPr>
        <w:tc>
          <w:tcPr>
            <w:tcW w:w="2292"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 xml:space="preserve">Median </w:t>
            </w:r>
            <w:r w:rsidRPr="007E4A60">
              <w:rPr>
                <w:rFonts w:ascii="Verdana" w:eastAsiaTheme="minorEastAsia" w:hAnsi="Verdana" w:cstheme="minorBidi"/>
                <w:sz w:val="14"/>
                <w:szCs w:val="14"/>
                <w:lang w:val="en-US" w:eastAsia="da-DK"/>
              </w:rPr>
              <w:t>used</w:t>
            </w:r>
            <w:r w:rsidRPr="007E4A60">
              <w:rPr>
                <w:rFonts w:ascii="Verdana" w:eastAsiaTheme="minorEastAsia" w:hAnsi="Verdana" w:cstheme="minorBidi"/>
                <w:sz w:val="14"/>
                <w:szCs w:val="14"/>
                <w:lang w:eastAsia="da-DK"/>
              </w:rPr>
              <w:t xml:space="preserve"> for split</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.062</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.042</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.064</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.172</w:t>
            </w:r>
          </w:p>
        </w:tc>
        <w:tc>
          <w:tcPr>
            <w:tcW w:w="1266"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.218</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.173</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.084</w:t>
            </w:r>
          </w:p>
        </w:tc>
        <w:tc>
          <w:tcPr>
            <w:tcW w:w="1265"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.105</w:t>
            </w:r>
          </w:p>
        </w:tc>
        <w:tc>
          <w:tcPr>
            <w:tcW w:w="1266" w:type="dxa"/>
            <w:tcBorders>
              <w:top w:val="single" w:sz="6" w:space="0" w:color="auto"/>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.031</w:t>
            </w:r>
          </w:p>
        </w:tc>
      </w:tr>
      <w:tr w:rsidR="007E4A60" w:rsidRPr="007E4A60" w:rsidTr="00B627B0">
        <w:trPr>
          <w:jc w:val="center"/>
        </w:trPr>
        <w:tc>
          <w:tcPr>
            <w:tcW w:w="2292"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single" w:sz="4"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val="en-US" w:eastAsia="da-DK"/>
              </w:rPr>
              <w:t>Amalgamated (dummy)</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-1,381.60</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-1,197.27</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-1,609.97</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987.47*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127.32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-64.12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179.82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-90.70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499.56</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2,184.00</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2,454.00</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1,645.39</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(533.81)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(89.61)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(126.78)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(306.00)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(270.93)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(753.20)</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proofErr w:type="spellStart"/>
            <w:r w:rsidRPr="007E4A60">
              <w:rPr>
                <w:rFonts w:ascii="Verdana" w:eastAsiaTheme="minorEastAsia" w:hAnsi="Verdana" w:cstheme="minorBidi"/>
                <w:b/>
                <w:sz w:val="14"/>
                <w:szCs w:val="14"/>
                <w:lang w:eastAsia="da-DK"/>
              </w:rPr>
              <w:t>DiD</w:t>
            </w:r>
            <w:proofErr w:type="spellEnd"/>
            <w:r w:rsidRPr="007E4A60">
              <w:rPr>
                <w:rFonts w:ascii="Verdana" w:eastAsiaTheme="minorEastAsia" w:hAnsi="Verdana" w:cstheme="minorBidi"/>
                <w:b/>
                <w:sz w:val="14"/>
                <w:szCs w:val="14"/>
                <w:lang w:eastAsia="da-DK"/>
              </w:rPr>
              <w:t xml:space="preserve"> </w:t>
            </w:r>
            <w:proofErr w:type="spellStart"/>
            <w:r w:rsidRPr="007E4A60">
              <w:rPr>
                <w:rFonts w:ascii="Verdana" w:eastAsiaTheme="minorEastAsia" w:hAnsi="Verdana" w:cstheme="minorBidi"/>
                <w:b/>
                <w:sz w:val="14"/>
                <w:szCs w:val="14"/>
                <w:lang w:eastAsia="da-DK"/>
              </w:rPr>
              <w:t>estimator</w:t>
            </w:r>
            <w:proofErr w:type="spell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 xml:space="preserve">Postreform * </w:t>
            </w:r>
            <w:proofErr w:type="spellStart"/>
            <w:r w:rsidRPr="007E4A60">
              <w:rPr>
                <w:rFonts w:ascii="Verdana" w:eastAsiaTheme="minorEastAsia" w:hAnsi="Verdana" w:cstheme="minorBidi"/>
                <w:sz w:val="14"/>
                <w:szCs w:val="14"/>
                <w:lang w:eastAsia="da-DK"/>
              </w:rPr>
              <w:t>amalgamated</w:t>
            </w:r>
            <w:proofErr w:type="spell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-7.87</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-425.21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817.43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581.61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-134.71**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49.99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-450.96**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862.57***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1.47</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1,189.40</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1,281.63</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1,123.03</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(382.97)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(59.63)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(68.44)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(202.17)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(205.99)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(477.58)</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b/>
                <w:sz w:val="14"/>
                <w:szCs w:val="14"/>
                <w:lang w:eastAsia="da-DK"/>
              </w:rPr>
              <w:t>Time dummy</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Postreform</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4,992.42***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1,809.45</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-6,092.09***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1,674.82***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205.10***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-159.87**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616.37***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1,491.71***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2,939.43***</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(938.78)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1,128.32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(900.32)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(323.74)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(53.59)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(61.84)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(197.41)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(176.77)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(414.76)</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r w:rsidRPr="007E4A60">
              <w:rPr>
                <w:rFonts w:ascii="Verdana" w:eastAsiaTheme="minorEastAsia" w:hAnsi="Verdana" w:cstheme="minorBidi"/>
                <w:b/>
                <w:sz w:val="14"/>
                <w:szCs w:val="14"/>
                <w:lang w:eastAsia="da-DK"/>
              </w:rPr>
              <w:t>Control variables</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Small Island</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7,316.81*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7,572.15***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-4,376.31</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1,735.12</w:t>
            </w:r>
            <w:proofErr w:type="gramEnd"/>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391.00***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-40.59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2,400.73***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-128.09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3,768.16***</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4,112.27</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2,251.52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3,683.39</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1,767.85</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(107.14)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(224.75)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(498.62)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(565.96)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1,129.30</w:t>
            </w:r>
            <w:proofErr w:type="gramEnd"/>
            <w:r w:rsidRPr="007E4A60">
              <w:rPr>
                <w:rFonts w:ascii="Verdana" w:eastAsiaTheme="minorEastAsia" w:hAnsi="Verdana" w:cstheme="minorBidi"/>
                <w:sz w:val="14"/>
                <w:szCs w:val="14"/>
                <w:lang w:eastAsia="da-DK"/>
              </w:rPr>
              <w:t>)</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Dispersal of settlement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-1,627.47***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-1,057.37***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662.27*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-135.84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27.94**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-128.32***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119.19**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-53.99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-34.61</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(551.66)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(346.47)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(349.19)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(182.90)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12.98</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(46.78)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(51.19)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(67.72)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(109.83)</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Fiscal pressure </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-886.17***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-702.14***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-142.03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-47.88</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-5.79</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-53.73***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-56.29***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88.13***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-281.42***</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(125.44)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(153.06)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(94.93)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(35.63)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5.72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11.61</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19.75</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(18.02)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(43.67)</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roofErr w:type="spellStart"/>
            <w:r w:rsidRPr="007E4A60">
              <w:rPr>
                <w:rFonts w:ascii="Verdana" w:eastAsiaTheme="minorEastAsia" w:hAnsi="Verdana" w:cstheme="minorBidi"/>
                <w:sz w:val="14"/>
                <w:szCs w:val="14"/>
                <w:lang w:val="en-US" w:eastAsia="da-DK"/>
              </w:rPr>
              <w:t>Socioec</w:t>
            </w:r>
            <w:proofErr w:type="spellEnd"/>
            <w:r w:rsidRPr="007E4A60">
              <w:rPr>
                <w:rFonts w:ascii="Verdana" w:eastAsiaTheme="minorEastAsia" w:hAnsi="Verdana" w:cstheme="minorBidi"/>
                <w:sz w:val="14"/>
                <w:szCs w:val="14"/>
                <w:lang w:val="en-US" w:eastAsia="da-DK"/>
              </w:rPr>
              <w:t>. expenditure needs</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0.32*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0.57**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0.59***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0.32***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0.26***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0.64***</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(0.18)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(0.21)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(0.18)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(0.07)</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Party fragmentation</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335.38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119.49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-195.84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379.75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3.65</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-19.21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105.23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283.45*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600.34*</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(677.27)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1,339.18</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1,070.52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(243.73)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(59.11)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(75.44)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(178.19)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(153.74)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(312.34)</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Share of socialist seats </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85.39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77.48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-35.39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7.21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-6.77**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-5.40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-6.31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34.27***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18.04</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(57.35)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(59.99)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(64.66)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(19.11)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2.61</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(4.39)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10.97</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(8.10)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23.81</w:t>
            </w:r>
            <w:proofErr w:type="gramEnd"/>
            <w:r w:rsidRPr="007E4A60">
              <w:rPr>
                <w:rFonts w:ascii="Verdana" w:eastAsiaTheme="minorEastAsia" w:hAnsi="Verdana" w:cstheme="minorBidi"/>
                <w:sz w:val="14"/>
                <w:szCs w:val="14"/>
                <w:lang w:eastAsia="da-DK"/>
              </w:rPr>
              <w:t>)</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Constant</w:t>
            </w:r>
            <w:proofErr w:type="spell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146,349.26***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133,032.26***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58,343.22***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4,117.61</w:t>
            </w:r>
            <w:proofErr w:type="gramEnd"/>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1,267.62**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7,139.72***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9,428.02***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-8,098.74***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55,486.12***</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11,471.74</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15,272.73</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10,992.31</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3,422.77</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(514.72)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1,066.88</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1,972.73</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1,756.21</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4,209.47</w:t>
            </w:r>
            <w:proofErr w:type="gramEnd"/>
            <w:r w:rsidRPr="007E4A60">
              <w:rPr>
                <w:rFonts w:ascii="Verdana" w:eastAsiaTheme="minorEastAsia" w:hAnsi="Verdana" w:cstheme="minorBidi"/>
                <w:sz w:val="14"/>
                <w:szCs w:val="14"/>
                <w:lang w:eastAsia="da-DK"/>
              </w:rPr>
              <w:t>)</w:t>
            </w:r>
          </w:p>
        </w:tc>
      </w:tr>
      <w:tr w:rsidR="007E4A60" w:rsidRPr="007E4A60" w:rsidTr="00B627B0">
        <w:trPr>
          <w:jc w:val="center"/>
        </w:trPr>
        <w:tc>
          <w:tcPr>
            <w:tcW w:w="2292"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292" w:type="dxa"/>
            <w:tcBorders>
              <w:top w:val="nil"/>
              <w:left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Observations</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6"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6"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r>
      <w:tr w:rsidR="007E4A60" w:rsidRPr="007E4A60" w:rsidTr="00B627B0">
        <w:trPr>
          <w:jc w:val="center"/>
        </w:trPr>
        <w:tc>
          <w:tcPr>
            <w:tcW w:w="2292"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Adj. R</w:t>
            </w:r>
            <w:r w:rsidRPr="007E4A60">
              <w:rPr>
                <w:rFonts w:ascii="Verdana" w:eastAsiaTheme="minorEastAsia" w:hAnsi="Verdana" w:cstheme="minorBidi"/>
                <w:sz w:val="14"/>
                <w:szCs w:val="14"/>
                <w:vertAlign w:val="superscript"/>
                <w:lang w:val="en-US" w:eastAsia="da-DK"/>
              </w:rPr>
              <w:t>2</w:t>
            </w:r>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0.704</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0.630</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0.368</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0.498</w:t>
            </w:r>
            <w:proofErr w:type="gramEnd"/>
          </w:p>
        </w:tc>
        <w:tc>
          <w:tcPr>
            <w:tcW w:w="1266"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0.371</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0.643</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0.601</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0.857</w:t>
            </w:r>
            <w:proofErr w:type="gramEnd"/>
          </w:p>
        </w:tc>
        <w:tc>
          <w:tcPr>
            <w:tcW w:w="1266"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0.817</w:t>
            </w:r>
            <w:proofErr w:type="gramEnd"/>
          </w:p>
        </w:tc>
      </w:tr>
    </w:tbl>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p>
    <w:tbl>
      <w:tblPr>
        <w:tblW w:w="13732" w:type="dxa"/>
        <w:jc w:val="center"/>
        <w:tblLayout w:type="fixed"/>
        <w:tblCellMar>
          <w:left w:w="75" w:type="dxa"/>
          <w:right w:w="75" w:type="dxa"/>
        </w:tblCellMar>
        <w:tblLook w:val="0000" w:firstRow="0" w:lastRow="0" w:firstColumn="0" w:lastColumn="0" w:noHBand="0" w:noVBand="0"/>
      </w:tblPr>
      <w:tblGrid>
        <w:gridCol w:w="2343"/>
        <w:gridCol w:w="1265"/>
        <w:gridCol w:w="1265"/>
        <w:gridCol w:w="1266"/>
        <w:gridCol w:w="1265"/>
        <w:gridCol w:w="1266"/>
        <w:gridCol w:w="1265"/>
        <w:gridCol w:w="1266"/>
        <w:gridCol w:w="1265"/>
        <w:gridCol w:w="1266"/>
      </w:tblGrid>
      <w:tr w:rsidR="007E4A60" w:rsidRPr="007E4A60" w:rsidTr="00B627B0">
        <w:trPr>
          <w:jc w:val="center"/>
        </w:trPr>
        <w:tc>
          <w:tcPr>
            <w:tcW w:w="2343"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w:t>
            </w:r>
          </w:p>
        </w:tc>
        <w:tc>
          <w:tcPr>
            <w:tcW w:w="1266"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w:t>
            </w:r>
          </w:p>
        </w:tc>
        <w:tc>
          <w:tcPr>
            <w:tcW w:w="1266"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w:t>
            </w:r>
          </w:p>
        </w:tc>
        <w:tc>
          <w:tcPr>
            <w:tcW w:w="1266"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w:t>
            </w:r>
          </w:p>
        </w:tc>
        <w:tc>
          <w:tcPr>
            <w:tcW w:w="1265"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w:t>
            </w:r>
          </w:p>
        </w:tc>
        <w:tc>
          <w:tcPr>
            <w:tcW w:w="1266" w:type="dxa"/>
            <w:tcBorders>
              <w:top w:val="single" w:sz="6" w:space="0" w:color="auto"/>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w:t>
            </w:r>
          </w:p>
        </w:tc>
      </w:tr>
      <w:tr w:rsidR="007E4A60" w:rsidRPr="007E4A60" w:rsidTr="00B627B0">
        <w:trPr>
          <w:jc w:val="center"/>
        </w:trPr>
        <w:tc>
          <w:tcPr>
            <w:tcW w:w="2343"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b/>
                <w:sz w:val="14"/>
                <w:szCs w:val="14"/>
                <w:lang w:val="en-US" w:eastAsia="da-DK"/>
              </w:rPr>
              <w:t>Expenditure heterogeneity &lt; median</w:t>
            </w: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ind w:left="225"/>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Day-care </w:t>
            </w:r>
          </w:p>
          <w:p w:rsidR="007E4A60" w:rsidRPr="007E4A60" w:rsidRDefault="007E4A60" w:rsidP="007E4A60">
            <w:pPr>
              <w:widowControl w:val="0"/>
              <w:autoSpaceDE w:val="0"/>
              <w:autoSpaceDN w:val="0"/>
              <w:adjustRightInd w:val="0"/>
              <w:spacing w:line="240" w:lineRule="auto"/>
              <w:ind w:left="225"/>
              <w:jc w:val="center"/>
              <w:rPr>
                <w:rFonts w:ascii="Verdana" w:eastAsiaTheme="minorEastAsia" w:hAnsi="Verdana" w:cstheme="minorBidi"/>
                <w:sz w:val="14"/>
                <w:szCs w:val="14"/>
                <w:lang w:val="en-US"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Schools </w:t>
            </w:r>
          </w:p>
        </w:tc>
        <w:tc>
          <w:tcPr>
            <w:tcW w:w="1266"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Elder care</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Children with special needs </w:t>
            </w:r>
          </w:p>
        </w:tc>
        <w:tc>
          <w:tcPr>
            <w:tcW w:w="1266"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Roads</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Culture</w:t>
            </w:r>
            <w:proofErr w:type="spellEnd"/>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Admini</w:t>
            </w:r>
            <w:proofErr w:type="spellEnd"/>
            <w:r w:rsidRPr="007E4A60">
              <w:rPr>
                <w:rFonts w:ascii="Verdana" w:eastAsiaTheme="minorEastAsia" w:hAnsi="Verdana" w:cstheme="minorBidi"/>
                <w:sz w:val="14"/>
                <w:szCs w:val="14"/>
                <w:lang w:eastAsia="da-DK"/>
              </w:rPr>
              <w:t>-</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stration</w:t>
            </w:r>
            <w:proofErr w:type="spellEnd"/>
          </w:p>
        </w:tc>
        <w:tc>
          <w:tcPr>
            <w:tcW w:w="1265"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Labor market activities </w:t>
            </w:r>
          </w:p>
        </w:tc>
        <w:tc>
          <w:tcPr>
            <w:tcW w:w="1266" w:type="dxa"/>
            <w:tcBorders>
              <w:top w:val="nil"/>
              <w:left w:val="nil"/>
              <w:bottom w:val="single" w:sz="6"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Total expenditures </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val="en-US" w:eastAsia="da-DK"/>
              </w:rPr>
              <w:t>Amalgamated (dummy)</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-980.97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1,191.05</w:t>
            </w:r>
            <w:proofErr w:type="gramEnd"/>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-2,522.28*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1,672.49***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132.27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-44.24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344.23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130.72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667.08</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2,100.34</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2,137.65</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1,496.14</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(550.92)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(87.18)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(116.45)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(311.17)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(214.29)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(687.94)</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proofErr w:type="spellStart"/>
            <w:r w:rsidRPr="007E4A60">
              <w:rPr>
                <w:rFonts w:ascii="Verdana" w:eastAsiaTheme="minorEastAsia" w:hAnsi="Verdana" w:cstheme="minorBidi"/>
                <w:b/>
                <w:sz w:val="14"/>
                <w:szCs w:val="14"/>
                <w:lang w:eastAsia="da-DK"/>
              </w:rPr>
              <w:t>DiD</w:t>
            </w:r>
            <w:proofErr w:type="spellEnd"/>
            <w:r w:rsidRPr="007E4A60">
              <w:rPr>
                <w:rFonts w:ascii="Verdana" w:eastAsiaTheme="minorEastAsia" w:hAnsi="Verdana" w:cstheme="minorBidi"/>
                <w:b/>
                <w:sz w:val="14"/>
                <w:szCs w:val="14"/>
                <w:lang w:eastAsia="da-DK"/>
              </w:rPr>
              <w:t xml:space="preserve"> </w:t>
            </w:r>
            <w:proofErr w:type="spellStart"/>
            <w:r w:rsidRPr="007E4A60">
              <w:rPr>
                <w:rFonts w:ascii="Verdana" w:eastAsiaTheme="minorEastAsia" w:hAnsi="Verdana" w:cstheme="minorBidi"/>
                <w:b/>
                <w:sz w:val="14"/>
                <w:szCs w:val="14"/>
                <w:lang w:eastAsia="da-DK"/>
              </w:rPr>
              <w:t>estimator</w:t>
            </w:r>
            <w:proofErr w:type="spell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 xml:space="preserve">Postreform * </w:t>
            </w:r>
            <w:proofErr w:type="spellStart"/>
            <w:r w:rsidRPr="007E4A60">
              <w:rPr>
                <w:rFonts w:ascii="Verdana" w:eastAsiaTheme="minorEastAsia" w:hAnsi="Verdana" w:cstheme="minorBidi"/>
                <w:sz w:val="14"/>
                <w:szCs w:val="14"/>
                <w:lang w:eastAsia="da-DK"/>
              </w:rPr>
              <w:t>amalgamated</w:t>
            </w:r>
            <w:proofErr w:type="spell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-1,045.51</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138.00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-840.35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559.99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-205.59***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99.92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-448.13**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744.73***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251.00</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1,224.48</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1,334.91</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1,034.50</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(417.55)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(58.40)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(70.27)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(187.63)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(247.72)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(473.16)</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b/>
                <w:sz w:val="14"/>
                <w:szCs w:val="14"/>
                <w:lang w:eastAsia="da-DK"/>
              </w:rPr>
              <w:t>Time dummy</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Postreform</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5,464.74***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2,128.95*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-5,916.46***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1,479.70***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242.69***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-168.09***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737.19***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1,541.60***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3,139.57***</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1,059.62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1,123.27</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(981.12)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(332.63)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(49.79)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(58.87)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(186.19)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(167.26)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(413.35)</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b/>
                <w:sz w:val="14"/>
                <w:szCs w:val="14"/>
                <w:lang w:eastAsia="da-DK"/>
              </w:rPr>
            </w:pPr>
            <w:r w:rsidRPr="007E4A60">
              <w:rPr>
                <w:rFonts w:ascii="Verdana" w:eastAsiaTheme="minorEastAsia" w:hAnsi="Verdana" w:cstheme="minorBidi"/>
                <w:b/>
                <w:sz w:val="14"/>
                <w:szCs w:val="14"/>
                <w:lang w:eastAsia="da-DK"/>
              </w:rPr>
              <w:t>Control variables</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Small Island</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9,108.78**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16,656.56***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-4,673.57</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3,512.90*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374.80**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-312.20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2,016.03**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173.23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4,180.21***</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3,827.27</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4,529.77</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3,792.61</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1,890.87</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(155.79)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(362.69)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(811.79)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(380.45)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1,302.72</w:t>
            </w:r>
            <w:proofErr w:type="gramEnd"/>
            <w:r w:rsidRPr="007E4A60">
              <w:rPr>
                <w:rFonts w:ascii="Verdana" w:eastAsiaTheme="minorEastAsia" w:hAnsi="Verdana" w:cstheme="minorBidi"/>
                <w:sz w:val="14"/>
                <w:szCs w:val="14"/>
                <w:lang w:eastAsia="da-DK"/>
              </w:rPr>
              <w:t>)</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Dispersal of settlement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-1,474.20***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-1,533.09***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613.26*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-239.27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25.43**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-102.89**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102.28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-100.55</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-50.03</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(447.35)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(384.46)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(354.82)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(240.47)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11.92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(40.38)</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(75.35)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(76.67)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(120.69)</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Fiscal pressure </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-1,125.48***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-857.57***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-86.45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-26.77</w:t>
            </w:r>
            <w:proofErr w:type="gramEnd"/>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-13.25**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-53.06***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-74.82***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104.59***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-289.12***</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(121.71)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(119.18)</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(116.16)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(36.97)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(6.54)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(9.43)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(18.29)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(14.00)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(34.48)</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roofErr w:type="spellStart"/>
            <w:r w:rsidRPr="007E4A60">
              <w:rPr>
                <w:rFonts w:ascii="Verdana" w:eastAsiaTheme="minorEastAsia" w:hAnsi="Verdana" w:cstheme="minorBidi"/>
                <w:sz w:val="14"/>
                <w:szCs w:val="14"/>
                <w:lang w:val="en-US" w:eastAsia="da-DK"/>
              </w:rPr>
              <w:t>Socioec</w:t>
            </w:r>
            <w:proofErr w:type="spellEnd"/>
            <w:r w:rsidRPr="007E4A60">
              <w:rPr>
                <w:rFonts w:ascii="Verdana" w:eastAsiaTheme="minorEastAsia" w:hAnsi="Verdana" w:cstheme="minorBidi"/>
                <w:sz w:val="14"/>
                <w:szCs w:val="14"/>
                <w:lang w:val="en-US" w:eastAsia="da-DK"/>
              </w:rPr>
              <w:t>. expenditure needs</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0.50***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0.49**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0.38***</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0.33***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0.66***</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(0.18)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(0.17)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(0.19)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(0.06)</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lastRenderedPageBreak/>
              <w:t>Party fragmentation</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12.28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-149.96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-887.79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737.10**</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-38.93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-3.48</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-14.63</w:t>
            </w:r>
            <w:proofErr w:type="gram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177.86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240.28</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(668.73)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1,109.04</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1,075.66</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(285.47)</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(56.90)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(68.34)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(165.11)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(115.13)</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(271.03)</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xml:space="preserve">Share of socialist seats </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159.65***</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142.61***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-25.43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3.38</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-7.51***</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-6.06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-16.43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20.26**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10.95</w:t>
            </w:r>
            <w:proofErr w:type="gramEnd"/>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(35.89)</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(52.22)</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(92.98)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14.93</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(2.60)</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3.89</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(11.14)</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(8.56)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(23.16)</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Constant</w:t>
            </w:r>
            <w:proofErr w:type="spellEnd"/>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170,483.83***</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146,677.89***</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56,835.82***</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68.81</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2,303.36***</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6,924.74***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11,809.97***</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-9,799.64***</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57,442.39***</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11,612.12</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11,008.18</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13,261.63</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3,651.26</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(580.48)</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(831.66)</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1,831.74</w:t>
            </w:r>
            <w:proofErr w:type="gramEnd"/>
            <w:r w:rsidRPr="007E4A60">
              <w:rPr>
                <w:rFonts w:ascii="Verdana" w:eastAsiaTheme="minorEastAsia" w:hAnsi="Verdana" w:cstheme="minorBidi"/>
                <w:sz w:val="14"/>
                <w:szCs w:val="14"/>
                <w:lang w:eastAsia="da-DK"/>
              </w:rPr>
              <w:t>)</w:t>
            </w: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1,384.50</w:t>
            </w:r>
            <w:proofErr w:type="gramEnd"/>
            <w:r w:rsidRPr="007E4A60">
              <w:rPr>
                <w:rFonts w:ascii="Verdana" w:eastAsiaTheme="minorEastAsia" w:hAnsi="Verdana" w:cstheme="minorBidi"/>
                <w:sz w:val="14"/>
                <w:szCs w:val="14"/>
                <w:lang w:eastAsia="da-DK"/>
              </w:rPr>
              <w:t>)</w:t>
            </w: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w:t>
            </w:r>
            <w:proofErr w:type="gramStart"/>
            <w:r w:rsidRPr="007E4A60">
              <w:rPr>
                <w:rFonts w:ascii="Verdana" w:eastAsiaTheme="minorEastAsia" w:hAnsi="Verdana" w:cstheme="minorBidi"/>
                <w:sz w:val="14"/>
                <w:szCs w:val="14"/>
                <w:lang w:eastAsia="da-DK"/>
              </w:rPr>
              <w:t>3,286.51</w:t>
            </w:r>
            <w:proofErr w:type="gramEnd"/>
            <w:r w:rsidRPr="007E4A60">
              <w:rPr>
                <w:rFonts w:ascii="Verdana" w:eastAsiaTheme="minorEastAsia" w:hAnsi="Verdana" w:cstheme="minorBidi"/>
                <w:sz w:val="14"/>
                <w:szCs w:val="14"/>
                <w:lang w:eastAsia="da-DK"/>
              </w:rPr>
              <w:t>)</w:t>
            </w:r>
          </w:p>
        </w:tc>
      </w:tr>
      <w:tr w:rsidR="007E4A60" w:rsidRPr="007E4A60" w:rsidTr="00B627B0">
        <w:trPr>
          <w:jc w:val="center"/>
        </w:trPr>
        <w:tc>
          <w:tcPr>
            <w:tcW w:w="2343"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5"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c>
          <w:tcPr>
            <w:tcW w:w="1266" w:type="dxa"/>
            <w:tcBorders>
              <w:top w:val="nil"/>
              <w:left w:val="nil"/>
              <w:bottom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
        </w:tc>
      </w:tr>
      <w:tr w:rsidR="007E4A60" w:rsidRPr="007E4A60" w:rsidTr="00B627B0">
        <w:trPr>
          <w:jc w:val="center"/>
        </w:trPr>
        <w:tc>
          <w:tcPr>
            <w:tcW w:w="2343" w:type="dxa"/>
            <w:tcBorders>
              <w:top w:val="nil"/>
              <w:left w:val="nil"/>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Observations</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6"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6"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6"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5"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c>
          <w:tcPr>
            <w:tcW w:w="1266" w:type="dxa"/>
            <w:tcBorders>
              <w:top w:val="nil"/>
              <w:left w:val="nil"/>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r w:rsidRPr="007E4A60">
              <w:rPr>
                <w:rFonts w:ascii="Verdana" w:eastAsiaTheme="minorEastAsia" w:hAnsi="Verdana" w:cstheme="minorBidi"/>
                <w:sz w:val="14"/>
                <w:szCs w:val="14"/>
                <w:lang w:eastAsia="da-DK"/>
              </w:rPr>
              <w:t>124</w:t>
            </w:r>
          </w:p>
        </w:tc>
      </w:tr>
      <w:tr w:rsidR="007E4A60" w:rsidRPr="007E4A60" w:rsidTr="00B627B0">
        <w:trPr>
          <w:jc w:val="center"/>
        </w:trPr>
        <w:tc>
          <w:tcPr>
            <w:tcW w:w="2343"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rPr>
                <w:rFonts w:ascii="Verdana" w:eastAsiaTheme="minorEastAsia" w:hAnsi="Verdana" w:cstheme="minorBidi"/>
                <w:sz w:val="14"/>
                <w:szCs w:val="14"/>
                <w:lang w:eastAsia="da-DK"/>
              </w:rPr>
            </w:pPr>
            <w:proofErr w:type="spellStart"/>
            <w:r w:rsidRPr="007E4A60">
              <w:rPr>
                <w:rFonts w:ascii="Verdana" w:eastAsiaTheme="minorEastAsia" w:hAnsi="Verdana" w:cstheme="minorBidi"/>
                <w:sz w:val="14"/>
                <w:szCs w:val="14"/>
                <w:lang w:eastAsia="da-DK"/>
              </w:rPr>
              <w:t>Adj</w:t>
            </w:r>
            <w:proofErr w:type="spellEnd"/>
            <w:r w:rsidRPr="007E4A60">
              <w:rPr>
                <w:rFonts w:ascii="Verdana" w:eastAsiaTheme="minorEastAsia" w:hAnsi="Verdana" w:cstheme="minorBidi"/>
                <w:sz w:val="14"/>
                <w:szCs w:val="14"/>
                <w:lang w:eastAsia="da-DK"/>
              </w:rPr>
              <w:t xml:space="preserve">. </w:t>
            </w:r>
            <w:r w:rsidRPr="007E4A60">
              <w:rPr>
                <w:rFonts w:ascii="Verdana" w:eastAsiaTheme="minorEastAsia" w:hAnsi="Verdana" w:cstheme="minorBidi"/>
                <w:sz w:val="14"/>
                <w:szCs w:val="14"/>
                <w:lang w:val="en-US" w:eastAsia="da-DK"/>
              </w:rPr>
              <w:t>R</w:t>
            </w:r>
            <w:r w:rsidRPr="007E4A60">
              <w:rPr>
                <w:rFonts w:ascii="Verdana" w:eastAsiaTheme="minorEastAsia" w:hAnsi="Verdana" w:cstheme="minorBidi"/>
                <w:sz w:val="14"/>
                <w:szCs w:val="14"/>
                <w:vertAlign w:val="superscript"/>
                <w:lang w:val="en-US" w:eastAsia="da-DK"/>
              </w:rPr>
              <w:t>2</w:t>
            </w:r>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0.821</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0.674</w:t>
            </w:r>
            <w:proofErr w:type="gramEnd"/>
          </w:p>
        </w:tc>
        <w:tc>
          <w:tcPr>
            <w:tcW w:w="1266"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0.428</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0.632</w:t>
            </w:r>
            <w:proofErr w:type="gramEnd"/>
          </w:p>
        </w:tc>
        <w:tc>
          <w:tcPr>
            <w:tcW w:w="1266"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0.376</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0.662</w:t>
            </w:r>
            <w:proofErr w:type="gramEnd"/>
          </w:p>
        </w:tc>
        <w:tc>
          <w:tcPr>
            <w:tcW w:w="1266"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0.577</w:t>
            </w:r>
            <w:proofErr w:type="gramEnd"/>
          </w:p>
        </w:tc>
        <w:tc>
          <w:tcPr>
            <w:tcW w:w="1265"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0.876</w:t>
            </w:r>
            <w:proofErr w:type="gramEnd"/>
          </w:p>
        </w:tc>
        <w:tc>
          <w:tcPr>
            <w:tcW w:w="1266" w:type="dxa"/>
            <w:tcBorders>
              <w:top w:val="nil"/>
              <w:left w:val="nil"/>
              <w:bottom w:val="single" w:sz="4" w:space="0" w:color="auto"/>
              <w:right w:val="nil"/>
            </w:tcBorders>
          </w:tcPr>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eastAsia="da-DK"/>
              </w:rPr>
            </w:pPr>
            <w:proofErr w:type="gramStart"/>
            <w:r w:rsidRPr="007E4A60">
              <w:rPr>
                <w:rFonts w:ascii="Verdana" w:eastAsiaTheme="minorEastAsia" w:hAnsi="Verdana" w:cstheme="minorBidi"/>
                <w:sz w:val="14"/>
                <w:szCs w:val="14"/>
                <w:lang w:eastAsia="da-DK"/>
              </w:rPr>
              <w:t>0.857</w:t>
            </w:r>
            <w:proofErr w:type="gramEnd"/>
          </w:p>
        </w:tc>
      </w:tr>
    </w:tbl>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Robust standard errors in parentheses (clustered at each municipality)</w:t>
      </w:r>
    </w:p>
    <w:p w:rsidR="007E4A60" w:rsidRPr="007E4A60" w:rsidRDefault="007E4A60" w:rsidP="007E4A60">
      <w:pPr>
        <w:widowControl w:val="0"/>
        <w:autoSpaceDE w:val="0"/>
        <w:autoSpaceDN w:val="0"/>
        <w:adjustRightInd w:val="0"/>
        <w:spacing w:line="240" w:lineRule="auto"/>
        <w:jc w:val="center"/>
        <w:rPr>
          <w:rFonts w:ascii="Verdana" w:eastAsiaTheme="minorEastAsia" w:hAnsi="Verdana" w:cstheme="minorBidi"/>
          <w:sz w:val="14"/>
          <w:szCs w:val="14"/>
          <w:lang w:val="en-US" w:eastAsia="da-DK"/>
        </w:rPr>
      </w:pPr>
      <w:r w:rsidRPr="007E4A60">
        <w:rPr>
          <w:rFonts w:ascii="Verdana" w:eastAsiaTheme="minorEastAsia" w:hAnsi="Verdana" w:cstheme="minorBidi"/>
          <w:sz w:val="14"/>
          <w:szCs w:val="14"/>
          <w:lang w:val="en-US" w:eastAsia="da-DK"/>
        </w:rPr>
        <w:t>*** p&lt;0.01, ** p&lt;0.05, * p&lt;0.1</w:t>
      </w:r>
    </w:p>
    <w:p w:rsidR="007E4A60" w:rsidRPr="007E4A60" w:rsidRDefault="007E4A60" w:rsidP="007E4A60">
      <w:pPr>
        <w:keepNext/>
        <w:keepLines/>
        <w:spacing w:before="200" w:line="276" w:lineRule="auto"/>
        <w:outlineLvl w:val="1"/>
        <w:rPr>
          <w:rFonts w:ascii="Verdana" w:eastAsiaTheme="minorEastAsia" w:hAnsi="Verdana"/>
          <w:sz w:val="14"/>
          <w:szCs w:val="14"/>
          <w:lang w:val="en-US" w:eastAsia="da-DK"/>
        </w:rPr>
      </w:pPr>
    </w:p>
    <w:p w:rsidR="00F24AA5" w:rsidRDefault="00F24AA5"/>
    <w:sectPr w:rsidR="00F24AA5" w:rsidSect="0072562D">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E53"/>
    <w:multiLevelType w:val="hybridMultilevel"/>
    <w:tmpl w:val="EC40E3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9472481"/>
    <w:multiLevelType w:val="hybridMultilevel"/>
    <w:tmpl w:val="588ED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A3B2E58"/>
    <w:multiLevelType w:val="hybridMultilevel"/>
    <w:tmpl w:val="399A23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2EB6E28"/>
    <w:multiLevelType w:val="hybridMultilevel"/>
    <w:tmpl w:val="66704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60"/>
    <w:rsid w:val="000570A5"/>
    <w:rsid w:val="00077EB2"/>
    <w:rsid w:val="0008797D"/>
    <w:rsid w:val="000D77F6"/>
    <w:rsid w:val="000F52AB"/>
    <w:rsid w:val="001A7069"/>
    <w:rsid w:val="00207654"/>
    <w:rsid w:val="00230005"/>
    <w:rsid w:val="002F55BA"/>
    <w:rsid w:val="003038D5"/>
    <w:rsid w:val="003C681E"/>
    <w:rsid w:val="003D698A"/>
    <w:rsid w:val="00405510"/>
    <w:rsid w:val="00446146"/>
    <w:rsid w:val="00480950"/>
    <w:rsid w:val="00480E10"/>
    <w:rsid w:val="004A5F68"/>
    <w:rsid w:val="00525AB4"/>
    <w:rsid w:val="0054069C"/>
    <w:rsid w:val="005A1E77"/>
    <w:rsid w:val="005C109D"/>
    <w:rsid w:val="005C6D1E"/>
    <w:rsid w:val="005D1DF9"/>
    <w:rsid w:val="00685953"/>
    <w:rsid w:val="006A05E1"/>
    <w:rsid w:val="006A2200"/>
    <w:rsid w:val="006A75AC"/>
    <w:rsid w:val="006B0888"/>
    <w:rsid w:val="006B5247"/>
    <w:rsid w:val="00752E88"/>
    <w:rsid w:val="00756FB5"/>
    <w:rsid w:val="007642A0"/>
    <w:rsid w:val="007D37B4"/>
    <w:rsid w:val="007E4A60"/>
    <w:rsid w:val="008063CE"/>
    <w:rsid w:val="0083582E"/>
    <w:rsid w:val="0085739E"/>
    <w:rsid w:val="008B6F48"/>
    <w:rsid w:val="008C5D4B"/>
    <w:rsid w:val="00901B17"/>
    <w:rsid w:val="009754B7"/>
    <w:rsid w:val="009951CE"/>
    <w:rsid w:val="009A71E7"/>
    <w:rsid w:val="00A27567"/>
    <w:rsid w:val="00A96BB0"/>
    <w:rsid w:val="00AD7D8E"/>
    <w:rsid w:val="00B87F42"/>
    <w:rsid w:val="00BB7991"/>
    <w:rsid w:val="00BD6D4B"/>
    <w:rsid w:val="00CC3EDF"/>
    <w:rsid w:val="00E71232"/>
    <w:rsid w:val="00E94ED2"/>
    <w:rsid w:val="00EE519B"/>
    <w:rsid w:val="00F24AA5"/>
    <w:rsid w:val="00F258DD"/>
    <w:rsid w:val="00F87852"/>
    <w:rsid w:val="00F87889"/>
    <w:rsid w:val="00FB307C"/>
    <w:rsid w:val="00FB6C73"/>
    <w:rsid w:val="00FD6226"/>
    <w:rsid w:val="00FE6D42"/>
    <w:rsid w:val="00FF22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E4A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da-DK"/>
    </w:rPr>
  </w:style>
  <w:style w:type="paragraph" w:styleId="Overskrift2">
    <w:name w:val="heading 2"/>
    <w:basedOn w:val="Normal"/>
    <w:next w:val="Normal"/>
    <w:link w:val="Overskrift2Tegn"/>
    <w:uiPriority w:val="9"/>
    <w:unhideWhenUsed/>
    <w:qFormat/>
    <w:rsid w:val="007E4A6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4A60"/>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7E4A60"/>
    <w:rPr>
      <w:rFonts w:asciiTheme="majorHAnsi" w:eastAsiaTheme="majorEastAsia" w:hAnsiTheme="majorHAnsi" w:cstheme="majorBidi"/>
      <w:b/>
      <w:bCs/>
      <w:color w:val="4F81BD" w:themeColor="accent1"/>
      <w:sz w:val="26"/>
      <w:szCs w:val="26"/>
      <w:lang w:eastAsia="da-DK"/>
    </w:rPr>
  </w:style>
  <w:style w:type="numbering" w:customStyle="1" w:styleId="Ingenoversigt1">
    <w:name w:val="Ingen oversigt1"/>
    <w:next w:val="Ingenoversigt"/>
    <w:uiPriority w:val="99"/>
    <w:semiHidden/>
    <w:unhideWhenUsed/>
    <w:rsid w:val="007E4A60"/>
  </w:style>
  <w:style w:type="character" w:customStyle="1" w:styleId="spelle">
    <w:name w:val="spelle"/>
    <w:basedOn w:val="Standardskrifttypeiafsnit"/>
    <w:rsid w:val="007E4A60"/>
  </w:style>
  <w:style w:type="paragraph" w:styleId="Listeafsnit">
    <w:name w:val="List Paragraph"/>
    <w:basedOn w:val="Normal"/>
    <w:uiPriority w:val="34"/>
    <w:qFormat/>
    <w:rsid w:val="007E4A60"/>
    <w:pPr>
      <w:spacing w:after="200" w:line="276" w:lineRule="auto"/>
      <w:ind w:left="720"/>
      <w:contextualSpacing/>
    </w:pPr>
    <w:rPr>
      <w:rFonts w:ascii="Calibri" w:eastAsiaTheme="minorEastAsia" w:hAnsi="Calibri"/>
      <w:sz w:val="22"/>
      <w:szCs w:val="22"/>
      <w:lang w:eastAsia="da-DK"/>
    </w:rPr>
  </w:style>
  <w:style w:type="paragraph" w:styleId="Slutnotetekst">
    <w:name w:val="endnote text"/>
    <w:basedOn w:val="Normal"/>
    <w:link w:val="SlutnotetekstTegn"/>
    <w:uiPriority w:val="99"/>
    <w:semiHidden/>
    <w:unhideWhenUsed/>
    <w:rsid w:val="007E4A60"/>
    <w:pPr>
      <w:spacing w:line="240" w:lineRule="auto"/>
    </w:pPr>
    <w:rPr>
      <w:rFonts w:asciiTheme="minorHAnsi" w:eastAsiaTheme="minorEastAsia" w:hAnsiTheme="minorHAnsi" w:cstheme="minorBidi"/>
      <w:sz w:val="20"/>
      <w:szCs w:val="20"/>
      <w:lang w:eastAsia="da-DK"/>
    </w:rPr>
  </w:style>
  <w:style w:type="character" w:customStyle="1" w:styleId="SlutnotetekstTegn">
    <w:name w:val="Slutnotetekst Tegn"/>
    <w:basedOn w:val="Standardskrifttypeiafsnit"/>
    <w:link w:val="Slutnotetekst"/>
    <w:uiPriority w:val="99"/>
    <w:semiHidden/>
    <w:rsid w:val="007E4A60"/>
    <w:rPr>
      <w:rFonts w:asciiTheme="minorHAnsi" w:eastAsiaTheme="minorEastAsia" w:hAnsiTheme="minorHAnsi" w:cstheme="minorBidi"/>
      <w:sz w:val="20"/>
      <w:szCs w:val="20"/>
      <w:lang w:eastAsia="da-DK"/>
    </w:rPr>
  </w:style>
  <w:style w:type="character" w:styleId="Slutnotehenvisning">
    <w:name w:val="endnote reference"/>
    <w:basedOn w:val="Standardskrifttypeiafsnit"/>
    <w:uiPriority w:val="99"/>
    <w:semiHidden/>
    <w:unhideWhenUsed/>
    <w:rsid w:val="007E4A60"/>
    <w:rPr>
      <w:vertAlign w:val="superscript"/>
    </w:rPr>
  </w:style>
  <w:style w:type="paragraph" w:styleId="Fodnotetekst">
    <w:name w:val="footnote text"/>
    <w:basedOn w:val="Normal"/>
    <w:link w:val="FodnotetekstTegn"/>
    <w:unhideWhenUsed/>
    <w:rsid w:val="007E4A60"/>
    <w:pPr>
      <w:spacing w:line="240" w:lineRule="auto"/>
    </w:pPr>
    <w:rPr>
      <w:rFonts w:asciiTheme="minorHAnsi" w:eastAsiaTheme="minorEastAsia" w:hAnsiTheme="minorHAnsi" w:cstheme="minorBidi"/>
      <w:sz w:val="20"/>
      <w:szCs w:val="20"/>
      <w:lang w:eastAsia="da-DK"/>
    </w:rPr>
  </w:style>
  <w:style w:type="character" w:customStyle="1" w:styleId="FodnotetekstTegn">
    <w:name w:val="Fodnotetekst Tegn"/>
    <w:basedOn w:val="Standardskrifttypeiafsnit"/>
    <w:link w:val="Fodnotetekst"/>
    <w:rsid w:val="007E4A60"/>
    <w:rPr>
      <w:rFonts w:asciiTheme="minorHAnsi" w:eastAsiaTheme="minorEastAsia" w:hAnsiTheme="minorHAnsi" w:cstheme="minorBidi"/>
      <w:sz w:val="20"/>
      <w:szCs w:val="20"/>
      <w:lang w:eastAsia="da-DK"/>
    </w:rPr>
  </w:style>
  <w:style w:type="character" w:styleId="Fodnotehenvisning">
    <w:name w:val="footnote reference"/>
    <w:basedOn w:val="Standardskrifttypeiafsnit"/>
    <w:unhideWhenUsed/>
    <w:rsid w:val="007E4A60"/>
    <w:rPr>
      <w:vertAlign w:val="superscript"/>
    </w:rPr>
  </w:style>
  <w:style w:type="paragraph" w:styleId="Sidehoved">
    <w:name w:val="header"/>
    <w:basedOn w:val="Normal"/>
    <w:link w:val="SidehovedTegn"/>
    <w:uiPriority w:val="99"/>
    <w:unhideWhenUsed/>
    <w:rsid w:val="007E4A60"/>
    <w:pPr>
      <w:tabs>
        <w:tab w:val="center" w:pos="4819"/>
        <w:tab w:val="right" w:pos="9638"/>
      </w:tabs>
      <w:spacing w:line="240" w:lineRule="auto"/>
    </w:pPr>
    <w:rPr>
      <w:rFonts w:asciiTheme="minorHAnsi" w:eastAsiaTheme="minorEastAsia" w:hAnsiTheme="minorHAnsi" w:cstheme="minorBidi"/>
      <w:sz w:val="22"/>
      <w:szCs w:val="22"/>
      <w:lang w:eastAsia="da-DK"/>
    </w:rPr>
  </w:style>
  <w:style w:type="character" w:customStyle="1" w:styleId="SidehovedTegn">
    <w:name w:val="Sidehoved Tegn"/>
    <w:basedOn w:val="Standardskrifttypeiafsnit"/>
    <w:link w:val="Sidehoved"/>
    <w:uiPriority w:val="99"/>
    <w:rsid w:val="007E4A60"/>
    <w:rPr>
      <w:rFonts w:asciiTheme="minorHAnsi" w:eastAsiaTheme="minorEastAsia" w:hAnsiTheme="minorHAnsi" w:cstheme="minorBidi"/>
      <w:sz w:val="22"/>
      <w:szCs w:val="22"/>
      <w:lang w:eastAsia="da-DK"/>
    </w:rPr>
  </w:style>
  <w:style w:type="paragraph" w:styleId="Sidefod">
    <w:name w:val="footer"/>
    <w:basedOn w:val="Normal"/>
    <w:link w:val="SidefodTegn"/>
    <w:uiPriority w:val="99"/>
    <w:unhideWhenUsed/>
    <w:rsid w:val="007E4A60"/>
    <w:pPr>
      <w:tabs>
        <w:tab w:val="center" w:pos="4819"/>
        <w:tab w:val="right" w:pos="9638"/>
      </w:tabs>
      <w:spacing w:line="240" w:lineRule="auto"/>
    </w:pPr>
    <w:rPr>
      <w:rFonts w:asciiTheme="minorHAnsi" w:eastAsiaTheme="minorEastAsia" w:hAnsiTheme="minorHAnsi" w:cstheme="minorBidi"/>
      <w:sz w:val="22"/>
      <w:szCs w:val="22"/>
      <w:lang w:eastAsia="da-DK"/>
    </w:rPr>
  </w:style>
  <w:style w:type="character" w:customStyle="1" w:styleId="SidefodTegn">
    <w:name w:val="Sidefod Tegn"/>
    <w:basedOn w:val="Standardskrifttypeiafsnit"/>
    <w:link w:val="Sidefod"/>
    <w:uiPriority w:val="99"/>
    <w:rsid w:val="007E4A60"/>
    <w:rPr>
      <w:rFonts w:asciiTheme="minorHAnsi" w:eastAsiaTheme="minorEastAsia" w:hAnsiTheme="minorHAnsi" w:cstheme="minorBidi"/>
      <w:sz w:val="22"/>
      <w:szCs w:val="22"/>
      <w:lang w:eastAsia="da-DK"/>
    </w:rPr>
  </w:style>
  <w:style w:type="table" w:styleId="Tabel-Gitter">
    <w:name w:val="Table Grid"/>
    <w:basedOn w:val="Tabel-Normal"/>
    <w:uiPriority w:val="59"/>
    <w:rsid w:val="007E4A60"/>
    <w:pPr>
      <w:spacing w:line="240" w:lineRule="auto"/>
    </w:pPr>
    <w:rPr>
      <w:rFonts w:asciiTheme="minorHAnsi" w:eastAsiaTheme="minorEastAsia" w:hAnsiTheme="minorHAnsi" w:cstheme="minorBidi"/>
      <w:sz w:val="22"/>
      <w:szCs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E4A60"/>
    <w:pPr>
      <w:spacing w:line="240" w:lineRule="auto"/>
    </w:pPr>
    <w:rPr>
      <w:rFonts w:ascii="Tahoma" w:eastAsiaTheme="minorEastAsia" w:hAnsi="Tahoma" w:cs="Tahoma"/>
      <w:sz w:val="16"/>
      <w:szCs w:val="16"/>
      <w:lang w:eastAsia="da-DK"/>
    </w:rPr>
  </w:style>
  <w:style w:type="character" w:customStyle="1" w:styleId="MarkeringsbobletekstTegn">
    <w:name w:val="Markeringsbobletekst Tegn"/>
    <w:basedOn w:val="Standardskrifttypeiafsnit"/>
    <w:link w:val="Markeringsbobletekst"/>
    <w:uiPriority w:val="99"/>
    <w:semiHidden/>
    <w:rsid w:val="007E4A60"/>
    <w:rPr>
      <w:rFonts w:ascii="Tahoma" w:eastAsiaTheme="minorEastAsia" w:hAnsi="Tahoma" w:cs="Tahoma"/>
      <w:sz w:val="16"/>
      <w:szCs w:val="16"/>
      <w:lang w:eastAsia="da-DK"/>
    </w:rPr>
  </w:style>
  <w:style w:type="paragraph" w:styleId="Billedtekst">
    <w:name w:val="caption"/>
    <w:basedOn w:val="Normal"/>
    <w:next w:val="Normal"/>
    <w:uiPriority w:val="35"/>
    <w:unhideWhenUsed/>
    <w:qFormat/>
    <w:rsid w:val="007E4A60"/>
    <w:pPr>
      <w:spacing w:after="200" w:line="240" w:lineRule="auto"/>
    </w:pPr>
    <w:rPr>
      <w:rFonts w:asciiTheme="minorHAnsi" w:eastAsiaTheme="minorEastAsia" w:hAnsiTheme="minorHAnsi" w:cstheme="minorBidi"/>
      <w:b/>
      <w:bCs/>
      <w:color w:val="4F81BD" w:themeColor="accent1"/>
      <w:sz w:val="18"/>
      <w:szCs w:val="18"/>
      <w:lang w:eastAsia="da-DK"/>
    </w:rPr>
  </w:style>
  <w:style w:type="character" w:styleId="Kommentarhenvisning">
    <w:name w:val="annotation reference"/>
    <w:basedOn w:val="Standardskrifttypeiafsnit"/>
    <w:uiPriority w:val="99"/>
    <w:semiHidden/>
    <w:unhideWhenUsed/>
    <w:rsid w:val="007E4A60"/>
    <w:rPr>
      <w:sz w:val="16"/>
      <w:szCs w:val="16"/>
    </w:rPr>
  </w:style>
  <w:style w:type="paragraph" w:styleId="Kommentartekst">
    <w:name w:val="annotation text"/>
    <w:basedOn w:val="Normal"/>
    <w:link w:val="KommentartekstTegn"/>
    <w:uiPriority w:val="99"/>
    <w:semiHidden/>
    <w:unhideWhenUsed/>
    <w:rsid w:val="007E4A60"/>
    <w:pPr>
      <w:spacing w:after="200" w:line="240" w:lineRule="auto"/>
    </w:pPr>
    <w:rPr>
      <w:rFonts w:asciiTheme="minorHAnsi" w:eastAsiaTheme="minorEastAsia" w:hAnsiTheme="minorHAnsi" w:cstheme="minorBidi"/>
      <w:sz w:val="20"/>
      <w:szCs w:val="20"/>
      <w:lang w:eastAsia="da-DK"/>
    </w:rPr>
  </w:style>
  <w:style w:type="character" w:customStyle="1" w:styleId="KommentartekstTegn">
    <w:name w:val="Kommentartekst Tegn"/>
    <w:basedOn w:val="Standardskrifttypeiafsnit"/>
    <w:link w:val="Kommentartekst"/>
    <w:uiPriority w:val="99"/>
    <w:semiHidden/>
    <w:rsid w:val="007E4A60"/>
    <w:rPr>
      <w:rFonts w:asciiTheme="minorHAnsi" w:eastAsiaTheme="minorEastAsia" w:hAnsiTheme="minorHAnsi" w:cstheme="minorBidi"/>
      <w:sz w:val="20"/>
      <w:szCs w:val="20"/>
      <w:lang w:eastAsia="da-DK"/>
    </w:rPr>
  </w:style>
  <w:style w:type="paragraph" w:styleId="Kommentaremne">
    <w:name w:val="annotation subject"/>
    <w:basedOn w:val="Kommentartekst"/>
    <w:next w:val="Kommentartekst"/>
    <w:link w:val="KommentaremneTegn"/>
    <w:uiPriority w:val="99"/>
    <w:semiHidden/>
    <w:unhideWhenUsed/>
    <w:rsid w:val="007E4A60"/>
    <w:rPr>
      <w:b/>
      <w:bCs/>
    </w:rPr>
  </w:style>
  <w:style w:type="character" w:customStyle="1" w:styleId="KommentaremneTegn">
    <w:name w:val="Kommentaremne Tegn"/>
    <w:basedOn w:val="KommentartekstTegn"/>
    <w:link w:val="Kommentaremne"/>
    <w:uiPriority w:val="99"/>
    <w:semiHidden/>
    <w:rsid w:val="007E4A60"/>
    <w:rPr>
      <w:rFonts w:asciiTheme="minorHAnsi" w:eastAsiaTheme="minorEastAsia" w:hAnsiTheme="minorHAnsi" w:cstheme="minorBidi"/>
      <w:b/>
      <w:bCs/>
      <w:sz w:val="20"/>
      <w:szCs w:val="20"/>
      <w:lang w:eastAsia="da-DK"/>
    </w:rPr>
  </w:style>
  <w:style w:type="paragraph" w:styleId="Korrektur">
    <w:name w:val="Revision"/>
    <w:hidden/>
    <w:uiPriority w:val="99"/>
    <w:semiHidden/>
    <w:rsid w:val="007E4A60"/>
    <w:pPr>
      <w:spacing w:line="240" w:lineRule="auto"/>
    </w:pPr>
    <w:rPr>
      <w:rFonts w:asciiTheme="minorHAnsi" w:eastAsiaTheme="minorEastAsia" w:hAnsiTheme="minorHAnsi" w:cstheme="minorBidi"/>
      <w:sz w:val="22"/>
      <w:szCs w:val="22"/>
      <w:lang w:eastAsia="da-DK"/>
    </w:rPr>
  </w:style>
  <w:style w:type="paragraph" w:customStyle="1" w:styleId="Default">
    <w:name w:val="Default"/>
    <w:rsid w:val="007E4A60"/>
    <w:pPr>
      <w:autoSpaceDE w:val="0"/>
      <w:autoSpaceDN w:val="0"/>
      <w:adjustRightInd w:val="0"/>
      <w:spacing w:line="240" w:lineRule="auto"/>
    </w:pPr>
    <w:rPr>
      <w:rFonts w:ascii="Code" w:eastAsiaTheme="minorEastAsia" w:hAnsi="Code" w:cs="Code"/>
      <w:color w:val="000000"/>
      <w:lang w:eastAsia="da-DK"/>
    </w:rPr>
  </w:style>
  <w:style w:type="paragraph" w:styleId="Ingenafstand">
    <w:name w:val="No Spacing"/>
    <w:uiPriority w:val="1"/>
    <w:qFormat/>
    <w:rsid w:val="007E4A60"/>
    <w:pPr>
      <w:spacing w:line="240" w:lineRule="auto"/>
    </w:pPr>
    <w:rPr>
      <w:rFonts w:asciiTheme="minorHAnsi" w:eastAsiaTheme="minorEastAsia" w:hAnsiTheme="minorHAnsi" w:cstheme="minorBidi"/>
      <w:sz w:val="22"/>
      <w:szCs w:val="22"/>
      <w:lang w:val="en-US" w:eastAsia="da-DK"/>
    </w:rPr>
  </w:style>
  <w:style w:type="character" w:customStyle="1" w:styleId="authors">
    <w:name w:val="authors"/>
    <w:basedOn w:val="Standardskrifttypeiafsnit"/>
    <w:rsid w:val="007E4A60"/>
  </w:style>
  <w:style w:type="character" w:styleId="Hyperlink">
    <w:name w:val="Hyperlink"/>
    <w:basedOn w:val="Standardskrifttypeiafsnit"/>
    <w:uiPriority w:val="99"/>
    <w:unhideWhenUsed/>
    <w:rsid w:val="007E4A60"/>
    <w:rPr>
      <w:color w:val="0000FF" w:themeColor="hyperlink"/>
      <w:u w:val="single"/>
    </w:rPr>
  </w:style>
  <w:style w:type="paragraph" w:customStyle="1" w:styleId="Body1">
    <w:name w:val="Body 1"/>
    <w:rsid w:val="007E4A60"/>
    <w:pPr>
      <w:spacing w:after="200" w:line="276" w:lineRule="auto"/>
      <w:outlineLvl w:val="0"/>
    </w:pPr>
    <w:rPr>
      <w:rFonts w:ascii="Helvetica" w:eastAsia="Arial Unicode MS" w:hAnsi="Helvetica"/>
      <w:color w:val="000000"/>
      <w:sz w:val="22"/>
      <w:szCs w:val="20"/>
      <w:u w:color="000000"/>
      <w:lang w:val="en-US" w:eastAsia="da-DK"/>
    </w:rPr>
  </w:style>
  <w:style w:type="character" w:customStyle="1" w:styleId="A1">
    <w:name w:val="A1"/>
    <w:uiPriority w:val="99"/>
    <w:rsid w:val="007E4A60"/>
    <w:rPr>
      <w:rFonts w:cs="Helvetica Neue"/>
      <w:color w:val="000000"/>
      <w:sz w:val="16"/>
      <w:szCs w:val="16"/>
    </w:rPr>
  </w:style>
  <w:style w:type="paragraph" w:styleId="Almindeligtekst">
    <w:name w:val="Plain Text"/>
    <w:basedOn w:val="Normal"/>
    <w:link w:val="AlmindeligtekstTegn"/>
    <w:uiPriority w:val="99"/>
    <w:semiHidden/>
    <w:unhideWhenUsed/>
    <w:rsid w:val="007E4A60"/>
    <w:pPr>
      <w:spacing w:line="240" w:lineRule="auto"/>
    </w:pPr>
    <w:rPr>
      <w:rFonts w:ascii="Calibri" w:eastAsiaTheme="minorEastAsia" w:hAnsi="Calibri" w:cstheme="minorBidi"/>
      <w:sz w:val="22"/>
      <w:szCs w:val="21"/>
      <w:lang w:eastAsia="da-DK"/>
    </w:rPr>
  </w:style>
  <w:style w:type="character" w:customStyle="1" w:styleId="AlmindeligtekstTegn">
    <w:name w:val="Almindelig tekst Tegn"/>
    <w:basedOn w:val="Standardskrifttypeiafsnit"/>
    <w:link w:val="Almindeligtekst"/>
    <w:uiPriority w:val="99"/>
    <w:semiHidden/>
    <w:rsid w:val="007E4A60"/>
    <w:rPr>
      <w:rFonts w:ascii="Calibri" w:eastAsiaTheme="minorEastAsia" w:hAnsi="Calibri" w:cstheme="minorBidi"/>
      <w:sz w:val="22"/>
      <w:szCs w:val="21"/>
      <w:lang w:eastAsia="da-DK"/>
    </w:rPr>
  </w:style>
  <w:style w:type="character" w:customStyle="1" w:styleId="apple-converted-space">
    <w:name w:val="apple-converted-space"/>
    <w:basedOn w:val="Standardskrifttypeiafsnit"/>
    <w:rsid w:val="007E4A60"/>
  </w:style>
  <w:style w:type="character" w:styleId="BesgtHyperlink">
    <w:name w:val="FollowedHyperlink"/>
    <w:basedOn w:val="Standardskrifttypeiafsnit"/>
    <w:uiPriority w:val="99"/>
    <w:semiHidden/>
    <w:unhideWhenUsed/>
    <w:rsid w:val="007E4A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E4A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da-DK"/>
    </w:rPr>
  </w:style>
  <w:style w:type="paragraph" w:styleId="Overskrift2">
    <w:name w:val="heading 2"/>
    <w:basedOn w:val="Normal"/>
    <w:next w:val="Normal"/>
    <w:link w:val="Overskrift2Tegn"/>
    <w:uiPriority w:val="9"/>
    <w:unhideWhenUsed/>
    <w:qFormat/>
    <w:rsid w:val="007E4A6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4A60"/>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7E4A60"/>
    <w:rPr>
      <w:rFonts w:asciiTheme="majorHAnsi" w:eastAsiaTheme="majorEastAsia" w:hAnsiTheme="majorHAnsi" w:cstheme="majorBidi"/>
      <w:b/>
      <w:bCs/>
      <w:color w:val="4F81BD" w:themeColor="accent1"/>
      <w:sz w:val="26"/>
      <w:szCs w:val="26"/>
      <w:lang w:eastAsia="da-DK"/>
    </w:rPr>
  </w:style>
  <w:style w:type="numbering" w:customStyle="1" w:styleId="Ingenoversigt1">
    <w:name w:val="Ingen oversigt1"/>
    <w:next w:val="Ingenoversigt"/>
    <w:uiPriority w:val="99"/>
    <w:semiHidden/>
    <w:unhideWhenUsed/>
    <w:rsid w:val="007E4A60"/>
  </w:style>
  <w:style w:type="character" w:customStyle="1" w:styleId="spelle">
    <w:name w:val="spelle"/>
    <w:basedOn w:val="Standardskrifttypeiafsnit"/>
    <w:rsid w:val="007E4A60"/>
  </w:style>
  <w:style w:type="paragraph" w:styleId="Listeafsnit">
    <w:name w:val="List Paragraph"/>
    <w:basedOn w:val="Normal"/>
    <w:uiPriority w:val="34"/>
    <w:qFormat/>
    <w:rsid w:val="007E4A60"/>
    <w:pPr>
      <w:spacing w:after="200" w:line="276" w:lineRule="auto"/>
      <w:ind w:left="720"/>
      <w:contextualSpacing/>
    </w:pPr>
    <w:rPr>
      <w:rFonts w:ascii="Calibri" w:eastAsiaTheme="minorEastAsia" w:hAnsi="Calibri"/>
      <w:sz w:val="22"/>
      <w:szCs w:val="22"/>
      <w:lang w:eastAsia="da-DK"/>
    </w:rPr>
  </w:style>
  <w:style w:type="paragraph" w:styleId="Slutnotetekst">
    <w:name w:val="endnote text"/>
    <w:basedOn w:val="Normal"/>
    <w:link w:val="SlutnotetekstTegn"/>
    <w:uiPriority w:val="99"/>
    <w:semiHidden/>
    <w:unhideWhenUsed/>
    <w:rsid w:val="007E4A60"/>
    <w:pPr>
      <w:spacing w:line="240" w:lineRule="auto"/>
    </w:pPr>
    <w:rPr>
      <w:rFonts w:asciiTheme="minorHAnsi" w:eastAsiaTheme="minorEastAsia" w:hAnsiTheme="minorHAnsi" w:cstheme="minorBidi"/>
      <w:sz w:val="20"/>
      <w:szCs w:val="20"/>
      <w:lang w:eastAsia="da-DK"/>
    </w:rPr>
  </w:style>
  <w:style w:type="character" w:customStyle="1" w:styleId="SlutnotetekstTegn">
    <w:name w:val="Slutnotetekst Tegn"/>
    <w:basedOn w:val="Standardskrifttypeiafsnit"/>
    <w:link w:val="Slutnotetekst"/>
    <w:uiPriority w:val="99"/>
    <w:semiHidden/>
    <w:rsid w:val="007E4A60"/>
    <w:rPr>
      <w:rFonts w:asciiTheme="minorHAnsi" w:eastAsiaTheme="minorEastAsia" w:hAnsiTheme="minorHAnsi" w:cstheme="minorBidi"/>
      <w:sz w:val="20"/>
      <w:szCs w:val="20"/>
      <w:lang w:eastAsia="da-DK"/>
    </w:rPr>
  </w:style>
  <w:style w:type="character" w:styleId="Slutnotehenvisning">
    <w:name w:val="endnote reference"/>
    <w:basedOn w:val="Standardskrifttypeiafsnit"/>
    <w:uiPriority w:val="99"/>
    <w:semiHidden/>
    <w:unhideWhenUsed/>
    <w:rsid w:val="007E4A60"/>
    <w:rPr>
      <w:vertAlign w:val="superscript"/>
    </w:rPr>
  </w:style>
  <w:style w:type="paragraph" w:styleId="Fodnotetekst">
    <w:name w:val="footnote text"/>
    <w:basedOn w:val="Normal"/>
    <w:link w:val="FodnotetekstTegn"/>
    <w:unhideWhenUsed/>
    <w:rsid w:val="007E4A60"/>
    <w:pPr>
      <w:spacing w:line="240" w:lineRule="auto"/>
    </w:pPr>
    <w:rPr>
      <w:rFonts w:asciiTheme="minorHAnsi" w:eastAsiaTheme="minorEastAsia" w:hAnsiTheme="minorHAnsi" w:cstheme="minorBidi"/>
      <w:sz w:val="20"/>
      <w:szCs w:val="20"/>
      <w:lang w:eastAsia="da-DK"/>
    </w:rPr>
  </w:style>
  <w:style w:type="character" w:customStyle="1" w:styleId="FodnotetekstTegn">
    <w:name w:val="Fodnotetekst Tegn"/>
    <w:basedOn w:val="Standardskrifttypeiafsnit"/>
    <w:link w:val="Fodnotetekst"/>
    <w:rsid w:val="007E4A60"/>
    <w:rPr>
      <w:rFonts w:asciiTheme="minorHAnsi" w:eastAsiaTheme="minorEastAsia" w:hAnsiTheme="minorHAnsi" w:cstheme="minorBidi"/>
      <w:sz w:val="20"/>
      <w:szCs w:val="20"/>
      <w:lang w:eastAsia="da-DK"/>
    </w:rPr>
  </w:style>
  <w:style w:type="character" w:styleId="Fodnotehenvisning">
    <w:name w:val="footnote reference"/>
    <w:basedOn w:val="Standardskrifttypeiafsnit"/>
    <w:unhideWhenUsed/>
    <w:rsid w:val="007E4A60"/>
    <w:rPr>
      <w:vertAlign w:val="superscript"/>
    </w:rPr>
  </w:style>
  <w:style w:type="paragraph" w:styleId="Sidehoved">
    <w:name w:val="header"/>
    <w:basedOn w:val="Normal"/>
    <w:link w:val="SidehovedTegn"/>
    <w:uiPriority w:val="99"/>
    <w:unhideWhenUsed/>
    <w:rsid w:val="007E4A60"/>
    <w:pPr>
      <w:tabs>
        <w:tab w:val="center" w:pos="4819"/>
        <w:tab w:val="right" w:pos="9638"/>
      </w:tabs>
      <w:spacing w:line="240" w:lineRule="auto"/>
    </w:pPr>
    <w:rPr>
      <w:rFonts w:asciiTheme="minorHAnsi" w:eastAsiaTheme="minorEastAsia" w:hAnsiTheme="minorHAnsi" w:cstheme="minorBidi"/>
      <w:sz w:val="22"/>
      <w:szCs w:val="22"/>
      <w:lang w:eastAsia="da-DK"/>
    </w:rPr>
  </w:style>
  <w:style w:type="character" w:customStyle="1" w:styleId="SidehovedTegn">
    <w:name w:val="Sidehoved Tegn"/>
    <w:basedOn w:val="Standardskrifttypeiafsnit"/>
    <w:link w:val="Sidehoved"/>
    <w:uiPriority w:val="99"/>
    <w:rsid w:val="007E4A60"/>
    <w:rPr>
      <w:rFonts w:asciiTheme="minorHAnsi" w:eastAsiaTheme="minorEastAsia" w:hAnsiTheme="minorHAnsi" w:cstheme="minorBidi"/>
      <w:sz w:val="22"/>
      <w:szCs w:val="22"/>
      <w:lang w:eastAsia="da-DK"/>
    </w:rPr>
  </w:style>
  <w:style w:type="paragraph" w:styleId="Sidefod">
    <w:name w:val="footer"/>
    <w:basedOn w:val="Normal"/>
    <w:link w:val="SidefodTegn"/>
    <w:uiPriority w:val="99"/>
    <w:unhideWhenUsed/>
    <w:rsid w:val="007E4A60"/>
    <w:pPr>
      <w:tabs>
        <w:tab w:val="center" w:pos="4819"/>
        <w:tab w:val="right" w:pos="9638"/>
      </w:tabs>
      <w:spacing w:line="240" w:lineRule="auto"/>
    </w:pPr>
    <w:rPr>
      <w:rFonts w:asciiTheme="minorHAnsi" w:eastAsiaTheme="minorEastAsia" w:hAnsiTheme="minorHAnsi" w:cstheme="minorBidi"/>
      <w:sz w:val="22"/>
      <w:szCs w:val="22"/>
      <w:lang w:eastAsia="da-DK"/>
    </w:rPr>
  </w:style>
  <w:style w:type="character" w:customStyle="1" w:styleId="SidefodTegn">
    <w:name w:val="Sidefod Tegn"/>
    <w:basedOn w:val="Standardskrifttypeiafsnit"/>
    <w:link w:val="Sidefod"/>
    <w:uiPriority w:val="99"/>
    <w:rsid w:val="007E4A60"/>
    <w:rPr>
      <w:rFonts w:asciiTheme="minorHAnsi" w:eastAsiaTheme="minorEastAsia" w:hAnsiTheme="minorHAnsi" w:cstheme="minorBidi"/>
      <w:sz w:val="22"/>
      <w:szCs w:val="22"/>
      <w:lang w:eastAsia="da-DK"/>
    </w:rPr>
  </w:style>
  <w:style w:type="table" w:styleId="Tabel-Gitter">
    <w:name w:val="Table Grid"/>
    <w:basedOn w:val="Tabel-Normal"/>
    <w:uiPriority w:val="59"/>
    <w:rsid w:val="007E4A60"/>
    <w:pPr>
      <w:spacing w:line="240" w:lineRule="auto"/>
    </w:pPr>
    <w:rPr>
      <w:rFonts w:asciiTheme="minorHAnsi" w:eastAsiaTheme="minorEastAsia" w:hAnsiTheme="minorHAnsi" w:cstheme="minorBidi"/>
      <w:sz w:val="22"/>
      <w:szCs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E4A60"/>
    <w:pPr>
      <w:spacing w:line="240" w:lineRule="auto"/>
    </w:pPr>
    <w:rPr>
      <w:rFonts w:ascii="Tahoma" w:eastAsiaTheme="minorEastAsia" w:hAnsi="Tahoma" w:cs="Tahoma"/>
      <w:sz w:val="16"/>
      <w:szCs w:val="16"/>
      <w:lang w:eastAsia="da-DK"/>
    </w:rPr>
  </w:style>
  <w:style w:type="character" w:customStyle="1" w:styleId="MarkeringsbobletekstTegn">
    <w:name w:val="Markeringsbobletekst Tegn"/>
    <w:basedOn w:val="Standardskrifttypeiafsnit"/>
    <w:link w:val="Markeringsbobletekst"/>
    <w:uiPriority w:val="99"/>
    <w:semiHidden/>
    <w:rsid w:val="007E4A60"/>
    <w:rPr>
      <w:rFonts w:ascii="Tahoma" w:eastAsiaTheme="minorEastAsia" w:hAnsi="Tahoma" w:cs="Tahoma"/>
      <w:sz w:val="16"/>
      <w:szCs w:val="16"/>
      <w:lang w:eastAsia="da-DK"/>
    </w:rPr>
  </w:style>
  <w:style w:type="paragraph" w:styleId="Billedtekst">
    <w:name w:val="caption"/>
    <w:basedOn w:val="Normal"/>
    <w:next w:val="Normal"/>
    <w:uiPriority w:val="35"/>
    <w:unhideWhenUsed/>
    <w:qFormat/>
    <w:rsid w:val="007E4A60"/>
    <w:pPr>
      <w:spacing w:after="200" w:line="240" w:lineRule="auto"/>
    </w:pPr>
    <w:rPr>
      <w:rFonts w:asciiTheme="minorHAnsi" w:eastAsiaTheme="minorEastAsia" w:hAnsiTheme="minorHAnsi" w:cstheme="minorBidi"/>
      <w:b/>
      <w:bCs/>
      <w:color w:val="4F81BD" w:themeColor="accent1"/>
      <w:sz w:val="18"/>
      <w:szCs w:val="18"/>
      <w:lang w:eastAsia="da-DK"/>
    </w:rPr>
  </w:style>
  <w:style w:type="character" w:styleId="Kommentarhenvisning">
    <w:name w:val="annotation reference"/>
    <w:basedOn w:val="Standardskrifttypeiafsnit"/>
    <w:uiPriority w:val="99"/>
    <w:semiHidden/>
    <w:unhideWhenUsed/>
    <w:rsid w:val="007E4A60"/>
    <w:rPr>
      <w:sz w:val="16"/>
      <w:szCs w:val="16"/>
    </w:rPr>
  </w:style>
  <w:style w:type="paragraph" w:styleId="Kommentartekst">
    <w:name w:val="annotation text"/>
    <w:basedOn w:val="Normal"/>
    <w:link w:val="KommentartekstTegn"/>
    <w:uiPriority w:val="99"/>
    <w:semiHidden/>
    <w:unhideWhenUsed/>
    <w:rsid w:val="007E4A60"/>
    <w:pPr>
      <w:spacing w:after="200" w:line="240" w:lineRule="auto"/>
    </w:pPr>
    <w:rPr>
      <w:rFonts w:asciiTheme="minorHAnsi" w:eastAsiaTheme="minorEastAsia" w:hAnsiTheme="minorHAnsi" w:cstheme="minorBidi"/>
      <w:sz w:val="20"/>
      <w:szCs w:val="20"/>
      <w:lang w:eastAsia="da-DK"/>
    </w:rPr>
  </w:style>
  <w:style w:type="character" w:customStyle="1" w:styleId="KommentartekstTegn">
    <w:name w:val="Kommentartekst Tegn"/>
    <w:basedOn w:val="Standardskrifttypeiafsnit"/>
    <w:link w:val="Kommentartekst"/>
    <w:uiPriority w:val="99"/>
    <w:semiHidden/>
    <w:rsid w:val="007E4A60"/>
    <w:rPr>
      <w:rFonts w:asciiTheme="minorHAnsi" w:eastAsiaTheme="minorEastAsia" w:hAnsiTheme="minorHAnsi" w:cstheme="minorBidi"/>
      <w:sz w:val="20"/>
      <w:szCs w:val="20"/>
      <w:lang w:eastAsia="da-DK"/>
    </w:rPr>
  </w:style>
  <w:style w:type="paragraph" w:styleId="Kommentaremne">
    <w:name w:val="annotation subject"/>
    <w:basedOn w:val="Kommentartekst"/>
    <w:next w:val="Kommentartekst"/>
    <w:link w:val="KommentaremneTegn"/>
    <w:uiPriority w:val="99"/>
    <w:semiHidden/>
    <w:unhideWhenUsed/>
    <w:rsid w:val="007E4A60"/>
    <w:rPr>
      <w:b/>
      <w:bCs/>
    </w:rPr>
  </w:style>
  <w:style w:type="character" w:customStyle="1" w:styleId="KommentaremneTegn">
    <w:name w:val="Kommentaremne Tegn"/>
    <w:basedOn w:val="KommentartekstTegn"/>
    <w:link w:val="Kommentaremne"/>
    <w:uiPriority w:val="99"/>
    <w:semiHidden/>
    <w:rsid w:val="007E4A60"/>
    <w:rPr>
      <w:rFonts w:asciiTheme="minorHAnsi" w:eastAsiaTheme="minorEastAsia" w:hAnsiTheme="minorHAnsi" w:cstheme="minorBidi"/>
      <w:b/>
      <w:bCs/>
      <w:sz w:val="20"/>
      <w:szCs w:val="20"/>
      <w:lang w:eastAsia="da-DK"/>
    </w:rPr>
  </w:style>
  <w:style w:type="paragraph" w:styleId="Korrektur">
    <w:name w:val="Revision"/>
    <w:hidden/>
    <w:uiPriority w:val="99"/>
    <w:semiHidden/>
    <w:rsid w:val="007E4A60"/>
    <w:pPr>
      <w:spacing w:line="240" w:lineRule="auto"/>
    </w:pPr>
    <w:rPr>
      <w:rFonts w:asciiTheme="minorHAnsi" w:eastAsiaTheme="minorEastAsia" w:hAnsiTheme="minorHAnsi" w:cstheme="minorBidi"/>
      <w:sz w:val="22"/>
      <w:szCs w:val="22"/>
      <w:lang w:eastAsia="da-DK"/>
    </w:rPr>
  </w:style>
  <w:style w:type="paragraph" w:customStyle="1" w:styleId="Default">
    <w:name w:val="Default"/>
    <w:rsid w:val="007E4A60"/>
    <w:pPr>
      <w:autoSpaceDE w:val="0"/>
      <w:autoSpaceDN w:val="0"/>
      <w:adjustRightInd w:val="0"/>
      <w:spacing w:line="240" w:lineRule="auto"/>
    </w:pPr>
    <w:rPr>
      <w:rFonts w:ascii="Code" w:eastAsiaTheme="minorEastAsia" w:hAnsi="Code" w:cs="Code"/>
      <w:color w:val="000000"/>
      <w:lang w:eastAsia="da-DK"/>
    </w:rPr>
  </w:style>
  <w:style w:type="paragraph" w:styleId="Ingenafstand">
    <w:name w:val="No Spacing"/>
    <w:uiPriority w:val="1"/>
    <w:qFormat/>
    <w:rsid w:val="007E4A60"/>
    <w:pPr>
      <w:spacing w:line="240" w:lineRule="auto"/>
    </w:pPr>
    <w:rPr>
      <w:rFonts w:asciiTheme="minorHAnsi" w:eastAsiaTheme="minorEastAsia" w:hAnsiTheme="minorHAnsi" w:cstheme="minorBidi"/>
      <w:sz w:val="22"/>
      <w:szCs w:val="22"/>
      <w:lang w:val="en-US" w:eastAsia="da-DK"/>
    </w:rPr>
  </w:style>
  <w:style w:type="character" w:customStyle="1" w:styleId="authors">
    <w:name w:val="authors"/>
    <w:basedOn w:val="Standardskrifttypeiafsnit"/>
    <w:rsid w:val="007E4A60"/>
  </w:style>
  <w:style w:type="character" w:styleId="Hyperlink">
    <w:name w:val="Hyperlink"/>
    <w:basedOn w:val="Standardskrifttypeiafsnit"/>
    <w:uiPriority w:val="99"/>
    <w:unhideWhenUsed/>
    <w:rsid w:val="007E4A60"/>
    <w:rPr>
      <w:color w:val="0000FF" w:themeColor="hyperlink"/>
      <w:u w:val="single"/>
    </w:rPr>
  </w:style>
  <w:style w:type="paragraph" w:customStyle="1" w:styleId="Body1">
    <w:name w:val="Body 1"/>
    <w:rsid w:val="007E4A60"/>
    <w:pPr>
      <w:spacing w:after="200" w:line="276" w:lineRule="auto"/>
      <w:outlineLvl w:val="0"/>
    </w:pPr>
    <w:rPr>
      <w:rFonts w:ascii="Helvetica" w:eastAsia="Arial Unicode MS" w:hAnsi="Helvetica"/>
      <w:color w:val="000000"/>
      <w:sz w:val="22"/>
      <w:szCs w:val="20"/>
      <w:u w:color="000000"/>
      <w:lang w:val="en-US" w:eastAsia="da-DK"/>
    </w:rPr>
  </w:style>
  <w:style w:type="character" w:customStyle="1" w:styleId="A1">
    <w:name w:val="A1"/>
    <w:uiPriority w:val="99"/>
    <w:rsid w:val="007E4A60"/>
    <w:rPr>
      <w:rFonts w:cs="Helvetica Neue"/>
      <w:color w:val="000000"/>
      <w:sz w:val="16"/>
      <w:szCs w:val="16"/>
    </w:rPr>
  </w:style>
  <w:style w:type="paragraph" w:styleId="Almindeligtekst">
    <w:name w:val="Plain Text"/>
    <w:basedOn w:val="Normal"/>
    <w:link w:val="AlmindeligtekstTegn"/>
    <w:uiPriority w:val="99"/>
    <w:semiHidden/>
    <w:unhideWhenUsed/>
    <w:rsid w:val="007E4A60"/>
    <w:pPr>
      <w:spacing w:line="240" w:lineRule="auto"/>
    </w:pPr>
    <w:rPr>
      <w:rFonts w:ascii="Calibri" w:eastAsiaTheme="minorEastAsia" w:hAnsi="Calibri" w:cstheme="minorBidi"/>
      <w:sz w:val="22"/>
      <w:szCs w:val="21"/>
      <w:lang w:eastAsia="da-DK"/>
    </w:rPr>
  </w:style>
  <w:style w:type="character" w:customStyle="1" w:styleId="AlmindeligtekstTegn">
    <w:name w:val="Almindelig tekst Tegn"/>
    <w:basedOn w:val="Standardskrifttypeiafsnit"/>
    <w:link w:val="Almindeligtekst"/>
    <w:uiPriority w:val="99"/>
    <w:semiHidden/>
    <w:rsid w:val="007E4A60"/>
    <w:rPr>
      <w:rFonts w:ascii="Calibri" w:eastAsiaTheme="minorEastAsia" w:hAnsi="Calibri" w:cstheme="minorBidi"/>
      <w:sz w:val="22"/>
      <w:szCs w:val="21"/>
      <w:lang w:eastAsia="da-DK"/>
    </w:rPr>
  </w:style>
  <w:style w:type="character" w:customStyle="1" w:styleId="apple-converted-space">
    <w:name w:val="apple-converted-space"/>
    <w:basedOn w:val="Standardskrifttypeiafsnit"/>
    <w:rsid w:val="007E4A60"/>
  </w:style>
  <w:style w:type="character" w:styleId="BesgtHyperlink">
    <w:name w:val="FollowedHyperlink"/>
    <w:basedOn w:val="Standardskrifttypeiafsnit"/>
    <w:uiPriority w:val="99"/>
    <w:semiHidden/>
    <w:unhideWhenUsed/>
    <w:rsid w:val="007E4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3514</Words>
  <Characters>21440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Business and Social Science</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Blom Hansen</dc:creator>
  <cp:lastModifiedBy>Jens Blom Hansen</cp:lastModifiedBy>
  <cp:revision>1</cp:revision>
  <dcterms:created xsi:type="dcterms:W3CDTF">2016-06-04T12:44:00Z</dcterms:created>
  <dcterms:modified xsi:type="dcterms:W3CDTF">2016-06-04T12:49:00Z</dcterms:modified>
</cp:coreProperties>
</file>