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5EC80" w14:textId="2453202B" w:rsidR="00564F8E" w:rsidRPr="00176FBE" w:rsidRDefault="00564F8E" w:rsidP="0083620E">
      <w:pPr>
        <w:pStyle w:val="MarkforAppendixTitle"/>
        <w:spacing w:line="480" w:lineRule="auto"/>
      </w:pPr>
      <w:bookmarkStart w:id="0" w:name="_Toc503962334"/>
      <w:bookmarkStart w:id="1" w:name="_Toc504057666"/>
      <w:r w:rsidRPr="00176FBE">
        <w:t>Appendix</w:t>
      </w:r>
      <w:r w:rsidR="006C1C7E">
        <w:t xml:space="preserve"> </w:t>
      </w:r>
      <w:r w:rsidR="004B4E6A">
        <w:t>A</w:t>
      </w:r>
      <w:r w:rsidR="00DA4998" w:rsidRPr="00176FBE">
        <w:t xml:space="preserve">: </w:t>
      </w:r>
      <w:r w:rsidR="001F2C28">
        <w:br/>
      </w:r>
      <w:r w:rsidR="00C3420A">
        <w:t>M</w:t>
      </w:r>
      <w:r w:rsidR="00DA4998" w:rsidRPr="00176FBE">
        <w:t>ethodological details</w:t>
      </w:r>
      <w:bookmarkEnd w:id="0"/>
      <w:bookmarkEnd w:id="1"/>
    </w:p>
    <w:p w14:paraId="7B14D45B" w14:textId="77777777" w:rsidR="001F2C28" w:rsidRDefault="001F2C28" w:rsidP="0083620E">
      <w:pPr>
        <w:pStyle w:val="H3Alpha"/>
        <w:spacing w:line="480" w:lineRule="auto"/>
        <w:sectPr w:rsidR="001F2C28" w:rsidSect="00BB60F1">
          <w:pgSz w:w="12240" w:h="15840"/>
          <w:pgMar w:top="1440" w:right="1440" w:bottom="1440" w:left="1440" w:header="720" w:footer="720" w:gutter="0"/>
          <w:pgNumType w:start="1"/>
          <w:cols w:space="720"/>
          <w:docGrid w:linePitch="360"/>
        </w:sectPr>
      </w:pPr>
    </w:p>
    <w:p w14:paraId="128AAC77" w14:textId="5CF1E9E5" w:rsidR="0056259E" w:rsidRDefault="0056259E" w:rsidP="0083620E">
      <w:pPr>
        <w:pStyle w:val="H3AlphaNoTOC"/>
        <w:spacing w:line="480" w:lineRule="auto"/>
      </w:pPr>
      <w:r>
        <w:lastRenderedPageBreak/>
        <w:t>Estimating impacts</w:t>
      </w:r>
    </w:p>
    <w:p w14:paraId="5B9EE502" w14:textId="1CD74BA9" w:rsidR="00DA4998" w:rsidRPr="00DA4998" w:rsidRDefault="00DA4998" w:rsidP="0083620E">
      <w:pPr>
        <w:pStyle w:val="NormalSS"/>
        <w:spacing w:line="480" w:lineRule="auto"/>
      </w:pPr>
      <w:r w:rsidRPr="00DA4998">
        <w:t>This evaluation takes advantage of oversubscribed Democracy Prep admissions lotteries to estimate Democracy Prep’s impact on civic outcomes. Admissions lotteries approximate a randomized controlled trial. With this design, the average difference in outcomes for individuals who receive a Democracy Prep offer and those who do not provides an unbiased estimate of the impact of Democracy Prep. We estimate the following linear probability model:</w:t>
      </w:r>
    </w:p>
    <w:p w14:paraId="79C456E3" w14:textId="395BB0BD" w:rsidR="00DA4998" w:rsidRPr="00DA4998" w:rsidRDefault="00EE78A1" w:rsidP="0083620E">
      <w:pPr>
        <w:pStyle w:val="Caption"/>
        <w:spacing w:line="480" w:lineRule="auto"/>
        <w:rPr>
          <w:szCs w:val="24"/>
        </w:rPr>
      </w:pPr>
      <w:r>
        <w:rPr>
          <w:szCs w:val="24"/>
        </w:rPr>
        <w:t>(</w:t>
      </w:r>
      <w:r>
        <w:rPr>
          <w:szCs w:val="24"/>
        </w:rPr>
        <w:fldChar w:fldCharType="begin"/>
      </w:r>
      <w:r>
        <w:rPr>
          <w:szCs w:val="24"/>
        </w:rPr>
        <w:instrText xml:space="preserve"> SEQ Equation \* ARABIC </w:instrText>
      </w:r>
      <w:r>
        <w:rPr>
          <w:szCs w:val="24"/>
        </w:rPr>
        <w:fldChar w:fldCharType="separate"/>
      </w:r>
      <w:r w:rsidR="006B4C3D">
        <w:rPr>
          <w:noProof/>
          <w:szCs w:val="24"/>
        </w:rPr>
        <w:t>1</w:t>
      </w:r>
      <w:r>
        <w:rPr>
          <w:szCs w:val="24"/>
        </w:rPr>
        <w:fldChar w:fldCharType="end"/>
      </w:r>
      <w:r w:rsidR="00DA4998" w:rsidRPr="00DA4998">
        <w:rPr>
          <w:szCs w:val="24"/>
        </w:rPr>
        <w:t xml:space="preserve">) </w:t>
      </w:r>
      <m:oMath>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Y</m:t>
                </m:r>
              </m:e>
              <m:sub>
                <m:r>
                  <w:rPr>
                    <w:rFonts w:ascii="Cambria Math" w:hAnsi="Cambria Math"/>
                    <w:szCs w:val="24"/>
                  </w:rPr>
                  <m:t>i</m:t>
                </m:r>
              </m:sub>
            </m:sSub>
            <m:r>
              <w:rPr>
                <w:rFonts w:ascii="Cambria Math" w:hAnsi="Cambria Math"/>
                <w:szCs w:val="24"/>
              </w:rPr>
              <m:t>= δ</m:t>
            </m:r>
          </m:e>
          <m:sub>
            <m:r>
              <w:rPr>
                <w:rFonts w:ascii="Cambria Math" w:hAnsi="Cambria Math"/>
                <w:szCs w:val="24"/>
              </w:rPr>
              <m:t>L</m:t>
            </m:r>
          </m:sub>
        </m:sSub>
        <m:r>
          <w:rPr>
            <w:rFonts w:ascii="Cambria Math" w:hAnsi="Cambria Math"/>
            <w:szCs w:val="24"/>
          </w:rPr>
          <m:t>+ β</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i</m:t>
            </m:r>
          </m:sub>
        </m:sSub>
        <m:r>
          <w:rPr>
            <w:rFonts w:ascii="Cambria Math" w:hAnsi="Cambria Math"/>
            <w:szCs w:val="24"/>
          </w:rPr>
          <m:t>+ γ</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i</m:t>
            </m:r>
          </m:sub>
        </m:sSub>
      </m:oMath>
      <w:r w:rsidR="00DA4998" w:rsidRPr="00DA4998">
        <w:rPr>
          <w:szCs w:val="24"/>
        </w:rPr>
        <w:t>,</w:t>
      </w:r>
    </w:p>
    <w:p w14:paraId="485CDF54" w14:textId="4D70934C" w:rsidR="00042DE8" w:rsidRDefault="00DA4998" w:rsidP="0083620E">
      <w:pPr>
        <w:pStyle w:val="NormalSS"/>
        <w:spacing w:line="480" w:lineRule="auto"/>
        <w:ind w:firstLine="0"/>
      </w:pPr>
      <w:r w:rsidRPr="00DA4998">
        <w:t xml:space="preserve">where </w:t>
      </w:r>
      <w:r w:rsidRPr="00DA4998">
        <w:rPr>
          <w:i/>
        </w:rPr>
        <w:t>Y</w:t>
      </w:r>
      <w:r w:rsidRPr="00DA4998">
        <w:t xml:space="preserve"> is an indicator reflecting voter registration or election participation for student (or parent) </w:t>
      </w:r>
      <w:r w:rsidRPr="00DA4998">
        <w:rPr>
          <w:i/>
        </w:rPr>
        <w:t xml:space="preserve">i; </w:t>
      </w:r>
      <w:r w:rsidRPr="00DA4998">
        <w:rPr>
          <w:rFonts w:ascii="Cambria" w:hAnsi="Cambria" w:cs="Cambria"/>
        </w:rPr>
        <w:t>δ</w:t>
      </w:r>
      <w:r w:rsidRPr="00DA4998">
        <w:t xml:space="preserve"> is a set of fixed effects (grade-by-year indicators)</w:t>
      </w:r>
      <w:r w:rsidR="00F978AA">
        <w:t xml:space="preserve"> for lottery </w:t>
      </w:r>
      <m:oMath>
        <m:r>
          <w:rPr>
            <w:rFonts w:ascii="Cambria Math" w:hAnsi="Cambria Math"/>
            <w:szCs w:val="24"/>
          </w:rPr>
          <m:t>L</m:t>
        </m:r>
      </m:oMath>
      <w:r w:rsidRPr="00DA4998">
        <w:t xml:space="preserve">; </w:t>
      </w:r>
      <w:r w:rsidRPr="00DA4998">
        <w:rPr>
          <w:i/>
        </w:rPr>
        <w:t xml:space="preserve">T </w:t>
      </w:r>
      <w:r w:rsidRPr="00DA4998">
        <w:t xml:space="preserve">is the treatment indicator variable that takes a value of 1 if </w:t>
      </w:r>
      <w:r w:rsidR="00E207EF">
        <w:t>student</w:t>
      </w:r>
      <w:r w:rsidR="00E207EF" w:rsidRPr="00DA4998">
        <w:t xml:space="preserve"> </w:t>
      </w:r>
      <w:r w:rsidRPr="00DA4998">
        <w:rPr>
          <w:i/>
        </w:rPr>
        <w:t xml:space="preserve">i </w:t>
      </w:r>
      <w:r w:rsidRPr="00DA4998">
        <w:t xml:space="preserve">received a Democracy Prep offer (won the lottery); </w:t>
      </w:r>
      <w:r w:rsidRPr="00DA4998">
        <w:rPr>
          <w:i/>
        </w:rPr>
        <w:t xml:space="preserve">X </w:t>
      </w:r>
      <w:r w:rsidRPr="00DA4998">
        <w:t>is a vector of baseline characteristics</w:t>
      </w:r>
      <w:r w:rsidR="00CB28A3">
        <w:rPr>
          <w:rStyle w:val="FootnoteReference"/>
        </w:rPr>
        <w:footnoteReference w:id="1"/>
      </w:r>
      <w:r w:rsidRPr="00DA4998">
        <w:t xml:space="preserve"> included to improve precision</w:t>
      </w:r>
      <w:r w:rsidR="008B2F47">
        <w:t xml:space="preserve"> (including, in the student analysis, the prior registration status of a parent)</w:t>
      </w:r>
      <w:r w:rsidRPr="00DA4998">
        <w:t xml:space="preserve">, and </w:t>
      </w:r>
      <w:r w:rsidRPr="00DA4998">
        <w:rPr>
          <w:rFonts w:ascii="Cambria" w:hAnsi="Cambria" w:cs="Cambria"/>
        </w:rPr>
        <w:t>ε</w:t>
      </w:r>
      <w:r w:rsidRPr="00DA4998">
        <w:t xml:space="preserve"> is a random error term. </w:t>
      </w:r>
      <w:r w:rsidRPr="00DA4998">
        <w:rPr>
          <w:rFonts w:ascii="Cambria" w:hAnsi="Cambria" w:cs="Cambria"/>
          <w:i/>
        </w:rPr>
        <w:t>β</w:t>
      </w:r>
      <w:r w:rsidRPr="00DA4998">
        <w:rPr>
          <w:i/>
        </w:rPr>
        <w:t xml:space="preserve"> </w:t>
      </w:r>
      <w:r w:rsidRPr="00DA4998">
        <w:t xml:space="preserve">will reflect the impact in percentage points of receiving an offer to attend a Democracy Prep school on the likelihood that </w:t>
      </w:r>
      <w:r w:rsidR="00E207EF">
        <w:t>student</w:t>
      </w:r>
      <w:r w:rsidR="00E207EF" w:rsidRPr="00DA4998">
        <w:t xml:space="preserve"> </w:t>
      </w:r>
      <w:r w:rsidRPr="00DA4998">
        <w:rPr>
          <w:i/>
        </w:rPr>
        <w:t xml:space="preserve">i </w:t>
      </w:r>
      <w:r w:rsidRPr="00DA4998">
        <w:t xml:space="preserve">registers to vote or votes. This </w:t>
      </w:r>
      <w:r w:rsidR="005F1B42">
        <w:t xml:space="preserve">is </w:t>
      </w:r>
      <w:r w:rsidRPr="00DA4998">
        <w:t>an intent-to-treat (ITT) analysis, as it captures the impact of receiving an offer to attend a Democracy Prep school. To estimate the impact of attending a Democracy Prep school, we also estimate treatment-on-</w:t>
      </w:r>
      <w:r w:rsidR="005F1B42">
        <w:t>the-</w:t>
      </w:r>
      <w:r w:rsidRPr="00DA4998">
        <w:t xml:space="preserve">treated (TOT) models, using a standard instrumental variables approach. </w:t>
      </w:r>
      <w:r w:rsidR="008D674E">
        <w:t>We estimate the parameter</w:t>
      </w:r>
      <w:r w:rsidR="000B32A3">
        <w:t>:</w:t>
      </w:r>
    </w:p>
    <w:p w14:paraId="456B1E49" w14:textId="4BADF184" w:rsidR="000B32A3" w:rsidRPr="00BE0B8B" w:rsidRDefault="00EE78A1" w:rsidP="0083620E">
      <w:pPr>
        <w:pStyle w:val="Caption"/>
        <w:spacing w:line="480" w:lineRule="auto"/>
      </w:pPr>
      <w:r>
        <w:t>(</w:t>
      </w:r>
      <w:r w:rsidR="00443033">
        <w:rPr>
          <w:noProof/>
        </w:rPr>
        <w:fldChar w:fldCharType="begin"/>
      </w:r>
      <w:r w:rsidR="00443033">
        <w:rPr>
          <w:noProof/>
        </w:rPr>
        <w:instrText xml:space="preserve"> SEQ Equation \* ARABIC </w:instrText>
      </w:r>
      <w:r w:rsidR="00443033">
        <w:rPr>
          <w:noProof/>
        </w:rPr>
        <w:fldChar w:fldCharType="separate"/>
      </w:r>
      <w:r w:rsidR="006B4C3D">
        <w:rPr>
          <w:noProof/>
        </w:rPr>
        <w:t>2</w:t>
      </w:r>
      <w:r w:rsidR="00443033">
        <w:rPr>
          <w:noProof/>
        </w:rPr>
        <w:fldChar w:fldCharType="end"/>
      </w:r>
      <w:r>
        <w:t>)</w:t>
      </w:r>
      <w:r w:rsidR="00042DE8">
        <w:t xml:space="preserve"> </w:t>
      </w:r>
      <m:oMath>
        <m:sSub>
          <m:sSubPr>
            <m:ctrlPr>
              <w:rPr>
                <w:rFonts w:ascii="Cambria Math" w:hAnsi="Cambria Math"/>
                <w:i/>
                <w:iCs w:val="0"/>
                <w:szCs w:val="22"/>
              </w:rPr>
            </m:ctrlPr>
          </m:sSubPr>
          <m:e>
            <m:r>
              <w:rPr>
                <w:rFonts w:ascii="Cambria Math" w:hAnsi="Cambria Math"/>
              </w:rPr>
              <m:t>β</m:t>
            </m:r>
          </m:e>
          <m:sub>
            <m:r>
              <w:rPr>
                <w:rFonts w:ascii="Cambria Math" w:hAnsi="Cambria Math"/>
              </w:rPr>
              <m:t>IV</m:t>
            </m:r>
          </m:sub>
        </m:sSub>
        <m:r>
          <w:rPr>
            <w:rFonts w:ascii="Cambria Math" w:hAnsi="Cambria Math"/>
          </w:rPr>
          <m:t>=</m:t>
        </m:r>
        <m:f>
          <m:fPr>
            <m:ctrlPr>
              <w:rPr>
                <w:rFonts w:ascii="Cambria Math" w:hAnsi="Cambria Math"/>
                <w:i/>
                <w:iCs w:val="0"/>
                <w:szCs w:val="22"/>
              </w:rPr>
            </m:ctrlPr>
          </m:fPr>
          <m:num>
            <m:r>
              <w:rPr>
                <w:rFonts w:ascii="Cambria Math" w:hAnsi="Cambria Math"/>
              </w:rPr>
              <m:t>cov(</m:t>
            </m:r>
            <m:sSub>
              <m:sSubPr>
                <m:ctrlPr>
                  <w:rPr>
                    <w:rFonts w:ascii="Cambria Math" w:hAnsi="Cambria Math"/>
                    <w:i/>
                    <w:iCs w:val="0"/>
                    <w:szCs w:val="22"/>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iCs w:val="0"/>
                    <w:szCs w:val="22"/>
                  </w:rPr>
                </m:ctrlPr>
              </m:sSubPr>
              <m:e>
                <m:r>
                  <w:rPr>
                    <w:rFonts w:ascii="Cambria Math" w:hAnsi="Cambria Math"/>
                  </w:rPr>
                  <m:t>Y</m:t>
                </m:r>
              </m:e>
              <m:sub>
                <m:r>
                  <w:rPr>
                    <w:rFonts w:ascii="Cambria Math" w:hAnsi="Cambria Math"/>
                  </w:rPr>
                  <m:t>i</m:t>
                </m:r>
              </m:sub>
            </m:sSub>
            <m:r>
              <w:rPr>
                <w:rFonts w:ascii="Cambria Math" w:hAnsi="Cambria Math"/>
              </w:rPr>
              <m:t>)</m:t>
            </m:r>
          </m:num>
          <m:den>
            <m:r>
              <w:rPr>
                <w:rFonts w:ascii="Cambria Math" w:hAnsi="Cambria Math"/>
              </w:rPr>
              <m:t>cov(</m:t>
            </m:r>
            <m:sSub>
              <m:sSubPr>
                <m:ctrlPr>
                  <w:rPr>
                    <w:rFonts w:ascii="Cambria Math" w:hAnsi="Cambria Math"/>
                    <w:i/>
                    <w:iCs w:val="0"/>
                    <w:szCs w:val="22"/>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iCs w:val="0"/>
                    <w:szCs w:val="22"/>
                  </w:rPr>
                </m:ctrlPr>
              </m:sSubPr>
              <m:e>
                <m:r>
                  <w:rPr>
                    <w:rFonts w:ascii="Cambria Math" w:hAnsi="Cambria Math"/>
                  </w:rPr>
                  <m:t>E</m:t>
                </m:r>
              </m:e>
              <m:sub>
                <m:r>
                  <w:rPr>
                    <w:rFonts w:ascii="Cambria Math" w:hAnsi="Cambria Math"/>
                  </w:rPr>
                  <m:t>i</m:t>
                </m:r>
              </m:sub>
            </m:sSub>
            <m:r>
              <w:rPr>
                <w:rFonts w:ascii="Cambria Math" w:hAnsi="Cambria Math"/>
              </w:rPr>
              <m:t>)</m:t>
            </m:r>
          </m:den>
        </m:f>
      </m:oMath>
      <w:r>
        <w:rPr>
          <w:rFonts w:eastAsiaTheme="minorEastAsia"/>
          <w:iCs w:val="0"/>
          <w:szCs w:val="22"/>
        </w:rPr>
        <w:t>,</w:t>
      </w:r>
    </w:p>
    <w:p w14:paraId="0E245D07" w14:textId="1B94A1E8" w:rsidR="00780D07" w:rsidRDefault="00780D07" w:rsidP="0083620E">
      <w:pPr>
        <w:pStyle w:val="NormalSS"/>
        <w:spacing w:line="480" w:lineRule="auto"/>
        <w:ind w:firstLine="0"/>
      </w:pPr>
      <w:r>
        <w:rPr>
          <w:rFonts w:eastAsiaTheme="minorEastAsia"/>
        </w:rPr>
        <w:lastRenderedPageBreak/>
        <w:t xml:space="preserve">where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IV</m:t>
            </m:r>
          </m:sub>
        </m:sSub>
      </m:oMath>
      <w:r w:rsidR="00A33B0E">
        <w:rPr>
          <w:rFonts w:eastAsiaTheme="minorEastAsia"/>
        </w:rPr>
        <w:t xml:space="preserve"> reflects the ratio of the covariance between treatment status (</w:t>
      </w:r>
      <m:oMath>
        <m:r>
          <w:rPr>
            <w:rFonts w:ascii="Cambria Math" w:eastAsiaTheme="minorEastAsia" w:hAnsi="Cambria Math"/>
          </w:rPr>
          <m:t>T</m:t>
        </m:r>
      </m:oMath>
      <w:r w:rsidR="00A33B0E">
        <w:rPr>
          <w:rFonts w:eastAsiaTheme="minorEastAsia"/>
        </w:rPr>
        <w:t xml:space="preserve">) and </w:t>
      </w:r>
      <w:r w:rsidR="005E2479">
        <w:rPr>
          <w:rFonts w:eastAsiaTheme="minorEastAsia"/>
        </w:rPr>
        <w:t xml:space="preserve">an indicator for </w:t>
      </w:r>
      <w:r w:rsidR="00A33B0E">
        <w:rPr>
          <w:rFonts w:eastAsiaTheme="minorEastAsia"/>
        </w:rPr>
        <w:t xml:space="preserve">either registration </w:t>
      </w:r>
      <w:r w:rsidR="00F978AA">
        <w:rPr>
          <w:rFonts w:eastAsiaTheme="minorEastAsia"/>
        </w:rPr>
        <w:t xml:space="preserve">or </w:t>
      </w:r>
      <w:r w:rsidR="00A33B0E">
        <w:rPr>
          <w:rFonts w:eastAsiaTheme="minorEastAsia"/>
        </w:rPr>
        <w:t>election participation (</w:t>
      </w:r>
      <m:oMath>
        <m:r>
          <w:rPr>
            <w:rFonts w:ascii="Cambria Math" w:eastAsiaTheme="minorEastAsia" w:hAnsi="Cambria Math"/>
          </w:rPr>
          <m:t>Y</m:t>
        </m:r>
      </m:oMath>
      <w:r w:rsidR="00A33B0E">
        <w:rPr>
          <w:rFonts w:eastAsiaTheme="minorEastAsia"/>
        </w:rPr>
        <w:t xml:space="preserve">) </w:t>
      </w:r>
      <w:r w:rsidR="00042DE8">
        <w:rPr>
          <w:rFonts w:eastAsiaTheme="minorEastAsia"/>
        </w:rPr>
        <w:t>to</w:t>
      </w:r>
      <w:r w:rsidR="00A33B0E">
        <w:rPr>
          <w:rFonts w:eastAsiaTheme="minorEastAsia"/>
        </w:rPr>
        <w:t xml:space="preserve"> the covariance between treatment status and </w:t>
      </w:r>
      <w:r w:rsidR="00042DE8">
        <w:rPr>
          <w:rFonts w:eastAsiaTheme="minorEastAsia"/>
        </w:rPr>
        <w:t>enrollment status (</w:t>
      </w:r>
      <m:oMath>
        <m:r>
          <w:rPr>
            <w:rFonts w:ascii="Cambria Math" w:eastAsiaTheme="minorEastAsia" w:hAnsi="Cambria Math"/>
          </w:rPr>
          <m:t>E</m:t>
        </m:r>
      </m:oMath>
      <w:r w:rsidR="00042DE8">
        <w:rPr>
          <w:rFonts w:eastAsiaTheme="minorEastAsia"/>
        </w:rPr>
        <w:t>).</w:t>
      </w:r>
    </w:p>
    <w:p w14:paraId="2D3CF83E" w14:textId="1E93A228" w:rsidR="002B619D" w:rsidRDefault="002B619D" w:rsidP="0083620E">
      <w:pPr>
        <w:pStyle w:val="H3AlphaNoTOC"/>
        <w:spacing w:line="480" w:lineRule="auto"/>
      </w:pPr>
      <w:r>
        <w:t>Rules for inclusion</w:t>
      </w:r>
      <w:r w:rsidR="005F1B42">
        <w:t xml:space="preserve"> or </w:t>
      </w:r>
      <w:r>
        <w:t>exclusion in analysis sample</w:t>
      </w:r>
    </w:p>
    <w:p w14:paraId="40BF0E89" w14:textId="34720FF9" w:rsidR="009869C2" w:rsidRDefault="00810F1B" w:rsidP="0083620E">
      <w:pPr>
        <w:pStyle w:val="NormalSS"/>
        <w:spacing w:line="480" w:lineRule="auto"/>
      </w:pPr>
      <w:r>
        <w:t>S</w:t>
      </w:r>
      <w:r w:rsidR="009869C2" w:rsidRPr="009869C2">
        <w:t>tudents must be first-time applicants</w:t>
      </w:r>
      <w:r w:rsidRPr="00810F1B">
        <w:t xml:space="preserve"> </w:t>
      </w:r>
      <w:r>
        <w:t>t</w:t>
      </w:r>
      <w:r w:rsidRPr="009869C2">
        <w:t>o be eligible for the analysis sample</w:t>
      </w:r>
      <w:r w:rsidR="009869C2" w:rsidRPr="009869C2">
        <w:t>.</w:t>
      </w:r>
      <w:r w:rsidR="0085710E">
        <w:t xml:space="preserve"> This means that no siblings have previously applied for admission and</w:t>
      </w:r>
      <w:r w:rsidR="009869C2" w:rsidRPr="009869C2">
        <w:t xml:space="preserve"> ensures that </w:t>
      </w:r>
      <w:r>
        <w:t xml:space="preserve">sibling preference and </w:t>
      </w:r>
      <w:r w:rsidRPr="009869C2">
        <w:t xml:space="preserve">familiarity or experience with the application process </w:t>
      </w:r>
      <w:r>
        <w:t xml:space="preserve">do not confound </w:t>
      </w:r>
      <w:r w:rsidR="009869C2" w:rsidRPr="009869C2">
        <w:t>offer rates. There are two types of lottery priority: sibling priority and district</w:t>
      </w:r>
      <w:r w:rsidR="0095390A">
        <w:t xml:space="preserve"> </w:t>
      </w:r>
      <w:r w:rsidR="009869C2" w:rsidRPr="009869C2">
        <w:t xml:space="preserve">priority. Students with sibling priority status are automatically admitted and therefore excluded from the analytic sample. </w:t>
      </w:r>
      <w:r w:rsidR="007E1155">
        <w:t xml:space="preserve">Students who live in the local district (the neighborhood) have priority over students who live elsewhere in New York City. </w:t>
      </w:r>
      <w:r w:rsidR="009869C2" w:rsidRPr="009869C2">
        <w:t>Students with and without district priority are potentially eligible for the analytic sample</w:t>
      </w:r>
      <w:r w:rsidR="007E1155">
        <w:t xml:space="preserve">, depending on whether </w:t>
      </w:r>
      <w:r>
        <w:t xml:space="preserve">there are </w:t>
      </w:r>
      <w:r w:rsidR="007E1155">
        <w:t>any open seats after all in-district students receive offers</w:t>
      </w:r>
      <w:r w:rsidR="009869C2" w:rsidRPr="009869C2">
        <w:t xml:space="preserve">. In most instances, </w:t>
      </w:r>
      <w:r w:rsidR="00E207EF">
        <w:t>those with</w:t>
      </w:r>
      <w:r w:rsidR="009869C2" w:rsidRPr="009869C2">
        <w:t xml:space="preserve"> in-district priority</w:t>
      </w:r>
      <w:r>
        <w:t xml:space="preserve"> filled all available seats</w:t>
      </w:r>
      <w:r w:rsidR="0095390A">
        <w:t xml:space="preserve">, </w:t>
      </w:r>
      <w:r w:rsidR="007E1155">
        <w:t xml:space="preserve">and we use the in-district lottery in the analytic sample. </w:t>
      </w:r>
      <w:r>
        <w:t>The analytic sample includes o</w:t>
      </w:r>
      <w:r w:rsidR="009869C2" w:rsidRPr="009869C2">
        <w:t>ut-of-district students</w:t>
      </w:r>
      <w:r w:rsidR="0095390A">
        <w:t xml:space="preserve"> when a lottery was conducted for them (</w:t>
      </w:r>
      <w:r w:rsidR="00E53819">
        <w:t>that is</w:t>
      </w:r>
      <w:r w:rsidR="0095390A">
        <w:t>, when in-district</w:t>
      </w:r>
      <w:r w:rsidR="007E1155">
        <w:t xml:space="preserve"> applicants did not </w:t>
      </w:r>
      <w:r>
        <w:t xml:space="preserve">fill </w:t>
      </w:r>
      <w:r w:rsidR="007E1155">
        <w:t>the available se</w:t>
      </w:r>
      <w:r>
        <w:t>at</w:t>
      </w:r>
      <w:r w:rsidR="007E1155">
        <w:t>s)</w:t>
      </w:r>
      <w:r w:rsidR="009869C2" w:rsidRPr="009869C2">
        <w:t xml:space="preserve">. </w:t>
      </w:r>
      <w:r w:rsidR="007E1155">
        <w:t>We required</w:t>
      </w:r>
      <w:r w:rsidR="00505B5E">
        <w:t xml:space="preserve"> cohort offer rates </w:t>
      </w:r>
      <w:r w:rsidR="007E1155">
        <w:t>to</w:t>
      </w:r>
      <w:r w:rsidR="00505B5E">
        <w:t xml:space="preserve"> fall between 10 and 90 percent to ensure that a lottery was used for the cohort, as opposed to a data anomaly. </w:t>
      </w:r>
      <w:r w:rsidR="00732B37">
        <w:t>T</w:t>
      </w:r>
      <w:r w:rsidR="00732B37" w:rsidRPr="009869C2">
        <w:t xml:space="preserve">he secondary parent analysis </w:t>
      </w:r>
      <w:r w:rsidR="00732B37">
        <w:t>includes o</w:t>
      </w:r>
      <w:r w:rsidR="009869C2" w:rsidRPr="009869C2">
        <w:t xml:space="preserve">nly parents of </w:t>
      </w:r>
      <w:r w:rsidR="00E207EF">
        <w:t xml:space="preserve">these </w:t>
      </w:r>
      <w:r w:rsidR="009869C2" w:rsidRPr="009869C2">
        <w:t>eligible students.</w:t>
      </w:r>
    </w:p>
    <w:p w14:paraId="435D4DA1" w14:textId="16DBA04C" w:rsidR="0056259E" w:rsidRDefault="0056259E" w:rsidP="0083620E">
      <w:pPr>
        <w:pStyle w:val="H3AlphaNoTOC"/>
        <w:spacing w:line="480" w:lineRule="auto"/>
      </w:pPr>
      <w:r>
        <w:t>Matching lottery data to registration</w:t>
      </w:r>
      <w:r w:rsidR="00732B37">
        <w:t xml:space="preserve"> and </w:t>
      </w:r>
      <w:r>
        <w:t>voting data</w:t>
      </w:r>
    </w:p>
    <w:p w14:paraId="6D77FC04" w14:textId="01395049" w:rsidR="0056259E" w:rsidRPr="009869C2" w:rsidRDefault="0056259E" w:rsidP="0083620E">
      <w:pPr>
        <w:pStyle w:val="NormalSS"/>
        <w:spacing w:line="480" w:lineRule="auto"/>
      </w:pPr>
      <w:r w:rsidRPr="0056259E">
        <w:t xml:space="preserve">Outcomes provided by Catalist include voter registration and participation in the 2012, 2014, and 2016 elections. Fields we provided to Catalist to facilitate matching include first and last name, gender, date of birth, address, and phone number. </w:t>
      </w:r>
      <w:r w:rsidR="00732B37">
        <w:t>Before</w:t>
      </w:r>
      <w:r w:rsidRPr="0056259E">
        <w:t xml:space="preserve"> sending records to Catalist, </w:t>
      </w:r>
      <w:r w:rsidRPr="0056259E">
        <w:lastRenderedPageBreak/>
        <w:t>we made substantial efforts to standardize fields (</w:t>
      </w:r>
      <w:r w:rsidR="00732B37">
        <w:t>for example,</w:t>
      </w:r>
      <w:r w:rsidRPr="0056259E">
        <w:t xml:space="preserve"> </w:t>
      </w:r>
      <w:r w:rsidR="00732B37">
        <w:t xml:space="preserve">we </w:t>
      </w:r>
      <w:r w:rsidR="00732B37" w:rsidRPr="0056259E">
        <w:t>c</w:t>
      </w:r>
      <w:r w:rsidR="00732B37">
        <w:t>orrect</w:t>
      </w:r>
      <w:r w:rsidR="00732B37" w:rsidRPr="0056259E">
        <w:t xml:space="preserve">ed </w:t>
      </w:r>
      <w:r w:rsidRPr="0056259E">
        <w:t xml:space="preserve">misspellings of </w:t>
      </w:r>
      <w:r w:rsidRPr="00F03421">
        <w:rPr>
          <w:i/>
        </w:rPr>
        <w:t>Manhattan</w:t>
      </w:r>
      <w:r w:rsidRPr="0056259E">
        <w:t xml:space="preserve">). Furthermore, </w:t>
      </w:r>
      <w:r w:rsidR="00732B37">
        <w:t xml:space="preserve">we required that </w:t>
      </w:r>
      <w:r w:rsidRPr="0056259E">
        <w:t>records have at least a first and last name as well as one of date of birth, address, email address, or phone number. After we received the matched data</w:t>
      </w:r>
      <w:r w:rsidR="00E53523">
        <w:t xml:space="preserve"> </w:t>
      </w:r>
      <w:r w:rsidRPr="0056259E">
        <w:t xml:space="preserve">set, we scrutinized matched records </w:t>
      </w:r>
      <w:r w:rsidR="00732B37">
        <w:t xml:space="preserve">in </w:t>
      </w:r>
      <w:r w:rsidRPr="0056259E">
        <w:t>wh</w:t>
      </w:r>
      <w:r w:rsidR="00732B37">
        <w:t>ich</w:t>
      </w:r>
      <w:r w:rsidRPr="0056259E">
        <w:t xml:space="preserve"> key information varied (</w:t>
      </w:r>
      <w:r w:rsidR="00732B37">
        <w:t>such as</w:t>
      </w:r>
      <w:r w:rsidRPr="0056259E">
        <w:t xml:space="preserve"> date of birth), resulting in a small number of rejected matches. </w:t>
      </w:r>
      <w:r w:rsidR="00732B37">
        <w:t>We treated r</w:t>
      </w:r>
      <w:r w:rsidRPr="0056259E">
        <w:t xml:space="preserve">ecords that Catalist </w:t>
      </w:r>
      <w:r w:rsidR="00732B37">
        <w:t>could not</w:t>
      </w:r>
      <w:r w:rsidRPr="0056259E">
        <w:t xml:space="preserve"> match as non</w:t>
      </w:r>
      <w:r w:rsidR="002918C5">
        <w:t>-</w:t>
      </w:r>
      <w:r w:rsidRPr="0056259E">
        <w:t>registrants and non</w:t>
      </w:r>
      <w:r w:rsidR="002918C5">
        <w:t>-</w:t>
      </w:r>
      <w:r w:rsidRPr="0056259E">
        <w:t xml:space="preserve">voters—indicating that there was no corresponding registrant or voter record associated with the demographic information provided. </w:t>
      </w:r>
      <w:r w:rsidR="005E57D1">
        <w:t>Although</w:t>
      </w:r>
      <w:r w:rsidR="005E57D1" w:rsidRPr="0056259E">
        <w:t xml:space="preserve"> </w:t>
      </w:r>
      <w:r w:rsidRPr="0056259E">
        <w:t xml:space="preserve">any record linkage method </w:t>
      </w:r>
      <w:r w:rsidR="005E57D1">
        <w:t>can</w:t>
      </w:r>
      <w:r w:rsidR="005E57D1" w:rsidRPr="0056259E">
        <w:t xml:space="preserve"> </w:t>
      </w:r>
      <w:r w:rsidRPr="0056259E">
        <w:t>result in misidentification, there is no theoretical reason to expect misidentification to vary by offer status. Therefore, this does not pose a threat to the validity of the randomization framework.</w:t>
      </w:r>
    </w:p>
    <w:p w14:paraId="4F72AAAE" w14:textId="30344AB8" w:rsidR="00625211" w:rsidRDefault="00625211" w:rsidP="0083620E">
      <w:pPr>
        <w:pStyle w:val="H3AlphaNoTOC"/>
        <w:spacing w:line="480" w:lineRule="auto"/>
      </w:pPr>
      <w:r>
        <w:t>Weights</w:t>
      </w:r>
    </w:p>
    <w:p w14:paraId="5F8435AA" w14:textId="3CB7D36F" w:rsidR="00625211" w:rsidRDefault="0056259E" w:rsidP="0083620E">
      <w:pPr>
        <w:pStyle w:val="NormalSS"/>
        <w:spacing w:line="480" w:lineRule="auto"/>
        <w:rPr>
          <w:rFonts w:eastAsiaTheme="minorEastAsia"/>
        </w:rPr>
      </w:pPr>
      <w:r>
        <w:t>We construct s</w:t>
      </w:r>
      <w:r w:rsidR="00DA450D">
        <w:t>tudent weights based on the offer</w:t>
      </w:r>
      <w:r w:rsidR="000D47A7">
        <w:t xml:space="preserve"> rate</w:t>
      </w:r>
      <w:r w:rsidR="00DA450D">
        <w:t xml:space="preserve"> in </w:t>
      </w:r>
      <w:r w:rsidR="00E207EF">
        <w:t>the student</w:t>
      </w:r>
      <w:r w:rsidR="002E1868">
        <w:t>’</w:t>
      </w:r>
      <w:r w:rsidR="00E207EF">
        <w:t>s cohort (grade-by-year)</w:t>
      </w:r>
      <w:r w:rsidR="00DA450D">
        <w:t xml:space="preserve">. </w:t>
      </w:r>
      <w:r w:rsidR="00DA450D" w:rsidRPr="00182208">
        <w:t xml:space="preserve">In </w:t>
      </w:r>
      <w:r w:rsidR="009869C2">
        <w:t xml:space="preserve">the </w:t>
      </w:r>
      <w:r w:rsidR="00DA450D" w:rsidRPr="00182208">
        <w:t xml:space="preserve">simplest case, </w:t>
      </w:r>
      <w:r w:rsidR="005E57D1">
        <w:t xml:space="preserve">the </w:t>
      </w:r>
      <w:r w:rsidR="00DA450D" w:rsidRPr="00182208">
        <w:t xml:space="preserve">probability </w:t>
      </w:r>
      <w:r w:rsidR="00DA450D">
        <w:t xml:space="preserve">of </w:t>
      </w:r>
      <w:r w:rsidR="009869C2">
        <w:t xml:space="preserve">an </w:t>
      </w:r>
      <w:r w:rsidR="00DA450D">
        <w:t>offer</w:t>
      </w:r>
      <w:r w:rsidR="00DA450D" w:rsidRPr="00182208">
        <w:t xml:space="preserve"> is the number of applicants offered admission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00DA450D" w:rsidRPr="00182208">
        <w:t>) divided by the total number of lottery applicants (</w:t>
      </w:r>
      <m:oMath>
        <m:r>
          <w:rPr>
            <w:rFonts w:ascii="Cambria Math" w:hAnsi="Cambria Math"/>
          </w:rPr>
          <m:t>N</m:t>
        </m:r>
      </m:oMath>
      <w:r w:rsidR="00DA450D" w:rsidRPr="00182208">
        <w:t>)</w:t>
      </w:r>
      <w:r w:rsidR="000D47A7">
        <w:t xml:space="preserve">. </w:t>
      </w:r>
      <w:r w:rsidR="00DA450D">
        <w:t>That is</w:t>
      </w:r>
      <w:r w:rsidR="00DA450D" w:rsidRPr="00182208">
        <w:t>,</w:t>
      </w:r>
      <w:r w:rsidR="00FD1796">
        <w:t xml:space="preserve"> the probability of an offer for student </w:t>
      </w:r>
      <m:oMath>
        <m:r>
          <w:rPr>
            <w:rFonts w:ascii="Cambria Math" w:hAnsi="Cambria Math"/>
          </w:rPr>
          <m:t xml:space="preserve">i </m:t>
        </m:r>
      </m:oMath>
      <w:r w:rsidR="00FD1796">
        <w:t>is</w:t>
      </w:r>
      <w:r w:rsidR="000D47A7">
        <w:t xml:space="preserve"> </w:t>
      </w:r>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vertAlign w:val="subscript"/>
          </w:rPr>
          <m:t xml:space="preserve"> </m:t>
        </m:r>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T</m:t>
                </m:r>
              </m:sub>
            </m:sSub>
          </m:num>
          <m:den>
            <m:r>
              <w:rPr>
                <w:rFonts w:ascii="Cambria Math" w:hAnsi="Cambria Math"/>
              </w:rPr>
              <m:t>N</m:t>
            </m:r>
          </m:den>
        </m:f>
      </m:oMath>
      <w:r w:rsidR="000D47A7">
        <w:rPr>
          <w:rFonts w:eastAsiaTheme="minorEastAsia"/>
        </w:rPr>
        <w:t xml:space="preserve">. </w:t>
      </w:r>
      <w:r w:rsidR="005E57D1">
        <w:rPr>
          <w:rFonts w:eastAsiaTheme="minorEastAsia"/>
        </w:rPr>
        <w:t xml:space="preserve">Because </w:t>
      </w:r>
      <w:r w:rsidR="000D47A7">
        <w:rPr>
          <w:rFonts w:eastAsiaTheme="minorEastAsia"/>
        </w:rPr>
        <w:t xml:space="preserve">we have </w:t>
      </w:r>
      <w:r w:rsidR="00FD1796">
        <w:rPr>
          <w:rFonts w:eastAsiaTheme="minorEastAsia"/>
        </w:rPr>
        <w:t>multiple cohorts</w:t>
      </w:r>
      <w:r w:rsidR="0089429C">
        <w:rPr>
          <w:rFonts w:eastAsiaTheme="minorEastAsia"/>
        </w:rPr>
        <w:t xml:space="preserve"> (strat</w:t>
      </w:r>
      <w:r w:rsidR="009E637D">
        <w:rPr>
          <w:rFonts w:eastAsiaTheme="minorEastAsia"/>
        </w:rPr>
        <w:t>a</w:t>
      </w:r>
      <w:r w:rsidR="0089429C">
        <w:rPr>
          <w:rFonts w:eastAsiaTheme="minorEastAsia"/>
        </w:rPr>
        <w:t>)</w:t>
      </w:r>
      <w:r w:rsidR="00FD1796">
        <w:rPr>
          <w:rFonts w:eastAsiaTheme="minorEastAsia"/>
        </w:rPr>
        <w:t xml:space="preserve">, </w:t>
      </w:r>
      <w:r w:rsidR="005D47B1">
        <w:rPr>
          <w:rFonts w:eastAsiaTheme="minorEastAsia"/>
        </w:rPr>
        <w:t xml:space="preserve">the probability of an offer for student </w:t>
      </w:r>
      <m:oMath>
        <m:r>
          <w:rPr>
            <w:rFonts w:ascii="Cambria Math" w:eastAsiaTheme="minorEastAsia" w:hAnsi="Cambria Math"/>
          </w:rPr>
          <m:t>i</m:t>
        </m:r>
      </m:oMath>
      <w:r w:rsidR="005D47B1">
        <w:rPr>
          <w:rFonts w:eastAsiaTheme="minorEastAsia"/>
          <w:i/>
        </w:rPr>
        <w:t xml:space="preserve"> </w:t>
      </w:r>
      <w:r w:rsidR="005D47B1">
        <w:rPr>
          <w:rFonts w:eastAsiaTheme="minorEastAsia"/>
        </w:rPr>
        <w:t xml:space="preserve">in stratum </w:t>
      </w:r>
      <m:oMath>
        <m:r>
          <w:rPr>
            <w:rFonts w:ascii="Cambria Math" w:eastAsiaTheme="minorEastAsia" w:hAnsi="Cambria Math"/>
          </w:rPr>
          <m:t>j</m:t>
        </m:r>
      </m:oMath>
      <w:r w:rsidR="005D47B1">
        <w:rPr>
          <w:rFonts w:eastAsiaTheme="minorEastAsia"/>
        </w:rPr>
        <w:t xml:space="preserve"> is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ij</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Tj</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j</m:t>
                </m:r>
              </m:sub>
            </m:sSub>
          </m:den>
        </m:f>
        <m:r>
          <w:rPr>
            <w:rFonts w:ascii="Cambria Math" w:eastAsiaTheme="minorEastAsia" w:hAnsi="Cambria Math"/>
          </w:rPr>
          <m:t>,</m:t>
        </m:r>
      </m:oMath>
      <w:r w:rsidR="00FD1796">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Tj</m:t>
            </m:r>
          </m:sub>
        </m:sSub>
      </m:oMath>
      <w:r w:rsidR="00FD1796">
        <w:rPr>
          <w:rFonts w:eastAsiaTheme="minorEastAsia"/>
        </w:rPr>
        <w:t xml:space="preserve"> is the treatment group size within the stratum and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j</m:t>
            </m:r>
          </m:sub>
        </m:sSub>
      </m:oMath>
      <w:r w:rsidR="00FD1796">
        <w:rPr>
          <w:rFonts w:eastAsiaTheme="minorEastAsia"/>
        </w:rPr>
        <w:t xml:space="preserve"> is the size of the stratum.</w:t>
      </w:r>
      <w:r w:rsidR="005D47B1">
        <w:rPr>
          <w:rFonts w:eastAsiaTheme="minorEastAsia"/>
        </w:rPr>
        <w:t xml:space="preserve"> The base weights are the inverse of the probability of being in th</w:t>
      </w:r>
      <w:r w:rsidR="00BE0B8B">
        <w:rPr>
          <w:rFonts w:eastAsiaTheme="minorEastAsia"/>
        </w:rPr>
        <w:t>e student</w:t>
      </w:r>
      <w:r w:rsidR="005E57D1">
        <w:rPr>
          <w:rFonts w:eastAsiaTheme="minorEastAsia"/>
        </w:rPr>
        <w:t>’</w:t>
      </w:r>
      <w:r w:rsidR="00BE0B8B">
        <w:rPr>
          <w:rFonts w:eastAsiaTheme="minorEastAsia"/>
        </w:rPr>
        <w:t>s treatment condition.</w:t>
      </w:r>
    </w:p>
    <w:p w14:paraId="1F05CEC1" w14:textId="73371FB7" w:rsidR="005D47B1" w:rsidRDefault="00EE78A1" w:rsidP="0083620E">
      <w:pPr>
        <w:pStyle w:val="Caption"/>
        <w:spacing w:line="480" w:lineRule="auto"/>
        <w:rPr>
          <w:rFonts w:eastAsiaTheme="minorEastAsia"/>
        </w:rPr>
      </w:pPr>
      <w:r>
        <w:rPr>
          <w:rFonts w:eastAsiaTheme="minorEastAsia"/>
        </w:rPr>
        <w:t>(</w:t>
      </w:r>
      <w:r>
        <w:rPr>
          <w:rFonts w:eastAsiaTheme="minorEastAsia"/>
        </w:rPr>
        <w:fldChar w:fldCharType="begin"/>
      </w:r>
      <w:r>
        <w:rPr>
          <w:rFonts w:eastAsiaTheme="minorEastAsia"/>
        </w:rPr>
        <w:instrText xml:space="preserve"> SEQ Equation \* ARABIC </w:instrText>
      </w:r>
      <w:r>
        <w:rPr>
          <w:rFonts w:eastAsiaTheme="minorEastAsia"/>
        </w:rPr>
        <w:fldChar w:fldCharType="separate"/>
      </w:r>
      <w:r w:rsidR="006B4C3D">
        <w:rPr>
          <w:rFonts w:eastAsiaTheme="minorEastAsia"/>
          <w:noProof/>
        </w:rPr>
        <w:t>3</w:t>
      </w:r>
      <w:r>
        <w:rPr>
          <w:rFonts w:eastAsiaTheme="minorEastAsia"/>
        </w:rPr>
        <w:fldChar w:fldCharType="end"/>
      </w:r>
      <w:r>
        <w:rPr>
          <w:rFonts w:eastAsiaTheme="minorEastAsia"/>
        </w:rPr>
        <w:t>)</w:t>
      </w:r>
      <w:r w:rsidR="005D47B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Tij</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ij</m:t>
                </m:r>
              </m:sub>
            </m:sSub>
          </m:den>
        </m:f>
      </m:oMath>
    </w:p>
    <w:p w14:paraId="67C13A2C" w14:textId="24C899E1" w:rsidR="005D47B1" w:rsidRDefault="00EE78A1" w:rsidP="0083620E">
      <w:pPr>
        <w:pStyle w:val="Caption"/>
        <w:spacing w:line="480" w:lineRule="auto"/>
        <w:rPr>
          <w:rFonts w:eastAsiaTheme="minorEastAsia"/>
        </w:rPr>
      </w:pPr>
      <w:r>
        <w:rPr>
          <w:rFonts w:eastAsiaTheme="minorEastAsia"/>
        </w:rPr>
        <w:t>(</w:t>
      </w:r>
      <w:r>
        <w:rPr>
          <w:rFonts w:eastAsiaTheme="minorEastAsia"/>
        </w:rPr>
        <w:fldChar w:fldCharType="begin"/>
      </w:r>
      <w:r>
        <w:rPr>
          <w:rFonts w:eastAsiaTheme="minorEastAsia"/>
        </w:rPr>
        <w:instrText xml:space="preserve"> SEQ Equation \* ARABIC </w:instrText>
      </w:r>
      <w:r>
        <w:rPr>
          <w:rFonts w:eastAsiaTheme="minorEastAsia"/>
        </w:rPr>
        <w:fldChar w:fldCharType="separate"/>
      </w:r>
      <w:r w:rsidR="006B4C3D">
        <w:rPr>
          <w:rFonts w:eastAsiaTheme="minorEastAsia"/>
          <w:noProof/>
        </w:rPr>
        <w:t>4</w:t>
      </w:r>
      <w:r>
        <w:rPr>
          <w:rFonts w:eastAsiaTheme="minorEastAsia"/>
        </w:rPr>
        <w:fldChar w:fldCharType="end"/>
      </w:r>
      <w:r>
        <w:rPr>
          <w:rFonts w:eastAsiaTheme="minorEastAsia"/>
        </w:rPr>
        <w:t>)</w:t>
      </w:r>
      <w:r w:rsidR="005D47B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Cij</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ij</m:t>
                </m:r>
              </m:sub>
            </m:sSub>
            <m:r>
              <w:rPr>
                <w:rFonts w:ascii="Cambria Math" w:eastAsiaTheme="minorEastAsia" w:hAnsi="Cambria Math"/>
              </w:rPr>
              <m:t>)</m:t>
            </m:r>
          </m:den>
        </m:f>
      </m:oMath>
    </w:p>
    <w:p w14:paraId="37867302" w14:textId="2E77C644" w:rsidR="005D47B1" w:rsidRDefault="00077E81" w:rsidP="0083620E">
      <w:pPr>
        <w:pStyle w:val="NormalSS"/>
        <w:spacing w:line="480" w:lineRule="auto"/>
      </w:pPr>
      <w:r>
        <w:lastRenderedPageBreak/>
        <w:t xml:space="preserve">Within stratum, </w:t>
      </w:r>
      <w:r w:rsidR="005E57D1">
        <w:t xml:space="preserve">we then normalized </w:t>
      </w:r>
      <w:r>
        <w:t>weights</w:t>
      </w:r>
      <w:r w:rsidR="005D47B1">
        <w:t xml:space="preserve"> such that </w:t>
      </w:r>
      <w:r>
        <w:t>the weights of each experimental group sum to one-half the overall size of the stratum. This way</w:t>
      </w:r>
      <w:r w:rsidR="00E207EF">
        <w:t>,</w:t>
      </w:r>
      <w:r>
        <w:t xml:space="preserve"> the size of the </w:t>
      </w:r>
      <w:r w:rsidR="00E207EF">
        <w:t>application</w:t>
      </w:r>
      <w:r>
        <w:t xml:space="preserve"> stratum factor</w:t>
      </w:r>
      <w:r w:rsidR="005E57D1">
        <w:t>s</w:t>
      </w:r>
      <w:r>
        <w:t xml:space="preserve"> into the overall distribution of weights. These normalization factors (</w:t>
      </w:r>
      <m:oMath>
        <m:r>
          <w:rPr>
            <w:rFonts w:ascii="Cambria Math" w:hAnsi="Cambria Math"/>
          </w:rPr>
          <m:t>NF</m:t>
        </m:r>
      </m:oMath>
      <w:r>
        <w:t>) are specific to each</w:t>
      </w:r>
      <w:r w:rsidR="00363F6C">
        <w:t xml:space="preserve"> stratum and experimental group. </w:t>
      </w:r>
      <w:r w:rsidR="005E57D1">
        <w:t>We then multiplied e</w:t>
      </w:r>
      <w:r w:rsidR="00363F6C">
        <w:t>ach factor by the student</w:t>
      </w:r>
      <w:r w:rsidR="002E1868">
        <w:t>’</w:t>
      </w:r>
      <w:r w:rsidR="00363F6C">
        <w:t>s base weight to achieve a final weight.</w:t>
      </w:r>
    </w:p>
    <w:p w14:paraId="27EE7F26" w14:textId="43FDDB78" w:rsidR="00077E81" w:rsidRDefault="00077E81" w:rsidP="0083620E">
      <w:pPr>
        <w:pStyle w:val="Caption"/>
        <w:spacing w:line="480" w:lineRule="auto"/>
        <w:rPr>
          <w:rFonts w:eastAsiaTheme="minorEastAsia"/>
        </w:rPr>
      </w:pPr>
      <w:r>
        <w:rPr>
          <w:rFonts w:eastAsiaTheme="minorEastAsia"/>
        </w:rPr>
        <w:t>(</w:t>
      </w:r>
      <w:r w:rsidR="00EE78A1">
        <w:rPr>
          <w:rFonts w:eastAsiaTheme="minorEastAsia"/>
        </w:rPr>
        <w:fldChar w:fldCharType="begin"/>
      </w:r>
      <w:r w:rsidR="00EE78A1">
        <w:rPr>
          <w:rFonts w:eastAsiaTheme="minorEastAsia"/>
        </w:rPr>
        <w:instrText xml:space="preserve"> SEQ Equation \* ARABIC </w:instrText>
      </w:r>
      <w:r w:rsidR="00EE78A1">
        <w:rPr>
          <w:rFonts w:eastAsiaTheme="minorEastAsia"/>
        </w:rPr>
        <w:fldChar w:fldCharType="separate"/>
      </w:r>
      <w:r w:rsidR="006B4C3D">
        <w:rPr>
          <w:rFonts w:eastAsiaTheme="minorEastAsia"/>
          <w:noProof/>
        </w:rPr>
        <w:t>5</w:t>
      </w:r>
      <w:r w:rsidR="00EE78A1">
        <w:rPr>
          <w:rFonts w:eastAsiaTheme="minorEastAsia"/>
        </w:rPr>
        <w:fldChar w:fldCharType="end"/>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NF</m:t>
            </m:r>
          </m:e>
          <m:sub>
            <m:r>
              <w:rPr>
                <w:rFonts w:ascii="Cambria Math" w:eastAsiaTheme="minorEastAsia" w:hAnsi="Cambria Math"/>
              </w:rPr>
              <m:t>Tj</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0.5*</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j</m:t>
                </m:r>
              </m:sub>
            </m:sSub>
          </m:num>
          <m:den>
            <m:nary>
              <m:naryPr>
                <m:chr m:val="∑"/>
                <m:limLoc m:val="undOvr"/>
                <m:ctrlPr>
                  <w:rPr>
                    <w:rFonts w:ascii="Cambria Math" w:eastAsiaTheme="minorEastAsia" w:hAnsi="Cambria Math"/>
                    <w:i/>
                  </w:rPr>
                </m:ctrlPr>
              </m:naryPr>
              <m:sub>
                <m:r>
                  <w:rPr>
                    <w:rFonts w:ascii="Cambria Math" w:eastAsiaTheme="minorEastAsia" w:hAnsi="Cambria Math"/>
                  </w:rPr>
                  <m:t>i=1</m:t>
                </m:r>
              </m:sub>
              <m:sup>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Tj</m:t>
                    </m:r>
                  </m:sub>
                </m:sSub>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Tij</m:t>
                    </m:r>
                  </m:sub>
                </m:sSub>
              </m:e>
            </m:nary>
          </m:den>
        </m:f>
      </m:oMath>
    </w:p>
    <w:p w14:paraId="4931752C" w14:textId="7CD97058" w:rsidR="00D253E4" w:rsidRDefault="00EE78A1" w:rsidP="0083620E">
      <w:pPr>
        <w:pStyle w:val="Caption"/>
        <w:spacing w:line="480" w:lineRule="auto"/>
        <w:rPr>
          <w:rFonts w:eastAsiaTheme="minorEastAsia"/>
        </w:rPr>
      </w:pPr>
      <w:r>
        <w:rPr>
          <w:rFonts w:eastAsiaTheme="minorEastAsia"/>
        </w:rPr>
        <w:t>(</w:t>
      </w:r>
      <w:r>
        <w:rPr>
          <w:rFonts w:eastAsiaTheme="minorEastAsia"/>
        </w:rPr>
        <w:fldChar w:fldCharType="begin"/>
      </w:r>
      <w:r>
        <w:rPr>
          <w:rFonts w:eastAsiaTheme="minorEastAsia"/>
        </w:rPr>
        <w:instrText xml:space="preserve"> SEQ Equation \* ARABIC </w:instrText>
      </w:r>
      <w:r>
        <w:rPr>
          <w:rFonts w:eastAsiaTheme="minorEastAsia"/>
        </w:rPr>
        <w:fldChar w:fldCharType="separate"/>
      </w:r>
      <w:r w:rsidR="006B4C3D">
        <w:rPr>
          <w:rFonts w:eastAsiaTheme="minorEastAsia"/>
          <w:noProof/>
        </w:rPr>
        <w:t>6</w:t>
      </w:r>
      <w:r>
        <w:rPr>
          <w:rFonts w:eastAsiaTheme="minorEastAsia"/>
        </w:rPr>
        <w:fldChar w:fldCharType="end"/>
      </w:r>
      <w:r w:rsidR="00D253E4">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NF</m:t>
            </m:r>
          </m:e>
          <m:sub>
            <m:r>
              <w:rPr>
                <w:rFonts w:ascii="Cambria Math" w:eastAsiaTheme="minorEastAsia" w:hAnsi="Cambria Math"/>
              </w:rPr>
              <m:t>Cj</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0.5*</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j</m:t>
                </m:r>
              </m:sub>
            </m:sSub>
          </m:num>
          <m:den>
            <m:nary>
              <m:naryPr>
                <m:chr m:val="∑"/>
                <m:limLoc m:val="undOvr"/>
                <m:ctrlPr>
                  <w:rPr>
                    <w:rFonts w:ascii="Cambria Math" w:eastAsiaTheme="minorEastAsia" w:hAnsi="Cambria Math"/>
                    <w:i/>
                  </w:rPr>
                </m:ctrlPr>
              </m:naryPr>
              <m:sub>
                <m:r>
                  <w:rPr>
                    <w:rFonts w:ascii="Cambria Math" w:eastAsiaTheme="minorEastAsia" w:hAnsi="Cambria Math"/>
                  </w:rPr>
                  <m:t>i=1</m:t>
                </m:r>
              </m:sub>
              <m:sup>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Cj</m:t>
                    </m:r>
                  </m:sub>
                </m:sSub>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Cij</m:t>
                    </m:r>
                  </m:sub>
                </m:sSub>
              </m:e>
            </m:nary>
          </m:den>
        </m:f>
      </m:oMath>
    </w:p>
    <w:p w14:paraId="586AF2F3" w14:textId="5FE3FCB9" w:rsidR="00D253E4" w:rsidRDefault="005E57D1" w:rsidP="0083620E">
      <w:pPr>
        <w:pStyle w:val="NormalSS"/>
        <w:spacing w:line="480" w:lineRule="auto"/>
      </w:pPr>
      <w:r>
        <w:t>All s</w:t>
      </w:r>
      <w:r w:rsidR="00712033">
        <w:t xml:space="preserve">imultaneously applying students receive an offer </w:t>
      </w:r>
      <w:r>
        <w:t>a</w:t>
      </w:r>
      <w:r w:rsidR="00712033">
        <w:t xml:space="preserve">s long as one family member wins the lottery. Thus, siblings have a higher probability of receiving an offer, </w:t>
      </w:r>
      <w:r>
        <w:t xml:space="preserve">for </w:t>
      </w:r>
      <w:r w:rsidR="00712033">
        <w:t xml:space="preserve">which </w:t>
      </w:r>
      <w:r>
        <w:t xml:space="preserve">the weights </w:t>
      </w:r>
      <w:r w:rsidR="00712033">
        <w:t xml:space="preserve">must account. </w:t>
      </w:r>
      <w:r w:rsidR="00D253E4">
        <w:t>In the case of a single pair of same-grade siblings (twins), t</w:t>
      </w:r>
      <w:r w:rsidR="00501922">
        <w:t>he probability of receiving an offer is affected both for siblings and non</w:t>
      </w:r>
      <w:r w:rsidR="002918C5">
        <w:t>-</w:t>
      </w:r>
      <w:r w:rsidR="00501922">
        <w:t>siblings</w:t>
      </w:r>
      <w:r w:rsidR="00CC6904">
        <w:t xml:space="preserve">. For the </w:t>
      </w:r>
      <w:r w:rsidR="00363F6C">
        <w:t xml:space="preserve">single set of </w:t>
      </w:r>
      <w:r w:rsidR="00305BB5">
        <w:t>same-grade siblings</w:t>
      </w:r>
      <w:r w:rsidR="00CC6904">
        <w:t>, the probability of an offer is simply the probability that either receives an offer</w:t>
      </w:r>
      <w:r w:rsidR="00C21D49">
        <w:t>. The</w:t>
      </w:r>
      <w:r>
        <w:t>n, we use the</w:t>
      </w:r>
      <w:r w:rsidR="00C21D49">
        <w:t xml:space="preserve"> probability of the set of </w:t>
      </w:r>
      <w:r w:rsidR="00305BB5">
        <w:t>same-grade siblings</w:t>
      </w:r>
      <w:r w:rsidR="00C21D49">
        <w:t xml:space="preserve"> receiving an offer to determine the probability of an offer for non</w:t>
      </w:r>
      <w:r w:rsidR="002918C5">
        <w:t>-</w:t>
      </w:r>
      <w:r w:rsidR="00C21D49">
        <w:t>siblings:</w:t>
      </w:r>
    </w:p>
    <w:p w14:paraId="2B4CD36B" w14:textId="505796C8" w:rsidR="00501922" w:rsidRDefault="00EE78A1" w:rsidP="0083620E">
      <w:pPr>
        <w:pStyle w:val="Caption"/>
        <w:spacing w:line="480" w:lineRule="auto"/>
        <w:rPr>
          <w:rFonts w:eastAsiaTheme="minorEastAsia"/>
        </w:rPr>
      </w:pPr>
      <w:r>
        <w:rPr>
          <w:rFonts w:eastAsiaTheme="minorEastAsia"/>
        </w:rPr>
        <w:t>(</w:t>
      </w:r>
      <w:r>
        <w:rPr>
          <w:rFonts w:eastAsiaTheme="minorEastAsia"/>
        </w:rPr>
        <w:fldChar w:fldCharType="begin"/>
      </w:r>
      <w:r>
        <w:rPr>
          <w:rFonts w:eastAsiaTheme="minorEastAsia"/>
        </w:rPr>
        <w:instrText xml:space="preserve"> SEQ Equation \* ARABIC </w:instrText>
      </w:r>
      <w:r>
        <w:rPr>
          <w:rFonts w:eastAsiaTheme="minorEastAsia"/>
        </w:rPr>
        <w:fldChar w:fldCharType="separate"/>
      </w:r>
      <w:r w:rsidR="006B4C3D">
        <w:rPr>
          <w:rFonts w:eastAsiaTheme="minorEastAsia"/>
          <w:noProof/>
        </w:rPr>
        <w:t>7</w:t>
      </w:r>
      <w:r>
        <w:rPr>
          <w:rFonts w:eastAsiaTheme="minorEastAsia"/>
        </w:rPr>
        <w:fldChar w:fldCharType="end"/>
      </w:r>
      <w:r w:rsidR="00501922">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i</m:t>
            </m:r>
          </m:sub>
          <m:sup>
            <m:r>
              <w:rPr>
                <w:rFonts w:ascii="Cambria Math" w:eastAsiaTheme="minorEastAsia" w:hAnsi="Cambria Math"/>
              </w:rPr>
              <m:t>sib</m:t>
            </m:r>
          </m:sup>
        </m:sSubSup>
        <m:r>
          <w:rPr>
            <w:rFonts w:ascii="Cambria Math" w:eastAsiaTheme="minorEastAsia" w:hAnsi="Cambria Math"/>
          </w:rPr>
          <m:t>=2*</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Tj</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j</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Tj</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j</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Tj</m:t>
                </m:r>
              </m:sub>
            </m:sSub>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j</m:t>
                </m:r>
              </m:sub>
            </m:sSub>
            <m:r>
              <w:rPr>
                <w:rFonts w:ascii="Cambria Math" w:eastAsiaTheme="minorEastAsia" w:hAnsi="Cambria Math"/>
              </w:rPr>
              <m:t>-1</m:t>
            </m:r>
          </m:den>
        </m:f>
      </m:oMath>
    </w:p>
    <w:p w14:paraId="720A5013" w14:textId="7C5B561F" w:rsidR="00501922" w:rsidRDefault="00EE78A1" w:rsidP="0083620E">
      <w:pPr>
        <w:pStyle w:val="Caption"/>
        <w:spacing w:line="480" w:lineRule="auto"/>
        <w:rPr>
          <w:szCs w:val="24"/>
        </w:rPr>
      </w:pPr>
      <w:r>
        <w:rPr>
          <w:rFonts w:eastAsiaTheme="minorEastAsia"/>
        </w:rPr>
        <w:t>(</w:t>
      </w:r>
      <w:r>
        <w:rPr>
          <w:rFonts w:eastAsiaTheme="minorEastAsia"/>
        </w:rPr>
        <w:fldChar w:fldCharType="begin"/>
      </w:r>
      <w:r>
        <w:rPr>
          <w:rFonts w:eastAsiaTheme="minorEastAsia"/>
        </w:rPr>
        <w:instrText xml:space="preserve"> SEQ Equation \* ARABIC </w:instrText>
      </w:r>
      <w:r>
        <w:rPr>
          <w:rFonts w:eastAsiaTheme="minorEastAsia"/>
        </w:rPr>
        <w:fldChar w:fldCharType="separate"/>
      </w:r>
      <w:r w:rsidR="006B4C3D">
        <w:rPr>
          <w:rFonts w:eastAsiaTheme="minorEastAsia"/>
          <w:noProof/>
        </w:rPr>
        <w:t>8</w:t>
      </w:r>
      <w:r>
        <w:rPr>
          <w:rFonts w:eastAsiaTheme="minorEastAsia"/>
        </w:rPr>
        <w:fldChar w:fldCharType="end"/>
      </w:r>
      <w:r w:rsidR="00501922">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i</m:t>
            </m:r>
          </m:sub>
          <m:sup>
            <m:r>
              <w:rPr>
                <w:rFonts w:ascii="Cambria Math" w:eastAsiaTheme="minorEastAsia" w:hAnsi="Cambria Math"/>
              </w:rPr>
              <m:t>non-sib</m:t>
            </m:r>
          </m:sup>
        </m:sSubSup>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Tj</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j</m:t>
                </m:r>
              </m:sub>
            </m:sSub>
            <m:r>
              <w:rPr>
                <w:rFonts w:ascii="Cambria Math" w:eastAsiaTheme="minorEastAsia" w:hAnsi="Cambria Math"/>
              </w:rPr>
              <m:t>-2</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i</m:t>
                </m:r>
              </m:sub>
              <m:sup>
                <m:r>
                  <w:rPr>
                    <w:rFonts w:ascii="Cambria Math" w:eastAsiaTheme="minorEastAsia" w:hAnsi="Cambria Math"/>
                  </w:rPr>
                  <m:t>sib</m:t>
                </m:r>
              </m:sup>
            </m:sSubSup>
          </m:e>
        </m:d>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Tj</m:t>
                </m:r>
              </m:sub>
            </m:sSub>
            <m:r>
              <w:rPr>
                <w:rFonts w:ascii="Cambria Math" w:eastAsiaTheme="minorEastAsia" w:hAnsi="Cambria Math"/>
              </w:rPr>
              <m:t>-2</m:t>
            </m:r>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j</m:t>
                </m:r>
              </m:sub>
            </m:sSub>
            <m:r>
              <w:rPr>
                <w:rFonts w:ascii="Cambria Math" w:eastAsiaTheme="minorEastAsia" w:hAnsi="Cambria Math"/>
              </w:rPr>
              <m:t>-2</m:t>
            </m:r>
          </m:den>
        </m:f>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i</m:t>
            </m:r>
          </m:sub>
          <m:sup>
            <m:r>
              <w:rPr>
                <w:rFonts w:ascii="Cambria Math" w:eastAsiaTheme="minorEastAsia" w:hAnsi="Cambria Math"/>
              </w:rPr>
              <m:t>sib</m:t>
            </m:r>
          </m:sup>
        </m:sSubSup>
      </m:oMath>
    </w:p>
    <w:p w14:paraId="6D23AED4" w14:textId="76D55D12" w:rsidR="00305BB5" w:rsidRDefault="00C21D49" w:rsidP="0083620E">
      <w:pPr>
        <w:pStyle w:val="NormalSS"/>
        <w:spacing w:line="480" w:lineRule="auto"/>
      </w:pPr>
      <w:r>
        <w:t xml:space="preserve">When there are multiple pairs of same-grade siblings (twins), the outcomes of all </w:t>
      </w:r>
      <w:r w:rsidR="00305BB5">
        <w:t>sets of same-grade siblings</w:t>
      </w:r>
      <w:r w:rsidR="005E57D1">
        <w:t xml:space="preserve"> affect the probability of one set of same-grade siblings receiving admission</w:t>
      </w:r>
      <w:r>
        <w:t>.</w:t>
      </w:r>
      <w:r w:rsidR="00363F6C">
        <w:t xml:space="preserve"> </w:t>
      </w:r>
      <w:r w:rsidR="00305BB5">
        <w:t>To account for this, we</w:t>
      </w:r>
      <w:r w:rsidR="00265B08">
        <w:t xml:space="preserve"> first</w:t>
      </w:r>
      <w:r w:rsidR="00305BB5">
        <w:t xml:space="preserve"> calculate the probability of one sibling receiving an offer, and the </w:t>
      </w:r>
      <w:r w:rsidR="00305BB5">
        <w:lastRenderedPageBreak/>
        <w:t>other sibling not receiving an offer</w:t>
      </w:r>
      <w:r w:rsidR="00E207EF">
        <w:t>—</w:t>
      </w:r>
      <w:r w:rsidR="00305BB5">
        <w:t>a win-by-sibling (</w:t>
      </w:r>
      <m:oMath>
        <m:r>
          <w:rPr>
            <w:rFonts w:ascii="Cambria Math" w:hAnsi="Cambria Math"/>
          </w:rPr>
          <m:t>WBS</m:t>
        </m:r>
      </m:oMath>
      <w:r w:rsidR="00305BB5">
        <w:t>).</w:t>
      </w:r>
      <w:r w:rsidR="009350C0">
        <w:t xml:space="preserve"> We then use the </w:t>
      </w:r>
      <m:oMath>
        <m:r>
          <w:rPr>
            <w:rFonts w:ascii="Cambria Math" w:hAnsi="Cambria Math"/>
          </w:rPr>
          <m:t>WBS</m:t>
        </m:r>
      </m:oMath>
      <w:r w:rsidR="009350C0">
        <w:t xml:space="preserve"> probability and the number of same-grade sibling pairs (</w:t>
      </w:r>
      <m:oMath>
        <m:sSub>
          <m:sSubPr>
            <m:ctrlPr>
              <w:rPr>
                <w:rFonts w:ascii="Cambria Math" w:hAnsi="Cambria Math"/>
                <w:i/>
              </w:rPr>
            </m:ctrlPr>
          </m:sSubPr>
          <m:e>
            <m:r>
              <w:rPr>
                <w:rFonts w:ascii="Cambria Math" w:hAnsi="Cambria Math"/>
              </w:rPr>
              <m:t>N</m:t>
            </m:r>
          </m:e>
          <m:sub>
            <m:r>
              <w:rPr>
                <w:rFonts w:ascii="Cambria Math" w:hAnsi="Cambria Math"/>
              </w:rPr>
              <m:t>SP</m:t>
            </m:r>
          </m:sub>
        </m:sSub>
      </m:oMath>
      <w:r w:rsidR="00907B2E">
        <w:rPr>
          <w:rFonts w:eastAsiaTheme="minorEastAsia"/>
        </w:rPr>
        <w:t>)</w:t>
      </w:r>
      <w:r w:rsidR="009350C0">
        <w:t xml:space="preserve"> to determine the estimated slots (</w:t>
      </w:r>
      <m:oMath>
        <m:r>
          <w:rPr>
            <w:rFonts w:ascii="Cambria Math" w:hAnsi="Cambria Math"/>
          </w:rPr>
          <m:t>ES</m:t>
        </m:r>
      </m:oMath>
      <w:r w:rsidR="009350C0">
        <w:t>) occupied by same-grade sibling pairs.</w:t>
      </w:r>
    </w:p>
    <w:p w14:paraId="6A7A6657" w14:textId="28AFB0E5" w:rsidR="00501922" w:rsidRDefault="00EE78A1" w:rsidP="0083620E">
      <w:pPr>
        <w:pStyle w:val="Caption"/>
        <w:spacing w:line="480" w:lineRule="auto"/>
        <w:rPr>
          <w:szCs w:val="24"/>
        </w:rPr>
      </w:pPr>
      <w:r>
        <w:rPr>
          <w:szCs w:val="24"/>
        </w:rPr>
        <w:t>(</w:t>
      </w:r>
      <w:r>
        <w:rPr>
          <w:szCs w:val="24"/>
        </w:rPr>
        <w:fldChar w:fldCharType="begin"/>
      </w:r>
      <w:r>
        <w:rPr>
          <w:szCs w:val="24"/>
        </w:rPr>
        <w:instrText xml:space="preserve"> SEQ Equation \* ARABIC </w:instrText>
      </w:r>
      <w:r>
        <w:rPr>
          <w:szCs w:val="24"/>
        </w:rPr>
        <w:fldChar w:fldCharType="separate"/>
      </w:r>
      <w:r w:rsidR="006B4C3D">
        <w:rPr>
          <w:noProof/>
          <w:szCs w:val="24"/>
        </w:rPr>
        <w:t>9</w:t>
      </w:r>
      <w:r>
        <w:rPr>
          <w:szCs w:val="24"/>
        </w:rPr>
        <w:fldChar w:fldCharType="end"/>
      </w:r>
      <w:r w:rsidR="00305BB5">
        <w:rPr>
          <w:szCs w:val="24"/>
        </w:rPr>
        <w:t xml:space="preserve">)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WBSj</m:t>
            </m:r>
          </m:sub>
        </m:sSub>
        <m:r>
          <w:rPr>
            <w:rFonts w:ascii="Cambria Math" w:hAnsi="Cambria Math"/>
            <w:szCs w:val="24"/>
          </w:rPr>
          <m:t>=2*</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N</m:t>
                </m:r>
              </m:e>
              <m:sub>
                <m:r>
                  <w:rPr>
                    <w:rFonts w:ascii="Cambria Math" w:hAnsi="Cambria Math"/>
                    <w:szCs w:val="24"/>
                  </w:rPr>
                  <m:t>Tj</m:t>
                </m:r>
              </m:sub>
            </m:sSub>
          </m:num>
          <m:den>
            <m:sSub>
              <m:sSubPr>
                <m:ctrlPr>
                  <w:rPr>
                    <w:rFonts w:ascii="Cambria Math" w:hAnsi="Cambria Math"/>
                    <w:i/>
                    <w:szCs w:val="24"/>
                  </w:rPr>
                </m:ctrlPr>
              </m:sSubPr>
              <m:e>
                <m:r>
                  <w:rPr>
                    <w:rFonts w:ascii="Cambria Math" w:hAnsi="Cambria Math"/>
                    <w:szCs w:val="24"/>
                  </w:rPr>
                  <m:t>N</m:t>
                </m:r>
              </m:e>
              <m:sub>
                <m:r>
                  <w:rPr>
                    <w:rFonts w:ascii="Cambria Math" w:hAnsi="Cambria Math"/>
                    <w:szCs w:val="24"/>
                  </w:rPr>
                  <m:t>j</m:t>
                </m:r>
              </m:sub>
            </m:sSub>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N</m:t>
                </m:r>
              </m:e>
              <m:sub>
                <m:r>
                  <w:rPr>
                    <w:rFonts w:ascii="Cambria Math" w:hAnsi="Cambria Math"/>
                    <w:szCs w:val="24"/>
                  </w:rPr>
                  <m:t>Cj</m:t>
                </m:r>
              </m:sub>
            </m:sSub>
          </m:num>
          <m:den>
            <m:sSub>
              <m:sSubPr>
                <m:ctrlPr>
                  <w:rPr>
                    <w:rFonts w:ascii="Cambria Math" w:hAnsi="Cambria Math"/>
                    <w:i/>
                    <w:szCs w:val="24"/>
                  </w:rPr>
                </m:ctrlPr>
              </m:sSubPr>
              <m:e>
                <m:r>
                  <w:rPr>
                    <w:rFonts w:ascii="Cambria Math" w:hAnsi="Cambria Math"/>
                    <w:szCs w:val="24"/>
                  </w:rPr>
                  <m:t>N</m:t>
                </m:r>
              </m:e>
              <m:sub>
                <m:r>
                  <w:rPr>
                    <w:rFonts w:ascii="Cambria Math" w:hAnsi="Cambria Math"/>
                    <w:szCs w:val="24"/>
                  </w:rPr>
                  <m:t>j</m:t>
                </m:r>
              </m:sub>
            </m:sSub>
            <m:r>
              <w:rPr>
                <w:rFonts w:ascii="Cambria Math" w:hAnsi="Cambria Math"/>
                <w:szCs w:val="24"/>
              </w:rPr>
              <m:t>-1</m:t>
            </m:r>
          </m:den>
        </m:f>
      </m:oMath>
      <w:r w:rsidR="00305BB5">
        <w:rPr>
          <w:szCs w:val="24"/>
        </w:rPr>
        <w:t xml:space="preserve"> </w:t>
      </w:r>
    </w:p>
    <w:p w14:paraId="34F6ED0A" w14:textId="77220E4A" w:rsidR="00907B2E" w:rsidRDefault="00EE78A1" w:rsidP="0083620E">
      <w:pPr>
        <w:pStyle w:val="Caption"/>
        <w:spacing w:line="480" w:lineRule="auto"/>
        <w:rPr>
          <w:rFonts w:eastAsiaTheme="minorEastAsia"/>
          <w:szCs w:val="24"/>
        </w:rPr>
      </w:pPr>
      <w:r>
        <w:rPr>
          <w:szCs w:val="24"/>
        </w:rPr>
        <w:t>(</w:t>
      </w:r>
      <w:r>
        <w:rPr>
          <w:szCs w:val="24"/>
        </w:rPr>
        <w:fldChar w:fldCharType="begin"/>
      </w:r>
      <w:r>
        <w:rPr>
          <w:szCs w:val="24"/>
        </w:rPr>
        <w:instrText xml:space="preserve"> SEQ Equation \* ARABIC </w:instrText>
      </w:r>
      <w:r>
        <w:rPr>
          <w:szCs w:val="24"/>
        </w:rPr>
        <w:fldChar w:fldCharType="separate"/>
      </w:r>
      <w:r w:rsidR="006B4C3D">
        <w:rPr>
          <w:noProof/>
          <w:szCs w:val="24"/>
        </w:rPr>
        <w:t>10</w:t>
      </w:r>
      <w:r>
        <w:rPr>
          <w:szCs w:val="24"/>
        </w:rPr>
        <w:fldChar w:fldCharType="end"/>
      </w:r>
      <w:r w:rsidR="00907B2E">
        <w:rPr>
          <w:szCs w:val="24"/>
        </w:rPr>
        <w:t>)</w:t>
      </w:r>
      <w:r w:rsidR="00BB67D3">
        <w:rPr>
          <w:szCs w:val="24"/>
        </w:rPr>
        <w:t xml:space="preserve"> </w:t>
      </w:r>
      <m:oMath>
        <m:sSubSup>
          <m:sSubSupPr>
            <m:ctrlPr>
              <w:rPr>
                <w:rFonts w:ascii="Cambria Math" w:hAnsi="Cambria Math"/>
                <w:i/>
                <w:szCs w:val="24"/>
              </w:rPr>
            </m:ctrlPr>
          </m:sSubSupPr>
          <m:e>
            <m:r>
              <w:rPr>
                <w:rFonts w:ascii="Cambria Math" w:hAnsi="Cambria Math"/>
                <w:szCs w:val="24"/>
              </w:rPr>
              <m:t>ES</m:t>
            </m:r>
          </m:e>
          <m:sub>
            <m:r>
              <w:rPr>
                <w:rFonts w:ascii="Cambria Math" w:hAnsi="Cambria Math"/>
                <w:szCs w:val="24"/>
              </w:rPr>
              <m:t>j</m:t>
            </m:r>
          </m:sub>
          <m:sup>
            <m:r>
              <w:rPr>
                <w:rFonts w:ascii="Cambria Math" w:hAnsi="Cambria Math"/>
                <w:szCs w:val="24"/>
              </w:rPr>
              <m:t>sib</m:t>
            </m:r>
          </m:sup>
        </m:sSubSup>
        <m:r>
          <w:rPr>
            <w:rFonts w:ascii="Cambria Math" w:hAnsi="Cambria Math"/>
            <w:szCs w:val="24"/>
          </w:rPr>
          <m:t>=</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SPj</m:t>
            </m:r>
          </m:sub>
        </m:sSub>
        <m:r>
          <w:rPr>
            <w:rFonts w:ascii="Cambria Math" w:hAnsi="Cambria Math"/>
            <w:szCs w:val="24"/>
          </w:rPr>
          <m:t>-1)*</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WBSj</m:t>
            </m:r>
          </m:sub>
        </m:sSub>
      </m:oMath>
    </w:p>
    <w:p w14:paraId="72BDB0E3" w14:textId="15E92C21" w:rsidR="00907B2E" w:rsidRDefault="00EE78A1" w:rsidP="0083620E">
      <w:pPr>
        <w:pStyle w:val="Caption"/>
        <w:spacing w:line="480" w:lineRule="auto"/>
        <w:rPr>
          <w:rFonts w:eastAsiaTheme="minorEastAsia"/>
          <w:szCs w:val="24"/>
        </w:rPr>
      </w:pPr>
      <w:r>
        <w:rPr>
          <w:szCs w:val="24"/>
        </w:rPr>
        <w:t>(</w:t>
      </w:r>
      <w:r>
        <w:rPr>
          <w:szCs w:val="24"/>
        </w:rPr>
        <w:fldChar w:fldCharType="begin"/>
      </w:r>
      <w:r>
        <w:rPr>
          <w:szCs w:val="24"/>
        </w:rPr>
        <w:instrText xml:space="preserve"> SEQ Equation \* ARABIC </w:instrText>
      </w:r>
      <w:r>
        <w:rPr>
          <w:szCs w:val="24"/>
        </w:rPr>
        <w:fldChar w:fldCharType="separate"/>
      </w:r>
      <w:r w:rsidR="006B4C3D">
        <w:rPr>
          <w:noProof/>
          <w:szCs w:val="24"/>
        </w:rPr>
        <w:t>11</w:t>
      </w:r>
      <w:r>
        <w:rPr>
          <w:szCs w:val="24"/>
        </w:rPr>
        <w:fldChar w:fldCharType="end"/>
      </w:r>
      <w:r w:rsidR="00907B2E">
        <w:rPr>
          <w:szCs w:val="24"/>
        </w:rPr>
        <w:t>)</w:t>
      </w:r>
      <w:r w:rsidR="00BB67D3">
        <w:rPr>
          <w:szCs w:val="24"/>
        </w:rPr>
        <w:t xml:space="preserve"> </w:t>
      </w:r>
      <m:oMath>
        <m:sSubSup>
          <m:sSubSupPr>
            <m:ctrlPr>
              <w:rPr>
                <w:rFonts w:ascii="Cambria Math" w:hAnsi="Cambria Math"/>
                <w:i/>
                <w:szCs w:val="24"/>
              </w:rPr>
            </m:ctrlPr>
          </m:sSubSupPr>
          <m:e>
            <m:r>
              <w:rPr>
                <w:rFonts w:ascii="Cambria Math" w:hAnsi="Cambria Math"/>
                <w:szCs w:val="24"/>
              </w:rPr>
              <m:t>ES</m:t>
            </m:r>
          </m:e>
          <m:sub>
            <m:r>
              <w:rPr>
                <w:rFonts w:ascii="Cambria Math" w:hAnsi="Cambria Math"/>
                <w:szCs w:val="24"/>
              </w:rPr>
              <m:t>j</m:t>
            </m:r>
          </m:sub>
          <m:sup>
            <m:r>
              <w:rPr>
                <w:rFonts w:ascii="Cambria Math" w:hAnsi="Cambria Math"/>
                <w:szCs w:val="24"/>
              </w:rPr>
              <m:t>non-sib</m:t>
            </m:r>
          </m:sup>
        </m:sSubSup>
        <m:r>
          <w:rPr>
            <w:rFonts w:ascii="Cambria Math" w:hAnsi="Cambria Math"/>
            <w:szCs w:val="24"/>
          </w:rPr>
          <m:t>=</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SPj</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WBSj</m:t>
            </m:r>
          </m:sub>
        </m:sSub>
      </m:oMath>
    </w:p>
    <w:p w14:paraId="559583EA" w14:textId="556E0F17" w:rsidR="00BB67D3" w:rsidRDefault="00BB67D3" w:rsidP="0083620E">
      <w:pPr>
        <w:pStyle w:val="Caption"/>
        <w:spacing w:line="480" w:lineRule="auto"/>
        <w:ind w:firstLine="450"/>
        <w:rPr>
          <w:szCs w:val="24"/>
        </w:rPr>
      </w:pPr>
      <w:r>
        <w:rPr>
          <w:rFonts w:eastAsiaTheme="minorEastAsia"/>
          <w:szCs w:val="24"/>
        </w:rPr>
        <w:t>(</w:t>
      </w:r>
      <w:r w:rsidR="00EE78A1">
        <w:rPr>
          <w:rFonts w:eastAsiaTheme="minorEastAsia"/>
          <w:szCs w:val="24"/>
        </w:rPr>
        <w:fldChar w:fldCharType="begin"/>
      </w:r>
      <w:r w:rsidR="00EE78A1">
        <w:rPr>
          <w:rFonts w:eastAsiaTheme="minorEastAsia"/>
          <w:szCs w:val="24"/>
        </w:rPr>
        <w:instrText xml:space="preserve"> SEQ Equation \* ARABIC </w:instrText>
      </w:r>
      <w:r w:rsidR="00EE78A1">
        <w:rPr>
          <w:rFonts w:eastAsiaTheme="minorEastAsia"/>
          <w:szCs w:val="24"/>
        </w:rPr>
        <w:fldChar w:fldCharType="separate"/>
      </w:r>
      <w:r w:rsidR="006B4C3D">
        <w:rPr>
          <w:rFonts w:eastAsiaTheme="minorEastAsia"/>
          <w:noProof/>
          <w:szCs w:val="24"/>
        </w:rPr>
        <w:t>12</w:t>
      </w:r>
      <w:r w:rsidR="00EE78A1">
        <w:rPr>
          <w:rFonts w:eastAsiaTheme="minorEastAsia"/>
          <w:szCs w:val="24"/>
        </w:rPr>
        <w:fldChar w:fldCharType="end"/>
      </w:r>
      <w:r>
        <w:rPr>
          <w:rFonts w:eastAsiaTheme="minorEastAsia"/>
          <w:szCs w:val="24"/>
        </w:rPr>
        <w:t xml:space="preserve">) </w:t>
      </w:r>
      <m:oMath>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i</m:t>
            </m:r>
          </m:sub>
        </m:sSub>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Tj</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ES</m:t>
                </m:r>
              </m:e>
              <m:sub>
                <m:r>
                  <w:rPr>
                    <w:rFonts w:ascii="Cambria Math" w:eastAsiaTheme="minorEastAsia" w:hAnsi="Cambria Math"/>
                    <w:szCs w:val="24"/>
                  </w:rPr>
                  <m:t>j</m:t>
                </m:r>
              </m:sub>
            </m:sSub>
          </m:num>
          <m:den>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j</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ES</m:t>
                </m:r>
              </m:e>
              <m:sub>
                <m:r>
                  <w:rPr>
                    <w:rFonts w:ascii="Cambria Math" w:eastAsiaTheme="minorEastAsia" w:hAnsi="Cambria Math"/>
                    <w:szCs w:val="24"/>
                  </w:rPr>
                  <m:t>j</m:t>
                </m:r>
              </m:sub>
            </m:sSub>
          </m:den>
        </m:f>
      </m:oMath>
    </w:p>
    <w:p w14:paraId="5D2B4EF0" w14:textId="6123525A" w:rsidR="00D253E4" w:rsidRDefault="00BB67D3" w:rsidP="0083620E">
      <w:pPr>
        <w:pStyle w:val="NormalSS"/>
        <w:spacing w:line="480" w:lineRule="auto"/>
      </w:pPr>
      <w:r>
        <w:t>Another distinct scenario is different-grade siblings who simultaneously apply. The different-grade siblings will be in separate cohorts</w:t>
      </w:r>
      <w:r w:rsidR="00552426">
        <w:t>;</w:t>
      </w:r>
      <w:r>
        <w:t xml:space="preserve"> therefore</w:t>
      </w:r>
      <w:r w:rsidR="00552426">
        <w:t>, we must</w:t>
      </w:r>
      <w:r>
        <w:t xml:space="preserve"> appropriate</w:t>
      </w:r>
      <w:r w:rsidR="00552426">
        <w:t>ly</w:t>
      </w:r>
      <w:r>
        <w:t xml:space="preserve"> adjust the probability of an offer for both cohorts.</w:t>
      </w:r>
      <w:r w:rsidR="00E97A52">
        <w:t xml:space="preserve"> To do so, </w:t>
      </w:r>
      <w:r w:rsidR="00552426">
        <w:t xml:space="preserve">we have to know </w:t>
      </w:r>
      <w:r w:rsidR="00E97A52">
        <w:t>the number of students receiving an offer in each sibling</w:t>
      </w:r>
      <w:r w:rsidR="002E1868">
        <w:t>’</w:t>
      </w:r>
      <w:r w:rsidR="00E97A52">
        <w:t>s grade.</w:t>
      </w:r>
      <w:r w:rsidR="00914B1E">
        <w:t xml:space="preserve"> In the case of different-grade siblings A and B, the resulting probability </w:t>
      </w:r>
      <w:r w:rsidR="00D6503E">
        <w:t>that at least one students receives an offer is</w:t>
      </w:r>
      <w:r w:rsidR="00914B1E">
        <w:t>:</w:t>
      </w:r>
    </w:p>
    <w:p w14:paraId="582A2EE7" w14:textId="36CAE1F9" w:rsidR="00E97A52" w:rsidRDefault="00EE78A1" w:rsidP="0083620E">
      <w:pPr>
        <w:pStyle w:val="Caption"/>
        <w:spacing w:line="480" w:lineRule="auto"/>
        <w:rPr>
          <w:szCs w:val="24"/>
        </w:rPr>
      </w:pPr>
      <w:r>
        <w:rPr>
          <w:szCs w:val="24"/>
        </w:rPr>
        <w:t>(</w:t>
      </w:r>
      <w:r>
        <w:rPr>
          <w:szCs w:val="24"/>
        </w:rPr>
        <w:fldChar w:fldCharType="begin"/>
      </w:r>
      <w:r>
        <w:rPr>
          <w:szCs w:val="24"/>
        </w:rPr>
        <w:instrText xml:space="preserve"> SEQ Equation \* ARABIC </w:instrText>
      </w:r>
      <w:r>
        <w:rPr>
          <w:szCs w:val="24"/>
        </w:rPr>
        <w:fldChar w:fldCharType="separate"/>
      </w:r>
      <w:r w:rsidR="006B4C3D">
        <w:rPr>
          <w:noProof/>
          <w:szCs w:val="24"/>
        </w:rPr>
        <w:t>13</w:t>
      </w:r>
      <w:r>
        <w:rPr>
          <w:szCs w:val="24"/>
        </w:rPr>
        <w:fldChar w:fldCharType="end"/>
      </w:r>
      <w:r w:rsidR="00E97A52">
        <w:rPr>
          <w:szCs w:val="24"/>
        </w:rPr>
        <w:t xml:space="preserve">) </w:t>
      </w:r>
      <m:oMath>
        <m:sSubSup>
          <m:sSubSupPr>
            <m:ctrlPr>
              <w:rPr>
                <w:rFonts w:ascii="Cambria Math" w:hAnsi="Cambria Math"/>
                <w:i/>
                <w:szCs w:val="24"/>
              </w:rPr>
            </m:ctrlPr>
          </m:sSubSupPr>
          <m:e>
            <m:r>
              <w:rPr>
                <w:rFonts w:ascii="Cambria Math" w:hAnsi="Cambria Math"/>
                <w:szCs w:val="24"/>
              </w:rPr>
              <m:t>p</m:t>
            </m:r>
          </m:e>
          <m:sub>
            <m:r>
              <w:rPr>
                <w:rFonts w:ascii="Cambria Math" w:hAnsi="Cambria Math"/>
                <w:szCs w:val="24"/>
              </w:rPr>
              <m:t>i</m:t>
            </m:r>
          </m:sub>
          <m:sup>
            <m:r>
              <w:rPr>
                <w:rFonts w:ascii="Cambria Math" w:hAnsi="Cambria Math"/>
                <w:szCs w:val="24"/>
              </w:rPr>
              <m:t>sibA</m:t>
            </m:r>
          </m:sup>
        </m:sSubSup>
        <m:r>
          <w:rPr>
            <w:rFonts w:ascii="Cambria Math" w:hAnsi="Cambria Math"/>
            <w:szCs w:val="24"/>
          </w:rPr>
          <m:t xml:space="preserve">=1-( </m:t>
        </m:r>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Cj</m:t>
                </m:r>
              </m:sub>
              <m:sup>
                <m:r>
                  <w:rPr>
                    <w:rFonts w:ascii="Cambria Math" w:hAnsi="Cambria Math"/>
                    <w:szCs w:val="24"/>
                  </w:rPr>
                  <m:t>sibA</m:t>
                </m:r>
              </m:sup>
            </m:sSubSup>
          </m:num>
          <m:den>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j</m:t>
                </m:r>
              </m:sub>
              <m:sup>
                <m:r>
                  <w:rPr>
                    <w:rFonts w:ascii="Cambria Math" w:hAnsi="Cambria Math"/>
                    <w:szCs w:val="24"/>
                  </w:rPr>
                  <m:t>sibA</m:t>
                </m:r>
              </m:sup>
            </m:sSubSup>
          </m:den>
        </m:f>
        <m:r>
          <w:rPr>
            <w:rFonts w:ascii="Cambria Math" w:hAnsi="Cambria Math"/>
            <w:szCs w:val="24"/>
          </w:rPr>
          <m:t>*</m:t>
        </m:r>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Cj</m:t>
                </m:r>
              </m:sub>
              <m:sup>
                <m:r>
                  <w:rPr>
                    <w:rFonts w:ascii="Cambria Math" w:hAnsi="Cambria Math"/>
                    <w:szCs w:val="24"/>
                  </w:rPr>
                  <m:t>sibB</m:t>
                </m:r>
              </m:sup>
            </m:sSubSup>
          </m:num>
          <m:den>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j</m:t>
                </m:r>
              </m:sub>
              <m:sup>
                <m:r>
                  <w:rPr>
                    <w:rFonts w:ascii="Cambria Math" w:hAnsi="Cambria Math"/>
                    <w:szCs w:val="24"/>
                  </w:rPr>
                  <m:t>sibB</m:t>
                </m:r>
              </m:sup>
            </m:sSubSup>
          </m:den>
        </m:f>
        <m:r>
          <w:rPr>
            <w:rFonts w:ascii="Cambria Math" w:hAnsi="Cambria Math"/>
            <w:szCs w:val="24"/>
          </w:rPr>
          <m:t>)</m:t>
        </m:r>
      </m:oMath>
    </w:p>
    <w:p w14:paraId="24459226" w14:textId="20B8E4EE" w:rsidR="005D47B1" w:rsidRDefault="003E3AE9" w:rsidP="0083620E">
      <w:pPr>
        <w:pStyle w:val="NormalSS"/>
        <w:spacing w:line="480" w:lineRule="auto"/>
        <w:rPr>
          <w:rFonts w:eastAsiaTheme="minorEastAsia"/>
        </w:rPr>
      </w:pPr>
      <w:r>
        <w:t>The final scenario is the union of the preceding scenarios: same- and different-grade siblings in the same cohort. To account for this, we first construct a set of intermediate probabilities (</w:t>
      </w:r>
      <m:oMath>
        <m:sSub>
          <m:sSubPr>
            <m:ctrlPr>
              <w:rPr>
                <w:rFonts w:ascii="Cambria Math" w:hAnsi="Cambria Math"/>
                <w:i/>
              </w:rPr>
            </m:ctrlPr>
          </m:sSubPr>
          <m:e>
            <m:r>
              <w:rPr>
                <w:rFonts w:ascii="Cambria Math" w:hAnsi="Cambria Math"/>
              </w:rPr>
              <m:t>p</m:t>
            </m:r>
          </m:e>
          <m:sub>
            <m:r>
              <w:rPr>
                <w:rFonts w:ascii="Cambria Math" w:hAnsi="Cambria Math"/>
              </w:rPr>
              <m:t>INTi</m:t>
            </m:r>
          </m:sub>
        </m:sSub>
        <m:r>
          <w:rPr>
            <w:rFonts w:ascii="Cambria Math" w:hAnsi="Cambria Math"/>
          </w:rPr>
          <m:t>),</m:t>
        </m:r>
      </m:oMath>
      <w:r w:rsidR="00C37640">
        <w:rPr>
          <w:rFonts w:eastAsiaTheme="minorEastAsia"/>
        </w:rPr>
        <w:t xml:space="preserve"> which are the probabilities of </w:t>
      </w:r>
      <w:r w:rsidR="004A606E">
        <w:rPr>
          <w:rFonts w:eastAsiaTheme="minorEastAsia"/>
        </w:rPr>
        <w:t xml:space="preserve">receiving </w:t>
      </w:r>
      <w:r w:rsidR="00C37640">
        <w:rPr>
          <w:rFonts w:eastAsiaTheme="minorEastAsia"/>
        </w:rPr>
        <w:t>an</w:t>
      </w:r>
      <w:r w:rsidR="004A606E">
        <w:rPr>
          <w:rFonts w:eastAsiaTheme="minorEastAsia"/>
        </w:rPr>
        <w:t xml:space="preserve"> offer</w:t>
      </w:r>
      <w:r w:rsidR="00C37640">
        <w:rPr>
          <w:rFonts w:eastAsiaTheme="minorEastAsia"/>
        </w:rPr>
        <w:t xml:space="preserve"> as if there</w:t>
      </w:r>
      <w:r w:rsidR="004A606E">
        <w:rPr>
          <w:rFonts w:eastAsiaTheme="minorEastAsia"/>
        </w:rPr>
        <w:t xml:space="preserve"> are</w:t>
      </w:r>
      <w:r w:rsidR="00C37640">
        <w:rPr>
          <w:rFonts w:eastAsiaTheme="minorEastAsia"/>
        </w:rPr>
        <w:t xml:space="preserve"> no different-grade siblings, but incorporating same-grade siblings. Then, </w:t>
      </w:r>
      <w:r w:rsidR="00552426">
        <w:rPr>
          <w:rFonts w:eastAsiaTheme="minorEastAsia"/>
        </w:rPr>
        <w:t xml:space="preserve">we use </w:t>
      </w:r>
      <w:r w:rsidR="00C37640">
        <w:rPr>
          <w:rFonts w:eastAsiaTheme="minorEastAsia"/>
        </w:rPr>
        <w:t>the intermediate probabilities to construct the final probability of receiving</w:t>
      </w:r>
      <w:r w:rsidR="004A606E">
        <w:rPr>
          <w:rFonts w:eastAsiaTheme="minorEastAsia"/>
        </w:rPr>
        <w:t xml:space="preserve"> an offer</w:t>
      </w:r>
      <w:r w:rsidR="00C37640">
        <w:rPr>
          <w:rFonts w:eastAsiaTheme="minorEastAsia"/>
        </w:rPr>
        <w:t>, at this stage accounting for different-grade siblings.</w:t>
      </w:r>
      <w:r w:rsidR="004A606E">
        <w:rPr>
          <w:rFonts w:eastAsiaTheme="minorEastAsia"/>
        </w:rPr>
        <w:t xml:space="preserve"> Depending on whether the cohort contains a single set of same-grade siblings or </w:t>
      </w:r>
      <w:r w:rsidR="004A606E">
        <w:rPr>
          <w:rFonts w:eastAsiaTheme="minorEastAsia"/>
        </w:rPr>
        <w:lastRenderedPageBreak/>
        <w:t xml:space="preserve">multiple sets of same-grade siblings, </w:t>
      </w:r>
      <w:r w:rsidR="00552426">
        <w:rPr>
          <w:rFonts w:eastAsiaTheme="minorEastAsia"/>
        </w:rPr>
        <w:t xml:space="preserve">we apply </w:t>
      </w:r>
      <w:r w:rsidR="00BF2E1A">
        <w:rPr>
          <w:rFonts w:eastAsiaTheme="minorEastAsia"/>
        </w:rPr>
        <w:t>the formulas discussed earlier</w:t>
      </w:r>
      <w:r w:rsidR="00552426">
        <w:rPr>
          <w:rFonts w:eastAsiaTheme="minorEastAsia"/>
        </w:rPr>
        <w:t>:</w:t>
      </w:r>
      <w:r w:rsidR="004A606E">
        <w:rPr>
          <w:rFonts w:eastAsiaTheme="minorEastAsia"/>
        </w:rPr>
        <w:t xml:space="preserve"> </w:t>
      </w:r>
      <w:r w:rsidR="00552426">
        <w:rPr>
          <w:rFonts w:eastAsiaTheme="minorEastAsia"/>
        </w:rPr>
        <w:t>E</w:t>
      </w:r>
      <w:r w:rsidR="004A606E">
        <w:rPr>
          <w:rFonts w:eastAsiaTheme="minorEastAsia"/>
        </w:rPr>
        <w:t xml:space="preserve">quations </w:t>
      </w:r>
      <w:r w:rsidR="00552426">
        <w:rPr>
          <w:rFonts w:eastAsiaTheme="minorEastAsia"/>
        </w:rPr>
        <w:t>(</w:t>
      </w:r>
      <w:r w:rsidR="0028159A">
        <w:rPr>
          <w:rFonts w:eastAsiaTheme="minorEastAsia"/>
        </w:rPr>
        <w:t>7</w:t>
      </w:r>
      <w:r w:rsidR="00552426">
        <w:rPr>
          <w:rFonts w:eastAsiaTheme="minorEastAsia"/>
        </w:rPr>
        <w:t>) and (</w:t>
      </w:r>
      <w:r w:rsidR="0028159A">
        <w:rPr>
          <w:rFonts w:eastAsiaTheme="minorEastAsia"/>
        </w:rPr>
        <w:t>8</w:t>
      </w:r>
      <w:r w:rsidR="00552426">
        <w:rPr>
          <w:rFonts w:eastAsiaTheme="minorEastAsia"/>
        </w:rPr>
        <w:t>)</w:t>
      </w:r>
      <w:r w:rsidR="004A606E">
        <w:rPr>
          <w:rFonts w:eastAsiaTheme="minorEastAsia"/>
        </w:rPr>
        <w:t xml:space="preserve"> and </w:t>
      </w:r>
      <w:r w:rsidR="00552426">
        <w:rPr>
          <w:rFonts w:eastAsiaTheme="minorEastAsia"/>
        </w:rPr>
        <w:t>E</w:t>
      </w:r>
      <w:r w:rsidR="004A606E">
        <w:rPr>
          <w:rFonts w:eastAsiaTheme="minorEastAsia"/>
        </w:rPr>
        <w:t xml:space="preserve">quations </w:t>
      </w:r>
      <w:r w:rsidR="00552426">
        <w:rPr>
          <w:rFonts w:eastAsiaTheme="minorEastAsia"/>
        </w:rPr>
        <w:t>(</w:t>
      </w:r>
      <w:r w:rsidR="0028159A">
        <w:rPr>
          <w:rFonts w:eastAsiaTheme="minorEastAsia"/>
        </w:rPr>
        <w:t>9</w:t>
      </w:r>
      <w:r w:rsidR="00552426">
        <w:rPr>
          <w:rFonts w:eastAsiaTheme="minorEastAsia"/>
        </w:rPr>
        <w:t>–</w:t>
      </w:r>
      <w:r w:rsidR="0028159A">
        <w:rPr>
          <w:rFonts w:eastAsiaTheme="minorEastAsia"/>
        </w:rPr>
        <w:t>12</w:t>
      </w:r>
      <w:r w:rsidR="00552426">
        <w:rPr>
          <w:rFonts w:eastAsiaTheme="minorEastAsia"/>
        </w:rPr>
        <w:t>)</w:t>
      </w:r>
      <w:r w:rsidR="004A606E">
        <w:rPr>
          <w:rFonts w:eastAsiaTheme="minorEastAsia"/>
        </w:rPr>
        <w:t xml:space="preserve">, respectively. For all students who </w:t>
      </w:r>
      <w:r w:rsidR="004A606E">
        <w:rPr>
          <w:rFonts w:eastAsiaTheme="minorEastAsia"/>
          <w:i/>
        </w:rPr>
        <w:t>do not</w:t>
      </w:r>
      <w:r w:rsidR="004A606E">
        <w:rPr>
          <w:rFonts w:eastAsiaTheme="minorEastAsia"/>
        </w:rPr>
        <w:t xml:space="preserve"> have a different-grade sibling, the final probability of receiving an offer is the same as their intermediate probability. For different-grade siblings, </w:t>
      </w:r>
      <w:r w:rsidR="0092651E">
        <w:rPr>
          <w:rFonts w:eastAsiaTheme="minorEastAsia"/>
        </w:rPr>
        <w:t xml:space="preserve">we modify </w:t>
      </w:r>
      <w:r w:rsidR="000360BE">
        <w:rPr>
          <w:rFonts w:eastAsiaTheme="minorEastAsia"/>
        </w:rPr>
        <w:t>E</w:t>
      </w:r>
      <w:r w:rsidR="0092651E">
        <w:rPr>
          <w:rFonts w:eastAsiaTheme="minorEastAsia"/>
        </w:rPr>
        <w:t xml:space="preserve">quation </w:t>
      </w:r>
      <w:r w:rsidR="000360BE">
        <w:rPr>
          <w:rFonts w:eastAsiaTheme="minorEastAsia"/>
        </w:rPr>
        <w:t>(</w:t>
      </w:r>
      <w:r w:rsidR="0092651E">
        <w:rPr>
          <w:rFonts w:eastAsiaTheme="minorEastAsia"/>
        </w:rPr>
        <w:t>1</w:t>
      </w:r>
      <w:r w:rsidR="0028159A">
        <w:rPr>
          <w:rFonts w:eastAsiaTheme="minorEastAsia"/>
        </w:rPr>
        <w:t>3</w:t>
      </w:r>
      <w:r w:rsidR="000360BE">
        <w:rPr>
          <w:rFonts w:eastAsiaTheme="minorEastAsia"/>
        </w:rPr>
        <w:t>)</w:t>
      </w:r>
      <w:r w:rsidR="0092651E">
        <w:rPr>
          <w:rFonts w:eastAsiaTheme="minorEastAsia"/>
        </w:rPr>
        <w:t xml:space="preserve"> to account for the intermediate probabilities:</w:t>
      </w:r>
    </w:p>
    <w:p w14:paraId="0B3045C5" w14:textId="102FE202" w:rsidR="0092651E" w:rsidRPr="004A606E" w:rsidRDefault="00EE78A1" w:rsidP="0083620E">
      <w:pPr>
        <w:pStyle w:val="Caption"/>
        <w:spacing w:line="480" w:lineRule="auto"/>
        <w:rPr>
          <w:rFonts w:eastAsiaTheme="minorEastAsia"/>
          <w:szCs w:val="24"/>
        </w:rPr>
      </w:pPr>
      <w:r>
        <w:rPr>
          <w:rFonts w:eastAsiaTheme="minorEastAsia"/>
          <w:szCs w:val="24"/>
        </w:rPr>
        <w:t>(</w:t>
      </w:r>
      <w:r w:rsidR="00DF5BB0">
        <w:rPr>
          <w:rFonts w:eastAsiaTheme="minorEastAsia"/>
          <w:szCs w:val="24"/>
        </w:rPr>
        <w:fldChar w:fldCharType="begin"/>
      </w:r>
      <w:r w:rsidR="00DF5BB0">
        <w:rPr>
          <w:rFonts w:eastAsiaTheme="minorEastAsia"/>
          <w:szCs w:val="24"/>
        </w:rPr>
        <w:instrText xml:space="preserve"> SEQ Equation \* ARABIC </w:instrText>
      </w:r>
      <w:r w:rsidR="00DF5BB0">
        <w:rPr>
          <w:rFonts w:eastAsiaTheme="minorEastAsia"/>
          <w:szCs w:val="24"/>
        </w:rPr>
        <w:fldChar w:fldCharType="separate"/>
      </w:r>
      <w:r w:rsidR="006B4C3D">
        <w:rPr>
          <w:rFonts w:eastAsiaTheme="minorEastAsia"/>
          <w:noProof/>
          <w:szCs w:val="24"/>
        </w:rPr>
        <w:t>14</w:t>
      </w:r>
      <w:r w:rsidR="00DF5BB0">
        <w:rPr>
          <w:rFonts w:eastAsiaTheme="minorEastAsia"/>
          <w:szCs w:val="24"/>
        </w:rPr>
        <w:fldChar w:fldCharType="end"/>
      </w:r>
      <w:r w:rsidR="0092651E">
        <w:rPr>
          <w:rFonts w:eastAsiaTheme="minorEastAsia"/>
          <w:szCs w:val="24"/>
        </w:rPr>
        <w:t xml:space="preserve">) </w:t>
      </w:r>
      <m:oMath>
        <m:sSubSup>
          <m:sSubSupPr>
            <m:ctrlPr>
              <w:rPr>
                <w:rFonts w:ascii="Cambria Math" w:hAnsi="Cambria Math"/>
                <w:i/>
                <w:szCs w:val="24"/>
              </w:rPr>
            </m:ctrlPr>
          </m:sSubSupPr>
          <m:e>
            <m:r>
              <w:rPr>
                <w:rFonts w:ascii="Cambria Math" w:hAnsi="Cambria Math"/>
                <w:szCs w:val="24"/>
              </w:rPr>
              <m:t>p</m:t>
            </m:r>
          </m:e>
          <m:sub>
            <m:r>
              <w:rPr>
                <w:rFonts w:ascii="Cambria Math" w:hAnsi="Cambria Math"/>
                <w:szCs w:val="24"/>
              </w:rPr>
              <m:t>i</m:t>
            </m:r>
          </m:sub>
          <m:sup>
            <m:r>
              <w:rPr>
                <w:rFonts w:ascii="Cambria Math" w:hAnsi="Cambria Math"/>
                <w:szCs w:val="24"/>
              </w:rPr>
              <m:t>sibA</m:t>
            </m:r>
          </m:sup>
        </m:sSubSup>
        <m:r>
          <w:rPr>
            <w:rFonts w:ascii="Cambria Math" w:hAnsi="Cambria Math"/>
            <w:szCs w:val="24"/>
          </w:rPr>
          <m:t xml:space="preserve">=1-( </m:t>
        </m:r>
        <m:d>
          <m:dPr>
            <m:ctrlPr>
              <w:rPr>
                <w:rFonts w:ascii="Cambria Math" w:hAnsi="Cambria Math"/>
                <w:i/>
                <w:szCs w:val="24"/>
              </w:rPr>
            </m:ctrlPr>
          </m:dPr>
          <m:e>
            <m:r>
              <w:rPr>
                <w:rFonts w:ascii="Cambria Math" w:hAnsi="Cambria Math"/>
                <w:szCs w:val="24"/>
              </w:rPr>
              <m:t>1-</m:t>
            </m:r>
            <m:sSubSup>
              <m:sSubSupPr>
                <m:ctrlPr>
                  <w:rPr>
                    <w:rFonts w:ascii="Cambria Math" w:hAnsi="Cambria Math"/>
                    <w:i/>
                    <w:szCs w:val="24"/>
                  </w:rPr>
                </m:ctrlPr>
              </m:sSubSupPr>
              <m:e>
                <m:r>
                  <w:rPr>
                    <w:rFonts w:ascii="Cambria Math" w:hAnsi="Cambria Math"/>
                    <w:szCs w:val="24"/>
                  </w:rPr>
                  <m:t>p</m:t>
                </m:r>
              </m:e>
              <m:sub>
                <m:r>
                  <w:rPr>
                    <w:rFonts w:ascii="Cambria Math" w:hAnsi="Cambria Math"/>
                    <w:szCs w:val="24"/>
                  </w:rPr>
                  <m:t>INTi</m:t>
                </m:r>
              </m:sub>
              <m:sup>
                <m:r>
                  <w:rPr>
                    <w:rFonts w:ascii="Cambria Math" w:hAnsi="Cambria Math"/>
                    <w:szCs w:val="24"/>
                  </w:rPr>
                  <m:t>sibA</m:t>
                </m:r>
              </m:sup>
            </m:sSubSup>
          </m:e>
        </m:d>
        <m:r>
          <w:rPr>
            <w:rFonts w:ascii="Cambria Math" w:hAnsi="Cambria Math"/>
            <w:szCs w:val="24"/>
          </w:rPr>
          <m:t>*</m:t>
        </m:r>
        <m:d>
          <m:dPr>
            <m:ctrlPr>
              <w:rPr>
                <w:rFonts w:ascii="Cambria Math" w:hAnsi="Cambria Math"/>
                <w:i/>
                <w:szCs w:val="24"/>
              </w:rPr>
            </m:ctrlPr>
          </m:dPr>
          <m:e>
            <m:r>
              <w:rPr>
                <w:rFonts w:ascii="Cambria Math" w:hAnsi="Cambria Math"/>
                <w:szCs w:val="24"/>
              </w:rPr>
              <m:t>1-</m:t>
            </m:r>
            <m:sSubSup>
              <m:sSubSupPr>
                <m:ctrlPr>
                  <w:rPr>
                    <w:rFonts w:ascii="Cambria Math" w:hAnsi="Cambria Math"/>
                    <w:i/>
                    <w:szCs w:val="24"/>
                  </w:rPr>
                </m:ctrlPr>
              </m:sSubSupPr>
              <m:e>
                <m:r>
                  <w:rPr>
                    <w:rFonts w:ascii="Cambria Math" w:hAnsi="Cambria Math"/>
                    <w:szCs w:val="24"/>
                  </w:rPr>
                  <m:t>p</m:t>
                </m:r>
              </m:e>
              <m:sub>
                <m:r>
                  <w:rPr>
                    <w:rFonts w:ascii="Cambria Math" w:hAnsi="Cambria Math"/>
                    <w:szCs w:val="24"/>
                  </w:rPr>
                  <m:t>INTi</m:t>
                </m:r>
              </m:sub>
              <m:sup>
                <m:r>
                  <w:rPr>
                    <w:rFonts w:ascii="Cambria Math" w:hAnsi="Cambria Math"/>
                    <w:szCs w:val="24"/>
                  </w:rPr>
                  <m:t>sibB</m:t>
                </m:r>
              </m:sup>
            </m:sSubSup>
          </m:e>
        </m:d>
        <m:r>
          <w:rPr>
            <w:rFonts w:ascii="Cambria Math" w:hAnsi="Cambria Math"/>
            <w:szCs w:val="24"/>
          </w:rPr>
          <m:t>)</m:t>
        </m:r>
      </m:oMath>
    </w:p>
    <w:p w14:paraId="0E06DBDA" w14:textId="07C27DA2" w:rsidR="00C37640" w:rsidRDefault="00F72FA4" w:rsidP="0083620E">
      <w:pPr>
        <w:pStyle w:val="NormalSS"/>
        <w:spacing w:line="480" w:lineRule="auto"/>
      </w:pPr>
      <w:r>
        <w:t>By construction, the probability of receiving an offer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is the same for each family member. </w:t>
      </w:r>
      <w:r w:rsidR="00C37640">
        <w:t xml:space="preserve">Regardless of the cohort composition (number of offers, number of same- and different-grade siblings, </w:t>
      </w:r>
      <w:r w:rsidR="000360BE">
        <w:t>and so on</w:t>
      </w:r>
      <w:r w:rsidR="00C37640">
        <w:t>)</w:t>
      </w:r>
      <w:r>
        <w:t>, the construction of base weights and application of normalization factors (</w:t>
      </w:r>
      <m:oMath>
        <m:r>
          <w:rPr>
            <w:rFonts w:ascii="Cambria Math" w:hAnsi="Cambria Math"/>
          </w:rPr>
          <m:t>NF</m:t>
        </m:r>
      </m:oMath>
      <w:r>
        <w:t>) follows the same procedures de</w:t>
      </w:r>
      <w:r w:rsidR="000360BE">
        <w:t>scrib</w:t>
      </w:r>
      <w:r>
        <w:t>ed e</w:t>
      </w:r>
      <w:r w:rsidR="000360BE">
        <w:t>arlier</w:t>
      </w:r>
      <w:r>
        <w:t xml:space="preserve"> (</w:t>
      </w:r>
      <w:r w:rsidR="000360BE">
        <w:t>E</w:t>
      </w:r>
      <w:r>
        <w:t xml:space="preserve">quations </w:t>
      </w:r>
      <w:r w:rsidR="000360BE">
        <w:t>[</w:t>
      </w:r>
      <w:r w:rsidR="0028159A">
        <w:t>3</w:t>
      </w:r>
      <w:r w:rsidR="000360BE">
        <w:t>–</w:t>
      </w:r>
      <w:r w:rsidR="0028159A">
        <w:t>6</w:t>
      </w:r>
      <w:r w:rsidR="000360BE">
        <w:t>]</w:t>
      </w:r>
      <w:r>
        <w:t>).</w:t>
      </w:r>
    </w:p>
    <w:p w14:paraId="21E58427" w14:textId="5552C8BA" w:rsidR="00260DBC" w:rsidRDefault="000360BE" w:rsidP="0083620E">
      <w:pPr>
        <w:pStyle w:val="NormalSS"/>
        <w:spacing w:line="480" w:lineRule="auto"/>
      </w:pPr>
      <w:r>
        <w:t>We constructed p</w:t>
      </w:r>
      <w:r w:rsidR="009869C2" w:rsidRPr="009869C2">
        <w:t>arent weights using the student</w:t>
      </w:r>
      <w:r w:rsidR="002E1868">
        <w:t>’</w:t>
      </w:r>
      <w:r w:rsidR="009869C2" w:rsidRPr="009869C2">
        <w:t xml:space="preserve">s probability of receiving an offer, which is constant within a family. </w:t>
      </w:r>
      <w:r>
        <w:t>We then created b</w:t>
      </w:r>
      <w:r w:rsidR="009869C2" w:rsidRPr="009869C2">
        <w:t xml:space="preserve">ase weights </w:t>
      </w:r>
      <w:r w:rsidR="0028159A">
        <w:t xml:space="preserve">using </w:t>
      </w:r>
      <w:r>
        <w:t>E</w:t>
      </w:r>
      <w:r w:rsidR="0028159A">
        <w:t xml:space="preserve">quations </w:t>
      </w:r>
      <w:r>
        <w:t>(</w:t>
      </w:r>
      <w:r w:rsidR="0028159A">
        <w:t>3</w:t>
      </w:r>
      <w:r>
        <w:t>) and (</w:t>
      </w:r>
      <w:r w:rsidR="0028159A">
        <w:t>4</w:t>
      </w:r>
      <w:r>
        <w:t>)</w:t>
      </w:r>
      <w:r w:rsidR="009869C2" w:rsidRPr="009869C2">
        <w:t>. For parents, the normalization factors are designed such that the weights of each experimental group sum to one-half the number of parent applicants in the year. This contrasts with student normalization factors in that the factors are yearly, rather than grade-by-year.</w:t>
      </w:r>
    </w:p>
    <w:p w14:paraId="04EBCCED" w14:textId="5835B415" w:rsidR="002B619D" w:rsidRDefault="00296B83" w:rsidP="0083620E">
      <w:pPr>
        <w:pStyle w:val="H3AlphaNoTOC"/>
        <w:spacing w:line="480" w:lineRule="auto"/>
      </w:pPr>
      <w:r>
        <w:t>Constructin</w:t>
      </w:r>
      <w:r w:rsidR="000360BE">
        <w:t>g</w:t>
      </w:r>
      <w:r>
        <w:t xml:space="preserve"> probability estimates</w:t>
      </w:r>
    </w:p>
    <w:p w14:paraId="7537A182" w14:textId="0EC9A8A6" w:rsidR="00296B83" w:rsidRDefault="00296B83" w:rsidP="0083620E">
      <w:pPr>
        <w:pStyle w:val="NormalSS"/>
        <w:spacing w:line="480" w:lineRule="auto"/>
      </w:pPr>
      <w:r w:rsidRPr="00296B83">
        <w:t xml:space="preserve">The literature search used to assess the likelihood of a truly positive </w:t>
      </w:r>
      <w:r>
        <w:t>effect</w:t>
      </w:r>
      <w:r w:rsidRPr="00296B83">
        <w:t xml:space="preserve"> of Democracy Prep on the student population included studies estimating the impacts of education on student</w:t>
      </w:r>
      <w:r w:rsidR="000360BE">
        <w:t>s’</w:t>
      </w:r>
      <w:r w:rsidRPr="00296B83">
        <w:t xml:space="preserve"> registration and/or voting. </w:t>
      </w:r>
      <w:r w:rsidR="000360BE">
        <w:t>We combined p</w:t>
      </w:r>
      <w:r w:rsidRPr="00296B83">
        <w:t>oint estimates and standard errors into a single data</w:t>
      </w:r>
      <w:r w:rsidR="00E53523">
        <w:t xml:space="preserve"> </w:t>
      </w:r>
      <w:r w:rsidRPr="00296B83">
        <w:t xml:space="preserve">set, then transformed </w:t>
      </w:r>
      <w:r w:rsidR="000360BE">
        <w:t xml:space="preserve">them </w:t>
      </w:r>
      <w:r w:rsidRPr="00296B83">
        <w:t xml:space="preserve">to generate effect sizes and standard errors of the effect sizes, </w:t>
      </w:r>
      <w:r w:rsidRPr="00296B83">
        <w:lastRenderedPageBreak/>
        <w:t xml:space="preserve">respectively. Due to variation in </w:t>
      </w:r>
      <w:r w:rsidR="000360BE">
        <w:t>the</w:t>
      </w:r>
      <w:r w:rsidR="000360BE" w:rsidRPr="00296B83">
        <w:t xml:space="preserve"> </w:t>
      </w:r>
      <w:r w:rsidRPr="00296B83">
        <w:t xml:space="preserve">statistics reported, </w:t>
      </w:r>
      <w:r w:rsidR="000360BE">
        <w:t xml:space="preserve">we conducted </w:t>
      </w:r>
      <w:r>
        <w:t>this transformation by dividing point estimates and standard errors by</w:t>
      </w:r>
      <w:r w:rsidRPr="00296B83">
        <w:t xml:space="preserve"> the</w:t>
      </w:r>
      <w:r w:rsidR="00A95D0E">
        <w:t xml:space="preserve"> square root of the variance of the outcome</w:t>
      </w:r>
      <w:r w:rsidRPr="00296B83">
        <w:t>.</w:t>
      </w:r>
    </w:p>
    <w:p w14:paraId="4BEFCF39" w14:textId="5ED70F76" w:rsidR="00277973" w:rsidRPr="00277973" w:rsidRDefault="00277973" w:rsidP="0083620E">
      <w:pPr>
        <w:pStyle w:val="H3AlphaNoTOC"/>
        <w:spacing w:line="480" w:lineRule="auto"/>
      </w:pPr>
      <w:r>
        <w:t>Notation</w:t>
      </w:r>
    </w:p>
    <w:p w14:paraId="5CB9FEBD" w14:textId="231B3AE9" w:rsidR="00277973" w:rsidRPr="00750973" w:rsidRDefault="00277973" w:rsidP="0083620E">
      <w:pPr>
        <w:pStyle w:val="NormalSS"/>
        <w:spacing w:line="480" w:lineRule="auto"/>
      </w:pPr>
      <w:r>
        <w:t xml:space="preserve">As shown in </w:t>
      </w:r>
      <w:r w:rsidR="000360BE">
        <w:t xml:space="preserve">Chapter III, </w:t>
      </w:r>
      <w:r>
        <w:t xml:space="preserve">Figure </w:t>
      </w:r>
      <w:r w:rsidR="000360BE">
        <w:t>III.</w:t>
      </w:r>
      <w:r>
        <w:t xml:space="preserve">2, a given </w:t>
      </w:r>
      <w:r w:rsidRPr="006651F8">
        <w:rPr>
          <w:i/>
        </w:rPr>
        <w:t>intervention</w:t>
      </w:r>
      <w:r>
        <w:t xml:space="preserve"> (</w:t>
      </w:r>
      <w:r w:rsidR="000360BE">
        <w:t>such as</w:t>
      </w:r>
      <w:r>
        <w:t xml:space="preserve"> Democracy Prep) </w:t>
      </w:r>
      <w:r w:rsidR="000360BE">
        <w:t xml:space="preserve">can </w:t>
      </w:r>
      <w:r>
        <w:t xml:space="preserve">have multiple impact </w:t>
      </w:r>
      <w:r w:rsidRPr="006651F8">
        <w:rPr>
          <w:i/>
        </w:rPr>
        <w:t>estimates</w:t>
      </w:r>
      <w:r>
        <w:t xml:space="preserve"> (</w:t>
      </w:r>
      <w:r w:rsidR="000360BE">
        <w:t>such as</w:t>
      </w:r>
      <w:r>
        <w:t xml:space="preserve"> an estimate of the effect on registration and an estimate of the effect on voting). We use </w:t>
      </w:r>
      <m:oMath>
        <m:r>
          <w:rPr>
            <w:rFonts w:ascii="Cambria Math" w:hAnsi="Cambria Math"/>
          </w:rPr>
          <m:t>j</m:t>
        </m:r>
      </m:oMath>
      <w:r>
        <w:rPr>
          <w:rFonts w:eastAsiaTheme="minorEastAsia"/>
        </w:rPr>
        <w:t xml:space="preserve"> to index the estimates (</w:t>
      </w:r>
      <w:r w:rsidRPr="00D05976">
        <w:rPr>
          <w:rFonts w:eastAsiaTheme="minorEastAsia"/>
        </w:rPr>
        <w:t xml:space="preserve">with </w:t>
      </w:r>
      <m:oMath>
        <m:r>
          <w:rPr>
            <w:rFonts w:ascii="Cambria Math" w:eastAsiaTheme="minorEastAsia" w:hAnsi="Cambria Math"/>
          </w:rPr>
          <m:t>j=1, …, J=29</m:t>
        </m:r>
      </m:oMath>
      <w:r w:rsidRPr="00D05976">
        <w:rPr>
          <w:rFonts w:eastAsiaTheme="minorEastAsia"/>
        </w:rPr>
        <w:t xml:space="preserve"> denoting </w:t>
      </w:r>
      <w:r>
        <w:rPr>
          <w:rFonts w:eastAsiaTheme="minorEastAsia"/>
        </w:rPr>
        <w:t>published estimates</w:t>
      </w:r>
      <w:r w:rsidRPr="00D05976">
        <w:rPr>
          <w:rFonts w:eastAsiaTheme="minorEastAsia"/>
        </w:rPr>
        <w:t xml:space="preserve"> and </w:t>
      </w:r>
      <m:oMath>
        <m:r>
          <w:rPr>
            <w:rFonts w:ascii="Cambria Math" w:eastAsiaTheme="minorEastAsia" w:hAnsi="Cambria Math"/>
          </w:rPr>
          <m:t xml:space="preserve">J+1=30 </m:t>
        </m:r>
        <m:r>
          <m:rPr>
            <m:nor/>
          </m:rPr>
          <w:rPr>
            <w:rFonts w:ascii="Cambria Math" w:eastAsiaTheme="minorEastAsia" w:hAnsi="Cambria Math"/>
          </w:rPr>
          <m:t>and</m:t>
        </m:r>
        <m:r>
          <w:rPr>
            <w:rFonts w:ascii="Cambria Math" w:eastAsiaTheme="minorEastAsia" w:hAnsi="Cambria Math"/>
          </w:rPr>
          <m:t xml:space="preserve"> J+2=31 </m:t>
        </m:r>
      </m:oMath>
      <w:r>
        <w:rPr>
          <w:rFonts w:eastAsiaTheme="minorEastAsia"/>
        </w:rPr>
        <w:t>denoting estimates of the impact of</w:t>
      </w:r>
      <w:r w:rsidRPr="00D05976">
        <w:rPr>
          <w:rFonts w:eastAsiaTheme="minorEastAsia"/>
        </w:rPr>
        <w:t xml:space="preserve"> Democracy Prep</w:t>
      </w:r>
      <w:r>
        <w:rPr>
          <w:rFonts w:eastAsiaTheme="minorEastAsia"/>
        </w:rPr>
        <w:t xml:space="preserve"> on registration and voting, respectively). We use </w:t>
      </w:r>
      <m:oMath>
        <m:r>
          <w:rPr>
            <w:rFonts w:ascii="Cambria Math" w:eastAsiaTheme="minorEastAsia" w:hAnsi="Cambria Math"/>
          </w:rPr>
          <m:t>k</m:t>
        </m:r>
      </m:oMath>
      <w:r>
        <w:rPr>
          <w:rFonts w:eastAsiaTheme="minorEastAsia"/>
        </w:rPr>
        <w:t xml:space="preserve"> to index the interventions (</w:t>
      </w:r>
      <w:r w:rsidRPr="00E87C8E">
        <w:rPr>
          <w:rFonts w:eastAsiaTheme="minorEastAsia"/>
        </w:rPr>
        <w:t xml:space="preserve">with </w:t>
      </w:r>
      <m:oMath>
        <m:r>
          <w:rPr>
            <w:rFonts w:ascii="Cambria Math" w:eastAsiaTheme="minorEastAsia" w:hAnsi="Cambria Math"/>
          </w:rPr>
          <m:t>k=1, …, K=8</m:t>
        </m:r>
      </m:oMath>
      <w:r w:rsidRPr="00E87C8E">
        <w:rPr>
          <w:rFonts w:eastAsiaTheme="minorEastAsia"/>
        </w:rPr>
        <w:t xml:space="preserve"> </w:t>
      </w:r>
      <w:r>
        <w:rPr>
          <w:rFonts w:eastAsiaTheme="minorEastAsia"/>
        </w:rPr>
        <w:t>denoting</w:t>
      </w:r>
      <w:r w:rsidRPr="00E87C8E">
        <w:rPr>
          <w:rFonts w:eastAsiaTheme="minorEastAsia"/>
        </w:rPr>
        <w:t xml:space="preserve"> interventions</w:t>
      </w:r>
      <w:r>
        <w:rPr>
          <w:rFonts w:eastAsiaTheme="minorEastAsia"/>
        </w:rPr>
        <w:t xml:space="preserve"> studied in the published literature</w:t>
      </w:r>
      <w:r w:rsidRPr="00E87C8E">
        <w:rPr>
          <w:rFonts w:eastAsiaTheme="minorEastAsia"/>
        </w:rPr>
        <w:t xml:space="preserve"> and </w:t>
      </w:r>
      <m:oMath>
        <m:r>
          <w:rPr>
            <w:rFonts w:ascii="Cambria Math" w:eastAsiaTheme="minorEastAsia" w:hAnsi="Cambria Math"/>
          </w:rPr>
          <m:t xml:space="preserve">K+1=9 </m:t>
        </m:r>
      </m:oMath>
      <w:r>
        <w:rPr>
          <w:rFonts w:eastAsiaTheme="minorEastAsia"/>
        </w:rPr>
        <w:t>denoting</w:t>
      </w:r>
      <w:r w:rsidRPr="00E87C8E">
        <w:rPr>
          <w:rFonts w:eastAsiaTheme="minorEastAsia"/>
        </w:rPr>
        <w:t xml:space="preserve"> the Democracy Prep intervention</w:t>
      </w:r>
      <w:r>
        <w:rPr>
          <w:rFonts w:eastAsiaTheme="minorEastAsia"/>
        </w:rPr>
        <w:t>).</w:t>
      </w:r>
    </w:p>
    <w:p w14:paraId="666E78A4" w14:textId="26565AE1" w:rsidR="00277973" w:rsidRDefault="003C140A" w:rsidP="0083620E">
      <w:pPr>
        <w:pStyle w:val="NormalSS"/>
        <w:spacing w:line="480" w:lineRule="auto"/>
      </w:pPr>
      <m:oMathPara>
        <m:oMath>
          <m:sSub>
            <m:sSubPr>
              <m:ctrlPr>
                <w:rPr>
                  <w:rFonts w:ascii="Cambria Math" w:hAnsi="Cambria Math"/>
                  <w:i/>
                </w:rPr>
              </m:ctrlPr>
            </m:sSubPr>
            <m:e>
              <m:r>
                <w:rPr>
                  <w:rFonts w:ascii="Cambria Math" w:hAnsi="Cambria Math"/>
                </w:rPr>
                <m:t>θ</m:t>
              </m:r>
            </m:e>
            <m:sub>
              <m:r>
                <w:rPr>
                  <w:rFonts w:ascii="Cambria Math" w:hAnsi="Cambria Math"/>
                </w:rPr>
                <m:t>J+1</m:t>
              </m:r>
            </m:sub>
          </m:sSub>
          <m:r>
            <m:rPr>
              <m:aln/>
            </m:rPr>
            <w:rPr>
              <w:rFonts w:ascii="Cambria Math" w:hAnsi="Cambria Math"/>
            </w:rPr>
            <m:t>=</m:t>
          </m:r>
          <m:r>
            <m:rPr>
              <m:nor/>
            </m:rPr>
            <w:rPr>
              <w:rFonts w:ascii="Cambria Math" w:hAnsi="Cambria Math"/>
            </w:rPr>
            <m:t xml:space="preserve">the impact of Democracy Prep on registration </m:t>
          </m:r>
          <m:r>
            <m:rPr>
              <m:sty m:val="p"/>
            </m:rPr>
            <w:rPr>
              <w:rFonts w:eastAsiaTheme="minorEastAsia"/>
            </w:rPr>
            <w:br/>
          </m:r>
        </m:oMath>
        <m:oMath>
          <m:sSub>
            <m:sSubPr>
              <m:ctrlPr>
                <w:rPr>
                  <w:rFonts w:ascii="Cambria Math" w:hAnsi="Cambria Math"/>
                  <w:i/>
                </w:rPr>
              </m:ctrlPr>
            </m:sSubPr>
            <m:e>
              <m:r>
                <w:rPr>
                  <w:rFonts w:ascii="Cambria Math" w:hAnsi="Cambria Math"/>
                </w:rPr>
                <m:t>θ</m:t>
              </m:r>
            </m:e>
            <m:sub>
              <m:r>
                <w:rPr>
                  <w:rFonts w:ascii="Cambria Math" w:hAnsi="Cambria Math"/>
                </w:rPr>
                <m:t>J+2</m:t>
              </m:r>
            </m:sub>
          </m:sSub>
          <m:r>
            <m:rPr>
              <m:aln/>
            </m:rPr>
            <w:rPr>
              <w:rFonts w:ascii="Cambria Math" w:hAnsi="Cambria Math"/>
            </w:rPr>
            <m:t>=</m:t>
          </m:r>
          <m:r>
            <m:rPr>
              <m:nor/>
            </m:rPr>
            <w:rPr>
              <w:rFonts w:ascii="Cambria Math" w:hAnsi="Cambria Math"/>
            </w:rPr>
            <m:t>the impact of Democracy Prep on voting</m:t>
          </m:r>
          <m:r>
            <m:rPr>
              <m:sty m:val="p"/>
            </m:rPr>
            <w:rPr>
              <w:rFonts w:eastAsiaTheme="minorEastAsia"/>
            </w:rPr>
            <w:br/>
          </m:r>
        </m:oMath>
        <m:oMath>
          <m:sSub>
            <m:sSubPr>
              <m:ctrlPr>
                <w:rPr>
                  <w:rFonts w:ascii="Cambria Math" w:hAnsi="Cambria Math"/>
                  <w:i/>
                </w:rPr>
              </m:ctrlPr>
            </m:sSubPr>
            <m:e>
              <m:r>
                <w:rPr>
                  <w:rFonts w:ascii="Cambria Math" w:hAnsi="Cambria Math"/>
                </w:rPr>
                <m:t>θ</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J</m:t>
              </m:r>
            </m:sub>
          </m:sSub>
          <m:r>
            <m:rPr>
              <m:aln/>
            </m:rPr>
            <w:rPr>
              <w:rFonts w:ascii="Cambria Math" w:hAnsi="Cambria Math"/>
            </w:rPr>
            <m:t>=</m:t>
          </m:r>
          <m:r>
            <m:rPr>
              <m:sty m:val="p"/>
            </m:rPr>
            <w:rPr>
              <w:rFonts w:ascii="Cambria Math" w:hAnsi="Cambria Math"/>
            </w:rPr>
            <m:t>the true effects that published studies sought to estimat</m:t>
          </m:r>
          <m:r>
            <m:rPr>
              <m:nor/>
            </m:rPr>
            <w:rPr>
              <w:rFonts w:ascii="Cambria Math" w:hAnsi="Cambria Math"/>
            </w:rPr>
            <m:t>e</m:t>
          </m:r>
          <m:r>
            <m:rPr>
              <m:sty m:val="p"/>
            </m:rPr>
            <w:rPr>
              <w:rFonts w:eastAsiaTheme="minorEastAsia"/>
            </w:rPr>
            <w:br/>
          </m:r>
        </m:oMath>
        <m:oMath>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1</m:t>
              </m:r>
            </m:sub>
          </m:sSub>
          <m:r>
            <w:rPr>
              <w:rFonts w:ascii="Cambria Math" w:hAnsi="Cambria Math"/>
            </w:rPr>
            <m:t xml:space="preserve">, …, </m:t>
          </m:r>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J+2</m:t>
              </m:r>
            </m:sub>
          </m:sSub>
          <m:r>
            <m:rPr>
              <m:aln/>
            </m:rPr>
            <w:rPr>
              <w:rFonts w:ascii="Cambria Math" w:hAnsi="Cambria Math"/>
            </w:rPr>
            <m:t>=</m:t>
          </m:r>
          <m:r>
            <m:rPr>
              <m:nor/>
            </m:rPr>
            <w:rPr>
              <w:rFonts w:ascii="Cambria Math" w:hAnsi="Cambria Math"/>
            </w:rPr>
            <m:t>estimates</m:t>
          </m:r>
          <m:r>
            <m:rPr>
              <m:sty m:val="p"/>
            </m:rPr>
            <w:rPr>
              <w:rFonts w:eastAsiaTheme="minorEastAsia"/>
            </w:rPr>
            <w:br/>
          </m:r>
        </m:oMath>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J+2</m:t>
              </m:r>
            </m:sub>
          </m:sSub>
          <m:r>
            <m:rPr>
              <m:aln/>
            </m:rPr>
            <w:rPr>
              <w:rFonts w:ascii="Cambria Math" w:hAnsi="Cambria Math"/>
            </w:rPr>
            <m:t>=</m:t>
          </m:r>
          <m:r>
            <m:rPr>
              <m:nor/>
            </m:rPr>
            <w:rPr>
              <w:rFonts w:ascii="Cambria Math" w:hAnsi="Cambria Math"/>
            </w:rPr>
            <m:t>their standard errors</m:t>
          </m:r>
        </m:oMath>
      </m:oMathPara>
    </w:p>
    <w:p w14:paraId="6558555C" w14:textId="5B5EEEEC" w:rsidR="00685914" w:rsidRPr="00685914" w:rsidRDefault="00685914" w:rsidP="0083620E">
      <w:pPr>
        <w:pStyle w:val="H3AlphaNoTOC"/>
        <w:spacing w:line="480" w:lineRule="auto"/>
      </w:pPr>
      <w:r w:rsidRPr="00685914">
        <w:t xml:space="preserve">Main </w:t>
      </w:r>
      <w:r w:rsidR="00457D9F">
        <w:t>a</w:t>
      </w:r>
      <w:r w:rsidRPr="00685914">
        <w:t>pproach</w:t>
      </w:r>
    </w:p>
    <w:p w14:paraId="4EC0E3ED" w14:textId="4666C26D" w:rsidR="00277973" w:rsidRDefault="00277973" w:rsidP="0083620E">
      <w:pPr>
        <w:pStyle w:val="NormalSS"/>
        <w:spacing w:line="480" w:lineRule="auto"/>
        <w:rPr>
          <w:rFonts w:eastAsiaTheme="minorEastAsia"/>
        </w:rPr>
      </w:pPr>
      <w:r>
        <w:t>Almost all of the published estimates are positive. T</w:t>
      </w:r>
      <w:r w:rsidRPr="008916ED">
        <w:t xml:space="preserve">his </w:t>
      </w:r>
      <w:r w:rsidR="00457D9F">
        <w:t>could</w:t>
      </w:r>
      <w:r w:rsidR="00457D9F" w:rsidRPr="008916ED">
        <w:t xml:space="preserve"> </w:t>
      </w:r>
      <w:r w:rsidRPr="008916ED">
        <w:t>be at least part</w:t>
      </w:r>
      <w:r w:rsidR="00457D9F">
        <w:t>ly</w:t>
      </w:r>
      <w:r w:rsidRPr="008916ED">
        <w:t xml:space="preserve"> due to publication bias</w:t>
      </w:r>
      <w:r>
        <w:t xml:space="preserve">, </w:t>
      </w:r>
      <w:r w:rsidR="00457D9F">
        <w:t xml:space="preserve">so-called </w:t>
      </w:r>
      <w:r w:rsidRPr="001A5C06">
        <w:rPr>
          <w:i/>
        </w:rPr>
        <w:t>p</w:t>
      </w:r>
      <w:r>
        <w:t>-hacking,</w:t>
      </w:r>
      <w:r w:rsidRPr="008916ED">
        <w:t xml:space="preserve"> and/or the </w:t>
      </w:r>
      <w:r>
        <w:t>garden of forking paths</w:t>
      </w:r>
      <w:r w:rsidR="00C70E2B">
        <w:t>,</w:t>
      </w:r>
      <w:r w:rsidRPr="008916ED">
        <w:t xml:space="preserve"> whereby </w:t>
      </w:r>
      <w:r>
        <w:t xml:space="preserve">researchers—consciously or not—tend to present the most favorable of a large number of possible results from any given analysis (Gelman </w:t>
      </w:r>
      <w:r w:rsidR="00457D9F">
        <w:t>and</w:t>
      </w:r>
      <w:r>
        <w:t xml:space="preserve"> Loken 2013)</w:t>
      </w:r>
      <w:r w:rsidRPr="008916ED">
        <w:t>.</w:t>
      </w:r>
      <w:r>
        <w:t xml:space="preserve"> </w:t>
      </w:r>
      <w:r w:rsidR="00457D9F">
        <w:t>T</w:t>
      </w:r>
      <w:r>
        <w:t>o p</w:t>
      </w:r>
      <w:r w:rsidR="00457D9F">
        <w:t>revent</w:t>
      </w:r>
      <w:r>
        <w:t xml:space="preserve"> these biases from propagating through to</w:t>
      </w:r>
      <w:r w:rsidRPr="008916ED">
        <w:t xml:space="preserve"> the current analysis of Democracy Prep</w:t>
      </w:r>
      <w:r>
        <w:t>, o</w:t>
      </w:r>
      <w:r w:rsidRPr="008916ED">
        <w:t xml:space="preserve">ur main approach </w:t>
      </w:r>
      <w:r>
        <w:t xml:space="preserve">presumes </w:t>
      </w:r>
      <w:r w:rsidRPr="0004442A">
        <w:t xml:space="preserve">that the </w:t>
      </w:r>
      <w:r>
        <w:t>prior estimates</w:t>
      </w:r>
      <w:r w:rsidRPr="0004442A">
        <w:t xml:space="preserve"> </w:t>
      </w:r>
      <w:r w:rsidRPr="0004442A">
        <w:lastRenderedPageBreak/>
        <w:t xml:space="preserve">are exaggerated </w:t>
      </w:r>
      <w:r>
        <w:t>by a factor of two, on average (Gelman 2014)</w:t>
      </w:r>
      <w:r w:rsidRPr="0004442A">
        <w:t xml:space="preserve">. </w:t>
      </w:r>
      <w:r>
        <w:t xml:space="preserve">The prior mean is thus taken to be </w:t>
      </w:r>
      <m:oMath>
        <m:acc>
          <m:accPr>
            <m:ctrlPr>
              <w:rPr>
                <w:rFonts w:ascii="Cambria Math" w:hAnsi="Cambria Math"/>
                <w:i/>
              </w:rPr>
            </m:ctrlPr>
          </m:accPr>
          <m:e>
            <m:r>
              <w:rPr>
                <w:rFonts w:ascii="Cambria Math" w:hAnsi="Cambria Math"/>
              </w:rPr>
              <m:t>μ</m:t>
            </m:r>
          </m:e>
        </m:acc>
        <m:r>
          <w:rPr>
            <w:rFonts w:ascii="Cambria Math" w:hAnsi="Cambria Math"/>
          </w:rPr>
          <m:t>/2</m:t>
        </m:r>
      </m:oMath>
      <w:r>
        <w:rPr>
          <w:rFonts w:eastAsiaTheme="minorEastAsia"/>
        </w:rPr>
        <w:t xml:space="preserve">, with </w:t>
      </w:r>
      <m:oMath>
        <m:r>
          <w:rPr>
            <w:rFonts w:ascii="Cambria Math" w:eastAsiaTheme="minorEastAsia" w:hAnsi="Cambria Math"/>
          </w:rPr>
          <m:t>μ</m:t>
        </m:r>
      </m:oMath>
      <w:r>
        <w:rPr>
          <w:rFonts w:eastAsiaTheme="minorEastAsia"/>
        </w:rPr>
        <w:t xml:space="preserve"> equal to the mean impact across prior interventions. (We estimate </w:t>
      </w:r>
      <m:oMath>
        <m:acc>
          <m:accPr>
            <m:ctrlPr>
              <w:rPr>
                <w:rFonts w:ascii="Cambria Math" w:eastAsiaTheme="minorEastAsia" w:hAnsi="Cambria Math"/>
                <w:i/>
              </w:rPr>
            </m:ctrlPr>
          </m:accPr>
          <m:e>
            <m:r>
              <w:rPr>
                <w:rFonts w:ascii="Cambria Math" w:eastAsiaTheme="minorEastAsia" w:hAnsi="Cambria Math"/>
              </w:rPr>
              <m:t>μ</m:t>
            </m:r>
          </m:e>
        </m:acc>
      </m:oMath>
      <w:r>
        <w:rPr>
          <w:rFonts w:eastAsiaTheme="minorEastAsia"/>
        </w:rPr>
        <w:t xml:space="preserve"> as the posterior mean of </w:t>
      </w:r>
      <m:oMath>
        <m:r>
          <w:rPr>
            <w:rFonts w:ascii="Cambria Math" w:eastAsiaTheme="minorEastAsia" w:hAnsi="Cambria Math"/>
          </w:rPr>
          <m:t>μ</m:t>
        </m:r>
      </m:oMath>
      <w:r>
        <w:rPr>
          <w:rFonts w:eastAsiaTheme="minorEastAsia"/>
        </w:rPr>
        <w:t xml:space="preserve"> under the model used for sensitivity analysis 2, which takes the prior studies at face value.) The main model is given by:</w:t>
      </w:r>
    </w:p>
    <w:p w14:paraId="090955BA" w14:textId="77777777" w:rsidR="00DF5BB0" w:rsidRDefault="00DF5BB0" w:rsidP="0083620E">
      <w:pPr>
        <w:pStyle w:val="NormalSS"/>
        <w:spacing w:line="480" w:lineRule="auto"/>
        <w:rPr>
          <w:rFonts w:eastAsiaTheme="minorEastAsia"/>
        </w:rPr>
      </w:pPr>
      <w:r>
        <w:rPr>
          <w:rFonts w:eastAsiaTheme="minorEastAsia"/>
        </w:rPr>
        <w:t>(</w:t>
      </w:r>
      <w:r>
        <w:rPr>
          <w:rFonts w:eastAsiaTheme="minorEastAsia"/>
        </w:rPr>
        <w:fldChar w:fldCharType="begin"/>
      </w:r>
      <w:r>
        <w:rPr>
          <w:rFonts w:eastAsiaTheme="minorEastAsia"/>
        </w:rPr>
        <w:instrText xml:space="preserve"> SEQ Equation \* ARABIC </w:instrText>
      </w:r>
      <w:r>
        <w:rPr>
          <w:rFonts w:eastAsiaTheme="minorEastAsia"/>
        </w:rPr>
        <w:fldChar w:fldCharType="separate"/>
      </w:r>
      <w:r w:rsidR="006B4C3D">
        <w:rPr>
          <w:rFonts w:eastAsiaTheme="minorEastAsia"/>
          <w:noProof/>
        </w:rPr>
        <w:t>15</w:t>
      </w:r>
      <w:r>
        <w:rPr>
          <w:rFonts w:eastAsiaTheme="minorEastAsia"/>
        </w:rPr>
        <w:fldChar w:fldCharType="end"/>
      </w:r>
      <w:r>
        <w:rPr>
          <w:rFonts w:eastAsiaTheme="minorEastAsia"/>
        </w:rPr>
        <w:t xml:space="preserve">) </w:t>
      </w:r>
      <m:oMath>
        <m:r>
          <m:rPr>
            <m:nor/>
          </m:rPr>
          <w:rPr>
            <w:rFonts w:ascii="Cambria Math" w:hAnsi="Cambria Math"/>
          </w:rPr>
          <m:t>Likelihood</m:t>
        </m:r>
        <m:r>
          <w:rPr>
            <w:rFonts w:ascii="Cambria Math" w:hAnsi="Cambria Math"/>
          </w:rPr>
          <m:t xml:space="preserve">: </m:t>
        </m:r>
        <m:sSub>
          <m:sSubPr>
            <m:ctrlPr>
              <w:rPr>
                <w:rFonts w:ascii="Cambria Math" w:hAnsi="Cambria Math"/>
                <w:i/>
                <w:iCs/>
              </w:rPr>
            </m:ctrlPr>
          </m:sSubPr>
          <m:e>
            <m:acc>
              <m:accPr>
                <m:ctrlPr>
                  <w:rPr>
                    <w:rFonts w:ascii="Cambria Math" w:hAnsi="Cambria Math"/>
                    <w:i/>
                    <w:iCs/>
                  </w:rPr>
                </m:ctrlPr>
              </m:accPr>
              <m:e>
                <m:r>
                  <w:rPr>
                    <w:rFonts w:ascii="Cambria Math" w:hAnsi="Cambria Math"/>
                  </w:rPr>
                  <m:t>θ</m:t>
                </m:r>
              </m:e>
            </m:acc>
          </m:e>
          <m:sub>
            <m:r>
              <w:rPr>
                <w:rFonts w:ascii="Cambria Math" w:hAnsi="Cambria Math"/>
              </w:rPr>
              <m:t>j</m:t>
            </m:r>
          </m:sub>
        </m:sSub>
        <m:r>
          <w:rPr>
            <w:rFonts w:ascii="Cambria Math" w:hAnsi="Cambria Math"/>
          </w:rPr>
          <m:t>|</m:t>
        </m:r>
        <m:sSub>
          <m:sSubPr>
            <m:ctrlPr>
              <w:rPr>
                <w:rFonts w:ascii="Cambria Math" w:hAnsi="Cambria Math"/>
                <w:i/>
                <w:iCs/>
              </w:rPr>
            </m:ctrlPr>
          </m:sSubPr>
          <m:e>
            <m:r>
              <w:rPr>
                <w:rFonts w:ascii="Cambria Math" w:hAnsi="Cambria Math"/>
              </w:rPr>
              <m:t>θ</m:t>
            </m:r>
          </m:e>
          <m:sub>
            <m:r>
              <w:rPr>
                <w:rFonts w:ascii="Cambria Math" w:hAnsi="Cambria Math"/>
              </w:rPr>
              <m:t>j</m:t>
            </m:r>
          </m:sub>
        </m:sSub>
        <m:r>
          <w:rPr>
            <w:rFonts w:ascii="Cambria Math" w:hAnsi="Cambria Math"/>
          </w:rPr>
          <m:t>∼N(</m:t>
        </m:r>
        <m:sSub>
          <m:sSubPr>
            <m:ctrlPr>
              <w:rPr>
                <w:rFonts w:ascii="Cambria Math" w:hAnsi="Cambria Math"/>
                <w:i/>
                <w:iCs/>
              </w:rPr>
            </m:ctrlPr>
          </m:sSubPr>
          <m:e>
            <m:r>
              <w:rPr>
                <w:rFonts w:ascii="Cambria Math" w:hAnsi="Cambria Math"/>
              </w:rPr>
              <m:t>θ</m:t>
            </m:r>
          </m:e>
          <m:sub>
            <m:r>
              <w:rPr>
                <w:rFonts w:ascii="Cambria Math" w:hAnsi="Cambria Math"/>
              </w:rPr>
              <m:t>j</m:t>
            </m:r>
          </m:sub>
        </m:sSub>
        <m:r>
          <w:rPr>
            <w:rFonts w:ascii="Cambria Math" w:hAnsi="Cambria Math"/>
          </w:rPr>
          <m:t xml:space="preserve">, </m:t>
        </m:r>
        <m:sSubSup>
          <m:sSubSupPr>
            <m:ctrlPr>
              <w:rPr>
                <w:rFonts w:ascii="Cambria Math" w:hAnsi="Cambria Math"/>
                <w:i/>
                <w:iCs/>
              </w:rPr>
            </m:ctrlPr>
          </m:sSubSupPr>
          <m:e>
            <m:r>
              <w:rPr>
                <w:rFonts w:ascii="Cambria Math" w:hAnsi="Cambria Math"/>
              </w:rPr>
              <m:t>s</m:t>
            </m:r>
          </m:e>
          <m:sub>
            <m:r>
              <w:rPr>
                <w:rFonts w:ascii="Cambria Math" w:hAnsi="Cambria Math"/>
              </w:rPr>
              <m:t>j</m:t>
            </m:r>
          </m:sub>
          <m:sup>
            <m:r>
              <w:rPr>
                <w:rFonts w:ascii="Cambria Math" w:hAnsi="Cambria Math"/>
              </w:rPr>
              <m:t>2</m:t>
            </m:r>
          </m:sup>
        </m:sSubSup>
        <m:r>
          <w:rPr>
            <w:rFonts w:ascii="Cambria Math" w:hAnsi="Cambria Math"/>
          </w:rPr>
          <m:t>)</m:t>
        </m:r>
      </m:oMath>
    </w:p>
    <w:p w14:paraId="083FDD1D" w14:textId="00899ACC" w:rsidR="00DF5BB0" w:rsidRPr="004D7721" w:rsidRDefault="00DF5BB0" w:rsidP="0083620E">
      <w:pPr>
        <w:pStyle w:val="NormalSS"/>
        <w:spacing w:line="480" w:lineRule="auto"/>
        <w:rPr>
          <w:rFonts w:eastAsiaTheme="minorEastAsia"/>
          <w:lang w:val="es-MX"/>
        </w:rPr>
      </w:pPr>
      <w:r w:rsidRPr="004D7721">
        <w:rPr>
          <w:rFonts w:eastAsiaTheme="minorEastAsia"/>
          <w:lang w:val="es-MX"/>
        </w:rPr>
        <w:t>(</w:t>
      </w:r>
      <w:r w:rsidRPr="00DF5BB0">
        <w:rPr>
          <w:rFonts w:eastAsiaTheme="minorEastAsia"/>
        </w:rPr>
        <w:fldChar w:fldCharType="begin"/>
      </w:r>
      <w:r w:rsidRPr="004D7721">
        <w:rPr>
          <w:rFonts w:eastAsiaTheme="minorEastAsia"/>
          <w:lang w:val="es-MX"/>
        </w:rPr>
        <w:instrText xml:space="preserve"> SEQ Equation \* ARABIC </w:instrText>
      </w:r>
      <w:r w:rsidRPr="00DF5BB0">
        <w:rPr>
          <w:rFonts w:eastAsiaTheme="minorEastAsia"/>
        </w:rPr>
        <w:fldChar w:fldCharType="separate"/>
      </w:r>
      <w:r w:rsidR="006B4C3D" w:rsidRPr="004D7721">
        <w:rPr>
          <w:rFonts w:eastAsiaTheme="minorEastAsia"/>
          <w:noProof/>
          <w:lang w:val="es-MX"/>
        </w:rPr>
        <w:t>16</w:t>
      </w:r>
      <w:r w:rsidRPr="00DF5BB0">
        <w:rPr>
          <w:rFonts w:eastAsiaTheme="minorEastAsia"/>
        </w:rPr>
        <w:fldChar w:fldCharType="end"/>
      </w:r>
      <w:r w:rsidRPr="004D7721">
        <w:rPr>
          <w:rFonts w:eastAsiaTheme="minorEastAsia"/>
          <w:lang w:val="es-MX"/>
        </w:rPr>
        <w:t xml:space="preserve">) </w:t>
      </w:r>
      <m:oMath>
        <m:r>
          <m:rPr>
            <m:nor/>
          </m:rPr>
          <w:rPr>
            <w:rFonts w:eastAsiaTheme="minorEastAsia"/>
            <w:lang w:val="es-MX"/>
          </w:rPr>
          <m:t>Prior</m:t>
        </m:r>
        <m:r>
          <w:rPr>
            <w:rFonts w:ascii="Cambria Math" w:eastAsiaTheme="minorEastAsia" w:hAnsi="Cambria Math"/>
            <w:lang w:val="es-MX"/>
          </w:rPr>
          <m:t xml:space="preserve">: </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j</m:t>
            </m:r>
          </m:sub>
        </m:sSub>
        <m:r>
          <w:rPr>
            <w:rFonts w:ascii="Cambria Math" w:eastAsiaTheme="minorEastAsia" w:hAnsi="Cambria Math"/>
            <w:lang w:val="es-MX"/>
          </w:rPr>
          <m:t>∼</m:t>
        </m:r>
        <m:r>
          <w:rPr>
            <w:rFonts w:ascii="Cambria Math" w:eastAsiaTheme="minorEastAsia" w:hAnsi="Cambria Math"/>
          </w:rPr>
          <m:t>N</m:t>
        </m:r>
        <m:r>
          <w:rPr>
            <w:rFonts w:ascii="Cambria Math" w:eastAsiaTheme="minorEastAsia" w:hAnsi="Cambria Math"/>
            <w:lang w:val="es-MX"/>
          </w:rPr>
          <m:t>(</m:t>
        </m:r>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k</m:t>
            </m:r>
            <m:d>
              <m:dPr>
                <m:begChr m:val="["/>
                <m:endChr m:val="]"/>
                <m:ctrlPr>
                  <w:rPr>
                    <w:rFonts w:ascii="Cambria Math" w:eastAsiaTheme="minorEastAsia" w:hAnsi="Cambria Math"/>
                    <w:i/>
                    <w:iCs/>
                  </w:rPr>
                </m:ctrlPr>
              </m:dPr>
              <m:e>
                <m:r>
                  <w:rPr>
                    <w:rFonts w:ascii="Cambria Math" w:eastAsiaTheme="minorEastAsia" w:hAnsi="Cambria Math"/>
                  </w:rPr>
                  <m:t>j</m:t>
                </m:r>
              </m:e>
            </m:d>
          </m:sub>
        </m:sSub>
        <m:r>
          <w:rPr>
            <w:rFonts w:ascii="Cambria Math" w:eastAsiaTheme="minorEastAsia" w:hAnsi="Cambria Math"/>
            <w:lang w:val="es-MX"/>
          </w:rPr>
          <m:t xml:space="preserve">, </m:t>
        </m:r>
        <m:sSup>
          <m:sSupPr>
            <m:ctrlPr>
              <w:rPr>
                <w:rFonts w:ascii="Cambria Math" w:eastAsiaTheme="minorEastAsia" w:hAnsi="Cambria Math"/>
                <w:i/>
                <w:iCs/>
              </w:rPr>
            </m:ctrlPr>
          </m:sSupPr>
          <m:e>
            <m:r>
              <w:rPr>
                <w:rFonts w:ascii="Cambria Math" w:eastAsiaTheme="minorEastAsia" w:hAnsi="Cambria Math"/>
              </w:rPr>
              <m:t>σ</m:t>
            </m:r>
          </m:e>
          <m:sup>
            <m:r>
              <w:rPr>
                <w:rFonts w:ascii="Cambria Math" w:eastAsiaTheme="minorEastAsia" w:hAnsi="Cambria Math"/>
                <w:lang w:val="es-MX"/>
              </w:rPr>
              <m:t>2</m:t>
            </m:r>
          </m:sup>
        </m:sSup>
        <m:r>
          <w:rPr>
            <w:rFonts w:ascii="Cambria Math" w:eastAsiaTheme="minorEastAsia" w:hAnsi="Cambria Math"/>
            <w:lang w:val="es-MX"/>
          </w:rPr>
          <m:t>)</m:t>
        </m:r>
      </m:oMath>
    </w:p>
    <w:p w14:paraId="58F4E652" w14:textId="5A0F9CE4" w:rsidR="00277973" w:rsidRPr="00DF5BB0" w:rsidRDefault="00DF5BB0" w:rsidP="0083620E">
      <w:pPr>
        <w:pStyle w:val="NormalSS"/>
        <w:spacing w:line="480" w:lineRule="auto"/>
        <w:rPr>
          <w:rFonts w:eastAsiaTheme="minorEastAsia"/>
        </w:rPr>
      </w:pPr>
      <w:r w:rsidRPr="00DF5BB0">
        <w:rPr>
          <w:rFonts w:eastAsiaTheme="minorEastAsia"/>
        </w:rPr>
        <w:t>(</w:t>
      </w:r>
      <w:r w:rsidRPr="00DF5BB0">
        <w:rPr>
          <w:rFonts w:eastAsiaTheme="minorEastAsia"/>
        </w:rPr>
        <w:fldChar w:fldCharType="begin"/>
      </w:r>
      <w:r w:rsidRPr="00DF5BB0">
        <w:rPr>
          <w:rFonts w:eastAsiaTheme="minorEastAsia"/>
        </w:rPr>
        <w:instrText xml:space="preserve"> SEQ Equation \* ARABIC </w:instrText>
      </w:r>
      <w:r w:rsidRPr="00DF5BB0">
        <w:rPr>
          <w:rFonts w:eastAsiaTheme="minorEastAsia"/>
        </w:rPr>
        <w:fldChar w:fldCharType="separate"/>
      </w:r>
      <w:r w:rsidR="006B4C3D">
        <w:rPr>
          <w:rFonts w:eastAsiaTheme="minorEastAsia"/>
          <w:noProof/>
        </w:rPr>
        <w:t>17</w:t>
      </w:r>
      <w:r w:rsidRPr="00DF5BB0">
        <w:rPr>
          <w:rFonts w:eastAsiaTheme="minorEastAsia"/>
        </w:rPr>
        <w:fldChar w:fldCharType="end"/>
      </w:r>
      <w:r w:rsidRPr="00DF5BB0">
        <w:rPr>
          <w:rFonts w:eastAsiaTheme="minorEastAsia"/>
        </w:rPr>
        <w:t>)</w:t>
      </w:r>
      <w:r>
        <w:rPr>
          <w:rFonts w:eastAsiaTheme="minorEastAsia"/>
        </w:rPr>
        <w:t xml:space="preserve"> </w:t>
      </w:r>
      <m:oMath>
        <m:r>
          <m:rPr>
            <m:nor/>
          </m:rPr>
          <w:rPr>
            <w:rFonts w:ascii="Cambria Math" w:hAnsi="Cambria Math"/>
          </w:rPr>
          <m:t>Hyper–prior</m:t>
        </m:r>
        <m:r>
          <w:rPr>
            <w:rFonts w:ascii="Cambria Math" w:hAnsi="Cambria Math"/>
          </w:rPr>
          <m:t xml:space="preserve">: </m:t>
        </m:r>
        <m:sSub>
          <m:sSubPr>
            <m:ctrlPr>
              <w:rPr>
                <w:rFonts w:ascii="Cambria Math" w:hAnsi="Cambria Math"/>
                <w:i/>
                <w:iCs/>
              </w:rPr>
            </m:ctrlPr>
          </m:sSubPr>
          <m:e>
            <m:r>
              <w:rPr>
                <w:rFonts w:ascii="Cambria Math" w:hAnsi="Cambria Math"/>
              </w:rPr>
              <m:t>a</m:t>
            </m:r>
          </m:e>
          <m:sub>
            <m:r>
              <w:rPr>
                <w:rFonts w:ascii="Cambria Math" w:hAnsi="Cambria Math"/>
              </w:rPr>
              <m:t>k</m:t>
            </m:r>
          </m:sub>
        </m:sSub>
        <m:r>
          <w:rPr>
            <w:rFonts w:ascii="Cambria Math" w:hAnsi="Cambria Math"/>
          </w:rPr>
          <m:t>∼N(</m:t>
        </m:r>
        <m:acc>
          <m:accPr>
            <m:ctrlPr>
              <w:rPr>
                <w:rFonts w:ascii="Cambria Math" w:hAnsi="Cambria Math"/>
                <w:i/>
                <w:iCs/>
              </w:rPr>
            </m:ctrlPr>
          </m:accPr>
          <m:e>
            <m:r>
              <w:rPr>
                <w:rFonts w:ascii="Cambria Math" w:hAnsi="Cambria Math"/>
              </w:rPr>
              <m:t>μ</m:t>
            </m:r>
          </m:e>
        </m:acc>
        <m:r>
          <w:rPr>
            <w:rFonts w:ascii="Cambria Math" w:hAnsi="Cambria Math"/>
          </w:rPr>
          <m:t xml:space="preserve">/2, </m:t>
        </m:r>
        <m:sSup>
          <m:sSupPr>
            <m:ctrlPr>
              <w:rPr>
                <w:rFonts w:ascii="Cambria Math" w:hAnsi="Cambria Math"/>
                <w:i/>
                <w:iCs/>
              </w:rPr>
            </m:ctrlPr>
          </m:sSupPr>
          <m:e>
            <m:r>
              <w:rPr>
                <w:rFonts w:ascii="Cambria Math" w:hAnsi="Cambria Math"/>
              </w:rPr>
              <m:t>τ</m:t>
            </m:r>
          </m:e>
          <m:sup>
            <m:r>
              <w:rPr>
                <w:rFonts w:ascii="Cambria Math" w:hAnsi="Cambria Math"/>
              </w:rPr>
              <m:t>2</m:t>
            </m:r>
          </m:sup>
        </m:sSup>
        <m:r>
          <w:rPr>
            <w:rFonts w:ascii="Cambria Math" w:hAnsi="Cambria Math"/>
          </w:rPr>
          <m:t>)</m:t>
        </m:r>
      </m:oMath>
    </w:p>
    <w:p w14:paraId="4634AEDB" w14:textId="1EC27493" w:rsidR="00277973" w:rsidRDefault="00277973" w:rsidP="0083620E">
      <w:pPr>
        <w:pStyle w:val="NormalSS"/>
        <w:spacing w:line="480" w:lineRule="auto"/>
        <w:rPr>
          <w:rFonts w:eastAsiaTheme="minorEastAsia"/>
        </w:rPr>
      </w:pPr>
      <w:r>
        <w:t xml:space="preserve">The first equation is the likelihood, which states that each impact estimate has a normal sampling distribution with mean equal to the true, unknown effect and variance equal to the squared standard error. The second equation is the prior, which describes the distribution of impacts across the outcomes affected by an intervention. (In the case of Democracy Prep, for example, this would be the distribution of true effects across two outcomes—voting and registration.) This distribution is assumed to be normal with an intervention-specific mean </w:t>
      </w:r>
      <m:oMath>
        <m:sSub>
          <m:sSubPr>
            <m:ctrlPr>
              <w:rPr>
                <w:rFonts w:ascii="Cambria Math" w:hAnsi="Cambria Math"/>
                <w:i/>
              </w:rPr>
            </m:ctrlPr>
          </m:sSubPr>
          <m:e>
            <m:r>
              <w:rPr>
                <w:rFonts w:ascii="Cambria Math" w:hAnsi="Cambria Math"/>
              </w:rPr>
              <m:t>a</m:t>
            </m:r>
          </m:e>
          <m:sub>
            <m:r>
              <w:rPr>
                <w:rFonts w:ascii="Cambria Math" w:hAnsi="Cambria Math"/>
              </w:rPr>
              <m:t>k</m:t>
            </m:r>
          </m:sub>
        </m:sSub>
      </m:oMath>
      <w:r>
        <w:rPr>
          <w:rFonts w:eastAsiaTheme="minorEastAsia"/>
        </w:rPr>
        <w:t xml:space="preserve"> and variance </w:t>
      </w:r>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oMath>
      <w:r>
        <w:rPr>
          <w:rFonts w:eastAsiaTheme="minorEastAsia"/>
        </w:rPr>
        <w:t xml:space="preserve">. The last equation, often called a hyper-prior, is the distribution of the intervention-specific mean impacts </w:t>
      </w:r>
      <m:oMath>
        <m:r>
          <w:rPr>
            <w:rFonts w:ascii="Cambria Math" w:eastAsiaTheme="minorEastAsia" w:hAnsi="Cambria Math"/>
          </w:rPr>
          <m:t>a</m:t>
        </m:r>
      </m:oMath>
      <w:r>
        <w:rPr>
          <w:rFonts w:eastAsiaTheme="minorEastAsia"/>
        </w:rPr>
        <w:t xml:space="preserve"> across the population of evaluated interventions. We adjust for our assumption that the prior estimates are exaggerated by a factor of two, on average, by centering the hyper-prior on </w:t>
      </w:r>
      <m:oMath>
        <m:acc>
          <m:accPr>
            <m:ctrlPr>
              <w:rPr>
                <w:rFonts w:ascii="Cambria Math" w:eastAsiaTheme="minorEastAsia" w:hAnsi="Cambria Math"/>
                <w:i/>
              </w:rPr>
            </m:ctrlPr>
          </m:accPr>
          <m:e>
            <m:r>
              <w:rPr>
                <w:rFonts w:ascii="Cambria Math" w:eastAsiaTheme="minorEastAsia" w:hAnsi="Cambria Math"/>
              </w:rPr>
              <m:t>μ</m:t>
            </m:r>
          </m:e>
        </m:acc>
        <m:r>
          <w:rPr>
            <w:rFonts w:ascii="Cambria Math" w:eastAsiaTheme="minorEastAsia" w:hAnsi="Cambria Math"/>
          </w:rPr>
          <m:t>/2</m:t>
        </m:r>
      </m:oMath>
      <w:r>
        <w:rPr>
          <w:rFonts w:eastAsiaTheme="minorEastAsia"/>
        </w:rPr>
        <w:t xml:space="preserve">. The variance of the intervention-specific mean impacts is given by </w:t>
      </w:r>
      <m:oMath>
        <m:sSup>
          <m:sSupPr>
            <m:ctrlPr>
              <w:rPr>
                <w:rFonts w:ascii="Cambria Math" w:eastAsiaTheme="minorEastAsia" w:hAnsi="Cambria Math"/>
                <w:i/>
              </w:rPr>
            </m:ctrlPr>
          </m:sSupPr>
          <m:e>
            <m:r>
              <w:rPr>
                <w:rFonts w:ascii="Cambria Math" w:eastAsiaTheme="minorEastAsia" w:hAnsi="Cambria Math"/>
              </w:rPr>
              <m:t>τ</m:t>
            </m:r>
          </m:e>
          <m:sup>
            <m:r>
              <w:rPr>
                <w:rFonts w:ascii="Cambria Math" w:eastAsiaTheme="minorEastAsia" w:hAnsi="Cambria Math"/>
              </w:rPr>
              <m:t>2</m:t>
            </m:r>
          </m:sup>
        </m:sSup>
      </m:oMath>
      <w:r>
        <w:rPr>
          <w:rFonts w:eastAsiaTheme="minorEastAsia"/>
        </w:rPr>
        <w:t>.</w:t>
      </w:r>
    </w:p>
    <w:p w14:paraId="1FC8BE00" w14:textId="24FEDBCF" w:rsidR="00685914" w:rsidRPr="00685914" w:rsidRDefault="00685914" w:rsidP="0083620E">
      <w:pPr>
        <w:pStyle w:val="H3AlphaNoTOC"/>
        <w:spacing w:line="480" w:lineRule="auto"/>
      </w:pPr>
      <w:r w:rsidRPr="00685914">
        <w:t xml:space="preserve">Sensitivity </w:t>
      </w:r>
      <w:r w:rsidR="00B82124">
        <w:t>a</w:t>
      </w:r>
      <w:r w:rsidRPr="00685914">
        <w:t>nalyses</w:t>
      </w:r>
    </w:p>
    <w:p w14:paraId="3A224DCE" w14:textId="658185AE" w:rsidR="001A6B3D" w:rsidRDefault="001A6B3D" w:rsidP="0083620E">
      <w:pPr>
        <w:pStyle w:val="NormalSS"/>
        <w:spacing w:line="480" w:lineRule="auto"/>
        <w:rPr>
          <w:rFonts w:eastAsiaTheme="minorEastAsia"/>
        </w:rPr>
      </w:pPr>
      <w:r>
        <w:t>Of course</w:t>
      </w:r>
      <w:r w:rsidR="00B82124">
        <w:t>,</w:t>
      </w:r>
      <w:r>
        <w:t xml:space="preserve"> we do</w:t>
      </w:r>
      <w:r w:rsidR="00B82124">
        <w:t xml:space="preserve"> </w:t>
      </w:r>
      <w:r>
        <w:t>n</w:t>
      </w:r>
      <w:r w:rsidR="00B82124">
        <w:t>o</w:t>
      </w:r>
      <w:r>
        <w:t xml:space="preserve">t really know what the adjustment for issues </w:t>
      </w:r>
      <w:r w:rsidR="00B82124">
        <w:t xml:space="preserve">such as </w:t>
      </w:r>
      <w:r>
        <w:t xml:space="preserve">publication </w:t>
      </w:r>
      <w:r w:rsidR="00B82124">
        <w:t xml:space="preserve">bias </w:t>
      </w:r>
      <w:r>
        <w:t xml:space="preserve">should be. We therefore </w:t>
      </w:r>
      <w:r w:rsidRPr="00C806FF">
        <w:t xml:space="preserve">try </w:t>
      </w:r>
      <w:r w:rsidR="00D02AD5">
        <w:t>two</w:t>
      </w:r>
      <w:r w:rsidRPr="00C806FF">
        <w:t xml:space="preserve"> alternative approac</w:t>
      </w:r>
      <w:r>
        <w:t xml:space="preserve">hes to </w:t>
      </w:r>
      <w:r w:rsidR="00B82124">
        <w:t>determine whether</w:t>
      </w:r>
      <w:r w:rsidRPr="00C806FF">
        <w:t xml:space="preserve"> our conclusions are </w:t>
      </w:r>
      <w:r w:rsidRPr="00C806FF">
        <w:lastRenderedPageBreak/>
        <w:t>robust</w:t>
      </w:r>
      <w:r>
        <w:t xml:space="preserve">. </w:t>
      </w:r>
      <w:r>
        <w:rPr>
          <w:rFonts w:eastAsiaTheme="minorEastAsia"/>
        </w:rPr>
        <w:t>In each sensitivity analysis, we consider an alternative hyper-prior. We maintain the same likelihood and prior throughout.</w:t>
      </w:r>
    </w:p>
    <w:p w14:paraId="45AB5621" w14:textId="77777777" w:rsidR="00DF5BB0" w:rsidRDefault="001A6B3D" w:rsidP="0083620E">
      <w:pPr>
        <w:pStyle w:val="NormalSS"/>
        <w:numPr>
          <w:ilvl w:val="0"/>
          <w:numId w:val="40"/>
        </w:numPr>
        <w:spacing w:line="480" w:lineRule="auto"/>
        <w:ind w:left="450" w:hanging="450"/>
        <w:rPr>
          <w:rFonts w:eastAsiaTheme="minorEastAsia"/>
        </w:rPr>
      </w:pPr>
      <w:r w:rsidRPr="00C806FF">
        <w:t xml:space="preserve">Our first sensitivity analysis </w:t>
      </w:r>
      <w:r>
        <w:t xml:space="preserve">corrects for issues </w:t>
      </w:r>
      <w:r w:rsidR="00F868A6">
        <w:t>such as</w:t>
      </w:r>
      <w:r w:rsidR="00B82124">
        <w:t xml:space="preserve"> </w:t>
      </w:r>
      <w:r>
        <w:t>publication bias more stringently than our main approach by presuming</w:t>
      </w:r>
      <w:r w:rsidRPr="00C806FF">
        <w:t xml:space="preserve"> that, on average, impacts in this set of interventions are zero.</w:t>
      </w:r>
    </w:p>
    <w:p w14:paraId="61BE4FEA" w14:textId="591415F7" w:rsidR="001A6B3D" w:rsidRPr="00DF5BB0" w:rsidRDefault="00DF5BB0" w:rsidP="0083620E">
      <w:pPr>
        <w:pStyle w:val="NormalSS"/>
        <w:spacing w:line="480" w:lineRule="auto"/>
        <w:ind w:left="450" w:firstLine="0"/>
        <w:rPr>
          <w:rFonts w:eastAsiaTheme="minorEastAsia"/>
        </w:rPr>
      </w:pPr>
      <w:r w:rsidRPr="00DF5BB0">
        <w:rPr>
          <w:rFonts w:eastAsiaTheme="minorEastAsia"/>
        </w:rPr>
        <w:t>(</w:t>
      </w:r>
      <w:r w:rsidRPr="00DF5BB0">
        <w:rPr>
          <w:rFonts w:eastAsiaTheme="minorEastAsia"/>
        </w:rPr>
        <w:fldChar w:fldCharType="begin"/>
      </w:r>
      <w:r w:rsidRPr="00DF5BB0">
        <w:rPr>
          <w:rFonts w:eastAsiaTheme="minorEastAsia"/>
        </w:rPr>
        <w:instrText xml:space="preserve"> SEQ Equation \* ARABIC </w:instrText>
      </w:r>
      <w:r w:rsidRPr="00DF5BB0">
        <w:rPr>
          <w:rFonts w:eastAsiaTheme="minorEastAsia"/>
        </w:rPr>
        <w:fldChar w:fldCharType="separate"/>
      </w:r>
      <w:r w:rsidR="006B4C3D">
        <w:rPr>
          <w:rFonts w:eastAsiaTheme="minorEastAsia"/>
          <w:noProof/>
        </w:rPr>
        <w:t>18</w:t>
      </w:r>
      <w:r w:rsidRPr="00DF5BB0">
        <w:rPr>
          <w:rFonts w:eastAsiaTheme="minorEastAsia"/>
        </w:rPr>
        <w:fldChar w:fldCharType="end"/>
      </w:r>
      <w:r w:rsidRPr="00DF5BB0">
        <w:rPr>
          <w:rFonts w:eastAsiaTheme="minorEastAsia"/>
        </w:rPr>
        <w:t xml:space="preserve">) </w:t>
      </w:r>
      <m:oMath>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k</m:t>
            </m:r>
          </m:sub>
        </m:sSub>
        <m:r>
          <w:rPr>
            <w:rFonts w:ascii="Cambria Math" w:eastAsiaTheme="minorEastAsia" w:hAnsi="Cambria Math"/>
          </w:rPr>
          <m:t xml:space="preserve">∼N(0, </m:t>
        </m:r>
        <m:sSup>
          <m:sSupPr>
            <m:ctrlPr>
              <w:rPr>
                <w:rFonts w:ascii="Cambria Math" w:eastAsiaTheme="minorEastAsia" w:hAnsi="Cambria Math"/>
                <w:i/>
                <w:iCs/>
              </w:rPr>
            </m:ctrlPr>
          </m:sSupPr>
          <m:e>
            <m:r>
              <w:rPr>
                <w:rFonts w:ascii="Cambria Math" w:eastAsiaTheme="minorEastAsia" w:hAnsi="Cambria Math"/>
              </w:rPr>
              <m:t>τ</m:t>
            </m:r>
          </m:e>
          <m:sup>
            <m:r>
              <w:rPr>
                <w:rFonts w:ascii="Cambria Math" w:eastAsiaTheme="minorEastAsia" w:hAnsi="Cambria Math"/>
              </w:rPr>
              <m:t>2</m:t>
            </m:r>
          </m:sup>
        </m:sSup>
        <m:r>
          <w:rPr>
            <w:rFonts w:ascii="Cambria Math" w:eastAsiaTheme="minorEastAsia" w:hAnsi="Cambria Math"/>
          </w:rPr>
          <m:t>)</m:t>
        </m:r>
      </m:oMath>
    </w:p>
    <w:p w14:paraId="5D0CB66C" w14:textId="7E24C07A" w:rsidR="001A6B3D" w:rsidRPr="00DF5BB0" w:rsidRDefault="001A6B3D" w:rsidP="0083620E">
      <w:pPr>
        <w:pStyle w:val="NormalSS"/>
        <w:numPr>
          <w:ilvl w:val="0"/>
          <w:numId w:val="40"/>
        </w:numPr>
        <w:spacing w:line="480" w:lineRule="auto"/>
        <w:ind w:left="450" w:hanging="540"/>
        <w:rPr>
          <w:rFonts w:eastAsiaTheme="minorEastAsia"/>
        </w:rPr>
      </w:pPr>
      <w:r w:rsidRPr="00C806FF">
        <w:t xml:space="preserve">Our second sensitivity analysis </w:t>
      </w:r>
      <w:r>
        <w:t>takes the prior studies at face value, presuming</w:t>
      </w:r>
      <w:r w:rsidRPr="00C806FF">
        <w:t xml:space="preserve"> there is no </w:t>
      </w:r>
      <w:r w:rsidR="00C70E2B">
        <w:t>upward bias</w:t>
      </w:r>
      <w:r w:rsidR="00C70E2B" w:rsidRPr="00C806FF">
        <w:t xml:space="preserve"> </w:t>
      </w:r>
      <w:r w:rsidRPr="00C806FF">
        <w:t>in the past results.</w:t>
      </w:r>
    </w:p>
    <w:p w14:paraId="4BBF3516" w14:textId="0B4A57FA" w:rsidR="001A6B3D" w:rsidRPr="006839DE" w:rsidRDefault="00DF5BB0" w:rsidP="0083620E">
      <w:pPr>
        <w:pStyle w:val="NormalSS"/>
        <w:spacing w:line="480" w:lineRule="auto"/>
        <w:ind w:left="450" w:firstLine="0"/>
        <w:rPr>
          <w:rFonts w:eastAsiaTheme="minorEastAsia"/>
        </w:rPr>
      </w:pPr>
      <w:r w:rsidRPr="00DF5BB0">
        <w:rPr>
          <w:rFonts w:eastAsiaTheme="minorEastAsia"/>
        </w:rPr>
        <w:t>(</w:t>
      </w:r>
      <w:r w:rsidRPr="00DF5BB0">
        <w:rPr>
          <w:rFonts w:eastAsiaTheme="minorEastAsia"/>
        </w:rPr>
        <w:fldChar w:fldCharType="begin"/>
      </w:r>
      <w:r w:rsidRPr="00DF5BB0">
        <w:rPr>
          <w:rFonts w:eastAsiaTheme="minorEastAsia"/>
        </w:rPr>
        <w:instrText xml:space="preserve"> SEQ Equation \* ARABIC </w:instrText>
      </w:r>
      <w:r w:rsidRPr="00DF5BB0">
        <w:rPr>
          <w:rFonts w:eastAsiaTheme="minorEastAsia"/>
        </w:rPr>
        <w:fldChar w:fldCharType="separate"/>
      </w:r>
      <w:r w:rsidR="006B4C3D">
        <w:rPr>
          <w:rFonts w:eastAsiaTheme="minorEastAsia"/>
          <w:noProof/>
        </w:rPr>
        <w:t>19</w:t>
      </w:r>
      <w:r w:rsidRPr="00DF5BB0">
        <w:rPr>
          <w:rFonts w:eastAsiaTheme="minorEastAsia"/>
        </w:rPr>
        <w:fldChar w:fldCharType="end"/>
      </w:r>
      <w:r w:rsidRPr="00DF5BB0">
        <w:rPr>
          <w:rFonts w:eastAsiaTheme="minorEastAsia"/>
        </w:rPr>
        <w:t>)</w:t>
      </w:r>
      <w:r>
        <w:rPr>
          <w:rFonts w:eastAsiaTheme="minorEastAsia"/>
        </w:rPr>
        <w:t xml:space="preserve"> </w:t>
      </w:r>
      <m:oMath>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k</m:t>
            </m:r>
          </m:sub>
        </m:sSub>
        <m:r>
          <w:rPr>
            <w:rFonts w:ascii="Cambria Math" w:eastAsiaTheme="minorEastAsia" w:hAnsi="Cambria Math"/>
          </w:rPr>
          <m:t xml:space="preserve">∼N(μ, </m:t>
        </m:r>
        <m:sSup>
          <m:sSupPr>
            <m:ctrlPr>
              <w:rPr>
                <w:rFonts w:ascii="Cambria Math" w:eastAsiaTheme="minorEastAsia" w:hAnsi="Cambria Math"/>
                <w:i/>
                <w:iCs/>
              </w:rPr>
            </m:ctrlPr>
          </m:sSupPr>
          <m:e>
            <m:r>
              <w:rPr>
                <w:rFonts w:ascii="Cambria Math" w:eastAsiaTheme="minorEastAsia" w:hAnsi="Cambria Math"/>
              </w:rPr>
              <m:t>τ</m:t>
            </m:r>
          </m:e>
          <m:sup>
            <m:r>
              <w:rPr>
                <w:rFonts w:ascii="Cambria Math" w:eastAsiaTheme="minorEastAsia" w:hAnsi="Cambria Math"/>
              </w:rPr>
              <m:t>2</m:t>
            </m:r>
          </m:sup>
        </m:sSup>
        <m:r>
          <w:rPr>
            <w:rFonts w:ascii="Cambria Math" w:eastAsiaTheme="minorEastAsia" w:hAnsi="Cambria Math"/>
          </w:rPr>
          <m:t>)</m:t>
        </m:r>
      </m:oMath>
    </w:p>
    <w:p w14:paraId="5D22A9C4" w14:textId="729B86BC" w:rsidR="00685914" w:rsidRPr="00685914" w:rsidRDefault="00685914" w:rsidP="0083620E">
      <w:pPr>
        <w:pStyle w:val="H3AlphaNoTOC"/>
        <w:spacing w:line="480" w:lineRule="auto"/>
      </w:pPr>
      <w:r w:rsidRPr="00685914">
        <w:t xml:space="preserve">Fitting the </w:t>
      </w:r>
      <w:r w:rsidR="00B82124">
        <w:t>m</w:t>
      </w:r>
      <w:r w:rsidRPr="00685914">
        <w:t>odels</w:t>
      </w:r>
    </w:p>
    <w:p w14:paraId="6159AD14" w14:textId="66AFCBEB" w:rsidR="001A6B3D" w:rsidRPr="001A6B3D" w:rsidRDefault="001A6B3D" w:rsidP="0083620E">
      <w:pPr>
        <w:pStyle w:val="NormalSS"/>
        <w:spacing w:line="480" w:lineRule="auto"/>
      </w:pPr>
      <w:r w:rsidRPr="001A6B3D">
        <w:t xml:space="preserve">We assume flat (uniform) priors for </w:t>
      </w:r>
      <m:oMath>
        <m:r>
          <w:rPr>
            <w:rFonts w:ascii="Cambria Math" w:eastAsiaTheme="minorEastAsia" w:hAnsi="Cambria Math"/>
          </w:rPr>
          <m:t xml:space="preserve">μ, β, </m:t>
        </m:r>
        <m:r>
          <w:rPr>
            <w:rFonts w:ascii="Cambria Math" w:hAnsi="Cambria Math"/>
          </w:rPr>
          <m:t>σ</m:t>
        </m:r>
      </m:oMath>
      <w:r w:rsidRPr="001A6B3D">
        <w:t xml:space="preserve"> and </w:t>
      </w:r>
      <m:oMath>
        <m:r>
          <w:rPr>
            <w:rFonts w:ascii="Cambria Math" w:hAnsi="Cambria Math"/>
          </w:rPr>
          <m:t>τ</m:t>
        </m:r>
      </m:oMath>
      <w:r w:rsidRPr="001A6B3D">
        <w:t>. This implies that we are estimating these parameters based only on data from the current literature review, rather than brin</w:t>
      </w:r>
      <w:r w:rsidR="004D0AD0">
        <w:t>g</w:t>
      </w:r>
      <w:r w:rsidRPr="001A6B3D">
        <w:t xml:space="preserve">ing in external information, </w:t>
      </w:r>
      <w:r w:rsidR="00B82124">
        <w:t xml:space="preserve">such as </w:t>
      </w:r>
      <w:r w:rsidRPr="001A6B3D">
        <w:t>how program impacts vary with program lengths from previous reviews of the literature.</w:t>
      </w:r>
    </w:p>
    <w:p w14:paraId="4851B5B3" w14:textId="762B1FE9" w:rsidR="001A6B3D" w:rsidRPr="005E41C6" w:rsidRDefault="001A6B3D" w:rsidP="0083620E">
      <w:pPr>
        <w:pStyle w:val="NormalSS"/>
        <w:spacing w:line="480" w:lineRule="auto"/>
      </w:pPr>
      <w:r w:rsidRPr="001A6B3D">
        <w:t xml:space="preserve">We cut feedback from </w:t>
      </w:r>
      <m:oMath>
        <m:d>
          <m:dPr>
            <m:begChr m:val="{"/>
            <m:endChr m:val="}"/>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J+1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J+1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J+2</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J+w</m:t>
                </m:r>
              </m:sub>
            </m:sSub>
          </m:e>
        </m:d>
      </m:oMath>
      <w:r w:rsidRPr="001A6B3D">
        <w:t xml:space="preserve"> to</w:t>
      </w:r>
      <m:oMath>
        <m:r>
          <w:rPr>
            <w:rFonts w:ascii="Cambria Math" w:hAnsi="Cambria Math"/>
          </w:rPr>
          <m:t xml:space="preserve"> </m:t>
        </m:r>
        <m:d>
          <m:dPr>
            <m:begChr m:val="{"/>
            <m:endChr m:val="}"/>
            <m:ctrlPr>
              <w:rPr>
                <w:rFonts w:ascii="Cambria Math" w:hAnsi="Cambria Math"/>
                <w:i/>
                <w:iCs/>
              </w:rPr>
            </m:ctrlPr>
          </m:dPr>
          <m:e>
            <m:r>
              <w:rPr>
                <w:rFonts w:ascii="Cambria Math" w:hAnsi="Cambria Math"/>
              </w:rPr>
              <m:t>σ, τ, μ, β</m:t>
            </m:r>
          </m:e>
        </m:d>
      </m:oMath>
      <w:r w:rsidR="00CA2DCE">
        <w:t xml:space="preserve"> (Rougier</w:t>
      </w:r>
      <w:r w:rsidRPr="001A6B3D">
        <w:t xml:space="preserve"> 2008), </w:t>
      </w:r>
      <w:r w:rsidR="00B82124">
        <w:t>because</w:t>
      </w:r>
      <w:r w:rsidR="00B82124" w:rsidRPr="001A6B3D">
        <w:t xml:space="preserve"> </w:t>
      </w:r>
      <w:r w:rsidRPr="001A6B3D">
        <w:t xml:space="preserve">Democracy Prep is not exchangeable with the prior studies. This implies that </w:t>
      </w:r>
      <w:r w:rsidR="00B51186">
        <w:t xml:space="preserve">we based </w:t>
      </w:r>
      <w:r w:rsidRPr="001A6B3D">
        <w:t xml:space="preserve">our estimates of those four parameters only on information from the prior studies and not on </w:t>
      </w:r>
      <w:r w:rsidRPr="005E41C6">
        <w:t>information from our analysis of Democracy Prep.</w:t>
      </w:r>
    </w:p>
    <w:p w14:paraId="619C9A0B" w14:textId="012ED6F5" w:rsidR="00B721DF" w:rsidRDefault="001A6B3D" w:rsidP="0083620E">
      <w:pPr>
        <w:pStyle w:val="NormalSS"/>
        <w:spacing w:line="480" w:lineRule="auto"/>
        <w:sectPr w:rsidR="00B721DF" w:rsidSect="001F2C28">
          <w:headerReference w:type="default" r:id="rId8"/>
          <w:footerReference w:type="default" r:id="rId9"/>
          <w:pgSz w:w="12240" w:h="15840"/>
          <w:pgMar w:top="1440" w:right="1440" w:bottom="1440" w:left="1440" w:header="720" w:footer="720" w:gutter="0"/>
          <w:cols w:space="720"/>
          <w:docGrid w:linePitch="360"/>
        </w:sectPr>
      </w:pPr>
      <w:r w:rsidRPr="005E41C6">
        <w:lastRenderedPageBreak/>
        <w:t xml:space="preserve">We fit the models using a Gibbs sampler coded in the statistical programming language R, as described in </w:t>
      </w:r>
      <w:hyperlink r:id="rId10" w:history="1">
        <w:r w:rsidRPr="005E41C6">
          <w:t>Gelman et al.</w:t>
        </w:r>
      </w:hyperlink>
      <w:r w:rsidR="00DF0B17">
        <w:t xml:space="preserve"> (2013).</w:t>
      </w:r>
      <w:r w:rsidRPr="005E41C6">
        <w:t xml:space="preserve"> We use the monitor</w:t>
      </w:r>
      <w:r w:rsidR="00B51186">
        <w:t xml:space="preserve"> </w:t>
      </w:r>
      <w:r w:rsidRPr="005E41C6">
        <w:t>() function from R’s rstan package</w:t>
      </w:r>
      <w:r w:rsidR="00F55ECD">
        <w:t xml:space="preserve"> (</w:t>
      </w:r>
      <w:r w:rsidR="009E542C" w:rsidRPr="009E542C">
        <w:t xml:space="preserve">Stan Development Team </w:t>
      </w:r>
      <w:r w:rsidR="00F55ECD">
        <w:t>2016)</w:t>
      </w:r>
      <w:r w:rsidRPr="005E41C6">
        <w:t xml:space="preserve"> to validate Gibbs sampler performance.</w:t>
      </w:r>
    </w:p>
    <w:p w14:paraId="497D3B8B" w14:textId="7E6AE807" w:rsidR="001F2C28" w:rsidRDefault="0083620E" w:rsidP="0083620E">
      <w:pPr>
        <w:pStyle w:val="MarkforAppendixTitle"/>
        <w:spacing w:line="480" w:lineRule="auto"/>
        <w:sectPr w:rsidR="001F2C28" w:rsidSect="00BB60F1">
          <w:headerReference w:type="default" r:id="rId11"/>
          <w:footerReference w:type="default" r:id="rId12"/>
          <w:pgSz w:w="12240" w:h="15840"/>
          <w:pgMar w:top="1440" w:right="1440" w:bottom="1440" w:left="1440" w:header="720" w:footer="720" w:gutter="0"/>
          <w:pgNumType w:start="1"/>
          <w:cols w:space="720"/>
          <w:docGrid w:linePitch="360"/>
        </w:sectPr>
      </w:pPr>
      <w:bookmarkStart w:id="2" w:name="_Toc503962335"/>
      <w:bookmarkStart w:id="3" w:name="_Toc504057667"/>
      <w:r>
        <w:lastRenderedPageBreak/>
        <w:t>A</w:t>
      </w:r>
      <w:r w:rsidR="004B4E6A">
        <w:t xml:space="preserve">ppendix B: </w:t>
      </w:r>
      <w:r w:rsidR="001F2C28">
        <w:br/>
      </w:r>
      <w:r w:rsidR="004A28CF">
        <w:t>Supplemental</w:t>
      </w:r>
      <w:r w:rsidR="004B4E6A">
        <w:t xml:space="preserve"> tables</w:t>
      </w:r>
      <w:bookmarkEnd w:id="2"/>
      <w:bookmarkEnd w:id="3"/>
      <w:r w:rsidR="005A4E85">
        <w:t>: effects on students</w:t>
      </w:r>
    </w:p>
    <w:p w14:paraId="65FBE597" w14:textId="77777777" w:rsidR="0083620E" w:rsidRDefault="0083620E" w:rsidP="0083620E">
      <w:pPr>
        <w:pStyle w:val="H3Alpha"/>
        <w:rPr>
          <w:rFonts w:eastAsia="Calibri"/>
        </w:rPr>
      </w:pPr>
      <w:bookmarkStart w:id="4" w:name="_Toc504057618"/>
      <w:r>
        <w:rPr>
          <w:rFonts w:eastAsia="Calibri"/>
        </w:rPr>
        <w:br w:type="page"/>
      </w:r>
    </w:p>
    <w:p w14:paraId="7E987950" w14:textId="530E4863" w:rsidR="009869C2" w:rsidRPr="009869C2" w:rsidRDefault="009869C2" w:rsidP="0083620E">
      <w:pPr>
        <w:pStyle w:val="H3Alpha"/>
        <w:rPr>
          <w:rFonts w:eastAsia="Calibri"/>
        </w:rPr>
      </w:pPr>
      <w:r w:rsidRPr="009869C2">
        <w:rPr>
          <w:rFonts w:eastAsia="Calibri"/>
        </w:rPr>
        <w:lastRenderedPageBreak/>
        <w:t xml:space="preserve">Table </w:t>
      </w:r>
      <w:r>
        <w:rPr>
          <w:rFonts w:eastAsia="Calibri"/>
        </w:rPr>
        <w:t>B</w:t>
      </w:r>
      <w:r w:rsidR="00B51186">
        <w:rPr>
          <w:rFonts w:eastAsia="Calibri"/>
        </w:rPr>
        <w:t>.</w:t>
      </w:r>
      <w:r>
        <w:rPr>
          <w:rFonts w:eastAsia="Calibri"/>
        </w:rPr>
        <w:t>1</w:t>
      </w:r>
      <w:r w:rsidRPr="009869C2">
        <w:rPr>
          <w:rFonts w:eastAsia="Calibri"/>
        </w:rPr>
        <w:t xml:space="preserve">. Student </w:t>
      </w:r>
      <w:r w:rsidR="008B4A37">
        <w:rPr>
          <w:rFonts w:eastAsia="Calibri"/>
        </w:rPr>
        <w:t>s</w:t>
      </w:r>
      <w:r w:rsidRPr="009869C2">
        <w:rPr>
          <w:rFonts w:eastAsia="Calibri"/>
        </w:rPr>
        <w:t>ample</w:t>
      </w:r>
      <w:bookmarkEnd w:id="4"/>
    </w:p>
    <w:tbl>
      <w:tblPr>
        <w:tblStyle w:val="MPRBaseTable"/>
        <w:tblW w:w="9360" w:type="dxa"/>
        <w:tblLayout w:type="fixed"/>
        <w:tblLook w:val="04A0" w:firstRow="1" w:lastRow="0" w:firstColumn="1" w:lastColumn="0" w:noHBand="0" w:noVBand="1"/>
      </w:tblPr>
      <w:tblGrid>
        <w:gridCol w:w="1530"/>
        <w:gridCol w:w="1350"/>
        <w:gridCol w:w="1620"/>
        <w:gridCol w:w="1620"/>
        <w:gridCol w:w="1516"/>
        <w:gridCol w:w="1724"/>
      </w:tblGrid>
      <w:tr w:rsidR="004B4E6A" w:rsidRPr="00102753" w14:paraId="7F3AA7D1" w14:textId="77777777" w:rsidTr="00494E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0" w:type="dxa"/>
          </w:tcPr>
          <w:p w14:paraId="7CDA9D2B" w14:textId="77777777" w:rsidR="004B4E6A" w:rsidRPr="00494E13" w:rsidRDefault="004B4E6A" w:rsidP="0083620E">
            <w:pPr>
              <w:pStyle w:val="TableHeaderLeft"/>
              <w:rPr>
                <w:b/>
              </w:rPr>
            </w:pPr>
            <w:r w:rsidRPr="00494E13">
              <w:t>Year</w:t>
            </w:r>
          </w:p>
        </w:tc>
        <w:tc>
          <w:tcPr>
            <w:tcW w:w="1350" w:type="dxa"/>
          </w:tcPr>
          <w:p w14:paraId="69CC659E" w14:textId="77777777" w:rsidR="004B4E6A" w:rsidRPr="00494E13" w:rsidRDefault="004B4E6A"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94E13">
              <w:t>Grade</w:t>
            </w:r>
          </w:p>
        </w:tc>
        <w:tc>
          <w:tcPr>
            <w:tcW w:w="1620" w:type="dxa"/>
          </w:tcPr>
          <w:p w14:paraId="616346EC" w14:textId="77777777" w:rsidR="004B4E6A" w:rsidRPr="00494E13" w:rsidRDefault="004B4E6A"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94E13">
              <w:t>Offered</w:t>
            </w:r>
          </w:p>
        </w:tc>
        <w:tc>
          <w:tcPr>
            <w:tcW w:w="1620" w:type="dxa"/>
          </w:tcPr>
          <w:p w14:paraId="38A4B47C" w14:textId="77777777" w:rsidR="004B4E6A" w:rsidRPr="00494E13" w:rsidRDefault="004B4E6A"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94E13">
              <w:t>Not offered</w:t>
            </w:r>
          </w:p>
        </w:tc>
        <w:tc>
          <w:tcPr>
            <w:tcW w:w="1516" w:type="dxa"/>
          </w:tcPr>
          <w:p w14:paraId="21ACD057" w14:textId="77777777" w:rsidR="004B4E6A" w:rsidRPr="00494E13" w:rsidRDefault="004B4E6A"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94E13">
              <w:t>Total</w:t>
            </w:r>
          </w:p>
        </w:tc>
        <w:tc>
          <w:tcPr>
            <w:tcW w:w="1724" w:type="dxa"/>
          </w:tcPr>
          <w:p w14:paraId="7DC16488" w14:textId="77777777" w:rsidR="004B4E6A" w:rsidRPr="00494E13" w:rsidRDefault="004B4E6A"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94E13">
              <w:t>Percentage offered</w:t>
            </w:r>
          </w:p>
        </w:tc>
      </w:tr>
      <w:tr w:rsidR="009869C2" w:rsidRPr="00102753" w14:paraId="0202F06B" w14:textId="77777777" w:rsidTr="00494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08450B38" w14:textId="70703AA4" w:rsidR="009869C2" w:rsidRPr="00102753" w:rsidRDefault="009869C2" w:rsidP="0083620E">
            <w:pPr>
              <w:pStyle w:val="TableText"/>
              <w:spacing w:before="60" w:after="60"/>
            </w:pPr>
            <w:r w:rsidRPr="00102753">
              <w:t>2007</w:t>
            </w:r>
            <w:r w:rsidR="00B51186">
              <w:t>–</w:t>
            </w:r>
            <w:r w:rsidRPr="00102753">
              <w:t>2008</w:t>
            </w:r>
          </w:p>
        </w:tc>
        <w:tc>
          <w:tcPr>
            <w:tcW w:w="1350" w:type="dxa"/>
          </w:tcPr>
          <w:p w14:paraId="5BCC146C" w14:textId="77777777" w:rsidR="009869C2" w:rsidRPr="00102753" w:rsidRDefault="009869C2" w:rsidP="0083620E">
            <w:pPr>
              <w:pStyle w:val="TableText"/>
              <w:spacing w:before="60" w:after="60"/>
              <w:cnfStyle w:val="000000100000" w:firstRow="0" w:lastRow="0" w:firstColumn="0" w:lastColumn="0" w:oddVBand="0" w:evenVBand="0" w:oddHBand="1" w:evenHBand="0" w:firstRowFirstColumn="0" w:firstRowLastColumn="0" w:lastRowFirstColumn="0" w:lastRowLastColumn="0"/>
            </w:pPr>
            <w:r w:rsidRPr="00102753">
              <w:t>Grade 6</w:t>
            </w:r>
          </w:p>
        </w:tc>
        <w:tc>
          <w:tcPr>
            <w:tcW w:w="1620" w:type="dxa"/>
          </w:tcPr>
          <w:p w14:paraId="3F384C1A" w14:textId="77777777"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02753">
              <w:t>95</w:t>
            </w:r>
          </w:p>
        </w:tc>
        <w:tc>
          <w:tcPr>
            <w:tcW w:w="1620" w:type="dxa"/>
          </w:tcPr>
          <w:p w14:paraId="6DCC4541" w14:textId="77777777"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02753">
              <w:t>201</w:t>
            </w:r>
          </w:p>
        </w:tc>
        <w:tc>
          <w:tcPr>
            <w:tcW w:w="1516" w:type="dxa"/>
          </w:tcPr>
          <w:p w14:paraId="5089B736" w14:textId="77777777"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02753">
              <w:t>296</w:t>
            </w:r>
          </w:p>
        </w:tc>
        <w:tc>
          <w:tcPr>
            <w:tcW w:w="1724" w:type="dxa"/>
          </w:tcPr>
          <w:p w14:paraId="4E468256" w14:textId="4D9A0F99"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0D1A6E">
              <w:t>32.1</w:t>
            </w:r>
          </w:p>
        </w:tc>
      </w:tr>
      <w:tr w:rsidR="009869C2" w:rsidRPr="00102753" w14:paraId="305D1541" w14:textId="77777777" w:rsidTr="00494E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45CDDDD0" w14:textId="1C869BF8" w:rsidR="009869C2" w:rsidRPr="00102753" w:rsidRDefault="009869C2" w:rsidP="0083620E">
            <w:pPr>
              <w:pStyle w:val="TableText"/>
              <w:spacing w:before="60" w:after="60"/>
            </w:pPr>
            <w:r w:rsidRPr="00102753">
              <w:t>2007</w:t>
            </w:r>
            <w:r w:rsidR="00B51186" w:rsidRPr="00B51186">
              <w:t>–</w:t>
            </w:r>
            <w:r w:rsidRPr="00102753">
              <w:t>2008</w:t>
            </w:r>
          </w:p>
        </w:tc>
        <w:tc>
          <w:tcPr>
            <w:tcW w:w="1350" w:type="dxa"/>
          </w:tcPr>
          <w:p w14:paraId="05C33D19" w14:textId="77777777" w:rsidR="009869C2" w:rsidRPr="00102753" w:rsidRDefault="009869C2" w:rsidP="0083620E">
            <w:pPr>
              <w:pStyle w:val="TableText"/>
              <w:spacing w:before="60" w:after="60"/>
              <w:cnfStyle w:val="000000010000" w:firstRow="0" w:lastRow="0" w:firstColumn="0" w:lastColumn="0" w:oddVBand="0" w:evenVBand="0" w:oddHBand="0" w:evenHBand="1" w:firstRowFirstColumn="0" w:firstRowLastColumn="0" w:lastRowFirstColumn="0" w:lastRowLastColumn="0"/>
            </w:pPr>
            <w:r w:rsidRPr="00102753">
              <w:t>Grade 7</w:t>
            </w:r>
          </w:p>
        </w:tc>
        <w:tc>
          <w:tcPr>
            <w:tcW w:w="1620" w:type="dxa"/>
          </w:tcPr>
          <w:p w14:paraId="2E0BABF8" w14:textId="77777777"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102753">
              <w:t>13</w:t>
            </w:r>
          </w:p>
        </w:tc>
        <w:tc>
          <w:tcPr>
            <w:tcW w:w="1620" w:type="dxa"/>
          </w:tcPr>
          <w:p w14:paraId="10D1124D" w14:textId="77777777"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102753">
              <w:t>88</w:t>
            </w:r>
          </w:p>
        </w:tc>
        <w:tc>
          <w:tcPr>
            <w:tcW w:w="1516" w:type="dxa"/>
          </w:tcPr>
          <w:p w14:paraId="3FB7D935" w14:textId="77777777"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102753">
              <w:t>101</w:t>
            </w:r>
          </w:p>
        </w:tc>
        <w:tc>
          <w:tcPr>
            <w:tcW w:w="1724" w:type="dxa"/>
          </w:tcPr>
          <w:p w14:paraId="0B1499CD" w14:textId="2A554570"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0D1A6E">
              <w:t>12.9</w:t>
            </w:r>
          </w:p>
        </w:tc>
      </w:tr>
      <w:tr w:rsidR="009869C2" w:rsidRPr="00102753" w14:paraId="5EF72C72" w14:textId="77777777" w:rsidTr="00494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E0538E6" w14:textId="731A2C44" w:rsidR="009869C2" w:rsidRPr="00102753" w:rsidRDefault="009869C2" w:rsidP="0083620E">
            <w:pPr>
              <w:pStyle w:val="TableText"/>
              <w:spacing w:before="60" w:after="60"/>
            </w:pPr>
            <w:r w:rsidRPr="00102753">
              <w:t>2008</w:t>
            </w:r>
            <w:r w:rsidR="00B51186" w:rsidRPr="00B51186">
              <w:t>–</w:t>
            </w:r>
            <w:r w:rsidRPr="00102753">
              <w:t>2009</w:t>
            </w:r>
          </w:p>
        </w:tc>
        <w:tc>
          <w:tcPr>
            <w:tcW w:w="1350" w:type="dxa"/>
          </w:tcPr>
          <w:p w14:paraId="2964CB0A" w14:textId="77777777" w:rsidR="009869C2" w:rsidRPr="00102753" w:rsidRDefault="009869C2" w:rsidP="0083620E">
            <w:pPr>
              <w:pStyle w:val="TableText"/>
              <w:spacing w:before="60" w:after="60"/>
              <w:cnfStyle w:val="000000100000" w:firstRow="0" w:lastRow="0" w:firstColumn="0" w:lastColumn="0" w:oddVBand="0" w:evenVBand="0" w:oddHBand="1" w:evenHBand="0" w:firstRowFirstColumn="0" w:firstRowLastColumn="0" w:lastRowFirstColumn="0" w:lastRowLastColumn="0"/>
            </w:pPr>
            <w:r w:rsidRPr="00102753">
              <w:t>Grade 6</w:t>
            </w:r>
          </w:p>
        </w:tc>
        <w:tc>
          <w:tcPr>
            <w:tcW w:w="1620" w:type="dxa"/>
          </w:tcPr>
          <w:p w14:paraId="1ACDFF4C" w14:textId="77777777"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02753">
              <w:t>92</w:t>
            </w:r>
          </w:p>
        </w:tc>
        <w:tc>
          <w:tcPr>
            <w:tcW w:w="1620" w:type="dxa"/>
          </w:tcPr>
          <w:p w14:paraId="6BC7D714" w14:textId="77777777"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02753">
              <w:t>118</w:t>
            </w:r>
          </w:p>
        </w:tc>
        <w:tc>
          <w:tcPr>
            <w:tcW w:w="1516" w:type="dxa"/>
          </w:tcPr>
          <w:p w14:paraId="6C931D9D" w14:textId="77777777"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02753">
              <w:t>210</w:t>
            </w:r>
          </w:p>
        </w:tc>
        <w:tc>
          <w:tcPr>
            <w:tcW w:w="1724" w:type="dxa"/>
          </w:tcPr>
          <w:p w14:paraId="62E3F9E8" w14:textId="24559FE6"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0D1A6E">
              <w:t>43.8</w:t>
            </w:r>
          </w:p>
        </w:tc>
      </w:tr>
      <w:tr w:rsidR="009869C2" w:rsidRPr="00102753" w14:paraId="044D9FF6" w14:textId="77777777" w:rsidTr="00494E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4B70F239" w14:textId="4E212F3A" w:rsidR="009869C2" w:rsidRPr="00102753" w:rsidRDefault="009869C2" w:rsidP="0083620E">
            <w:pPr>
              <w:pStyle w:val="TableText"/>
              <w:spacing w:before="60" w:after="60"/>
            </w:pPr>
            <w:r w:rsidRPr="00102753">
              <w:t>2008</w:t>
            </w:r>
            <w:r w:rsidR="00B51186" w:rsidRPr="00B51186">
              <w:t>–</w:t>
            </w:r>
            <w:r w:rsidRPr="00102753">
              <w:t>2009</w:t>
            </w:r>
          </w:p>
        </w:tc>
        <w:tc>
          <w:tcPr>
            <w:tcW w:w="1350" w:type="dxa"/>
          </w:tcPr>
          <w:p w14:paraId="47094242" w14:textId="77777777" w:rsidR="009869C2" w:rsidRPr="00102753" w:rsidRDefault="009869C2" w:rsidP="0083620E">
            <w:pPr>
              <w:pStyle w:val="TableText"/>
              <w:spacing w:before="60" w:after="60"/>
              <w:cnfStyle w:val="000000010000" w:firstRow="0" w:lastRow="0" w:firstColumn="0" w:lastColumn="0" w:oddVBand="0" w:evenVBand="0" w:oddHBand="0" w:evenHBand="1" w:firstRowFirstColumn="0" w:firstRowLastColumn="0" w:lastRowFirstColumn="0" w:lastRowLastColumn="0"/>
            </w:pPr>
            <w:r w:rsidRPr="00102753">
              <w:t>Grade 7</w:t>
            </w:r>
          </w:p>
        </w:tc>
        <w:tc>
          <w:tcPr>
            <w:tcW w:w="1620" w:type="dxa"/>
          </w:tcPr>
          <w:p w14:paraId="493FB7BE" w14:textId="77777777"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102753">
              <w:t>23</w:t>
            </w:r>
          </w:p>
        </w:tc>
        <w:tc>
          <w:tcPr>
            <w:tcW w:w="1620" w:type="dxa"/>
          </w:tcPr>
          <w:p w14:paraId="2C78BEBA" w14:textId="77777777"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102753">
              <w:t>83</w:t>
            </w:r>
          </w:p>
        </w:tc>
        <w:tc>
          <w:tcPr>
            <w:tcW w:w="1516" w:type="dxa"/>
          </w:tcPr>
          <w:p w14:paraId="2F39C315" w14:textId="77777777"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102753">
              <w:t>106</w:t>
            </w:r>
          </w:p>
        </w:tc>
        <w:tc>
          <w:tcPr>
            <w:tcW w:w="1724" w:type="dxa"/>
          </w:tcPr>
          <w:p w14:paraId="55FDCA7A" w14:textId="03E3F59A"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0D1A6E">
              <w:t>21.7</w:t>
            </w:r>
          </w:p>
        </w:tc>
      </w:tr>
      <w:tr w:rsidR="009869C2" w:rsidRPr="00102753" w14:paraId="0D4C463E" w14:textId="77777777" w:rsidTr="00494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30FE5A96" w14:textId="6A1DAE17" w:rsidR="009869C2" w:rsidRPr="00102753" w:rsidRDefault="009869C2" w:rsidP="0083620E">
            <w:pPr>
              <w:pStyle w:val="TableText"/>
              <w:spacing w:before="60" w:after="60"/>
            </w:pPr>
            <w:r w:rsidRPr="00102753">
              <w:t>2008</w:t>
            </w:r>
            <w:r w:rsidR="00B51186" w:rsidRPr="00B51186">
              <w:t>–</w:t>
            </w:r>
            <w:r w:rsidRPr="00102753">
              <w:t>2009</w:t>
            </w:r>
          </w:p>
        </w:tc>
        <w:tc>
          <w:tcPr>
            <w:tcW w:w="1350" w:type="dxa"/>
          </w:tcPr>
          <w:p w14:paraId="28E60B81" w14:textId="77777777" w:rsidR="009869C2" w:rsidRPr="00102753" w:rsidRDefault="009869C2" w:rsidP="0083620E">
            <w:pPr>
              <w:pStyle w:val="TableText"/>
              <w:spacing w:before="60" w:after="60"/>
              <w:cnfStyle w:val="000000100000" w:firstRow="0" w:lastRow="0" w:firstColumn="0" w:lastColumn="0" w:oddVBand="0" w:evenVBand="0" w:oddHBand="1" w:evenHBand="0" w:firstRowFirstColumn="0" w:firstRowLastColumn="0" w:lastRowFirstColumn="0" w:lastRowLastColumn="0"/>
            </w:pPr>
            <w:r w:rsidRPr="00102753">
              <w:t>Grade 8</w:t>
            </w:r>
          </w:p>
        </w:tc>
        <w:tc>
          <w:tcPr>
            <w:tcW w:w="1620" w:type="dxa"/>
          </w:tcPr>
          <w:p w14:paraId="1C5413A1" w14:textId="77777777"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02753">
              <w:t>5</w:t>
            </w:r>
          </w:p>
        </w:tc>
        <w:tc>
          <w:tcPr>
            <w:tcW w:w="1620" w:type="dxa"/>
          </w:tcPr>
          <w:p w14:paraId="6081D111" w14:textId="77777777"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02753">
              <w:t>2</w:t>
            </w:r>
          </w:p>
        </w:tc>
        <w:tc>
          <w:tcPr>
            <w:tcW w:w="1516" w:type="dxa"/>
          </w:tcPr>
          <w:p w14:paraId="6F3E6140" w14:textId="77777777"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02753">
              <w:t>7</w:t>
            </w:r>
          </w:p>
        </w:tc>
        <w:tc>
          <w:tcPr>
            <w:tcW w:w="1724" w:type="dxa"/>
          </w:tcPr>
          <w:p w14:paraId="4725B98E" w14:textId="5B51CD84"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0D1A6E">
              <w:t>71.4</w:t>
            </w:r>
          </w:p>
        </w:tc>
      </w:tr>
      <w:tr w:rsidR="009869C2" w:rsidRPr="00102753" w14:paraId="5624FFF5" w14:textId="77777777" w:rsidTr="00494E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422F8134" w14:textId="0FACA963" w:rsidR="009869C2" w:rsidRPr="00102753" w:rsidRDefault="009869C2" w:rsidP="0083620E">
            <w:pPr>
              <w:pStyle w:val="TableText"/>
              <w:spacing w:before="60" w:after="60"/>
            </w:pPr>
            <w:r w:rsidRPr="00102753">
              <w:t>2009</w:t>
            </w:r>
            <w:r w:rsidR="00B51186" w:rsidRPr="00B51186">
              <w:t>–</w:t>
            </w:r>
            <w:r w:rsidRPr="00102753">
              <w:t>2010</w:t>
            </w:r>
          </w:p>
        </w:tc>
        <w:tc>
          <w:tcPr>
            <w:tcW w:w="1350" w:type="dxa"/>
          </w:tcPr>
          <w:p w14:paraId="337C8913" w14:textId="77777777" w:rsidR="009869C2" w:rsidRPr="00102753" w:rsidRDefault="009869C2" w:rsidP="0083620E">
            <w:pPr>
              <w:pStyle w:val="TableText"/>
              <w:spacing w:before="60" w:after="60"/>
              <w:cnfStyle w:val="000000010000" w:firstRow="0" w:lastRow="0" w:firstColumn="0" w:lastColumn="0" w:oddVBand="0" w:evenVBand="0" w:oddHBand="0" w:evenHBand="1" w:firstRowFirstColumn="0" w:firstRowLastColumn="0" w:lastRowFirstColumn="0" w:lastRowLastColumn="0"/>
            </w:pPr>
            <w:r w:rsidRPr="00102753">
              <w:t>Grade 6</w:t>
            </w:r>
          </w:p>
        </w:tc>
        <w:tc>
          <w:tcPr>
            <w:tcW w:w="1620" w:type="dxa"/>
          </w:tcPr>
          <w:p w14:paraId="4BA367EE" w14:textId="77777777"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102753">
              <w:t>57</w:t>
            </w:r>
          </w:p>
        </w:tc>
        <w:tc>
          <w:tcPr>
            <w:tcW w:w="1620" w:type="dxa"/>
          </w:tcPr>
          <w:p w14:paraId="56D700FB" w14:textId="77777777"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102753">
              <w:t>163</w:t>
            </w:r>
          </w:p>
        </w:tc>
        <w:tc>
          <w:tcPr>
            <w:tcW w:w="1516" w:type="dxa"/>
          </w:tcPr>
          <w:p w14:paraId="114D9020" w14:textId="77777777"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102753">
              <w:t>220</w:t>
            </w:r>
          </w:p>
        </w:tc>
        <w:tc>
          <w:tcPr>
            <w:tcW w:w="1724" w:type="dxa"/>
          </w:tcPr>
          <w:p w14:paraId="679EE786" w14:textId="6C46201C"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0D1A6E">
              <w:t>25.9</w:t>
            </w:r>
          </w:p>
        </w:tc>
      </w:tr>
      <w:tr w:rsidR="009869C2" w:rsidRPr="00102753" w14:paraId="440275BD" w14:textId="77777777" w:rsidTr="00494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647C32A4" w14:textId="6DEAE632" w:rsidR="009869C2" w:rsidRPr="00102753" w:rsidRDefault="009869C2" w:rsidP="0083620E">
            <w:pPr>
              <w:pStyle w:val="TableText"/>
              <w:spacing w:before="60" w:after="60"/>
            </w:pPr>
            <w:r w:rsidRPr="00102753">
              <w:t>2010</w:t>
            </w:r>
            <w:r w:rsidR="00B51186" w:rsidRPr="00B51186">
              <w:t>–</w:t>
            </w:r>
            <w:r w:rsidRPr="00102753">
              <w:t>2011</w:t>
            </w:r>
          </w:p>
        </w:tc>
        <w:tc>
          <w:tcPr>
            <w:tcW w:w="1350" w:type="dxa"/>
          </w:tcPr>
          <w:p w14:paraId="0BAFB937" w14:textId="77777777" w:rsidR="009869C2" w:rsidRPr="00102753" w:rsidRDefault="009869C2" w:rsidP="0083620E">
            <w:pPr>
              <w:pStyle w:val="TableText"/>
              <w:spacing w:before="60" w:after="60"/>
              <w:cnfStyle w:val="000000100000" w:firstRow="0" w:lastRow="0" w:firstColumn="0" w:lastColumn="0" w:oddVBand="0" w:evenVBand="0" w:oddHBand="1" w:evenHBand="0" w:firstRowFirstColumn="0" w:firstRowLastColumn="0" w:lastRowFirstColumn="0" w:lastRowLastColumn="0"/>
            </w:pPr>
            <w:r w:rsidRPr="00102753">
              <w:t>Grade 6</w:t>
            </w:r>
          </w:p>
        </w:tc>
        <w:tc>
          <w:tcPr>
            <w:tcW w:w="1620" w:type="dxa"/>
          </w:tcPr>
          <w:p w14:paraId="6F611B37" w14:textId="77777777"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02753">
              <w:t>24</w:t>
            </w:r>
          </w:p>
        </w:tc>
        <w:tc>
          <w:tcPr>
            <w:tcW w:w="1620" w:type="dxa"/>
          </w:tcPr>
          <w:p w14:paraId="7B5DFB92" w14:textId="77777777"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02753">
              <w:t>13</w:t>
            </w:r>
          </w:p>
        </w:tc>
        <w:tc>
          <w:tcPr>
            <w:tcW w:w="1516" w:type="dxa"/>
          </w:tcPr>
          <w:p w14:paraId="5F891423" w14:textId="77777777"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02753">
              <w:t>37</w:t>
            </w:r>
          </w:p>
        </w:tc>
        <w:tc>
          <w:tcPr>
            <w:tcW w:w="1724" w:type="dxa"/>
          </w:tcPr>
          <w:p w14:paraId="28D6658C" w14:textId="594AC63C"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0D1A6E">
              <w:t>64.9</w:t>
            </w:r>
          </w:p>
        </w:tc>
      </w:tr>
      <w:tr w:rsidR="009869C2" w:rsidRPr="00102753" w14:paraId="226C351F" w14:textId="77777777" w:rsidTr="00494E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2D6BB13F" w14:textId="678E04F2" w:rsidR="009869C2" w:rsidRPr="00102753" w:rsidRDefault="009869C2" w:rsidP="0083620E">
            <w:pPr>
              <w:pStyle w:val="TableText"/>
              <w:spacing w:before="60" w:after="60"/>
            </w:pPr>
            <w:r w:rsidRPr="00102753">
              <w:t>2012</w:t>
            </w:r>
            <w:r w:rsidR="00B51186" w:rsidRPr="00B51186">
              <w:t>–</w:t>
            </w:r>
            <w:r w:rsidRPr="00102753">
              <w:t>2013</w:t>
            </w:r>
          </w:p>
        </w:tc>
        <w:tc>
          <w:tcPr>
            <w:tcW w:w="1350" w:type="dxa"/>
          </w:tcPr>
          <w:p w14:paraId="177B92B5" w14:textId="77777777" w:rsidR="009869C2" w:rsidRPr="00102753" w:rsidRDefault="009869C2" w:rsidP="0083620E">
            <w:pPr>
              <w:pStyle w:val="TableText"/>
              <w:spacing w:before="60" w:after="60"/>
              <w:cnfStyle w:val="000000010000" w:firstRow="0" w:lastRow="0" w:firstColumn="0" w:lastColumn="0" w:oddVBand="0" w:evenVBand="0" w:oddHBand="0" w:evenHBand="1" w:firstRowFirstColumn="0" w:firstRowLastColumn="0" w:lastRowFirstColumn="0" w:lastRowLastColumn="0"/>
            </w:pPr>
            <w:r w:rsidRPr="00102753">
              <w:t>Grade 8</w:t>
            </w:r>
          </w:p>
        </w:tc>
        <w:tc>
          <w:tcPr>
            <w:tcW w:w="1620" w:type="dxa"/>
          </w:tcPr>
          <w:p w14:paraId="7AB7F4E7" w14:textId="77777777"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102753">
              <w:t>14</w:t>
            </w:r>
          </w:p>
        </w:tc>
        <w:tc>
          <w:tcPr>
            <w:tcW w:w="1620" w:type="dxa"/>
          </w:tcPr>
          <w:p w14:paraId="7E3B493C" w14:textId="77777777"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102753">
              <w:t>11</w:t>
            </w:r>
          </w:p>
        </w:tc>
        <w:tc>
          <w:tcPr>
            <w:tcW w:w="1516" w:type="dxa"/>
          </w:tcPr>
          <w:p w14:paraId="437584CC" w14:textId="77777777"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102753">
              <w:t>25</w:t>
            </w:r>
          </w:p>
        </w:tc>
        <w:tc>
          <w:tcPr>
            <w:tcW w:w="1724" w:type="dxa"/>
          </w:tcPr>
          <w:p w14:paraId="0E7465A5" w14:textId="24A3D393"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0D1A6E">
              <w:t>56.0</w:t>
            </w:r>
          </w:p>
        </w:tc>
      </w:tr>
      <w:tr w:rsidR="009869C2" w:rsidRPr="00102753" w14:paraId="2BD216FA" w14:textId="77777777" w:rsidTr="00494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2C3EB95C" w14:textId="4E60B09F" w:rsidR="009869C2" w:rsidRPr="00102753" w:rsidRDefault="009869C2" w:rsidP="0083620E">
            <w:pPr>
              <w:pStyle w:val="TableText"/>
              <w:spacing w:before="60" w:after="60"/>
            </w:pPr>
            <w:r w:rsidRPr="00102753">
              <w:t>2012</w:t>
            </w:r>
            <w:r w:rsidR="00B51186" w:rsidRPr="00B51186">
              <w:t>–</w:t>
            </w:r>
            <w:r w:rsidRPr="00102753">
              <w:t>2013</w:t>
            </w:r>
          </w:p>
        </w:tc>
        <w:tc>
          <w:tcPr>
            <w:tcW w:w="1350" w:type="dxa"/>
          </w:tcPr>
          <w:p w14:paraId="7D59C2C1" w14:textId="77777777" w:rsidR="009869C2" w:rsidRPr="00102753" w:rsidRDefault="009869C2" w:rsidP="0083620E">
            <w:pPr>
              <w:pStyle w:val="TableText"/>
              <w:spacing w:before="60" w:after="60"/>
              <w:cnfStyle w:val="000000100000" w:firstRow="0" w:lastRow="0" w:firstColumn="0" w:lastColumn="0" w:oddVBand="0" w:evenVBand="0" w:oddHBand="1" w:evenHBand="0" w:firstRowFirstColumn="0" w:firstRowLastColumn="0" w:lastRowFirstColumn="0" w:lastRowLastColumn="0"/>
            </w:pPr>
            <w:r w:rsidRPr="00102753">
              <w:t>Grade 9</w:t>
            </w:r>
          </w:p>
        </w:tc>
        <w:tc>
          <w:tcPr>
            <w:tcW w:w="1620" w:type="dxa"/>
          </w:tcPr>
          <w:p w14:paraId="77915920" w14:textId="77777777"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02753">
              <w:t>28</w:t>
            </w:r>
          </w:p>
        </w:tc>
        <w:tc>
          <w:tcPr>
            <w:tcW w:w="1620" w:type="dxa"/>
          </w:tcPr>
          <w:p w14:paraId="1E1519F0" w14:textId="77777777"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02753">
              <w:t>3</w:t>
            </w:r>
          </w:p>
        </w:tc>
        <w:tc>
          <w:tcPr>
            <w:tcW w:w="1516" w:type="dxa"/>
          </w:tcPr>
          <w:p w14:paraId="2A90C2A9" w14:textId="77777777"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02753">
              <w:t>31</w:t>
            </w:r>
          </w:p>
        </w:tc>
        <w:tc>
          <w:tcPr>
            <w:tcW w:w="1724" w:type="dxa"/>
          </w:tcPr>
          <w:p w14:paraId="0E88A943" w14:textId="3BF877D5"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0D1A6E">
              <w:t>90.3</w:t>
            </w:r>
          </w:p>
        </w:tc>
      </w:tr>
      <w:tr w:rsidR="009869C2" w:rsidRPr="00102753" w14:paraId="58BECDB3" w14:textId="77777777" w:rsidTr="00494E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35C85208" w14:textId="6E64B580" w:rsidR="009869C2" w:rsidRPr="00102753" w:rsidRDefault="009869C2" w:rsidP="0083620E">
            <w:pPr>
              <w:pStyle w:val="TableText"/>
              <w:spacing w:before="60" w:after="60"/>
            </w:pPr>
            <w:r w:rsidRPr="00102753">
              <w:t>2012</w:t>
            </w:r>
            <w:r w:rsidR="00B51186" w:rsidRPr="00B51186">
              <w:t>–</w:t>
            </w:r>
            <w:r w:rsidRPr="00102753">
              <w:t>2013</w:t>
            </w:r>
          </w:p>
        </w:tc>
        <w:tc>
          <w:tcPr>
            <w:tcW w:w="1350" w:type="dxa"/>
          </w:tcPr>
          <w:p w14:paraId="60FFD53F" w14:textId="77777777" w:rsidR="009869C2" w:rsidRPr="00102753" w:rsidRDefault="009869C2" w:rsidP="0083620E">
            <w:pPr>
              <w:pStyle w:val="TableText"/>
              <w:spacing w:before="60" w:after="60"/>
              <w:cnfStyle w:val="000000010000" w:firstRow="0" w:lastRow="0" w:firstColumn="0" w:lastColumn="0" w:oddVBand="0" w:evenVBand="0" w:oddHBand="0" w:evenHBand="1" w:firstRowFirstColumn="0" w:firstRowLastColumn="0" w:lastRowFirstColumn="0" w:lastRowLastColumn="0"/>
            </w:pPr>
            <w:r w:rsidRPr="00102753">
              <w:t>Grade 10</w:t>
            </w:r>
          </w:p>
        </w:tc>
        <w:tc>
          <w:tcPr>
            <w:tcW w:w="1620" w:type="dxa"/>
          </w:tcPr>
          <w:p w14:paraId="51A4B1A5" w14:textId="77777777"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102753">
              <w:t>16</w:t>
            </w:r>
          </w:p>
        </w:tc>
        <w:tc>
          <w:tcPr>
            <w:tcW w:w="1620" w:type="dxa"/>
          </w:tcPr>
          <w:p w14:paraId="363FE607" w14:textId="77777777"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102753">
              <w:t>4</w:t>
            </w:r>
          </w:p>
        </w:tc>
        <w:tc>
          <w:tcPr>
            <w:tcW w:w="1516" w:type="dxa"/>
          </w:tcPr>
          <w:p w14:paraId="4C686146" w14:textId="77777777"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102753">
              <w:t>20</w:t>
            </w:r>
          </w:p>
        </w:tc>
        <w:tc>
          <w:tcPr>
            <w:tcW w:w="1724" w:type="dxa"/>
          </w:tcPr>
          <w:p w14:paraId="5B68A640" w14:textId="461A0085" w:rsidR="009869C2" w:rsidRPr="0010275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0D1A6E">
              <w:t>80.0</w:t>
            </w:r>
          </w:p>
        </w:tc>
      </w:tr>
      <w:tr w:rsidR="009869C2" w:rsidRPr="00102753" w14:paraId="66018B3E" w14:textId="77777777" w:rsidTr="00494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2AE62DCF" w14:textId="2893E55D" w:rsidR="009869C2" w:rsidRPr="00102753" w:rsidRDefault="009869C2" w:rsidP="0083620E">
            <w:pPr>
              <w:pStyle w:val="TableText"/>
              <w:spacing w:before="60" w:after="60"/>
            </w:pPr>
            <w:r w:rsidRPr="00102753">
              <w:t>2015</w:t>
            </w:r>
            <w:r w:rsidR="00B51186" w:rsidRPr="00B51186">
              <w:t>–</w:t>
            </w:r>
            <w:r w:rsidRPr="00102753">
              <w:t>2016</w:t>
            </w:r>
          </w:p>
        </w:tc>
        <w:tc>
          <w:tcPr>
            <w:tcW w:w="1350" w:type="dxa"/>
          </w:tcPr>
          <w:p w14:paraId="5B78399C" w14:textId="77777777" w:rsidR="009869C2" w:rsidRPr="00102753" w:rsidRDefault="009869C2" w:rsidP="0083620E">
            <w:pPr>
              <w:pStyle w:val="TableText"/>
              <w:spacing w:before="60" w:after="60"/>
              <w:cnfStyle w:val="000000100000" w:firstRow="0" w:lastRow="0" w:firstColumn="0" w:lastColumn="0" w:oddVBand="0" w:evenVBand="0" w:oddHBand="1" w:evenHBand="0" w:firstRowFirstColumn="0" w:firstRowLastColumn="0" w:lastRowFirstColumn="0" w:lastRowLastColumn="0"/>
            </w:pPr>
            <w:r w:rsidRPr="00102753">
              <w:t>Grade 11</w:t>
            </w:r>
          </w:p>
        </w:tc>
        <w:tc>
          <w:tcPr>
            <w:tcW w:w="1620" w:type="dxa"/>
          </w:tcPr>
          <w:p w14:paraId="2E470697" w14:textId="77777777"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02753">
              <w:t>5</w:t>
            </w:r>
          </w:p>
        </w:tc>
        <w:tc>
          <w:tcPr>
            <w:tcW w:w="1620" w:type="dxa"/>
          </w:tcPr>
          <w:p w14:paraId="75D49E6D" w14:textId="77777777"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02753">
              <w:t>2</w:t>
            </w:r>
          </w:p>
        </w:tc>
        <w:tc>
          <w:tcPr>
            <w:tcW w:w="1516" w:type="dxa"/>
          </w:tcPr>
          <w:p w14:paraId="78CEB80D" w14:textId="77777777"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02753">
              <w:t>7</w:t>
            </w:r>
          </w:p>
        </w:tc>
        <w:tc>
          <w:tcPr>
            <w:tcW w:w="1724" w:type="dxa"/>
          </w:tcPr>
          <w:p w14:paraId="2D77BFB0" w14:textId="6E92B57F" w:rsidR="009869C2" w:rsidRPr="00102753" w:rsidRDefault="009869C2"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0D1A6E">
              <w:t>71.4</w:t>
            </w:r>
          </w:p>
        </w:tc>
      </w:tr>
      <w:tr w:rsidR="009869C2" w:rsidRPr="00102753" w14:paraId="5D9F62B9" w14:textId="77777777" w:rsidTr="00494E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6447AE3A" w14:textId="77777777" w:rsidR="009869C2" w:rsidRPr="00494E13" w:rsidRDefault="009869C2" w:rsidP="0083620E">
            <w:pPr>
              <w:pStyle w:val="TableText"/>
              <w:spacing w:before="60" w:after="60"/>
              <w:rPr>
                <w:b/>
              </w:rPr>
            </w:pPr>
            <w:r w:rsidRPr="00494E13">
              <w:rPr>
                <w:b/>
              </w:rPr>
              <w:t>Total</w:t>
            </w:r>
          </w:p>
        </w:tc>
        <w:tc>
          <w:tcPr>
            <w:tcW w:w="1350" w:type="dxa"/>
          </w:tcPr>
          <w:p w14:paraId="2CF3C5B5" w14:textId="77777777" w:rsidR="009869C2" w:rsidRPr="00494E13" w:rsidRDefault="009869C2" w:rsidP="0083620E">
            <w:pPr>
              <w:pStyle w:val="TableText"/>
              <w:spacing w:before="60" w:after="60"/>
              <w:cnfStyle w:val="000000010000" w:firstRow="0" w:lastRow="0" w:firstColumn="0" w:lastColumn="0" w:oddVBand="0" w:evenVBand="0" w:oddHBand="0" w:evenHBand="1" w:firstRowFirstColumn="0" w:firstRowLastColumn="0" w:lastRowFirstColumn="0" w:lastRowLastColumn="0"/>
              <w:rPr>
                <w:b/>
              </w:rPr>
            </w:pPr>
          </w:p>
        </w:tc>
        <w:tc>
          <w:tcPr>
            <w:tcW w:w="1620" w:type="dxa"/>
          </w:tcPr>
          <w:p w14:paraId="1EF4740B" w14:textId="77777777" w:rsidR="009869C2" w:rsidRPr="00494E1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rPr>
                <w:b/>
              </w:rPr>
            </w:pPr>
            <w:r w:rsidRPr="00494E13">
              <w:rPr>
                <w:b/>
              </w:rPr>
              <w:t>372</w:t>
            </w:r>
          </w:p>
        </w:tc>
        <w:tc>
          <w:tcPr>
            <w:tcW w:w="1620" w:type="dxa"/>
          </w:tcPr>
          <w:p w14:paraId="231481D2" w14:textId="77777777" w:rsidR="009869C2" w:rsidRPr="00494E1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rPr>
                <w:b/>
              </w:rPr>
            </w:pPr>
            <w:r w:rsidRPr="00494E13">
              <w:rPr>
                <w:b/>
              </w:rPr>
              <w:t>688</w:t>
            </w:r>
          </w:p>
        </w:tc>
        <w:tc>
          <w:tcPr>
            <w:tcW w:w="1516" w:type="dxa"/>
          </w:tcPr>
          <w:p w14:paraId="64C51520" w14:textId="77777777" w:rsidR="009869C2" w:rsidRPr="00494E1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rPr>
                <w:b/>
              </w:rPr>
            </w:pPr>
            <w:r w:rsidRPr="00494E13">
              <w:rPr>
                <w:b/>
              </w:rPr>
              <w:t>1,060</w:t>
            </w:r>
          </w:p>
        </w:tc>
        <w:tc>
          <w:tcPr>
            <w:tcW w:w="1724" w:type="dxa"/>
          </w:tcPr>
          <w:p w14:paraId="77C86388" w14:textId="0D49B869" w:rsidR="009869C2" w:rsidRPr="00494E13" w:rsidRDefault="009869C2"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rPr>
                <w:b/>
              </w:rPr>
            </w:pPr>
            <w:r w:rsidRPr="00494E13">
              <w:rPr>
                <w:b/>
              </w:rPr>
              <w:t>35.1</w:t>
            </w:r>
          </w:p>
        </w:tc>
      </w:tr>
    </w:tbl>
    <w:p w14:paraId="7605B5AD" w14:textId="77777777" w:rsidR="009869C2" w:rsidRDefault="009869C2" w:rsidP="0083620E">
      <w:pPr>
        <w:spacing w:line="240" w:lineRule="auto"/>
      </w:pPr>
    </w:p>
    <w:p w14:paraId="3F821D93" w14:textId="77777777" w:rsidR="0083620E" w:rsidRDefault="0083620E" w:rsidP="0083620E">
      <w:pPr>
        <w:pStyle w:val="H3Alpha"/>
      </w:pPr>
      <w:bookmarkStart w:id="5" w:name="_Toc504057620"/>
    </w:p>
    <w:p w14:paraId="0FFC378C" w14:textId="7A8E90D1" w:rsidR="00573505" w:rsidRDefault="00573505" w:rsidP="0083620E">
      <w:pPr>
        <w:pStyle w:val="H3Alpha"/>
      </w:pPr>
      <w:r>
        <w:t>Table B</w:t>
      </w:r>
      <w:r w:rsidR="00A86D78">
        <w:t>.</w:t>
      </w:r>
      <w:r w:rsidR="005C5760">
        <w:t>2</w:t>
      </w:r>
      <w:r>
        <w:t>. Additional student baseline equivalence</w:t>
      </w:r>
      <w:bookmarkEnd w:id="5"/>
    </w:p>
    <w:tbl>
      <w:tblPr>
        <w:tblStyle w:val="MPRBaseTable"/>
        <w:tblW w:w="9360" w:type="dxa"/>
        <w:tblLayout w:type="fixed"/>
        <w:tblLook w:val="04A0" w:firstRow="1" w:lastRow="0" w:firstColumn="1" w:lastColumn="0" w:noHBand="0" w:noVBand="1"/>
      </w:tblPr>
      <w:tblGrid>
        <w:gridCol w:w="3510"/>
        <w:gridCol w:w="1440"/>
        <w:gridCol w:w="1530"/>
        <w:gridCol w:w="1530"/>
        <w:gridCol w:w="1350"/>
      </w:tblGrid>
      <w:tr w:rsidR="00573505" w:rsidRPr="00131878" w14:paraId="4B5C6D5D" w14:textId="77777777" w:rsidTr="00494E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Pr>
          <w:p w14:paraId="59EBA656" w14:textId="41FCEE75" w:rsidR="00573505" w:rsidRPr="00494E13" w:rsidRDefault="0003529C" w:rsidP="0083620E">
            <w:pPr>
              <w:pStyle w:val="TableHeaderLeft"/>
              <w:rPr>
                <w:b/>
              </w:rPr>
            </w:pPr>
            <w:r w:rsidRPr="00494E13">
              <w:t>Characteristic (percentage unless otherwise indicated)</w:t>
            </w:r>
          </w:p>
        </w:tc>
        <w:tc>
          <w:tcPr>
            <w:tcW w:w="1440" w:type="dxa"/>
          </w:tcPr>
          <w:p w14:paraId="40591F16" w14:textId="129EDF9B" w:rsidR="00573505" w:rsidRPr="00494E13" w:rsidRDefault="00573505"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94E13">
              <w:t>N</w:t>
            </w:r>
            <w:r w:rsidR="00A86D78" w:rsidRPr="00494E13">
              <w:t>umber</w:t>
            </w:r>
          </w:p>
        </w:tc>
        <w:tc>
          <w:tcPr>
            <w:tcW w:w="1530" w:type="dxa"/>
          </w:tcPr>
          <w:p w14:paraId="360A73C6" w14:textId="77777777" w:rsidR="00573505" w:rsidRPr="00494E13" w:rsidRDefault="00573505"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94E13">
              <w:t>Offer</w:t>
            </w:r>
          </w:p>
        </w:tc>
        <w:tc>
          <w:tcPr>
            <w:tcW w:w="1530" w:type="dxa"/>
          </w:tcPr>
          <w:p w14:paraId="4A08322B" w14:textId="77777777" w:rsidR="00573505" w:rsidRPr="00494E13" w:rsidRDefault="00573505"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94E13">
              <w:t>No offer</w:t>
            </w:r>
          </w:p>
        </w:tc>
        <w:tc>
          <w:tcPr>
            <w:tcW w:w="1350" w:type="dxa"/>
          </w:tcPr>
          <w:p w14:paraId="37798126" w14:textId="77777777" w:rsidR="00573505" w:rsidRPr="00494E13" w:rsidRDefault="00573505"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94E13">
              <w:t>Difference</w:t>
            </w:r>
          </w:p>
        </w:tc>
      </w:tr>
      <w:tr w:rsidR="00573505" w:rsidRPr="00131878" w14:paraId="40B39A17" w14:textId="77777777" w:rsidTr="0083620E">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3510" w:type="dxa"/>
          </w:tcPr>
          <w:p w14:paraId="33DC6B77" w14:textId="542D8513" w:rsidR="00573505" w:rsidRPr="00131878" w:rsidRDefault="0028159A" w:rsidP="0083620E">
            <w:pPr>
              <w:pStyle w:val="TableText"/>
              <w:spacing w:before="60" w:after="60"/>
            </w:pPr>
            <w:r>
              <w:t>M</w:t>
            </w:r>
            <w:r w:rsidR="00573505" w:rsidRPr="00131878">
              <w:t xml:space="preserve">ath </w:t>
            </w:r>
            <w:r w:rsidR="00573505" w:rsidRPr="00F865F5">
              <w:rPr>
                <w:i/>
              </w:rPr>
              <w:t>z</w:t>
            </w:r>
            <w:r w:rsidR="00573505" w:rsidRPr="00131878">
              <w:t>-score</w:t>
            </w:r>
          </w:p>
        </w:tc>
        <w:tc>
          <w:tcPr>
            <w:tcW w:w="1440" w:type="dxa"/>
          </w:tcPr>
          <w:p w14:paraId="2A13968A" w14:textId="77777777" w:rsidR="00573505" w:rsidRPr="00131878" w:rsidRDefault="00573505"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31878">
              <w:t>804</w:t>
            </w:r>
          </w:p>
        </w:tc>
        <w:tc>
          <w:tcPr>
            <w:tcW w:w="1530" w:type="dxa"/>
          </w:tcPr>
          <w:p w14:paraId="4C82EB99" w14:textId="77777777" w:rsidR="00573505" w:rsidRPr="00131878" w:rsidRDefault="00573505" w:rsidP="0083620E">
            <w:pPr>
              <w:pStyle w:val="TableText"/>
              <w:tabs>
                <w:tab w:val="decimal" w:pos="612"/>
              </w:tabs>
              <w:spacing w:before="60" w:after="60"/>
              <w:cnfStyle w:val="000000100000" w:firstRow="0" w:lastRow="0" w:firstColumn="0" w:lastColumn="0" w:oddVBand="0" w:evenVBand="0" w:oddHBand="1" w:evenHBand="0" w:firstRowFirstColumn="0" w:firstRowLastColumn="0" w:lastRowFirstColumn="0" w:lastRowLastColumn="0"/>
            </w:pPr>
            <w:r w:rsidRPr="00131878">
              <w:t>-0.363</w:t>
            </w:r>
          </w:p>
        </w:tc>
        <w:tc>
          <w:tcPr>
            <w:tcW w:w="1530" w:type="dxa"/>
          </w:tcPr>
          <w:p w14:paraId="559520A7" w14:textId="77777777" w:rsidR="00573505" w:rsidRPr="00131878" w:rsidRDefault="00573505" w:rsidP="0083620E">
            <w:pPr>
              <w:pStyle w:val="TableText"/>
              <w:tabs>
                <w:tab w:val="decimal" w:pos="612"/>
              </w:tabs>
              <w:spacing w:before="60" w:after="60"/>
              <w:cnfStyle w:val="000000100000" w:firstRow="0" w:lastRow="0" w:firstColumn="0" w:lastColumn="0" w:oddVBand="0" w:evenVBand="0" w:oddHBand="1" w:evenHBand="0" w:firstRowFirstColumn="0" w:firstRowLastColumn="0" w:lastRowFirstColumn="0" w:lastRowLastColumn="0"/>
            </w:pPr>
            <w:r w:rsidRPr="00131878">
              <w:t>-0.349</w:t>
            </w:r>
          </w:p>
        </w:tc>
        <w:tc>
          <w:tcPr>
            <w:tcW w:w="1350" w:type="dxa"/>
          </w:tcPr>
          <w:p w14:paraId="551278DD" w14:textId="77777777" w:rsidR="00573505" w:rsidRPr="00131878" w:rsidRDefault="00573505" w:rsidP="0083620E">
            <w:pPr>
              <w:pStyle w:val="TableText"/>
              <w:tabs>
                <w:tab w:val="decimal" w:pos="432"/>
              </w:tabs>
              <w:spacing w:before="60" w:after="60"/>
              <w:cnfStyle w:val="000000100000" w:firstRow="0" w:lastRow="0" w:firstColumn="0" w:lastColumn="0" w:oddVBand="0" w:evenVBand="0" w:oddHBand="1" w:evenHBand="0" w:firstRowFirstColumn="0" w:firstRowLastColumn="0" w:lastRowFirstColumn="0" w:lastRowLastColumn="0"/>
            </w:pPr>
            <w:r w:rsidRPr="00131878">
              <w:t>-0.014</w:t>
            </w:r>
          </w:p>
        </w:tc>
      </w:tr>
      <w:tr w:rsidR="00573505" w:rsidRPr="00131878" w14:paraId="34DDEFEA" w14:textId="77777777" w:rsidTr="00494E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52B3C19" w14:textId="2B66A695" w:rsidR="00573505" w:rsidRPr="00131878" w:rsidRDefault="0028159A" w:rsidP="0083620E">
            <w:pPr>
              <w:pStyle w:val="TableText"/>
              <w:spacing w:before="60" w:after="60"/>
            </w:pPr>
            <w:r>
              <w:t>R</w:t>
            </w:r>
            <w:r w:rsidR="00573505" w:rsidRPr="00131878">
              <w:t xml:space="preserve">eading </w:t>
            </w:r>
            <w:r w:rsidR="00573505" w:rsidRPr="00F865F5">
              <w:rPr>
                <w:i/>
              </w:rPr>
              <w:t>z</w:t>
            </w:r>
            <w:r w:rsidR="00573505" w:rsidRPr="00131878">
              <w:t>-score</w:t>
            </w:r>
          </w:p>
        </w:tc>
        <w:tc>
          <w:tcPr>
            <w:tcW w:w="1440" w:type="dxa"/>
          </w:tcPr>
          <w:p w14:paraId="26AD5975" w14:textId="77777777" w:rsidR="00573505" w:rsidRPr="00131878" w:rsidRDefault="00573505"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131878">
              <w:t>791</w:t>
            </w:r>
          </w:p>
        </w:tc>
        <w:tc>
          <w:tcPr>
            <w:tcW w:w="1530" w:type="dxa"/>
          </w:tcPr>
          <w:p w14:paraId="634DB731" w14:textId="77777777" w:rsidR="00573505" w:rsidRPr="00131878" w:rsidRDefault="00573505" w:rsidP="0083620E">
            <w:pPr>
              <w:pStyle w:val="TableText"/>
              <w:tabs>
                <w:tab w:val="decimal" w:pos="612"/>
              </w:tabs>
              <w:spacing w:before="60" w:after="60"/>
              <w:cnfStyle w:val="000000010000" w:firstRow="0" w:lastRow="0" w:firstColumn="0" w:lastColumn="0" w:oddVBand="0" w:evenVBand="0" w:oddHBand="0" w:evenHBand="1" w:firstRowFirstColumn="0" w:firstRowLastColumn="0" w:lastRowFirstColumn="0" w:lastRowLastColumn="0"/>
            </w:pPr>
            <w:r w:rsidRPr="00131878">
              <w:t>-0.189</w:t>
            </w:r>
          </w:p>
        </w:tc>
        <w:tc>
          <w:tcPr>
            <w:tcW w:w="1530" w:type="dxa"/>
          </w:tcPr>
          <w:p w14:paraId="3779BCE6" w14:textId="77777777" w:rsidR="00573505" w:rsidRPr="00131878" w:rsidRDefault="00573505" w:rsidP="0083620E">
            <w:pPr>
              <w:pStyle w:val="TableText"/>
              <w:tabs>
                <w:tab w:val="decimal" w:pos="612"/>
              </w:tabs>
              <w:spacing w:before="60" w:after="60"/>
              <w:cnfStyle w:val="000000010000" w:firstRow="0" w:lastRow="0" w:firstColumn="0" w:lastColumn="0" w:oddVBand="0" w:evenVBand="0" w:oddHBand="0" w:evenHBand="1" w:firstRowFirstColumn="0" w:firstRowLastColumn="0" w:lastRowFirstColumn="0" w:lastRowLastColumn="0"/>
            </w:pPr>
            <w:r w:rsidRPr="00131878">
              <w:t>-0.252</w:t>
            </w:r>
          </w:p>
        </w:tc>
        <w:tc>
          <w:tcPr>
            <w:tcW w:w="1350" w:type="dxa"/>
          </w:tcPr>
          <w:p w14:paraId="5450A52F" w14:textId="77777777" w:rsidR="00573505" w:rsidRPr="00131878" w:rsidRDefault="00573505" w:rsidP="0083620E">
            <w:pPr>
              <w:pStyle w:val="TableText"/>
              <w:tabs>
                <w:tab w:val="decimal" w:pos="432"/>
              </w:tabs>
              <w:spacing w:before="60" w:after="60"/>
              <w:cnfStyle w:val="000000010000" w:firstRow="0" w:lastRow="0" w:firstColumn="0" w:lastColumn="0" w:oddVBand="0" w:evenVBand="0" w:oddHBand="0" w:evenHBand="1" w:firstRowFirstColumn="0" w:firstRowLastColumn="0" w:lastRowFirstColumn="0" w:lastRowLastColumn="0"/>
            </w:pPr>
            <w:r w:rsidRPr="00131878">
              <w:t>0.063</w:t>
            </w:r>
          </w:p>
        </w:tc>
      </w:tr>
      <w:tr w:rsidR="00573505" w:rsidRPr="00131878" w14:paraId="03034170" w14:textId="77777777" w:rsidTr="00494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149B6CE" w14:textId="4CD2EFFC" w:rsidR="00573505" w:rsidRPr="00131878" w:rsidRDefault="00573505" w:rsidP="0083620E">
            <w:pPr>
              <w:pStyle w:val="TableText"/>
              <w:spacing w:before="60" w:after="60"/>
            </w:pPr>
            <w:r w:rsidRPr="00131878">
              <w:t>English</w:t>
            </w:r>
            <w:r w:rsidR="00A86D78">
              <w:t>-</w:t>
            </w:r>
            <w:r w:rsidRPr="00131878">
              <w:t>language learner</w:t>
            </w:r>
          </w:p>
        </w:tc>
        <w:tc>
          <w:tcPr>
            <w:tcW w:w="1440" w:type="dxa"/>
          </w:tcPr>
          <w:p w14:paraId="43F6CBA9" w14:textId="77777777" w:rsidR="00573505" w:rsidRPr="00131878" w:rsidRDefault="00573505"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31878">
              <w:t>849</w:t>
            </w:r>
          </w:p>
        </w:tc>
        <w:tc>
          <w:tcPr>
            <w:tcW w:w="1530" w:type="dxa"/>
          </w:tcPr>
          <w:p w14:paraId="6DEFEF87" w14:textId="77777777" w:rsidR="00573505" w:rsidRPr="00131878" w:rsidRDefault="00573505" w:rsidP="0083620E">
            <w:pPr>
              <w:pStyle w:val="TableText"/>
              <w:tabs>
                <w:tab w:val="decimal" w:pos="612"/>
              </w:tabs>
              <w:spacing w:before="60" w:after="60"/>
              <w:cnfStyle w:val="000000100000" w:firstRow="0" w:lastRow="0" w:firstColumn="0" w:lastColumn="0" w:oddVBand="0" w:evenVBand="0" w:oddHBand="1" w:evenHBand="0" w:firstRowFirstColumn="0" w:firstRowLastColumn="0" w:lastRowFirstColumn="0" w:lastRowLastColumn="0"/>
            </w:pPr>
            <w:r w:rsidRPr="00131878">
              <w:t>7.6</w:t>
            </w:r>
          </w:p>
        </w:tc>
        <w:tc>
          <w:tcPr>
            <w:tcW w:w="1530" w:type="dxa"/>
          </w:tcPr>
          <w:p w14:paraId="28C505C8" w14:textId="77777777" w:rsidR="00573505" w:rsidRPr="00131878" w:rsidRDefault="00573505" w:rsidP="0083620E">
            <w:pPr>
              <w:pStyle w:val="TableText"/>
              <w:tabs>
                <w:tab w:val="decimal" w:pos="612"/>
              </w:tabs>
              <w:spacing w:before="60" w:after="60"/>
              <w:cnfStyle w:val="000000100000" w:firstRow="0" w:lastRow="0" w:firstColumn="0" w:lastColumn="0" w:oddVBand="0" w:evenVBand="0" w:oddHBand="1" w:evenHBand="0" w:firstRowFirstColumn="0" w:firstRowLastColumn="0" w:lastRowFirstColumn="0" w:lastRowLastColumn="0"/>
            </w:pPr>
            <w:r w:rsidRPr="00131878">
              <w:t>7.5</w:t>
            </w:r>
          </w:p>
        </w:tc>
        <w:tc>
          <w:tcPr>
            <w:tcW w:w="1350" w:type="dxa"/>
          </w:tcPr>
          <w:p w14:paraId="297B8753" w14:textId="77777777" w:rsidR="00573505" w:rsidRPr="00131878" w:rsidRDefault="00573505" w:rsidP="0083620E">
            <w:pPr>
              <w:pStyle w:val="TableText"/>
              <w:tabs>
                <w:tab w:val="decimal" w:pos="432"/>
              </w:tabs>
              <w:spacing w:before="60" w:after="60"/>
              <w:cnfStyle w:val="000000100000" w:firstRow="0" w:lastRow="0" w:firstColumn="0" w:lastColumn="0" w:oddVBand="0" w:evenVBand="0" w:oddHBand="1" w:evenHBand="0" w:firstRowFirstColumn="0" w:firstRowLastColumn="0" w:lastRowFirstColumn="0" w:lastRowLastColumn="0"/>
            </w:pPr>
            <w:r w:rsidRPr="00131878">
              <w:t>0.1</w:t>
            </w:r>
          </w:p>
        </w:tc>
      </w:tr>
      <w:tr w:rsidR="00573505" w:rsidRPr="00131878" w14:paraId="3486FAFD" w14:textId="77777777" w:rsidTr="00494E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EF227B3" w14:textId="007E3874" w:rsidR="00573505" w:rsidRPr="00131878" w:rsidRDefault="00573505" w:rsidP="0083620E">
            <w:pPr>
              <w:pStyle w:val="TableText"/>
              <w:spacing w:before="60" w:after="60"/>
            </w:pPr>
            <w:r w:rsidRPr="00131878">
              <w:t>Special education</w:t>
            </w:r>
            <w:r w:rsidR="00A86D78">
              <w:t xml:space="preserve"> status</w:t>
            </w:r>
          </w:p>
        </w:tc>
        <w:tc>
          <w:tcPr>
            <w:tcW w:w="1440" w:type="dxa"/>
          </w:tcPr>
          <w:p w14:paraId="1AE9D8D8" w14:textId="77777777" w:rsidR="00573505" w:rsidRPr="00131878" w:rsidRDefault="00573505"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131878">
              <w:t>849</w:t>
            </w:r>
          </w:p>
        </w:tc>
        <w:tc>
          <w:tcPr>
            <w:tcW w:w="1530" w:type="dxa"/>
          </w:tcPr>
          <w:p w14:paraId="1830A6A5" w14:textId="77777777" w:rsidR="00573505" w:rsidRPr="00131878" w:rsidRDefault="00573505" w:rsidP="0083620E">
            <w:pPr>
              <w:pStyle w:val="TableText"/>
              <w:tabs>
                <w:tab w:val="decimal" w:pos="612"/>
              </w:tabs>
              <w:spacing w:before="60" w:after="60"/>
              <w:cnfStyle w:val="000000010000" w:firstRow="0" w:lastRow="0" w:firstColumn="0" w:lastColumn="0" w:oddVBand="0" w:evenVBand="0" w:oddHBand="0" w:evenHBand="1" w:firstRowFirstColumn="0" w:firstRowLastColumn="0" w:lastRowFirstColumn="0" w:lastRowLastColumn="0"/>
            </w:pPr>
            <w:r w:rsidRPr="00131878">
              <w:t>15.3</w:t>
            </w:r>
          </w:p>
        </w:tc>
        <w:tc>
          <w:tcPr>
            <w:tcW w:w="1530" w:type="dxa"/>
          </w:tcPr>
          <w:p w14:paraId="1D75C90E" w14:textId="77777777" w:rsidR="00573505" w:rsidRPr="00131878" w:rsidRDefault="00573505" w:rsidP="0083620E">
            <w:pPr>
              <w:pStyle w:val="TableText"/>
              <w:tabs>
                <w:tab w:val="decimal" w:pos="612"/>
              </w:tabs>
              <w:spacing w:before="60" w:after="60"/>
              <w:cnfStyle w:val="000000010000" w:firstRow="0" w:lastRow="0" w:firstColumn="0" w:lastColumn="0" w:oddVBand="0" w:evenVBand="0" w:oddHBand="0" w:evenHBand="1" w:firstRowFirstColumn="0" w:firstRowLastColumn="0" w:lastRowFirstColumn="0" w:lastRowLastColumn="0"/>
            </w:pPr>
            <w:r w:rsidRPr="00131878">
              <w:t>18.7</w:t>
            </w:r>
          </w:p>
        </w:tc>
        <w:tc>
          <w:tcPr>
            <w:tcW w:w="1350" w:type="dxa"/>
          </w:tcPr>
          <w:p w14:paraId="4AAEF201" w14:textId="77777777" w:rsidR="00573505" w:rsidRPr="00131878" w:rsidRDefault="00573505" w:rsidP="0083620E">
            <w:pPr>
              <w:pStyle w:val="TableText"/>
              <w:tabs>
                <w:tab w:val="decimal" w:pos="432"/>
              </w:tabs>
              <w:spacing w:before="60" w:after="60"/>
              <w:cnfStyle w:val="000000010000" w:firstRow="0" w:lastRow="0" w:firstColumn="0" w:lastColumn="0" w:oddVBand="0" w:evenVBand="0" w:oddHBand="0" w:evenHBand="1" w:firstRowFirstColumn="0" w:firstRowLastColumn="0" w:lastRowFirstColumn="0" w:lastRowLastColumn="0"/>
            </w:pPr>
            <w:r w:rsidRPr="00131878">
              <w:t>-3.4</w:t>
            </w:r>
          </w:p>
        </w:tc>
      </w:tr>
      <w:tr w:rsidR="00573505" w14:paraId="3A7649EC" w14:textId="77777777" w:rsidTr="00494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9578198" w14:textId="16898C9E" w:rsidR="00573505" w:rsidRPr="00131878" w:rsidRDefault="00573505" w:rsidP="0083620E">
            <w:pPr>
              <w:pStyle w:val="TableText"/>
              <w:spacing w:before="60" w:after="60"/>
            </w:pPr>
            <w:r w:rsidRPr="00131878">
              <w:t>Free or reduced-priced lunch</w:t>
            </w:r>
            <w:r w:rsidR="00A86D78">
              <w:t xml:space="preserve"> eligibility</w:t>
            </w:r>
          </w:p>
        </w:tc>
        <w:tc>
          <w:tcPr>
            <w:tcW w:w="1440" w:type="dxa"/>
          </w:tcPr>
          <w:p w14:paraId="6D137B35" w14:textId="77777777" w:rsidR="00573505" w:rsidRPr="00131878" w:rsidRDefault="00573505"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131878">
              <w:t>876</w:t>
            </w:r>
          </w:p>
        </w:tc>
        <w:tc>
          <w:tcPr>
            <w:tcW w:w="1530" w:type="dxa"/>
          </w:tcPr>
          <w:p w14:paraId="1F6A9C0A" w14:textId="77777777" w:rsidR="00573505" w:rsidRPr="00131878" w:rsidRDefault="00573505" w:rsidP="0083620E">
            <w:pPr>
              <w:pStyle w:val="TableText"/>
              <w:tabs>
                <w:tab w:val="decimal" w:pos="612"/>
              </w:tabs>
              <w:spacing w:before="60" w:after="60"/>
              <w:cnfStyle w:val="000000100000" w:firstRow="0" w:lastRow="0" w:firstColumn="0" w:lastColumn="0" w:oddVBand="0" w:evenVBand="0" w:oddHBand="1" w:evenHBand="0" w:firstRowFirstColumn="0" w:firstRowLastColumn="0" w:lastRowFirstColumn="0" w:lastRowLastColumn="0"/>
            </w:pPr>
            <w:r w:rsidRPr="00131878">
              <w:t>83.8</w:t>
            </w:r>
          </w:p>
        </w:tc>
        <w:tc>
          <w:tcPr>
            <w:tcW w:w="1530" w:type="dxa"/>
          </w:tcPr>
          <w:p w14:paraId="57F0E1CE" w14:textId="77777777" w:rsidR="00573505" w:rsidRPr="00131878" w:rsidRDefault="00573505" w:rsidP="0083620E">
            <w:pPr>
              <w:pStyle w:val="TableText"/>
              <w:tabs>
                <w:tab w:val="decimal" w:pos="612"/>
              </w:tabs>
              <w:spacing w:before="60" w:after="60"/>
              <w:cnfStyle w:val="000000100000" w:firstRow="0" w:lastRow="0" w:firstColumn="0" w:lastColumn="0" w:oddVBand="0" w:evenVBand="0" w:oddHBand="1" w:evenHBand="0" w:firstRowFirstColumn="0" w:firstRowLastColumn="0" w:lastRowFirstColumn="0" w:lastRowLastColumn="0"/>
            </w:pPr>
            <w:r w:rsidRPr="00131878">
              <w:t>79.7</w:t>
            </w:r>
          </w:p>
        </w:tc>
        <w:tc>
          <w:tcPr>
            <w:tcW w:w="1350" w:type="dxa"/>
          </w:tcPr>
          <w:p w14:paraId="4F138230" w14:textId="77777777" w:rsidR="00573505" w:rsidRDefault="00573505" w:rsidP="0083620E">
            <w:pPr>
              <w:pStyle w:val="TableText"/>
              <w:tabs>
                <w:tab w:val="decimal" w:pos="432"/>
              </w:tabs>
              <w:spacing w:before="60" w:after="60"/>
              <w:cnfStyle w:val="000000100000" w:firstRow="0" w:lastRow="0" w:firstColumn="0" w:lastColumn="0" w:oddVBand="0" w:evenVBand="0" w:oddHBand="1" w:evenHBand="0" w:firstRowFirstColumn="0" w:firstRowLastColumn="0" w:lastRowFirstColumn="0" w:lastRowLastColumn="0"/>
            </w:pPr>
            <w:r w:rsidRPr="00131878">
              <w:t>4.1</w:t>
            </w:r>
          </w:p>
        </w:tc>
      </w:tr>
    </w:tbl>
    <w:p w14:paraId="5F251B5B" w14:textId="0FE43174" w:rsidR="00A86D78" w:rsidRDefault="00A86D78" w:rsidP="0083620E">
      <w:pPr>
        <w:pStyle w:val="TableSourceCaption"/>
      </w:pPr>
      <w:r>
        <w:t>Note:</w:t>
      </w:r>
      <w:r>
        <w:tab/>
        <w:t>Additional demographic data are available for only a subset of students in the analysis sample.</w:t>
      </w:r>
    </w:p>
    <w:p w14:paraId="78271FCF" w14:textId="2CD79F7D" w:rsidR="00573505" w:rsidRDefault="00412CC7" w:rsidP="0083620E">
      <w:pPr>
        <w:pStyle w:val="TableFootnoteCaption"/>
      </w:pPr>
      <w:r>
        <w:t xml:space="preserve">* </w:t>
      </w:r>
      <w:r w:rsidRPr="00F865F5">
        <w:rPr>
          <w:i/>
        </w:rPr>
        <w:t>p</w:t>
      </w:r>
      <w:r>
        <w:t xml:space="preserve"> &lt; 0.05, ** </w:t>
      </w:r>
      <w:r w:rsidRPr="00F865F5">
        <w:rPr>
          <w:i/>
        </w:rPr>
        <w:t>p</w:t>
      </w:r>
      <w:r>
        <w:t xml:space="preserve"> &lt; 0.01</w:t>
      </w:r>
      <w:r w:rsidR="00A86D78">
        <w:t>.</w:t>
      </w:r>
    </w:p>
    <w:p w14:paraId="0BA3B3B7" w14:textId="77777777" w:rsidR="0083620E" w:rsidRDefault="0083620E" w:rsidP="0083620E">
      <w:pPr>
        <w:pStyle w:val="TableFootnoteCaption"/>
      </w:pPr>
    </w:p>
    <w:p w14:paraId="2B1E2BC6" w14:textId="77777777" w:rsidR="0083620E" w:rsidRDefault="0083620E" w:rsidP="0083620E">
      <w:pPr>
        <w:pStyle w:val="TableFootnoteCaption"/>
      </w:pPr>
    </w:p>
    <w:p w14:paraId="00ABFF73" w14:textId="66449181" w:rsidR="00F9372C" w:rsidRDefault="00F9372C" w:rsidP="0083620E">
      <w:pPr>
        <w:pStyle w:val="H3Alpha"/>
      </w:pPr>
      <w:bookmarkStart w:id="6" w:name="_Toc504057622"/>
      <w:r>
        <w:t>Table B</w:t>
      </w:r>
      <w:r w:rsidR="00A86D78">
        <w:t>.</w:t>
      </w:r>
      <w:r w:rsidR="005A4E85">
        <w:t>3</w:t>
      </w:r>
      <w:r>
        <w:t xml:space="preserve">. Student </w:t>
      </w:r>
      <w:r w:rsidR="00473EE0">
        <w:t>ITT model results</w:t>
      </w:r>
      <w:bookmarkEnd w:id="6"/>
    </w:p>
    <w:tbl>
      <w:tblPr>
        <w:tblStyle w:val="MPRBaseTable"/>
        <w:tblW w:w="9360" w:type="dxa"/>
        <w:tblLayout w:type="fixed"/>
        <w:tblLook w:val="04A0" w:firstRow="1" w:lastRow="0" w:firstColumn="1" w:lastColumn="0" w:noHBand="0" w:noVBand="1"/>
      </w:tblPr>
      <w:tblGrid>
        <w:gridCol w:w="5130"/>
        <w:gridCol w:w="2070"/>
        <w:gridCol w:w="2160"/>
      </w:tblGrid>
      <w:tr w:rsidR="00F9372C" w:rsidRPr="00DA493F" w14:paraId="1496DAD9" w14:textId="77777777" w:rsidTr="009E29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30" w:type="dxa"/>
          </w:tcPr>
          <w:p w14:paraId="61738656" w14:textId="77777777" w:rsidR="00F9372C" w:rsidRPr="00DA493F" w:rsidRDefault="00F9372C" w:rsidP="0083620E">
            <w:pPr>
              <w:pStyle w:val="TableText"/>
            </w:pPr>
          </w:p>
        </w:tc>
        <w:tc>
          <w:tcPr>
            <w:tcW w:w="2070" w:type="dxa"/>
          </w:tcPr>
          <w:p w14:paraId="27F58DDA" w14:textId="77777777" w:rsidR="00F9372C" w:rsidRPr="009E2956" w:rsidRDefault="00F9372C"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9E2956">
              <w:t>Registered</w:t>
            </w:r>
          </w:p>
        </w:tc>
        <w:tc>
          <w:tcPr>
            <w:tcW w:w="2160" w:type="dxa"/>
          </w:tcPr>
          <w:p w14:paraId="124FA5C3" w14:textId="77777777" w:rsidR="00F9372C" w:rsidRPr="009E2956" w:rsidRDefault="00F9372C"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9E2956">
              <w:t>Voted</w:t>
            </w:r>
          </w:p>
        </w:tc>
      </w:tr>
      <w:tr w:rsidR="00F9372C" w:rsidRPr="00DA493F" w14:paraId="326ED1A7" w14:textId="77777777" w:rsidTr="009E2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7A56625D" w14:textId="7F06F110" w:rsidR="00F9372C" w:rsidRPr="00DA493F" w:rsidRDefault="00F9372C" w:rsidP="0083620E">
            <w:pPr>
              <w:pStyle w:val="TableText"/>
              <w:spacing w:before="60" w:after="60"/>
            </w:pPr>
            <w:r w:rsidRPr="00DA493F">
              <w:t>D</w:t>
            </w:r>
            <w:r w:rsidR="00264DE9">
              <w:t>emocracy Prep</w:t>
            </w:r>
            <w:r w:rsidRPr="00DA493F">
              <w:t xml:space="preserve"> offer</w:t>
            </w:r>
          </w:p>
        </w:tc>
        <w:tc>
          <w:tcPr>
            <w:tcW w:w="2070" w:type="dxa"/>
          </w:tcPr>
          <w:p w14:paraId="5F087814" w14:textId="77777777" w:rsidR="00F9372C" w:rsidRPr="00DA493F" w:rsidRDefault="00F9372C" w:rsidP="0083620E">
            <w:pPr>
              <w:pStyle w:val="TableText"/>
              <w:tabs>
                <w:tab w:val="decimal" w:pos="792"/>
              </w:tabs>
              <w:spacing w:before="60" w:after="60"/>
              <w:cnfStyle w:val="000000100000" w:firstRow="0" w:lastRow="0" w:firstColumn="0" w:lastColumn="0" w:oddVBand="0" w:evenVBand="0" w:oddHBand="1" w:evenHBand="0" w:firstRowFirstColumn="0" w:firstRowLastColumn="0" w:lastRowFirstColumn="0" w:lastRowLastColumn="0"/>
            </w:pPr>
            <w:r w:rsidRPr="00DA493F">
              <w:t>0.063</w:t>
            </w:r>
            <w:r>
              <w:br/>
            </w:r>
            <w:r w:rsidRPr="00DA493F">
              <w:t>(0.035)</w:t>
            </w:r>
          </w:p>
        </w:tc>
        <w:tc>
          <w:tcPr>
            <w:tcW w:w="2160" w:type="dxa"/>
          </w:tcPr>
          <w:p w14:paraId="62F37F7D" w14:textId="77777777" w:rsidR="00F9372C" w:rsidRPr="00DA493F" w:rsidRDefault="00F9372C"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DA493F">
              <w:t>0.062*</w:t>
            </w:r>
            <w:r>
              <w:br/>
            </w:r>
            <w:r w:rsidRPr="00DA493F">
              <w:t>(0.029)</w:t>
            </w:r>
          </w:p>
        </w:tc>
      </w:tr>
      <w:tr w:rsidR="00F9372C" w:rsidRPr="00DA493F" w14:paraId="47D7AD1D" w14:textId="77777777" w:rsidTr="009E29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606DB514" w14:textId="77777777" w:rsidR="00F9372C" w:rsidRPr="00DA493F" w:rsidRDefault="00F9372C" w:rsidP="0083620E">
            <w:pPr>
              <w:pStyle w:val="TableText"/>
              <w:spacing w:before="60" w:after="60"/>
            </w:pPr>
            <w:r w:rsidRPr="00DA493F">
              <w:t>Age at election</w:t>
            </w:r>
          </w:p>
        </w:tc>
        <w:tc>
          <w:tcPr>
            <w:tcW w:w="2070" w:type="dxa"/>
          </w:tcPr>
          <w:p w14:paraId="6BC8B00E" w14:textId="77777777" w:rsidR="00F9372C" w:rsidRPr="00DA493F" w:rsidRDefault="00F9372C" w:rsidP="0083620E">
            <w:pPr>
              <w:pStyle w:val="TableText"/>
              <w:tabs>
                <w:tab w:val="decimal" w:pos="792"/>
              </w:tabs>
              <w:spacing w:before="60" w:after="60"/>
              <w:cnfStyle w:val="000000010000" w:firstRow="0" w:lastRow="0" w:firstColumn="0" w:lastColumn="0" w:oddVBand="0" w:evenVBand="0" w:oddHBand="0" w:evenHBand="1" w:firstRowFirstColumn="0" w:firstRowLastColumn="0" w:lastRowFirstColumn="0" w:lastRowLastColumn="0"/>
            </w:pPr>
            <w:r w:rsidRPr="00DA493F">
              <w:t>0.010</w:t>
            </w:r>
            <w:r>
              <w:br/>
            </w:r>
            <w:r w:rsidRPr="00DA493F">
              <w:t>(0.026)</w:t>
            </w:r>
          </w:p>
        </w:tc>
        <w:tc>
          <w:tcPr>
            <w:tcW w:w="2160" w:type="dxa"/>
          </w:tcPr>
          <w:p w14:paraId="0D170997" w14:textId="77777777" w:rsidR="00F9372C" w:rsidRPr="00DA493F" w:rsidRDefault="00F9372C"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DA493F">
              <w:t>-0.006</w:t>
            </w:r>
            <w:r>
              <w:br/>
            </w:r>
            <w:r w:rsidRPr="00DA493F">
              <w:t>(0.022)</w:t>
            </w:r>
          </w:p>
        </w:tc>
      </w:tr>
      <w:tr w:rsidR="00F9372C" w:rsidRPr="00DA493F" w14:paraId="2907C982" w14:textId="77777777" w:rsidTr="009E2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38190169" w14:textId="77777777" w:rsidR="00F9372C" w:rsidRPr="00DA493F" w:rsidRDefault="00F9372C" w:rsidP="0083620E">
            <w:pPr>
              <w:pStyle w:val="TableText"/>
              <w:spacing w:before="60" w:after="60"/>
            </w:pPr>
            <w:r w:rsidRPr="00DA493F">
              <w:t>Female</w:t>
            </w:r>
          </w:p>
        </w:tc>
        <w:tc>
          <w:tcPr>
            <w:tcW w:w="2070" w:type="dxa"/>
          </w:tcPr>
          <w:p w14:paraId="3257E4C0" w14:textId="77777777" w:rsidR="00F9372C" w:rsidRPr="00DA493F" w:rsidRDefault="00F9372C" w:rsidP="0083620E">
            <w:pPr>
              <w:pStyle w:val="TableText"/>
              <w:tabs>
                <w:tab w:val="decimal" w:pos="792"/>
              </w:tabs>
              <w:spacing w:before="60" w:after="60"/>
              <w:cnfStyle w:val="000000100000" w:firstRow="0" w:lastRow="0" w:firstColumn="0" w:lastColumn="0" w:oddVBand="0" w:evenVBand="0" w:oddHBand="1" w:evenHBand="0" w:firstRowFirstColumn="0" w:firstRowLastColumn="0" w:lastRowFirstColumn="0" w:lastRowLastColumn="0"/>
            </w:pPr>
            <w:r w:rsidRPr="00DA493F">
              <w:t>0.116**</w:t>
            </w:r>
            <w:r>
              <w:br/>
            </w:r>
            <w:r w:rsidRPr="00DA493F">
              <w:t>(0.036)</w:t>
            </w:r>
          </w:p>
        </w:tc>
        <w:tc>
          <w:tcPr>
            <w:tcW w:w="2160" w:type="dxa"/>
          </w:tcPr>
          <w:p w14:paraId="70EF57CA" w14:textId="77777777" w:rsidR="00F9372C" w:rsidRPr="00DA493F" w:rsidRDefault="00F9372C"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DA493F">
              <w:t>0.127**</w:t>
            </w:r>
            <w:r>
              <w:br/>
            </w:r>
            <w:r w:rsidRPr="00DA493F">
              <w:t>(0.030)</w:t>
            </w:r>
          </w:p>
        </w:tc>
      </w:tr>
      <w:tr w:rsidR="00F9372C" w:rsidRPr="00DA493F" w14:paraId="42A835B6" w14:textId="77777777" w:rsidTr="009E29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2ACA5413" w14:textId="77777777" w:rsidR="00F9372C" w:rsidRPr="00DA493F" w:rsidRDefault="00F9372C" w:rsidP="0083620E">
            <w:pPr>
              <w:pStyle w:val="TableText"/>
              <w:spacing w:before="60" w:after="60"/>
            </w:pPr>
            <w:r w:rsidRPr="00DA493F">
              <w:t>Gender missing</w:t>
            </w:r>
          </w:p>
        </w:tc>
        <w:tc>
          <w:tcPr>
            <w:tcW w:w="2070" w:type="dxa"/>
          </w:tcPr>
          <w:p w14:paraId="2F081A32" w14:textId="77777777" w:rsidR="00F9372C" w:rsidRPr="00DA493F" w:rsidRDefault="00F9372C" w:rsidP="0083620E">
            <w:pPr>
              <w:pStyle w:val="TableText"/>
              <w:tabs>
                <w:tab w:val="decimal" w:pos="792"/>
              </w:tabs>
              <w:spacing w:before="60" w:after="60"/>
              <w:cnfStyle w:val="000000010000" w:firstRow="0" w:lastRow="0" w:firstColumn="0" w:lastColumn="0" w:oddVBand="0" w:evenVBand="0" w:oddHBand="0" w:evenHBand="1" w:firstRowFirstColumn="0" w:firstRowLastColumn="0" w:lastRowFirstColumn="0" w:lastRowLastColumn="0"/>
            </w:pPr>
            <w:r w:rsidRPr="00DA493F">
              <w:t>0.161</w:t>
            </w:r>
            <w:r>
              <w:br/>
            </w:r>
            <w:r w:rsidRPr="00DA493F">
              <w:t>(0.096)</w:t>
            </w:r>
          </w:p>
        </w:tc>
        <w:tc>
          <w:tcPr>
            <w:tcW w:w="2160" w:type="dxa"/>
          </w:tcPr>
          <w:p w14:paraId="64E1B9F7" w14:textId="77777777" w:rsidR="00F9372C" w:rsidRPr="00DA493F" w:rsidRDefault="00F9372C" w:rsidP="0083620E">
            <w:pPr>
              <w:pStyle w:val="TableText"/>
              <w:tabs>
                <w:tab w:val="decimal" w:pos="882"/>
              </w:tabs>
              <w:spacing w:before="60" w:after="60"/>
              <w:cnfStyle w:val="000000010000" w:firstRow="0" w:lastRow="0" w:firstColumn="0" w:lastColumn="0" w:oddVBand="0" w:evenVBand="0" w:oddHBand="0" w:evenHBand="1" w:firstRowFirstColumn="0" w:firstRowLastColumn="0" w:lastRowFirstColumn="0" w:lastRowLastColumn="0"/>
            </w:pPr>
            <w:r w:rsidRPr="00DA493F">
              <w:t>0.123</w:t>
            </w:r>
            <w:r>
              <w:br/>
            </w:r>
            <w:r w:rsidRPr="00DA493F">
              <w:t>(0.079)</w:t>
            </w:r>
          </w:p>
        </w:tc>
      </w:tr>
      <w:tr w:rsidR="00F9372C" w:rsidRPr="00DA493F" w14:paraId="1AEEC608" w14:textId="77777777" w:rsidTr="009E2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4A21600F" w14:textId="5D0A11ED" w:rsidR="00F9372C" w:rsidRPr="00DA493F" w:rsidRDefault="00F9372C" w:rsidP="0083620E">
            <w:pPr>
              <w:pStyle w:val="TableText"/>
              <w:spacing w:before="60" w:after="60"/>
            </w:pPr>
            <w:r w:rsidRPr="00DA493F">
              <w:t xml:space="preserve">Parent registered to vote </w:t>
            </w:r>
            <w:r w:rsidR="00A86D78">
              <w:t>before</w:t>
            </w:r>
            <w:r w:rsidRPr="00DA493F">
              <w:t xml:space="preserve"> Sept</w:t>
            </w:r>
            <w:r w:rsidR="00A86D78">
              <w:t>ember</w:t>
            </w:r>
            <w:r w:rsidRPr="00DA493F">
              <w:t xml:space="preserve"> 1 of lottery application year</w:t>
            </w:r>
          </w:p>
        </w:tc>
        <w:tc>
          <w:tcPr>
            <w:tcW w:w="2070" w:type="dxa"/>
          </w:tcPr>
          <w:p w14:paraId="7D6EEA39" w14:textId="77777777" w:rsidR="00F9372C" w:rsidRPr="00DA493F" w:rsidRDefault="00F9372C" w:rsidP="0083620E">
            <w:pPr>
              <w:pStyle w:val="TableText"/>
              <w:tabs>
                <w:tab w:val="decimal" w:pos="792"/>
              </w:tabs>
              <w:spacing w:before="60" w:after="60"/>
              <w:cnfStyle w:val="000000100000" w:firstRow="0" w:lastRow="0" w:firstColumn="0" w:lastColumn="0" w:oddVBand="0" w:evenVBand="0" w:oddHBand="1" w:evenHBand="0" w:firstRowFirstColumn="0" w:firstRowLastColumn="0" w:lastRowFirstColumn="0" w:lastRowLastColumn="0"/>
            </w:pPr>
            <w:r w:rsidRPr="00DA493F">
              <w:t>0.007</w:t>
            </w:r>
            <w:r>
              <w:br/>
            </w:r>
            <w:r w:rsidRPr="00DA493F">
              <w:t>(0.036)</w:t>
            </w:r>
          </w:p>
        </w:tc>
        <w:tc>
          <w:tcPr>
            <w:tcW w:w="2160" w:type="dxa"/>
          </w:tcPr>
          <w:p w14:paraId="231C978D" w14:textId="77777777" w:rsidR="00F9372C" w:rsidRPr="00DA493F" w:rsidRDefault="00F9372C" w:rsidP="0083620E">
            <w:pPr>
              <w:pStyle w:val="TableText"/>
              <w:tabs>
                <w:tab w:val="decimal" w:pos="882"/>
              </w:tabs>
              <w:spacing w:before="60" w:after="60"/>
              <w:cnfStyle w:val="000000100000" w:firstRow="0" w:lastRow="0" w:firstColumn="0" w:lastColumn="0" w:oddVBand="0" w:evenVBand="0" w:oddHBand="1" w:evenHBand="0" w:firstRowFirstColumn="0" w:firstRowLastColumn="0" w:lastRowFirstColumn="0" w:lastRowLastColumn="0"/>
            </w:pPr>
            <w:r w:rsidRPr="00DA493F">
              <w:t>0.008</w:t>
            </w:r>
            <w:r>
              <w:br/>
            </w:r>
            <w:r w:rsidRPr="00DA493F">
              <w:t>(0.030)</w:t>
            </w:r>
          </w:p>
        </w:tc>
      </w:tr>
      <w:tr w:rsidR="00F9372C" w:rsidRPr="00DA493F" w14:paraId="74FD78CB" w14:textId="77777777" w:rsidTr="009E29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552FD129" w14:textId="62A61C98" w:rsidR="00F9372C" w:rsidRPr="006B4C3D" w:rsidRDefault="00F9372C" w:rsidP="0083620E">
            <w:pPr>
              <w:pStyle w:val="TableText"/>
              <w:spacing w:before="60" w:after="60"/>
              <w:rPr>
                <w:b/>
              </w:rPr>
            </w:pPr>
            <w:r w:rsidRPr="006B4C3D">
              <w:rPr>
                <w:b/>
              </w:rPr>
              <w:t>N</w:t>
            </w:r>
            <w:r w:rsidR="00A86D78" w:rsidRPr="006B4C3D">
              <w:rPr>
                <w:b/>
              </w:rPr>
              <w:t>umber</w:t>
            </w:r>
          </w:p>
        </w:tc>
        <w:tc>
          <w:tcPr>
            <w:tcW w:w="2070" w:type="dxa"/>
          </w:tcPr>
          <w:p w14:paraId="2677EAD6" w14:textId="77777777" w:rsidR="00F9372C" w:rsidRPr="006B4C3D" w:rsidRDefault="00F9372C" w:rsidP="0083620E">
            <w:pPr>
              <w:pStyle w:val="TableText"/>
              <w:spacing w:before="60" w:after="60"/>
              <w:jc w:val="center"/>
              <w:cnfStyle w:val="000000010000" w:firstRow="0" w:lastRow="0" w:firstColumn="0" w:lastColumn="0" w:oddVBand="0" w:evenVBand="0" w:oddHBand="0" w:evenHBand="1" w:firstRowFirstColumn="0" w:firstRowLastColumn="0" w:lastRowFirstColumn="0" w:lastRowLastColumn="0"/>
              <w:rPr>
                <w:b/>
              </w:rPr>
            </w:pPr>
            <w:r w:rsidRPr="006B4C3D">
              <w:rPr>
                <w:b/>
              </w:rPr>
              <w:t>1,060</w:t>
            </w:r>
          </w:p>
        </w:tc>
        <w:tc>
          <w:tcPr>
            <w:tcW w:w="2160" w:type="dxa"/>
          </w:tcPr>
          <w:p w14:paraId="6178DE85" w14:textId="77777777" w:rsidR="00F9372C" w:rsidRPr="006B4C3D" w:rsidRDefault="00F9372C" w:rsidP="0083620E">
            <w:pPr>
              <w:pStyle w:val="TableText"/>
              <w:spacing w:before="60" w:after="60"/>
              <w:jc w:val="center"/>
              <w:cnfStyle w:val="000000010000" w:firstRow="0" w:lastRow="0" w:firstColumn="0" w:lastColumn="0" w:oddVBand="0" w:evenVBand="0" w:oddHBand="0" w:evenHBand="1" w:firstRowFirstColumn="0" w:firstRowLastColumn="0" w:lastRowFirstColumn="0" w:lastRowLastColumn="0"/>
              <w:rPr>
                <w:b/>
              </w:rPr>
            </w:pPr>
            <w:r w:rsidRPr="006B4C3D">
              <w:rPr>
                <w:b/>
              </w:rPr>
              <w:t>1,060</w:t>
            </w:r>
          </w:p>
        </w:tc>
      </w:tr>
    </w:tbl>
    <w:p w14:paraId="0E16B5E8" w14:textId="248063D2" w:rsidR="00F865F5" w:rsidRDefault="00F865F5" w:rsidP="0083620E">
      <w:pPr>
        <w:pStyle w:val="TableSourceCaption"/>
      </w:pPr>
      <w:r w:rsidRPr="00F865F5">
        <w:t>Note:</w:t>
      </w:r>
      <w:r w:rsidRPr="00F865F5">
        <w:tab/>
      </w:r>
      <w:r>
        <w:t>Standard errors in parentheses.</w:t>
      </w:r>
    </w:p>
    <w:p w14:paraId="3B0FF3D7" w14:textId="2E09C535" w:rsidR="00F9372C" w:rsidRDefault="00F9372C" w:rsidP="0083620E">
      <w:pPr>
        <w:pStyle w:val="TableFootnoteCaption"/>
      </w:pPr>
      <w:r>
        <w:t xml:space="preserve">* </w:t>
      </w:r>
      <w:r w:rsidRPr="00F865F5">
        <w:rPr>
          <w:i/>
        </w:rPr>
        <w:t>p</w:t>
      </w:r>
      <w:r>
        <w:t xml:space="preserve"> &lt; 0.05, ** </w:t>
      </w:r>
      <w:r w:rsidRPr="00F865F5">
        <w:rPr>
          <w:i/>
        </w:rPr>
        <w:t>p</w:t>
      </w:r>
      <w:r>
        <w:t xml:space="preserve"> &lt; 0.01</w:t>
      </w:r>
      <w:r w:rsidR="00A86D78">
        <w:t>.</w:t>
      </w:r>
    </w:p>
    <w:p w14:paraId="4D0759B8" w14:textId="048FE99E" w:rsidR="00A86D78" w:rsidRDefault="00A86D78" w:rsidP="0083620E">
      <w:pPr>
        <w:pStyle w:val="TableSourceCaption"/>
      </w:pPr>
      <w:r>
        <w:t>ITT = intent-to-treat.</w:t>
      </w:r>
    </w:p>
    <w:p w14:paraId="23A3C32A" w14:textId="5BA57F7A" w:rsidR="00470846" w:rsidRDefault="00470846" w:rsidP="0083620E">
      <w:pPr>
        <w:pStyle w:val="H3Alpha"/>
      </w:pPr>
      <w:bookmarkStart w:id="7" w:name="_Toc504057623"/>
      <w:r>
        <w:lastRenderedPageBreak/>
        <w:t xml:space="preserve">Table </w:t>
      </w:r>
      <w:r w:rsidR="00026334">
        <w:t>B</w:t>
      </w:r>
      <w:r w:rsidR="008B4A37">
        <w:t>.</w:t>
      </w:r>
      <w:r w:rsidR="005A4E85">
        <w:t>4</w:t>
      </w:r>
      <w:r>
        <w:t>. Student TOT model results</w:t>
      </w:r>
      <w:bookmarkEnd w:id="7"/>
    </w:p>
    <w:tbl>
      <w:tblPr>
        <w:tblStyle w:val="MPRBaseTable"/>
        <w:tblW w:w="9360" w:type="dxa"/>
        <w:tblLayout w:type="fixed"/>
        <w:tblLook w:val="04A0" w:firstRow="1" w:lastRow="0" w:firstColumn="1" w:lastColumn="0" w:noHBand="0" w:noVBand="1"/>
      </w:tblPr>
      <w:tblGrid>
        <w:gridCol w:w="2880"/>
        <w:gridCol w:w="2970"/>
        <w:gridCol w:w="1800"/>
        <w:gridCol w:w="1710"/>
      </w:tblGrid>
      <w:tr w:rsidR="00470846" w:rsidRPr="00DA493F" w14:paraId="40DBD6E2" w14:textId="77777777" w:rsidTr="00482C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80" w:type="dxa"/>
          </w:tcPr>
          <w:p w14:paraId="5C82D7E8" w14:textId="77777777" w:rsidR="00470846" w:rsidRPr="00DA493F" w:rsidRDefault="00470846" w:rsidP="0083620E">
            <w:pPr>
              <w:pStyle w:val="Customheader"/>
            </w:pPr>
          </w:p>
        </w:tc>
        <w:tc>
          <w:tcPr>
            <w:tcW w:w="2970" w:type="dxa"/>
          </w:tcPr>
          <w:p w14:paraId="22A1BB38" w14:textId="0719C4E5" w:rsidR="00470846" w:rsidRPr="00482C1F" w:rsidRDefault="00470846"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82C1F">
              <w:t>First stage</w:t>
            </w:r>
            <w:r w:rsidR="00E521D4" w:rsidRPr="00482C1F">
              <w:br/>
            </w:r>
            <w:r w:rsidR="009E637D" w:rsidRPr="00482C1F">
              <w:t>(</w:t>
            </w:r>
            <w:r w:rsidR="00521C0E" w:rsidRPr="00482C1F">
              <w:t>treatment</w:t>
            </w:r>
            <w:r w:rsidR="007D799B" w:rsidRPr="00482C1F">
              <w:t>–</w:t>
            </w:r>
            <w:r w:rsidR="00521C0E" w:rsidRPr="00482C1F">
              <w:t xml:space="preserve">control difference in </w:t>
            </w:r>
            <w:r w:rsidR="009E637D" w:rsidRPr="00482C1F">
              <w:t>enrollment rate</w:t>
            </w:r>
            <w:r w:rsidR="0095390A" w:rsidRPr="00482C1F">
              <w:t>)</w:t>
            </w:r>
          </w:p>
        </w:tc>
        <w:tc>
          <w:tcPr>
            <w:tcW w:w="1800" w:type="dxa"/>
          </w:tcPr>
          <w:p w14:paraId="31982850" w14:textId="02A34BEE" w:rsidR="00470846" w:rsidRPr="00482C1F" w:rsidRDefault="00470846"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82C1F">
              <w:t>Reduced form</w:t>
            </w:r>
            <w:r w:rsidR="00E521D4" w:rsidRPr="00482C1F">
              <w:br/>
            </w:r>
            <w:r w:rsidR="0095390A" w:rsidRPr="00482C1F">
              <w:t>(</w:t>
            </w:r>
            <w:r w:rsidR="008B4A37" w:rsidRPr="00482C1F">
              <w:t>ITT</w:t>
            </w:r>
            <w:r w:rsidR="0095390A" w:rsidRPr="00482C1F">
              <w:t xml:space="preserve"> impact)</w:t>
            </w:r>
          </w:p>
        </w:tc>
        <w:tc>
          <w:tcPr>
            <w:tcW w:w="1710" w:type="dxa"/>
          </w:tcPr>
          <w:p w14:paraId="354F5E27" w14:textId="70308A0D" w:rsidR="00470846" w:rsidRPr="00482C1F" w:rsidRDefault="00470846"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82C1F">
              <w:t>2SL</w:t>
            </w:r>
            <w:r w:rsidR="00D029AE" w:rsidRPr="00482C1F">
              <w:t>S</w:t>
            </w:r>
            <w:r w:rsidR="00E521D4" w:rsidRPr="00482C1F">
              <w:br/>
            </w:r>
            <w:r w:rsidR="0095390A" w:rsidRPr="00482C1F">
              <w:t>(</w:t>
            </w:r>
            <w:r w:rsidR="00B701C9" w:rsidRPr="00482C1F">
              <w:t>TOT impact</w:t>
            </w:r>
            <w:r w:rsidR="0095390A" w:rsidRPr="00482C1F">
              <w:t>)</w:t>
            </w:r>
          </w:p>
        </w:tc>
      </w:tr>
      <w:tr w:rsidR="00470846" w:rsidRPr="00DA493F" w14:paraId="70E27B42" w14:textId="77777777" w:rsidTr="00482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4CCF7856" w14:textId="68898DB5" w:rsidR="00470846" w:rsidRPr="00DA493F" w:rsidRDefault="00470846" w:rsidP="0083620E">
            <w:pPr>
              <w:pStyle w:val="TableText"/>
              <w:spacing w:before="60" w:after="60"/>
            </w:pPr>
            <w:r w:rsidRPr="00DA493F">
              <w:t xml:space="preserve">Registered </w:t>
            </w:r>
            <w:r w:rsidR="008B4A37">
              <w:t>before</w:t>
            </w:r>
            <w:r w:rsidRPr="00DA493F">
              <w:t xml:space="preserve"> 2016 election</w:t>
            </w:r>
          </w:p>
        </w:tc>
        <w:tc>
          <w:tcPr>
            <w:tcW w:w="2970" w:type="dxa"/>
          </w:tcPr>
          <w:p w14:paraId="4E486C15" w14:textId="77777777" w:rsidR="00470846" w:rsidRPr="00DA493F" w:rsidRDefault="00470846" w:rsidP="0083620E">
            <w:pPr>
              <w:pStyle w:val="TableText"/>
              <w:tabs>
                <w:tab w:val="decimal" w:pos="1242"/>
              </w:tabs>
              <w:spacing w:before="60" w:after="60"/>
              <w:cnfStyle w:val="000000100000" w:firstRow="0" w:lastRow="0" w:firstColumn="0" w:lastColumn="0" w:oddVBand="0" w:evenVBand="0" w:oddHBand="1" w:evenHBand="0" w:firstRowFirstColumn="0" w:firstRowLastColumn="0" w:lastRowFirstColumn="0" w:lastRowLastColumn="0"/>
            </w:pPr>
            <w:r w:rsidRPr="00DA493F">
              <w:t>0.258**</w:t>
            </w:r>
            <w:r>
              <w:br/>
            </w:r>
            <w:r w:rsidRPr="00DA493F">
              <w:t>(0.033)</w:t>
            </w:r>
          </w:p>
        </w:tc>
        <w:tc>
          <w:tcPr>
            <w:tcW w:w="1800" w:type="dxa"/>
          </w:tcPr>
          <w:p w14:paraId="4B675099" w14:textId="77777777" w:rsidR="00470846" w:rsidRPr="00DA493F" w:rsidRDefault="00470846" w:rsidP="0083620E">
            <w:pPr>
              <w:pStyle w:val="TableText"/>
              <w:tabs>
                <w:tab w:val="decimal" w:pos="612"/>
              </w:tabs>
              <w:spacing w:before="60" w:after="60"/>
              <w:cnfStyle w:val="000000100000" w:firstRow="0" w:lastRow="0" w:firstColumn="0" w:lastColumn="0" w:oddVBand="0" w:evenVBand="0" w:oddHBand="1" w:evenHBand="0" w:firstRowFirstColumn="0" w:firstRowLastColumn="0" w:lastRowFirstColumn="0" w:lastRowLastColumn="0"/>
            </w:pPr>
            <w:r w:rsidRPr="00DA493F">
              <w:t>0.063</w:t>
            </w:r>
            <w:r>
              <w:br/>
            </w:r>
            <w:r w:rsidRPr="00DA493F">
              <w:t>(0.035)</w:t>
            </w:r>
          </w:p>
        </w:tc>
        <w:tc>
          <w:tcPr>
            <w:tcW w:w="1710" w:type="dxa"/>
          </w:tcPr>
          <w:p w14:paraId="558BD7CB" w14:textId="77777777" w:rsidR="00470846" w:rsidRPr="00DA493F" w:rsidRDefault="00470846" w:rsidP="0083620E">
            <w:pPr>
              <w:pStyle w:val="TableText"/>
              <w:tabs>
                <w:tab w:val="decimal" w:pos="612"/>
              </w:tabs>
              <w:spacing w:before="60" w:after="60"/>
              <w:cnfStyle w:val="000000100000" w:firstRow="0" w:lastRow="0" w:firstColumn="0" w:lastColumn="0" w:oddVBand="0" w:evenVBand="0" w:oddHBand="1" w:evenHBand="0" w:firstRowFirstColumn="0" w:firstRowLastColumn="0" w:lastRowFirstColumn="0" w:lastRowLastColumn="0"/>
            </w:pPr>
            <w:r w:rsidRPr="00DA493F">
              <w:t>0.244</w:t>
            </w:r>
            <w:r>
              <w:br/>
            </w:r>
            <w:r w:rsidRPr="00DA493F">
              <w:t>(0.140)</w:t>
            </w:r>
          </w:p>
        </w:tc>
      </w:tr>
      <w:tr w:rsidR="00470846" w:rsidRPr="00DA493F" w14:paraId="0EA4F2B7" w14:textId="77777777" w:rsidTr="00482C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B9F7E20" w14:textId="77777777" w:rsidR="00470846" w:rsidRPr="00DA493F" w:rsidRDefault="00470846" w:rsidP="0083620E">
            <w:pPr>
              <w:pStyle w:val="TableText"/>
              <w:spacing w:before="60" w:after="60"/>
            </w:pPr>
            <w:r w:rsidRPr="00DA493F">
              <w:t>Voted in any 2016 election</w:t>
            </w:r>
          </w:p>
        </w:tc>
        <w:tc>
          <w:tcPr>
            <w:tcW w:w="2970" w:type="dxa"/>
          </w:tcPr>
          <w:p w14:paraId="70B661DF" w14:textId="77777777" w:rsidR="00470846" w:rsidRPr="00DA493F" w:rsidRDefault="00470846" w:rsidP="0083620E">
            <w:pPr>
              <w:pStyle w:val="TableText"/>
              <w:tabs>
                <w:tab w:val="decimal" w:pos="1242"/>
              </w:tabs>
              <w:spacing w:before="60" w:after="60"/>
              <w:cnfStyle w:val="000000010000" w:firstRow="0" w:lastRow="0" w:firstColumn="0" w:lastColumn="0" w:oddVBand="0" w:evenVBand="0" w:oddHBand="0" w:evenHBand="1" w:firstRowFirstColumn="0" w:firstRowLastColumn="0" w:lastRowFirstColumn="0" w:lastRowLastColumn="0"/>
            </w:pPr>
            <w:r w:rsidRPr="00DA493F">
              <w:t>0.258**</w:t>
            </w:r>
            <w:r>
              <w:br/>
            </w:r>
            <w:r w:rsidRPr="00DA493F">
              <w:t>(0.033)</w:t>
            </w:r>
          </w:p>
        </w:tc>
        <w:tc>
          <w:tcPr>
            <w:tcW w:w="1800" w:type="dxa"/>
          </w:tcPr>
          <w:p w14:paraId="1FD59675" w14:textId="77777777" w:rsidR="00470846" w:rsidRPr="00DA493F" w:rsidRDefault="00470846" w:rsidP="0083620E">
            <w:pPr>
              <w:pStyle w:val="TableText"/>
              <w:tabs>
                <w:tab w:val="decimal" w:pos="612"/>
              </w:tabs>
              <w:spacing w:before="60" w:after="60"/>
              <w:cnfStyle w:val="000000010000" w:firstRow="0" w:lastRow="0" w:firstColumn="0" w:lastColumn="0" w:oddVBand="0" w:evenVBand="0" w:oddHBand="0" w:evenHBand="1" w:firstRowFirstColumn="0" w:firstRowLastColumn="0" w:lastRowFirstColumn="0" w:lastRowLastColumn="0"/>
            </w:pPr>
            <w:r w:rsidRPr="00DA493F">
              <w:t>0.062*</w:t>
            </w:r>
            <w:r>
              <w:br/>
            </w:r>
            <w:r w:rsidRPr="00DA493F">
              <w:t>(0.029)</w:t>
            </w:r>
          </w:p>
        </w:tc>
        <w:tc>
          <w:tcPr>
            <w:tcW w:w="1710" w:type="dxa"/>
          </w:tcPr>
          <w:p w14:paraId="5FF9D673" w14:textId="77777777" w:rsidR="00470846" w:rsidRPr="00DA493F" w:rsidRDefault="00470846" w:rsidP="0083620E">
            <w:pPr>
              <w:pStyle w:val="TableText"/>
              <w:tabs>
                <w:tab w:val="decimal" w:pos="612"/>
              </w:tabs>
              <w:spacing w:before="60" w:after="60"/>
              <w:cnfStyle w:val="000000010000" w:firstRow="0" w:lastRow="0" w:firstColumn="0" w:lastColumn="0" w:oddVBand="0" w:evenVBand="0" w:oddHBand="0" w:evenHBand="1" w:firstRowFirstColumn="0" w:firstRowLastColumn="0" w:lastRowFirstColumn="0" w:lastRowLastColumn="0"/>
            </w:pPr>
            <w:r w:rsidRPr="00DA493F">
              <w:t>0.239*</w:t>
            </w:r>
            <w:r>
              <w:br/>
            </w:r>
            <w:r w:rsidRPr="00DA493F">
              <w:t>(0.119)</w:t>
            </w:r>
          </w:p>
        </w:tc>
      </w:tr>
      <w:tr w:rsidR="00470846" w:rsidRPr="00DA493F" w14:paraId="48865C73" w14:textId="77777777" w:rsidTr="00482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69001066" w14:textId="0E515457" w:rsidR="00470846" w:rsidRPr="00DA493F" w:rsidRDefault="00470846" w:rsidP="0083620E">
            <w:pPr>
              <w:pStyle w:val="TableText"/>
              <w:spacing w:before="60" w:after="60"/>
            </w:pPr>
            <w:r w:rsidRPr="00DA493F">
              <w:rPr>
                <w:b/>
              </w:rPr>
              <w:t>N</w:t>
            </w:r>
            <w:r w:rsidR="008B4A37">
              <w:rPr>
                <w:b/>
              </w:rPr>
              <w:t>umber</w:t>
            </w:r>
          </w:p>
        </w:tc>
        <w:tc>
          <w:tcPr>
            <w:tcW w:w="2970" w:type="dxa"/>
          </w:tcPr>
          <w:p w14:paraId="4282028E" w14:textId="77777777" w:rsidR="00470846" w:rsidRPr="00DA493F" w:rsidRDefault="00470846" w:rsidP="0083620E">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DA493F">
              <w:rPr>
                <w:b/>
              </w:rPr>
              <w:t>1,060</w:t>
            </w:r>
          </w:p>
        </w:tc>
        <w:tc>
          <w:tcPr>
            <w:tcW w:w="1800" w:type="dxa"/>
          </w:tcPr>
          <w:p w14:paraId="10A8D1D6" w14:textId="77777777" w:rsidR="00470846" w:rsidRPr="00DA493F" w:rsidRDefault="00470846" w:rsidP="0083620E">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DA493F">
              <w:rPr>
                <w:b/>
              </w:rPr>
              <w:t>1,060</w:t>
            </w:r>
          </w:p>
        </w:tc>
        <w:tc>
          <w:tcPr>
            <w:tcW w:w="1710" w:type="dxa"/>
          </w:tcPr>
          <w:p w14:paraId="3786C6D3" w14:textId="77777777" w:rsidR="00470846" w:rsidRPr="00DA493F" w:rsidRDefault="00470846" w:rsidP="0083620E">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DA493F">
              <w:rPr>
                <w:b/>
              </w:rPr>
              <w:t>1,060</w:t>
            </w:r>
          </w:p>
        </w:tc>
      </w:tr>
    </w:tbl>
    <w:p w14:paraId="54C86210" w14:textId="14E48F3C" w:rsidR="00B701C9" w:rsidRDefault="00B701C9" w:rsidP="0083620E">
      <w:pPr>
        <w:pStyle w:val="TableSourceCaption"/>
      </w:pPr>
      <w:r w:rsidRPr="00B701C9">
        <w:t>Note:</w:t>
      </w:r>
      <w:r w:rsidRPr="00B701C9">
        <w:tab/>
        <w:t>Standard errors in parentheses.</w:t>
      </w:r>
      <w:r w:rsidR="00CB28A3">
        <w:t xml:space="preserve"> Model includes weights, baseline covariates, and lottery fixed effects.</w:t>
      </w:r>
    </w:p>
    <w:p w14:paraId="659592C6" w14:textId="1D2B6F21" w:rsidR="00470846" w:rsidRDefault="00470846" w:rsidP="0083620E">
      <w:pPr>
        <w:pStyle w:val="TableFootnoteCaption"/>
      </w:pPr>
      <w:r>
        <w:t xml:space="preserve">* </w:t>
      </w:r>
      <w:r w:rsidRPr="00B701C9">
        <w:rPr>
          <w:i/>
        </w:rPr>
        <w:t>p</w:t>
      </w:r>
      <w:r>
        <w:t xml:space="preserve"> &lt; 0.05, ** </w:t>
      </w:r>
      <w:r w:rsidRPr="00B701C9">
        <w:rPr>
          <w:i/>
        </w:rPr>
        <w:t>p</w:t>
      </w:r>
      <w:r>
        <w:t xml:space="preserve"> &lt; 0.01</w:t>
      </w:r>
      <w:r w:rsidR="008B4A37">
        <w:t>.</w:t>
      </w:r>
    </w:p>
    <w:p w14:paraId="3BADFF64" w14:textId="4A7E40D2" w:rsidR="008B4A37" w:rsidRDefault="008B4A37" w:rsidP="0083620E">
      <w:pPr>
        <w:pStyle w:val="TableSignificanceCaption"/>
      </w:pPr>
      <w:r w:rsidRPr="00B701C9">
        <w:t>2SLS =</w:t>
      </w:r>
      <w:r w:rsidR="00B701C9" w:rsidRPr="00B701C9">
        <w:t xml:space="preserve"> two-stage least squares</w:t>
      </w:r>
      <w:r w:rsidRPr="00B701C9">
        <w:t>; ITT</w:t>
      </w:r>
      <w:r>
        <w:t xml:space="preserve"> = intent-to-treat; TOT = treatment-on-the-treated.</w:t>
      </w:r>
    </w:p>
    <w:p w14:paraId="1B86F64E" w14:textId="77777777" w:rsidR="00470846" w:rsidRDefault="00470846" w:rsidP="0083620E">
      <w:pPr>
        <w:spacing w:after="240" w:line="240" w:lineRule="auto"/>
      </w:pPr>
    </w:p>
    <w:p w14:paraId="10C82F52" w14:textId="163B0464" w:rsidR="00CB28A3" w:rsidRDefault="00CB28A3" w:rsidP="0083620E">
      <w:pPr>
        <w:spacing w:after="240" w:line="240" w:lineRule="auto"/>
        <w:ind w:firstLine="0"/>
        <w:rPr>
          <w:rFonts w:ascii="Arial Black" w:hAnsi="Arial Black"/>
          <w:sz w:val="22"/>
        </w:rPr>
      </w:pPr>
      <w:bookmarkStart w:id="8" w:name="_Toc504057624"/>
      <w:r>
        <w:rPr>
          <w:rFonts w:ascii="Arial Black" w:hAnsi="Arial Black"/>
          <w:sz w:val="22"/>
        </w:rPr>
        <w:t>Table B.5. Student TOT model results, without baseline covariates</w:t>
      </w:r>
    </w:p>
    <w:tbl>
      <w:tblPr>
        <w:tblStyle w:val="MPRBaseTable"/>
        <w:tblW w:w="9360" w:type="dxa"/>
        <w:tblLayout w:type="fixed"/>
        <w:tblLook w:val="04A0" w:firstRow="1" w:lastRow="0" w:firstColumn="1" w:lastColumn="0" w:noHBand="0" w:noVBand="1"/>
      </w:tblPr>
      <w:tblGrid>
        <w:gridCol w:w="2880"/>
        <w:gridCol w:w="2970"/>
        <w:gridCol w:w="1800"/>
        <w:gridCol w:w="1710"/>
      </w:tblGrid>
      <w:tr w:rsidR="00CB28A3" w:rsidRPr="00DA493F" w14:paraId="4C1F0E93" w14:textId="77777777" w:rsidTr="007867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80" w:type="dxa"/>
          </w:tcPr>
          <w:p w14:paraId="6A5FF195" w14:textId="77777777" w:rsidR="00CB28A3" w:rsidRPr="00DA493F" w:rsidRDefault="00CB28A3" w:rsidP="007867DD">
            <w:pPr>
              <w:pStyle w:val="Customheader"/>
            </w:pPr>
          </w:p>
        </w:tc>
        <w:tc>
          <w:tcPr>
            <w:tcW w:w="2970" w:type="dxa"/>
          </w:tcPr>
          <w:p w14:paraId="7DC3DD0F" w14:textId="77777777" w:rsidR="00CB28A3" w:rsidRPr="00482C1F" w:rsidRDefault="00CB28A3" w:rsidP="007867DD">
            <w:pPr>
              <w:pStyle w:val="TableHeaderCenter"/>
              <w:cnfStyle w:val="100000000000" w:firstRow="1" w:lastRow="0" w:firstColumn="0" w:lastColumn="0" w:oddVBand="0" w:evenVBand="0" w:oddHBand="0" w:evenHBand="0" w:firstRowFirstColumn="0" w:firstRowLastColumn="0" w:lastRowFirstColumn="0" w:lastRowLastColumn="0"/>
              <w:rPr>
                <w:b/>
              </w:rPr>
            </w:pPr>
            <w:r w:rsidRPr="00482C1F">
              <w:t>First stage</w:t>
            </w:r>
            <w:r w:rsidRPr="00482C1F">
              <w:br/>
              <w:t>(treatment–control difference in enrollment rate)</w:t>
            </w:r>
          </w:p>
        </w:tc>
        <w:tc>
          <w:tcPr>
            <w:tcW w:w="1800" w:type="dxa"/>
          </w:tcPr>
          <w:p w14:paraId="5E0472EC" w14:textId="77777777" w:rsidR="00CB28A3" w:rsidRPr="00482C1F" w:rsidRDefault="00CB28A3" w:rsidP="007867DD">
            <w:pPr>
              <w:pStyle w:val="TableHeaderCenter"/>
              <w:cnfStyle w:val="100000000000" w:firstRow="1" w:lastRow="0" w:firstColumn="0" w:lastColumn="0" w:oddVBand="0" w:evenVBand="0" w:oddHBand="0" w:evenHBand="0" w:firstRowFirstColumn="0" w:firstRowLastColumn="0" w:lastRowFirstColumn="0" w:lastRowLastColumn="0"/>
              <w:rPr>
                <w:b/>
              </w:rPr>
            </w:pPr>
            <w:r w:rsidRPr="00482C1F">
              <w:t>Reduced form</w:t>
            </w:r>
            <w:r w:rsidRPr="00482C1F">
              <w:br/>
              <w:t>(ITT impact)</w:t>
            </w:r>
          </w:p>
        </w:tc>
        <w:tc>
          <w:tcPr>
            <w:tcW w:w="1710" w:type="dxa"/>
          </w:tcPr>
          <w:p w14:paraId="6BB9A5EB" w14:textId="77777777" w:rsidR="00CB28A3" w:rsidRPr="00482C1F" w:rsidRDefault="00CB28A3" w:rsidP="007867DD">
            <w:pPr>
              <w:pStyle w:val="TableHeaderCenter"/>
              <w:cnfStyle w:val="100000000000" w:firstRow="1" w:lastRow="0" w:firstColumn="0" w:lastColumn="0" w:oddVBand="0" w:evenVBand="0" w:oddHBand="0" w:evenHBand="0" w:firstRowFirstColumn="0" w:firstRowLastColumn="0" w:lastRowFirstColumn="0" w:lastRowLastColumn="0"/>
              <w:rPr>
                <w:b/>
              </w:rPr>
            </w:pPr>
            <w:r w:rsidRPr="00482C1F">
              <w:t>2SLS</w:t>
            </w:r>
            <w:r w:rsidRPr="00482C1F">
              <w:br/>
              <w:t>(TOT impact)</w:t>
            </w:r>
          </w:p>
        </w:tc>
      </w:tr>
      <w:tr w:rsidR="00CB28A3" w:rsidRPr="00DA493F" w14:paraId="7C4DC88E" w14:textId="77777777" w:rsidTr="007A1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E7EEDF3" w14:textId="77777777" w:rsidR="00CB28A3" w:rsidRPr="00DA493F" w:rsidRDefault="00CB28A3" w:rsidP="00CB28A3">
            <w:pPr>
              <w:pStyle w:val="TableText"/>
              <w:spacing w:before="60" w:after="60"/>
            </w:pPr>
            <w:r w:rsidRPr="00DA493F">
              <w:t xml:space="preserve">Registered </w:t>
            </w:r>
            <w:r>
              <w:t>before</w:t>
            </w:r>
            <w:r w:rsidRPr="00DA493F">
              <w:t xml:space="preserve"> 2016 election</w:t>
            </w:r>
          </w:p>
        </w:tc>
        <w:tc>
          <w:tcPr>
            <w:tcW w:w="0" w:type="dxa"/>
            <w:vAlign w:val="center"/>
          </w:tcPr>
          <w:p w14:paraId="467B673B" w14:textId="4505D31C" w:rsidR="00CB28A3" w:rsidRPr="00DA493F" w:rsidRDefault="00CB28A3" w:rsidP="00CB28A3">
            <w:pPr>
              <w:pStyle w:val="TableText"/>
              <w:tabs>
                <w:tab w:val="decimal" w:pos="1242"/>
              </w:tabs>
              <w:spacing w:before="60" w:after="60"/>
              <w:cnfStyle w:val="000000100000" w:firstRow="0" w:lastRow="0" w:firstColumn="0" w:lastColumn="0" w:oddVBand="0" w:evenVBand="0" w:oddHBand="1" w:evenHBand="0" w:firstRowFirstColumn="0" w:firstRowLastColumn="0" w:lastRowFirstColumn="0" w:lastRowLastColumn="0"/>
            </w:pPr>
            <w:r>
              <w:t>0.259**</w:t>
            </w:r>
            <w:r>
              <w:br/>
              <w:t>(0.032)</w:t>
            </w:r>
          </w:p>
        </w:tc>
        <w:tc>
          <w:tcPr>
            <w:tcW w:w="0" w:type="dxa"/>
            <w:vAlign w:val="center"/>
          </w:tcPr>
          <w:p w14:paraId="0734281D" w14:textId="464C19FA" w:rsidR="00CB28A3" w:rsidRPr="00DA493F" w:rsidRDefault="00CB28A3" w:rsidP="00CB28A3">
            <w:pPr>
              <w:pStyle w:val="TableText"/>
              <w:tabs>
                <w:tab w:val="decimal" w:pos="612"/>
              </w:tabs>
              <w:spacing w:before="60" w:after="60"/>
              <w:cnfStyle w:val="000000100000" w:firstRow="0" w:lastRow="0" w:firstColumn="0" w:lastColumn="0" w:oddVBand="0" w:evenVBand="0" w:oddHBand="1" w:evenHBand="0" w:firstRowFirstColumn="0" w:firstRowLastColumn="0" w:lastRowFirstColumn="0" w:lastRowLastColumn="0"/>
            </w:pPr>
            <w:r>
              <w:t>0.072*</w:t>
            </w:r>
            <w:r>
              <w:br/>
              <w:t>(0.035)</w:t>
            </w:r>
          </w:p>
        </w:tc>
        <w:tc>
          <w:tcPr>
            <w:tcW w:w="0" w:type="dxa"/>
            <w:vAlign w:val="center"/>
          </w:tcPr>
          <w:p w14:paraId="76F3A6AA" w14:textId="374A57C1" w:rsidR="00CB28A3" w:rsidRPr="00DA493F" w:rsidRDefault="00CB28A3" w:rsidP="00CB28A3">
            <w:pPr>
              <w:pStyle w:val="TableText"/>
              <w:tabs>
                <w:tab w:val="decimal" w:pos="612"/>
              </w:tabs>
              <w:spacing w:before="60" w:after="60"/>
              <w:cnfStyle w:val="000000100000" w:firstRow="0" w:lastRow="0" w:firstColumn="0" w:lastColumn="0" w:oddVBand="0" w:evenVBand="0" w:oddHBand="1" w:evenHBand="0" w:firstRowFirstColumn="0" w:firstRowLastColumn="0" w:lastRowFirstColumn="0" w:lastRowLastColumn="0"/>
            </w:pPr>
            <w:r>
              <w:t>0.277*</w:t>
            </w:r>
            <w:r>
              <w:br/>
              <w:t>(0.140)</w:t>
            </w:r>
          </w:p>
        </w:tc>
      </w:tr>
      <w:tr w:rsidR="00CB28A3" w:rsidRPr="00DA493F" w14:paraId="3C89FA92" w14:textId="77777777" w:rsidTr="007A1F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F13F914" w14:textId="77777777" w:rsidR="00CB28A3" w:rsidRPr="00DA493F" w:rsidRDefault="00CB28A3" w:rsidP="00CB28A3">
            <w:pPr>
              <w:pStyle w:val="TableText"/>
              <w:spacing w:before="60" w:after="60"/>
            </w:pPr>
            <w:r w:rsidRPr="00DA493F">
              <w:t>Voted in any 2016 election</w:t>
            </w:r>
          </w:p>
        </w:tc>
        <w:tc>
          <w:tcPr>
            <w:tcW w:w="0" w:type="dxa"/>
            <w:vAlign w:val="center"/>
          </w:tcPr>
          <w:p w14:paraId="4C475A18" w14:textId="7C23F907" w:rsidR="00CB28A3" w:rsidRPr="00DA493F" w:rsidRDefault="00CB28A3" w:rsidP="00CB28A3">
            <w:pPr>
              <w:pStyle w:val="TableText"/>
              <w:tabs>
                <w:tab w:val="decimal" w:pos="1242"/>
              </w:tabs>
              <w:spacing w:before="60" w:after="60"/>
              <w:cnfStyle w:val="000000010000" w:firstRow="0" w:lastRow="0" w:firstColumn="0" w:lastColumn="0" w:oddVBand="0" w:evenVBand="0" w:oddHBand="0" w:evenHBand="1" w:firstRowFirstColumn="0" w:firstRowLastColumn="0" w:lastRowFirstColumn="0" w:lastRowLastColumn="0"/>
            </w:pPr>
            <w:r>
              <w:t>0.259**</w:t>
            </w:r>
            <w:r>
              <w:br/>
              <w:t>(0.032)</w:t>
            </w:r>
          </w:p>
        </w:tc>
        <w:tc>
          <w:tcPr>
            <w:tcW w:w="0" w:type="dxa"/>
            <w:vAlign w:val="center"/>
          </w:tcPr>
          <w:p w14:paraId="68581EC9" w14:textId="4AE7A386" w:rsidR="00CB28A3" w:rsidRPr="00DA493F" w:rsidRDefault="00CB28A3" w:rsidP="00CB28A3">
            <w:pPr>
              <w:pStyle w:val="TableText"/>
              <w:tabs>
                <w:tab w:val="decimal" w:pos="612"/>
              </w:tabs>
              <w:spacing w:before="60" w:after="60"/>
              <w:cnfStyle w:val="000000010000" w:firstRow="0" w:lastRow="0" w:firstColumn="0" w:lastColumn="0" w:oddVBand="0" w:evenVBand="0" w:oddHBand="0" w:evenHBand="1" w:firstRowFirstColumn="0" w:firstRowLastColumn="0" w:lastRowFirstColumn="0" w:lastRowLastColumn="0"/>
            </w:pPr>
            <w:r>
              <w:t>0.072*</w:t>
            </w:r>
            <w:r>
              <w:br/>
              <w:t>(0.029)</w:t>
            </w:r>
          </w:p>
        </w:tc>
        <w:tc>
          <w:tcPr>
            <w:tcW w:w="0" w:type="dxa"/>
            <w:vAlign w:val="center"/>
          </w:tcPr>
          <w:p w14:paraId="17A1FD95" w14:textId="7AC50539" w:rsidR="00CB28A3" w:rsidRPr="00DA493F" w:rsidRDefault="00CB28A3" w:rsidP="00CB28A3">
            <w:pPr>
              <w:pStyle w:val="TableText"/>
              <w:tabs>
                <w:tab w:val="decimal" w:pos="612"/>
              </w:tabs>
              <w:spacing w:before="60" w:after="60"/>
              <w:cnfStyle w:val="000000010000" w:firstRow="0" w:lastRow="0" w:firstColumn="0" w:lastColumn="0" w:oddVBand="0" w:evenVBand="0" w:oddHBand="0" w:evenHBand="1" w:firstRowFirstColumn="0" w:firstRowLastColumn="0" w:lastRowFirstColumn="0" w:lastRowLastColumn="0"/>
            </w:pPr>
            <w:r>
              <w:t>0.280*</w:t>
            </w:r>
            <w:r>
              <w:br/>
              <w:t>(0.123)</w:t>
            </w:r>
          </w:p>
        </w:tc>
      </w:tr>
      <w:tr w:rsidR="00CB28A3" w:rsidRPr="00DA493F" w14:paraId="373C4B0F" w14:textId="77777777" w:rsidTr="00786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45E8AC8" w14:textId="77777777" w:rsidR="00CB28A3" w:rsidRPr="00DA493F" w:rsidRDefault="00CB28A3" w:rsidP="007867DD">
            <w:pPr>
              <w:pStyle w:val="TableText"/>
              <w:spacing w:before="60" w:after="60"/>
            </w:pPr>
            <w:r w:rsidRPr="00DA493F">
              <w:rPr>
                <w:b/>
              </w:rPr>
              <w:t>N</w:t>
            </w:r>
            <w:r>
              <w:rPr>
                <w:b/>
              </w:rPr>
              <w:t>umber</w:t>
            </w:r>
          </w:p>
        </w:tc>
        <w:tc>
          <w:tcPr>
            <w:tcW w:w="2970" w:type="dxa"/>
          </w:tcPr>
          <w:p w14:paraId="09FEE909" w14:textId="77777777" w:rsidR="00CB28A3" w:rsidRPr="00DA493F" w:rsidRDefault="00CB28A3" w:rsidP="007867DD">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DA493F">
              <w:rPr>
                <w:b/>
              </w:rPr>
              <w:t>1,060</w:t>
            </w:r>
          </w:p>
        </w:tc>
        <w:tc>
          <w:tcPr>
            <w:tcW w:w="1800" w:type="dxa"/>
          </w:tcPr>
          <w:p w14:paraId="133EB199" w14:textId="77777777" w:rsidR="00CB28A3" w:rsidRPr="00DA493F" w:rsidRDefault="00CB28A3" w:rsidP="007867DD">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DA493F">
              <w:rPr>
                <w:b/>
              </w:rPr>
              <w:t>1,060</w:t>
            </w:r>
          </w:p>
        </w:tc>
        <w:tc>
          <w:tcPr>
            <w:tcW w:w="1710" w:type="dxa"/>
          </w:tcPr>
          <w:p w14:paraId="672FFE51" w14:textId="77777777" w:rsidR="00CB28A3" w:rsidRPr="00DA493F" w:rsidRDefault="00CB28A3" w:rsidP="007867DD">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DA493F">
              <w:rPr>
                <w:b/>
              </w:rPr>
              <w:t>1,060</w:t>
            </w:r>
          </w:p>
        </w:tc>
      </w:tr>
    </w:tbl>
    <w:p w14:paraId="212590CF" w14:textId="1D81BBE7" w:rsidR="00CB28A3" w:rsidRDefault="00CB28A3" w:rsidP="00CB28A3">
      <w:pPr>
        <w:pStyle w:val="TableSourceCaption"/>
      </w:pPr>
      <w:r w:rsidRPr="00B701C9">
        <w:t>Note:</w:t>
      </w:r>
      <w:r w:rsidRPr="00B701C9">
        <w:tab/>
        <w:t>Standard errors in parentheses.</w:t>
      </w:r>
      <w:r>
        <w:t xml:space="preserve"> Model includes weights and lottery fixed effects.</w:t>
      </w:r>
    </w:p>
    <w:p w14:paraId="39310DEC" w14:textId="77777777" w:rsidR="00CB28A3" w:rsidRDefault="00CB28A3" w:rsidP="00CB28A3">
      <w:pPr>
        <w:pStyle w:val="TableFootnoteCaption"/>
      </w:pPr>
      <w:r>
        <w:t xml:space="preserve">* </w:t>
      </w:r>
      <w:r w:rsidRPr="00B701C9">
        <w:rPr>
          <w:i/>
        </w:rPr>
        <w:t>p</w:t>
      </w:r>
      <w:r>
        <w:t xml:space="preserve"> &lt; 0.05, ** </w:t>
      </w:r>
      <w:r w:rsidRPr="00B701C9">
        <w:rPr>
          <w:i/>
        </w:rPr>
        <w:t>p</w:t>
      </w:r>
      <w:r>
        <w:t xml:space="preserve"> &lt; 0.01.</w:t>
      </w:r>
    </w:p>
    <w:p w14:paraId="29EFDD78" w14:textId="77777777" w:rsidR="00CB28A3" w:rsidRDefault="00CB28A3" w:rsidP="00CB28A3">
      <w:pPr>
        <w:pStyle w:val="TableSignificanceCaption"/>
      </w:pPr>
      <w:r w:rsidRPr="00B701C9">
        <w:t>2SLS = two-stage least squares; ITT</w:t>
      </w:r>
      <w:r>
        <w:t xml:space="preserve"> = intent-to-treat; TOT = treatment-on-the-treated.</w:t>
      </w:r>
    </w:p>
    <w:p w14:paraId="58BC864D" w14:textId="77777777" w:rsidR="00CB28A3" w:rsidRDefault="00CB28A3" w:rsidP="0083620E">
      <w:pPr>
        <w:spacing w:after="240" w:line="240" w:lineRule="auto"/>
        <w:ind w:firstLine="0"/>
        <w:rPr>
          <w:rFonts w:ascii="Arial Black" w:hAnsi="Arial Black"/>
          <w:sz w:val="22"/>
        </w:rPr>
      </w:pPr>
    </w:p>
    <w:p w14:paraId="164FE937" w14:textId="1D6A6E03" w:rsidR="00473EE0" w:rsidRPr="005A4E85" w:rsidRDefault="00473EE0" w:rsidP="0083620E">
      <w:pPr>
        <w:spacing w:after="240" w:line="240" w:lineRule="auto"/>
        <w:ind w:firstLine="0"/>
        <w:rPr>
          <w:rFonts w:ascii="Arial Black" w:hAnsi="Arial Black"/>
          <w:sz w:val="22"/>
        </w:rPr>
      </w:pPr>
      <w:r w:rsidRPr="005A4E85">
        <w:rPr>
          <w:rFonts w:ascii="Arial Black" w:hAnsi="Arial Black"/>
          <w:sz w:val="22"/>
        </w:rPr>
        <w:t>Table B</w:t>
      </w:r>
      <w:r w:rsidR="008B4A37" w:rsidRPr="005A4E85">
        <w:rPr>
          <w:rFonts w:ascii="Arial Black" w:hAnsi="Arial Black"/>
          <w:sz w:val="22"/>
        </w:rPr>
        <w:t>.</w:t>
      </w:r>
      <w:r w:rsidR="00CB28A3">
        <w:rPr>
          <w:rFonts w:ascii="Arial Black" w:hAnsi="Arial Black"/>
          <w:sz w:val="22"/>
        </w:rPr>
        <w:t>6</w:t>
      </w:r>
      <w:r w:rsidRPr="005A4E85">
        <w:rPr>
          <w:rFonts w:ascii="Arial Black" w:hAnsi="Arial Black"/>
          <w:sz w:val="22"/>
        </w:rPr>
        <w:t>. Student enrollment impacts (Bayesian estimates)</w:t>
      </w:r>
      <w:bookmarkEnd w:id="8"/>
    </w:p>
    <w:tbl>
      <w:tblPr>
        <w:tblStyle w:val="MPRBaseTable"/>
        <w:tblW w:w="9360" w:type="dxa"/>
        <w:tblLayout w:type="fixed"/>
        <w:tblLook w:val="04A0" w:firstRow="1" w:lastRow="0" w:firstColumn="1" w:lastColumn="0" w:noHBand="0" w:noVBand="1"/>
      </w:tblPr>
      <w:tblGrid>
        <w:gridCol w:w="2160"/>
        <w:gridCol w:w="3600"/>
        <w:gridCol w:w="3600"/>
      </w:tblGrid>
      <w:tr w:rsidR="00473EE0" w:rsidRPr="00BC154B" w14:paraId="4CDA1D95" w14:textId="77777777" w:rsidTr="00482C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12B28E38" w14:textId="77777777" w:rsidR="00473EE0" w:rsidRPr="00BC154B" w:rsidRDefault="00473EE0" w:rsidP="0083620E">
            <w:pPr>
              <w:pStyle w:val="TableText"/>
            </w:pPr>
          </w:p>
        </w:tc>
        <w:tc>
          <w:tcPr>
            <w:tcW w:w="3600" w:type="dxa"/>
          </w:tcPr>
          <w:p w14:paraId="6706A666" w14:textId="77777777" w:rsidR="00473EE0" w:rsidRPr="00482C1F" w:rsidRDefault="00473EE0"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82C1F">
              <w:t>Registration</w:t>
            </w:r>
          </w:p>
        </w:tc>
        <w:tc>
          <w:tcPr>
            <w:tcW w:w="3600" w:type="dxa"/>
          </w:tcPr>
          <w:p w14:paraId="052A8FC5" w14:textId="77777777" w:rsidR="00473EE0" w:rsidRPr="00482C1F" w:rsidRDefault="00473EE0"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82C1F">
              <w:t>Voting</w:t>
            </w:r>
          </w:p>
        </w:tc>
      </w:tr>
      <w:tr w:rsidR="00473EE0" w:rsidRPr="00BC154B" w14:paraId="35C85277" w14:textId="77777777" w:rsidTr="00482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6ADACA0" w14:textId="77777777" w:rsidR="00473EE0" w:rsidRPr="00BC154B" w:rsidRDefault="00473EE0" w:rsidP="0083620E">
            <w:pPr>
              <w:pStyle w:val="TableText"/>
              <w:spacing w:before="60" w:after="60"/>
            </w:pPr>
            <w:r w:rsidRPr="00BC154B">
              <w:t>Main approach</w:t>
            </w:r>
          </w:p>
        </w:tc>
        <w:tc>
          <w:tcPr>
            <w:tcW w:w="3600" w:type="dxa"/>
          </w:tcPr>
          <w:p w14:paraId="2FC46B9D" w14:textId="77777777" w:rsidR="00473EE0" w:rsidRPr="00BC154B" w:rsidRDefault="00473EE0" w:rsidP="0083620E">
            <w:pPr>
              <w:pStyle w:val="TableText"/>
              <w:tabs>
                <w:tab w:val="decimal" w:pos="1493"/>
              </w:tabs>
              <w:spacing w:before="60" w:after="60"/>
              <w:cnfStyle w:val="000000100000" w:firstRow="0" w:lastRow="0" w:firstColumn="0" w:lastColumn="0" w:oddVBand="0" w:evenVBand="0" w:oddHBand="1" w:evenHBand="0" w:firstRowFirstColumn="0" w:firstRowLastColumn="0" w:lastRowFirstColumn="0" w:lastRowLastColumn="0"/>
            </w:pPr>
            <w:r w:rsidRPr="00BC154B">
              <w:t>0.156</w:t>
            </w:r>
            <w:r>
              <w:br/>
            </w:r>
            <w:r w:rsidRPr="00BC154B">
              <w:t>(0.081)</w:t>
            </w:r>
          </w:p>
        </w:tc>
        <w:tc>
          <w:tcPr>
            <w:tcW w:w="3600" w:type="dxa"/>
          </w:tcPr>
          <w:p w14:paraId="1D6138AF" w14:textId="77777777" w:rsidR="00473EE0" w:rsidRPr="00BC154B" w:rsidRDefault="00473EE0" w:rsidP="0083620E">
            <w:pPr>
              <w:pStyle w:val="TableText"/>
              <w:tabs>
                <w:tab w:val="decimal" w:pos="1493"/>
              </w:tabs>
              <w:spacing w:before="60" w:after="60"/>
              <w:cnfStyle w:val="000000100000" w:firstRow="0" w:lastRow="0" w:firstColumn="0" w:lastColumn="0" w:oddVBand="0" w:evenVBand="0" w:oddHBand="1" w:evenHBand="0" w:firstRowFirstColumn="0" w:firstRowLastColumn="0" w:lastRowFirstColumn="0" w:lastRowLastColumn="0"/>
            </w:pPr>
            <w:r w:rsidRPr="00BC154B">
              <w:t>0.125</w:t>
            </w:r>
            <w:r>
              <w:br/>
            </w:r>
            <w:r w:rsidRPr="00BC154B">
              <w:t>(0.064)</w:t>
            </w:r>
          </w:p>
        </w:tc>
      </w:tr>
      <w:tr w:rsidR="00473EE0" w:rsidRPr="00BC154B" w14:paraId="1F33805D" w14:textId="77777777" w:rsidTr="00482C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1105E3E" w14:textId="3BA3D9AA" w:rsidR="00473EE0" w:rsidRPr="00BC154B" w:rsidRDefault="00473EE0" w:rsidP="0083620E">
            <w:pPr>
              <w:pStyle w:val="TableText"/>
              <w:spacing w:before="60" w:after="60"/>
            </w:pPr>
            <w:r w:rsidRPr="00BC154B">
              <w:t xml:space="preserve">Sensitivity </w:t>
            </w:r>
            <w:r w:rsidR="007D799B">
              <w:t>a</w:t>
            </w:r>
            <w:r w:rsidRPr="00BC154B">
              <w:t>nalysis 1</w:t>
            </w:r>
          </w:p>
        </w:tc>
        <w:tc>
          <w:tcPr>
            <w:tcW w:w="3600" w:type="dxa"/>
          </w:tcPr>
          <w:p w14:paraId="4BFC6782" w14:textId="77777777" w:rsidR="00473EE0" w:rsidRPr="00BC154B" w:rsidRDefault="00473EE0" w:rsidP="0083620E">
            <w:pPr>
              <w:pStyle w:val="TableText"/>
              <w:tabs>
                <w:tab w:val="decimal" w:pos="1493"/>
              </w:tabs>
              <w:spacing w:before="60" w:after="60"/>
              <w:cnfStyle w:val="000000010000" w:firstRow="0" w:lastRow="0" w:firstColumn="0" w:lastColumn="0" w:oddVBand="0" w:evenVBand="0" w:oddHBand="0" w:evenHBand="1" w:firstRowFirstColumn="0" w:firstRowLastColumn="0" w:lastRowFirstColumn="0" w:lastRowLastColumn="0"/>
            </w:pPr>
            <w:r w:rsidRPr="00BC154B">
              <w:t>0.16</w:t>
            </w:r>
            <w:r>
              <w:t>0</w:t>
            </w:r>
            <w:r>
              <w:br/>
            </w:r>
            <w:r w:rsidRPr="00BC154B">
              <w:t>(0.088)</w:t>
            </w:r>
          </w:p>
        </w:tc>
        <w:tc>
          <w:tcPr>
            <w:tcW w:w="3600" w:type="dxa"/>
          </w:tcPr>
          <w:p w14:paraId="2D1BD127" w14:textId="77777777" w:rsidR="00473EE0" w:rsidRPr="00BC154B" w:rsidRDefault="00473EE0" w:rsidP="0083620E">
            <w:pPr>
              <w:pStyle w:val="TableText"/>
              <w:tabs>
                <w:tab w:val="decimal" w:pos="1493"/>
              </w:tabs>
              <w:spacing w:before="60" w:after="60"/>
              <w:cnfStyle w:val="000000010000" w:firstRow="0" w:lastRow="0" w:firstColumn="0" w:lastColumn="0" w:oddVBand="0" w:evenVBand="0" w:oddHBand="0" w:evenHBand="1" w:firstRowFirstColumn="0" w:firstRowLastColumn="0" w:lastRowFirstColumn="0" w:lastRowLastColumn="0"/>
            </w:pPr>
            <w:r w:rsidRPr="00BC154B">
              <w:t>0.128</w:t>
            </w:r>
            <w:r>
              <w:br/>
            </w:r>
            <w:r w:rsidRPr="00BC154B">
              <w:t>(0.07</w:t>
            </w:r>
            <w:r>
              <w:t>0</w:t>
            </w:r>
            <w:r w:rsidRPr="00BC154B">
              <w:t>)</w:t>
            </w:r>
          </w:p>
        </w:tc>
      </w:tr>
      <w:tr w:rsidR="00473EE0" w:rsidRPr="00BC154B" w14:paraId="58BAD77C" w14:textId="77777777" w:rsidTr="00482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5D0364C" w14:textId="17E22E85" w:rsidR="00473EE0" w:rsidRPr="00BC154B" w:rsidRDefault="00473EE0" w:rsidP="0083620E">
            <w:pPr>
              <w:pStyle w:val="TableText"/>
              <w:spacing w:before="60" w:after="60"/>
            </w:pPr>
            <w:r w:rsidRPr="00BC154B">
              <w:t xml:space="preserve">Sensitivity </w:t>
            </w:r>
            <w:r w:rsidR="007D799B">
              <w:t>a</w:t>
            </w:r>
            <w:r w:rsidRPr="00BC154B">
              <w:t>nalysis 2</w:t>
            </w:r>
          </w:p>
        </w:tc>
        <w:tc>
          <w:tcPr>
            <w:tcW w:w="3600" w:type="dxa"/>
          </w:tcPr>
          <w:p w14:paraId="6FBFB229" w14:textId="77777777" w:rsidR="00473EE0" w:rsidRPr="00BC154B" w:rsidRDefault="00473EE0" w:rsidP="0083620E">
            <w:pPr>
              <w:pStyle w:val="TableText"/>
              <w:tabs>
                <w:tab w:val="decimal" w:pos="1493"/>
              </w:tabs>
              <w:spacing w:before="60" w:after="60"/>
              <w:cnfStyle w:val="000000100000" w:firstRow="0" w:lastRow="0" w:firstColumn="0" w:lastColumn="0" w:oddVBand="0" w:evenVBand="0" w:oddHBand="1" w:evenHBand="0" w:firstRowFirstColumn="0" w:firstRowLastColumn="0" w:lastRowFirstColumn="0" w:lastRowLastColumn="0"/>
            </w:pPr>
            <w:r w:rsidRPr="00BC154B">
              <w:t>0.173</w:t>
            </w:r>
            <w:r>
              <w:br/>
            </w:r>
            <w:r w:rsidRPr="00BC154B">
              <w:t>(0.079)</w:t>
            </w:r>
          </w:p>
        </w:tc>
        <w:tc>
          <w:tcPr>
            <w:tcW w:w="3600" w:type="dxa"/>
          </w:tcPr>
          <w:p w14:paraId="2822C3B6" w14:textId="77777777" w:rsidR="00473EE0" w:rsidRPr="00BC154B" w:rsidRDefault="00473EE0" w:rsidP="0083620E">
            <w:pPr>
              <w:pStyle w:val="TableText"/>
              <w:tabs>
                <w:tab w:val="decimal" w:pos="1493"/>
              </w:tabs>
              <w:spacing w:before="60" w:after="60"/>
              <w:cnfStyle w:val="000000100000" w:firstRow="0" w:lastRow="0" w:firstColumn="0" w:lastColumn="0" w:oddVBand="0" w:evenVBand="0" w:oddHBand="1" w:evenHBand="0" w:firstRowFirstColumn="0" w:firstRowLastColumn="0" w:lastRowFirstColumn="0" w:lastRowLastColumn="0"/>
            </w:pPr>
            <w:r w:rsidRPr="00BC154B">
              <w:t>0.138</w:t>
            </w:r>
            <w:r>
              <w:br/>
            </w:r>
            <w:r w:rsidRPr="00BC154B">
              <w:t>(0.063)</w:t>
            </w:r>
          </w:p>
        </w:tc>
      </w:tr>
    </w:tbl>
    <w:p w14:paraId="7DB577A6" w14:textId="045E5363" w:rsidR="0083620E" w:rsidRDefault="00B701C9" w:rsidP="0083620E">
      <w:pPr>
        <w:pStyle w:val="TableSourceCaption"/>
      </w:pPr>
      <w:r w:rsidRPr="00B701C9">
        <w:t>Note:</w:t>
      </w:r>
      <w:r w:rsidRPr="00B701C9">
        <w:tab/>
        <w:t>Standard errors in parentheses</w:t>
      </w:r>
      <w:r w:rsidR="0083620E">
        <w:t>.</w:t>
      </w:r>
    </w:p>
    <w:p w14:paraId="0E32C80F" w14:textId="77777777" w:rsidR="0083620E" w:rsidRDefault="0083620E" w:rsidP="0083620E">
      <w:pPr>
        <w:pStyle w:val="TableSourceCaption"/>
      </w:pPr>
    </w:p>
    <w:p w14:paraId="0F45F0DD" w14:textId="77777777" w:rsidR="0083620E" w:rsidRDefault="0083620E" w:rsidP="0083620E">
      <w:pPr>
        <w:pStyle w:val="TableSourceCaption"/>
      </w:pPr>
      <w:r>
        <w:br w:type="page"/>
      </w:r>
    </w:p>
    <w:p w14:paraId="3C107E07" w14:textId="77777777" w:rsidR="00C14D8B" w:rsidRDefault="00C14D8B" w:rsidP="0083620E">
      <w:pPr>
        <w:pStyle w:val="MarkforAppendixTitle"/>
        <w:spacing w:line="480" w:lineRule="auto"/>
      </w:pPr>
    </w:p>
    <w:p w14:paraId="37FFC92B" w14:textId="31B1AB0C" w:rsidR="004E38F3" w:rsidRDefault="004E38F3" w:rsidP="0083620E">
      <w:pPr>
        <w:pStyle w:val="MarkforAppendixTitle"/>
        <w:spacing w:line="480" w:lineRule="auto"/>
        <w:sectPr w:rsidR="004E38F3" w:rsidSect="005A4E85">
          <w:headerReference w:type="default" r:id="rId13"/>
          <w:footerReference w:type="default" r:id="rId14"/>
          <w:type w:val="continuous"/>
          <w:pgSz w:w="12240" w:h="15840"/>
          <w:pgMar w:top="1440" w:right="1440" w:bottom="1440" w:left="1440" w:header="720" w:footer="720" w:gutter="0"/>
          <w:pgNumType w:start="1"/>
          <w:cols w:space="720"/>
          <w:docGrid w:linePitch="360"/>
        </w:sectPr>
      </w:pPr>
      <w:r>
        <w:t xml:space="preserve">Appendix C: </w:t>
      </w:r>
      <w:r>
        <w:br/>
      </w:r>
      <w:r w:rsidR="006F17E6">
        <w:t>Effects on Parents</w:t>
      </w:r>
    </w:p>
    <w:p w14:paraId="20B33C4B" w14:textId="45FF25AE" w:rsidR="006F17E6" w:rsidRDefault="006F17E6" w:rsidP="0083620E">
      <w:pPr>
        <w:pStyle w:val="H3AlphaNoTOC"/>
        <w:spacing w:line="480" w:lineRule="auto"/>
      </w:pPr>
      <w:bookmarkStart w:id="9" w:name="_Toc504057621"/>
      <w:r>
        <w:lastRenderedPageBreak/>
        <w:t>Description of parent analysis</w:t>
      </w:r>
    </w:p>
    <w:p w14:paraId="46841A40" w14:textId="4D0680F9" w:rsidR="009C630D" w:rsidRDefault="009C630D" w:rsidP="0083620E">
      <w:pPr>
        <w:ind w:firstLine="720"/>
        <w:rPr>
          <w:szCs w:val="24"/>
        </w:rPr>
      </w:pPr>
      <w:r w:rsidRPr="00881DB2">
        <w:rPr>
          <w:szCs w:val="24"/>
        </w:rPr>
        <w:t>Democracy Prep has tried to promote the ci</w:t>
      </w:r>
      <w:r w:rsidR="00BC63A8">
        <w:rPr>
          <w:szCs w:val="24"/>
        </w:rPr>
        <w:t xml:space="preserve">vic participation of parents </w:t>
      </w:r>
      <w:r w:rsidRPr="00881DB2">
        <w:rPr>
          <w:szCs w:val="24"/>
        </w:rPr>
        <w:t>by, for example, including voter registration information in enrollment materials. We therefore use the admissions lotteries to conduct a secondary analysis of registration and voting among Democracy Prep parents.</w:t>
      </w:r>
    </w:p>
    <w:p w14:paraId="0DD9216E" w14:textId="102D3F01" w:rsidR="009C630D" w:rsidRPr="00281DD5" w:rsidRDefault="009C630D" w:rsidP="0083620E">
      <w:pPr>
        <w:rPr>
          <w:szCs w:val="24"/>
        </w:rPr>
      </w:pPr>
      <w:r w:rsidRPr="00281DD5">
        <w:rPr>
          <w:szCs w:val="24"/>
        </w:rPr>
        <w:t xml:space="preserve">The parent sample includes parents of the eligible students </w:t>
      </w:r>
      <w:r w:rsidR="006F17E6">
        <w:rPr>
          <w:szCs w:val="24"/>
        </w:rPr>
        <w:t>described in the main text,</w:t>
      </w:r>
      <w:r w:rsidRPr="00281DD5">
        <w:rPr>
          <w:szCs w:val="24"/>
        </w:rPr>
        <w:t xml:space="preserve"> less the requirement that the student be eligible for the 2016 election. Thus, parents can have students in any application grade. All parents are deemed eligible to vote in elections following their children’s application year. </w:t>
      </w:r>
      <w:r w:rsidR="006F17E6">
        <w:rPr>
          <w:szCs w:val="24"/>
        </w:rPr>
        <w:t xml:space="preserve"> As shown in Table C.1, </w:t>
      </w:r>
      <w:r w:rsidRPr="00281DD5">
        <w:rPr>
          <w:szCs w:val="24"/>
        </w:rPr>
        <w:t>the analytic sample includes 5,792 parents, 52 percent of whom had children offered admission through the lottery.</w:t>
      </w:r>
    </w:p>
    <w:p w14:paraId="32B6BF1D" w14:textId="0B555809" w:rsidR="00BC63A8" w:rsidRDefault="009C630D" w:rsidP="0083620E">
      <w:pPr>
        <w:rPr>
          <w:szCs w:val="24"/>
        </w:rPr>
      </w:pPr>
      <w:r w:rsidRPr="00B277DE">
        <w:rPr>
          <w:szCs w:val="24"/>
        </w:rPr>
        <w:t xml:space="preserve">In the parent analysis, we focus our baseline comparison on gender, pre-application voter registration status, and pre-application voting behavior (age is not consistently available for parents). Pre-application voting behavior is defined as 2012 voting behavior for parents whose students apply for the 2013–2014 school year or later. Because this measure is defined for only a subset of parents, we do not include it as a covariate in our estimation models. As </w:t>
      </w:r>
      <w:r>
        <w:rPr>
          <w:szCs w:val="24"/>
        </w:rPr>
        <w:t xml:space="preserve">Table </w:t>
      </w:r>
      <w:r w:rsidR="00BC63A8">
        <w:rPr>
          <w:szCs w:val="24"/>
        </w:rPr>
        <w:t>C.2</w:t>
      </w:r>
      <w:r w:rsidRPr="00B277DE">
        <w:rPr>
          <w:szCs w:val="24"/>
        </w:rPr>
        <w:t xml:space="preserve"> indicates, we find no statistically significant differences in baseline characteristics in the parent sample.</w:t>
      </w:r>
      <w:r w:rsidR="00BC63A8">
        <w:rPr>
          <w:szCs w:val="24"/>
        </w:rPr>
        <w:t xml:space="preserve"> Parents in the treatment group (received an offer) are approximately 22 percentage points more likely to have a child</w:t>
      </w:r>
      <w:r w:rsidR="0062101E">
        <w:rPr>
          <w:szCs w:val="24"/>
        </w:rPr>
        <w:t xml:space="preserve"> who enrolls in Democracy Prep (Table C.3).</w:t>
      </w:r>
    </w:p>
    <w:p w14:paraId="23D50052" w14:textId="37A00F4A" w:rsidR="000D5ED0" w:rsidRDefault="000D5ED0" w:rsidP="0083620E">
      <w:pPr>
        <w:rPr>
          <w:szCs w:val="24"/>
        </w:rPr>
      </w:pPr>
      <w:r w:rsidRPr="00B277DE">
        <w:rPr>
          <w:szCs w:val="24"/>
        </w:rPr>
        <w:t xml:space="preserve">We do not find effects on the registration and voting rates of the parents of Democracy Prep students. In the parent analysis, the estimated impacts of an admissions offer on registration and voting (in 2014 and 2016) are much smaller than the </w:t>
      </w:r>
      <w:r w:rsidR="00BC63A8">
        <w:rPr>
          <w:szCs w:val="24"/>
        </w:rPr>
        <w:t>estimated impacts on students (Table C.4</w:t>
      </w:r>
      <w:r w:rsidRPr="00B277DE">
        <w:rPr>
          <w:szCs w:val="24"/>
        </w:rPr>
        <w:t xml:space="preserve">). None of these estimates are statistically significant. The TOT impacts on parents whose children enroll in Democracy Prep are similarly not significant, and are likewise much smaller than the estimated impacts on students </w:t>
      </w:r>
      <w:r w:rsidRPr="00B277DE">
        <w:rPr>
          <w:szCs w:val="24"/>
        </w:rPr>
        <w:lastRenderedPageBreak/>
        <w:t>(</w:t>
      </w:r>
      <w:r w:rsidR="00BC63A8">
        <w:rPr>
          <w:szCs w:val="24"/>
        </w:rPr>
        <w:t>Table C.5</w:t>
      </w:r>
      <w:r w:rsidRPr="00B277DE">
        <w:rPr>
          <w:szCs w:val="24"/>
        </w:rPr>
        <w:t>). In sum, we find no evidence that Democracy Prep increases the registration and voting rates of students’ parents.</w:t>
      </w:r>
    </w:p>
    <w:p w14:paraId="64A03AA3" w14:textId="18FAA917" w:rsidR="005A4E85" w:rsidRDefault="005A4E85" w:rsidP="0083620E">
      <w:pPr>
        <w:pStyle w:val="H3Alpha"/>
      </w:pPr>
      <w:r>
        <w:t>Table C.1. Parent sample</w:t>
      </w:r>
      <w:bookmarkEnd w:id="9"/>
    </w:p>
    <w:tbl>
      <w:tblPr>
        <w:tblStyle w:val="MPRBaseTable"/>
        <w:tblW w:w="9360" w:type="dxa"/>
        <w:tblLayout w:type="fixed"/>
        <w:tblLook w:val="04A0" w:firstRow="1" w:lastRow="0" w:firstColumn="1" w:lastColumn="0" w:noHBand="0" w:noVBand="1"/>
      </w:tblPr>
      <w:tblGrid>
        <w:gridCol w:w="1620"/>
        <w:gridCol w:w="1800"/>
        <w:gridCol w:w="1980"/>
        <w:gridCol w:w="1980"/>
        <w:gridCol w:w="1980"/>
      </w:tblGrid>
      <w:tr w:rsidR="005A4E85" w:rsidRPr="00286149" w14:paraId="53DEAC25" w14:textId="77777777" w:rsidTr="008362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0" w:type="dxa"/>
          </w:tcPr>
          <w:p w14:paraId="71F6620B" w14:textId="77777777" w:rsidR="005A4E85" w:rsidRPr="00494E13" w:rsidRDefault="005A4E85" w:rsidP="0083620E">
            <w:pPr>
              <w:pStyle w:val="TableHeaderLeft"/>
              <w:rPr>
                <w:b/>
              </w:rPr>
            </w:pPr>
            <w:r w:rsidRPr="00494E13">
              <w:t>Year</w:t>
            </w:r>
          </w:p>
        </w:tc>
        <w:tc>
          <w:tcPr>
            <w:tcW w:w="1800" w:type="dxa"/>
          </w:tcPr>
          <w:p w14:paraId="141C303E" w14:textId="77777777" w:rsidR="005A4E85" w:rsidRPr="00494E13" w:rsidRDefault="005A4E85"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94E13">
              <w:t>Offered</w:t>
            </w:r>
          </w:p>
        </w:tc>
        <w:tc>
          <w:tcPr>
            <w:tcW w:w="1980" w:type="dxa"/>
          </w:tcPr>
          <w:p w14:paraId="187371E6" w14:textId="77777777" w:rsidR="005A4E85" w:rsidRPr="00494E13" w:rsidRDefault="005A4E85"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94E13">
              <w:t>Not offered</w:t>
            </w:r>
          </w:p>
        </w:tc>
        <w:tc>
          <w:tcPr>
            <w:tcW w:w="1980" w:type="dxa"/>
          </w:tcPr>
          <w:p w14:paraId="1FE540F3" w14:textId="77777777" w:rsidR="005A4E85" w:rsidRPr="00494E13" w:rsidRDefault="005A4E85"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94E13">
              <w:t>Total</w:t>
            </w:r>
          </w:p>
        </w:tc>
        <w:tc>
          <w:tcPr>
            <w:tcW w:w="1980" w:type="dxa"/>
          </w:tcPr>
          <w:p w14:paraId="38F96D30" w14:textId="77777777" w:rsidR="005A4E85" w:rsidRPr="00494E13" w:rsidRDefault="005A4E85"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94E13">
              <w:t>Percentage offered</w:t>
            </w:r>
          </w:p>
        </w:tc>
      </w:tr>
      <w:tr w:rsidR="005A4E85" w:rsidRPr="00286149" w14:paraId="2A709366" w14:textId="77777777" w:rsidTr="0083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207EDBE3" w14:textId="77777777" w:rsidR="005A4E85" w:rsidRPr="00286149" w:rsidRDefault="005A4E85" w:rsidP="0083620E">
            <w:pPr>
              <w:pStyle w:val="TableText"/>
              <w:spacing w:before="60" w:after="60"/>
            </w:pPr>
            <w:r w:rsidRPr="00286149">
              <w:t>2007</w:t>
            </w:r>
            <w:r w:rsidRPr="00A86D78">
              <w:t>–</w:t>
            </w:r>
            <w:r w:rsidRPr="00286149">
              <w:t>2008</w:t>
            </w:r>
          </w:p>
        </w:tc>
        <w:tc>
          <w:tcPr>
            <w:tcW w:w="1800" w:type="dxa"/>
          </w:tcPr>
          <w:p w14:paraId="3DC66224" w14:textId="77777777" w:rsidR="005A4E85" w:rsidRPr="00286149" w:rsidRDefault="005A4E85" w:rsidP="0083620E">
            <w:pPr>
              <w:pStyle w:val="TableText"/>
              <w:tabs>
                <w:tab w:val="decimal" w:pos="972"/>
              </w:tabs>
              <w:spacing w:before="60" w:after="60"/>
              <w:cnfStyle w:val="000000100000" w:firstRow="0" w:lastRow="0" w:firstColumn="0" w:lastColumn="0" w:oddVBand="0" w:evenVBand="0" w:oddHBand="1" w:evenHBand="0" w:firstRowFirstColumn="0" w:firstRowLastColumn="0" w:lastRowFirstColumn="0" w:lastRowLastColumn="0"/>
            </w:pPr>
            <w:r w:rsidRPr="00286149">
              <w:t>103</w:t>
            </w:r>
          </w:p>
        </w:tc>
        <w:tc>
          <w:tcPr>
            <w:tcW w:w="1980" w:type="dxa"/>
          </w:tcPr>
          <w:p w14:paraId="7EAFCE46" w14:textId="77777777" w:rsidR="005A4E85" w:rsidRPr="00286149" w:rsidRDefault="005A4E85" w:rsidP="0083620E">
            <w:pPr>
              <w:pStyle w:val="TableText"/>
              <w:tabs>
                <w:tab w:val="decimal" w:pos="1062"/>
              </w:tabs>
              <w:spacing w:before="60" w:after="60"/>
              <w:cnfStyle w:val="000000100000" w:firstRow="0" w:lastRow="0" w:firstColumn="0" w:lastColumn="0" w:oddVBand="0" w:evenVBand="0" w:oddHBand="1" w:evenHBand="0" w:firstRowFirstColumn="0" w:firstRowLastColumn="0" w:lastRowFirstColumn="0" w:lastRowLastColumn="0"/>
            </w:pPr>
            <w:r w:rsidRPr="00286149">
              <w:t>281</w:t>
            </w:r>
          </w:p>
        </w:tc>
        <w:tc>
          <w:tcPr>
            <w:tcW w:w="1980" w:type="dxa"/>
          </w:tcPr>
          <w:p w14:paraId="39895368" w14:textId="77777777" w:rsidR="005A4E85" w:rsidRPr="00286149" w:rsidRDefault="005A4E85" w:rsidP="0083620E">
            <w:pPr>
              <w:pStyle w:val="TableText"/>
              <w:tabs>
                <w:tab w:val="decimal" w:pos="1062"/>
              </w:tabs>
              <w:spacing w:before="60" w:after="60"/>
              <w:cnfStyle w:val="000000100000" w:firstRow="0" w:lastRow="0" w:firstColumn="0" w:lastColumn="0" w:oddVBand="0" w:evenVBand="0" w:oddHBand="1" w:evenHBand="0" w:firstRowFirstColumn="0" w:firstRowLastColumn="0" w:lastRowFirstColumn="0" w:lastRowLastColumn="0"/>
            </w:pPr>
            <w:r w:rsidRPr="00286149">
              <w:t>384</w:t>
            </w:r>
          </w:p>
        </w:tc>
        <w:tc>
          <w:tcPr>
            <w:tcW w:w="1980" w:type="dxa"/>
          </w:tcPr>
          <w:p w14:paraId="64519FE9" w14:textId="77777777" w:rsidR="005A4E85" w:rsidRPr="00286149" w:rsidRDefault="005A4E85" w:rsidP="0083620E">
            <w:pPr>
              <w:pStyle w:val="TableText"/>
              <w:tabs>
                <w:tab w:val="decimal" w:pos="972"/>
              </w:tabs>
              <w:spacing w:before="60" w:after="60"/>
              <w:cnfStyle w:val="000000100000" w:firstRow="0" w:lastRow="0" w:firstColumn="0" w:lastColumn="0" w:oddVBand="0" w:evenVBand="0" w:oddHBand="1" w:evenHBand="0" w:firstRowFirstColumn="0" w:firstRowLastColumn="0" w:lastRowFirstColumn="0" w:lastRowLastColumn="0"/>
            </w:pPr>
            <w:r w:rsidRPr="004D7B3B">
              <w:t>26.8</w:t>
            </w:r>
          </w:p>
        </w:tc>
      </w:tr>
      <w:tr w:rsidR="005A4E85" w:rsidRPr="00286149" w14:paraId="64345BFD" w14:textId="77777777" w:rsidTr="00836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3BD37D28" w14:textId="77777777" w:rsidR="005A4E85" w:rsidRPr="00286149" w:rsidRDefault="005A4E85" w:rsidP="0083620E">
            <w:pPr>
              <w:pStyle w:val="TableText"/>
              <w:spacing w:before="60" w:after="60"/>
            </w:pPr>
            <w:r w:rsidRPr="00286149">
              <w:t>2008</w:t>
            </w:r>
            <w:r w:rsidRPr="00A86D78">
              <w:t>–</w:t>
            </w:r>
            <w:r w:rsidRPr="00286149">
              <w:t>2009</w:t>
            </w:r>
          </w:p>
        </w:tc>
        <w:tc>
          <w:tcPr>
            <w:tcW w:w="1800" w:type="dxa"/>
          </w:tcPr>
          <w:p w14:paraId="3B753DD9" w14:textId="77777777" w:rsidR="005A4E85" w:rsidRPr="00286149" w:rsidRDefault="005A4E85" w:rsidP="0083620E">
            <w:pPr>
              <w:pStyle w:val="TableText"/>
              <w:tabs>
                <w:tab w:val="decimal" w:pos="972"/>
              </w:tabs>
              <w:spacing w:before="60" w:after="60"/>
              <w:cnfStyle w:val="000000010000" w:firstRow="0" w:lastRow="0" w:firstColumn="0" w:lastColumn="0" w:oddVBand="0" w:evenVBand="0" w:oddHBand="0" w:evenHBand="1" w:firstRowFirstColumn="0" w:firstRowLastColumn="0" w:lastRowFirstColumn="0" w:lastRowLastColumn="0"/>
            </w:pPr>
            <w:r w:rsidRPr="00286149">
              <w:t>113</w:t>
            </w:r>
          </w:p>
        </w:tc>
        <w:tc>
          <w:tcPr>
            <w:tcW w:w="1980" w:type="dxa"/>
          </w:tcPr>
          <w:p w14:paraId="1BD29144" w14:textId="77777777" w:rsidR="005A4E85" w:rsidRPr="00286149" w:rsidRDefault="005A4E85" w:rsidP="0083620E">
            <w:pPr>
              <w:pStyle w:val="TableText"/>
              <w:tabs>
                <w:tab w:val="decimal" w:pos="1062"/>
              </w:tabs>
              <w:spacing w:before="60" w:after="60"/>
              <w:cnfStyle w:val="000000010000" w:firstRow="0" w:lastRow="0" w:firstColumn="0" w:lastColumn="0" w:oddVBand="0" w:evenVBand="0" w:oddHBand="0" w:evenHBand="1" w:firstRowFirstColumn="0" w:firstRowLastColumn="0" w:lastRowFirstColumn="0" w:lastRowLastColumn="0"/>
            </w:pPr>
            <w:r w:rsidRPr="00286149">
              <w:t>196</w:t>
            </w:r>
          </w:p>
        </w:tc>
        <w:tc>
          <w:tcPr>
            <w:tcW w:w="1980" w:type="dxa"/>
          </w:tcPr>
          <w:p w14:paraId="781B9299" w14:textId="77777777" w:rsidR="005A4E85" w:rsidRPr="00286149" w:rsidRDefault="005A4E85" w:rsidP="0083620E">
            <w:pPr>
              <w:pStyle w:val="TableText"/>
              <w:tabs>
                <w:tab w:val="decimal" w:pos="1062"/>
              </w:tabs>
              <w:spacing w:before="60" w:after="60"/>
              <w:cnfStyle w:val="000000010000" w:firstRow="0" w:lastRow="0" w:firstColumn="0" w:lastColumn="0" w:oddVBand="0" w:evenVBand="0" w:oddHBand="0" w:evenHBand="1" w:firstRowFirstColumn="0" w:firstRowLastColumn="0" w:lastRowFirstColumn="0" w:lastRowLastColumn="0"/>
            </w:pPr>
            <w:r w:rsidRPr="00286149">
              <w:t>309</w:t>
            </w:r>
          </w:p>
        </w:tc>
        <w:tc>
          <w:tcPr>
            <w:tcW w:w="1980" w:type="dxa"/>
          </w:tcPr>
          <w:p w14:paraId="54D400ED" w14:textId="77777777" w:rsidR="005A4E85" w:rsidRPr="00286149" w:rsidRDefault="005A4E85" w:rsidP="0083620E">
            <w:pPr>
              <w:pStyle w:val="TableText"/>
              <w:tabs>
                <w:tab w:val="decimal" w:pos="972"/>
              </w:tabs>
              <w:spacing w:before="60" w:after="60"/>
              <w:cnfStyle w:val="000000010000" w:firstRow="0" w:lastRow="0" w:firstColumn="0" w:lastColumn="0" w:oddVBand="0" w:evenVBand="0" w:oddHBand="0" w:evenHBand="1" w:firstRowFirstColumn="0" w:firstRowLastColumn="0" w:lastRowFirstColumn="0" w:lastRowLastColumn="0"/>
            </w:pPr>
            <w:r w:rsidRPr="004D7B3B">
              <w:t>36.6</w:t>
            </w:r>
          </w:p>
        </w:tc>
      </w:tr>
      <w:tr w:rsidR="005A4E85" w:rsidRPr="00286149" w14:paraId="0ED7B0AC" w14:textId="77777777" w:rsidTr="0083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47B9D539" w14:textId="77777777" w:rsidR="005A4E85" w:rsidRPr="00286149" w:rsidRDefault="005A4E85" w:rsidP="0083620E">
            <w:pPr>
              <w:pStyle w:val="TableText"/>
              <w:spacing w:before="60" w:after="60"/>
            </w:pPr>
            <w:r w:rsidRPr="00286149">
              <w:t>2009</w:t>
            </w:r>
            <w:r w:rsidRPr="00A86D78">
              <w:t>–</w:t>
            </w:r>
            <w:r w:rsidRPr="00286149">
              <w:t>2010</w:t>
            </w:r>
          </w:p>
        </w:tc>
        <w:tc>
          <w:tcPr>
            <w:tcW w:w="1800" w:type="dxa"/>
          </w:tcPr>
          <w:p w14:paraId="3F35BD28" w14:textId="77777777" w:rsidR="005A4E85" w:rsidRPr="00286149" w:rsidRDefault="005A4E85" w:rsidP="0083620E">
            <w:pPr>
              <w:pStyle w:val="TableText"/>
              <w:tabs>
                <w:tab w:val="decimal" w:pos="972"/>
              </w:tabs>
              <w:spacing w:before="60" w:after="60"/>
              <w:cnfStyle w:val="000000100000" w:firstRow="0" w:lastRow="0" w:firstColumn="0" w:lastColumn="0" w:oddVBand="0" w:evenVBand="0" w:oddHBand="1" w:evenHBand="0" w:firstRowFirstColumn="0" w:firstRowLastColumn="0" w:lastRowFirstColumn="0" w:lastRowLastColumn="0"/>
            </w:pPr>
            <w:r w:rsidRPr="00286149">
              <w:t>66</w:t>
            </w:r>
          </w:p>
        </w:tc>
        <w:tc>
          <w:tcPr>
            <w:tcW w:w="1980" w:type="dxa"/>
          </w:tcPr>
          <w:p w14:paraId="0BA66C05" w14:textId="77777777" w:rsidR="005A4E85" w:rsidRPr="00286149" w:rsidRDefault="005A4E85" w:rsidP="0083620E">
            <w:pPr>
              <w:pStyle w:val="TableText"/>
              <w:tabs>
                <w:tab w:val="decimal" w:pos="1062"/>
              </w:tabs>
              <w:spacing w:before="60" w:after="60"/>
              <w:cnfStyle w:val="000000100000" w:firstRow="0" w:lastRow="0" w:firstColumn="0" w:lastColumn="0" w:oddVBand="0" w:evenVBand="0" w:oddHBand="1" w:evenHBand="0" w:firstRowFirstColumn="0" w:firstRowLastColumn="0" w:lastRowFirstColumn="0" w:lastRowLastColumn="0"/>
            </w:pPr>
            <w:r w:rsidRPr="00286149">
              <w:t>184</w:t>
            </w:r>
          </w:p>
        </w:tc>
        <w:tc>
          <w:tcPr>
            <w:tcW w:w="1980" w:type="dxa"/>
          </w:tcPr>
          <w:p w14:paraId="0A8AB00C" w14:textId="77777777" w:rsidR="005A4E85" w:rsidRPr="00286149" w:rsidRDefault="005A4E85" w:rsidP="0083620E">
            <w:pPr>
              <w:pStyle w:val="TableText"/>
              <w:tabs>
                <w:tab w:val="decimal" w:pos="1062"/>
              </w:tabs>
              <w:spacing w:before="60" w:after="60"/>
              <w:cnfStyle w:val="000000100000" w:firstRow="0" w:lastRow="0" w:firstColumn="0" w:lastColumn="0" w:oddVBand="0" w:evenVBand="0" w:oddHBand="1" w:evenHBand="0" w:firstRowFirstColumn="0" w:firstRowLastColumn="0" w:lastRowFirstColumn="0" w:lastRowLastColumn="0"/>
            </w:pPr>
            <w:r w:rsidRPr="00286149">
              <w:t>250</w:t>
            </w:r>
          </w:p>
        </w:tc>
        <w:tc>
          <w:tcPr>
            <w:tcW w:w="1980" w:type="dxa"/>
          </w:tcPr>
          <w:p w14:paraId="059060A1" w14:textId="77777777" w:rsidR="005A4E85" w:rsidRPr="00286149" w:rsidRDefault="005A4E85" w:rsidP="0083620E">
            <w:pPr>
              <w:pStyle w:val="TableText"/>
              <w:tabs>
                <w:tab w:val="decimal" w:pos="972"/>
              </w:tabs>
              <w:spacing w:before="60" w:after="60"/>
              <w:cnfStyle w:val="000000100000" w:firstRow="0" w:lastRow="0" w:firstColumn="0" w:lastColumn="0" w:oddVBand="0" w:evenVBand="0" w:oddHBand="1" w:evenHBand="0" w:firstRowFirstColumn="0" w:firstRowLastColumn="0" w:lastRowFirstColumn="0" w:lastRowLastColumn="0"/>
            </w:pPr>
            <w:r w:rsidRPr="004D7B3B">
              <w:t>26.4</w:t>
            </w:r>
          </w:p>
        </w:tc>
      </w:tr>
      <w:tr w:rsidR="005A4E85" w:rsidRPr="00286149" w14:paraId="0CE12472" w14:textId="77777777" w:rsidTr="00836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3A16219" w14:textId="77777777" w:rsidR="005A4E85" w:rsidRPr="00286149" w:rsidRDefault="005A4E85" w:rsidP="0083620E">
            <w:pPr>
              <w:pStyle w:val="TableText"/>
              <w:spacing w:before="60" w:after="60"/>
            </w:pPr>
            <w:r w:rsidRPr="00286149">
              <w:t>2010</w:t>
            </w:r>
            <w:r w:rsidRPr="00A86D78">
              <w:t>–</w:t>
            </w:r>
            <w:r w:rsidRPr="00286149">
              <w:t>2011</w:t>
            </w:r>
          </w:p>
        </w:tc>
        <w:tc>
          <w:tcPr>
            <w:tcW w:w="1800" w:type="dxa"/>
          </w:tcPr>
          <w:p w14:paraId="613D019E" w14:textId="77777777" w:rsidR="005A4E85" w:rsidRPr="00286149" w:rsidRDefault="005A4E85" w:rsidP="0083620E">
            <w:pPr>
              <w:pStyle w:val="TableText"/>
              <w:tabs>
                <w:tab w:val="decimal" w:pos="972"/>
              </w:tabs>
              <w:spacing w:before="60" w:after="60"/>
              <w:cnfStyle w:val="000000010000" w:firstRow="0" w:lastRow="0" w:firstColumn="0" w:lastColumn="0" w:oddVBand="0" w:evenVBand="0" w:oddHBand="0" w:evenHBand="1" w:firstRowFirstColumn="0" w:firstRowLastColumn="0" w:lastRowFirstColumn="0" w:lastRowLastColumn="0"/>
            </w:pPr>
            <w:r w:rsidRPr="00286149">
              <w:t>141</w:t>
            </w:r>
          </w:p>
        </w:tc>
        <w:tc>
          <w:tcPr>
            <w:tcW w:w="1980" w:type="dxa"/>
          </w:tcPr>
          <w:p w14:paraId="7C73EE80" w14:textId="77777777" w:rsidR="005A4E85" w:rsidRPr="00286149" w:rsidRDefault="005A4E85" w:rsidP="0083620E">
            <w:pPr>
              <w:pStyle w:val="TableText"/>
              <w:tabs>
                <w:tab w:val="decimal" w:pos="1062"/>
              </w:tabs>
              <w:spacing w:before="60" w:after="60"/>
              <w:cnfStyle w:val="000000010000" w:firstRow="0" w:lastRow="0" w:firstColumn="0" w:lastColumn="0" w:oddVBand="0" w:evenVBand="0" w:oddHBand="0" w:evenHBand="1" w:firstRowFirstColumn="0" w:firstRowLastColumn="0" w:lastRowFirstColumn="0" w:lastRowLastColumn="0"/>
            </w:pPr>
            <w:r w:rsidRPr="00286149">
              <w:t>83</w:t>
            </w:r>
          </w:p>
        </w:tc>
        <w:tc>
          <w:tcPr>
            <w:tcW w:w="1980" w:type="dxa"/>
          </w:tcPr>
          <w:p w14:paraId="0691981E" w14:textId="77777777" w:rsidR="005A4E85" w:rsidRPr="00286149" w:rsidRDefault="005A4E85" w:rsidP="0083620E">
            <w:pPr>
              <w:pStyle w:val="TableText"/>
              <w:tabs>
                <w:tab w:val="decimal" w:pos="1062"/>
              </w:tabs>
              <w:spacing w:before="60" w:after="60"/>
              <w:cnfStyle w:val="000000010000" w:firstRow="0" w:lastRow="0" w:firstColumn="0" w:lastColumn="0" w:oddVBand="0" w:evenVBand="0" w:oddHBand="0" w:evenHBand="1" w:firstRowFirstColumn="0" w:firstRowLastColumn="0" w:lastRowFirstColumn="0" w:lastRowLastColumn="0"/>
            </w:pPr>
            <w:r w:rsidRPr="00286149">
              <w:t>224</w:t>
            </w:r>
          </w:p>
        </w:tc>
        <w:tc>
          <w:tcPr>
            <w:tcW w:w="1980" w:type="dxa"/>
          </w:tcPr>
          <w:p w14:paraId="1A8574DE" w14:textId="77777777" w:rsidR="005A4E85" w:rsidRPr="00286149" w:rsidRDefault="005A4E85" w:rsidP="0083620E">
            <w:pPr>
              <w:pStyle w:val="TableText"/>
              <w:tabs>
                <w:tab w:val="decimal" w:pos="972"/>
              </w:tabs>
              <w:spacing w:before="60" w:after="60"/>
              <w:cnfStyle w:val="000000010000" w:firstRow="0" w:lastRow="0" w:firstColumn="0" w:lastColumn="0" w:oddVBand="0" w:evenVBand="0" w:oddHBand="0" w:evenHBand="1" w:firstRowFirstColumn="0" w:firstRowLastColumn="0" w:lastRowFirstColumn="0" w:lastRowLastColumn="0"/>
            </w:pPr>
            <w:r w:rsidRPr="004D7B3B">
              <w:t>62.9</w:t>
            </w:r>
          </w:p>
        </w:tc>
      </w:tr>
      <w:tr w:rsidR="005A4E85" w:rsidRPr="00286149" w14:paraId="4F481884" w14:textId="77777777" w:rsidTr="0083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343FDAF1" w14:textId="77777777" w:rsidR="005A4E85" w:rsidRPr="00286149" w:rsidRDefault="005A4E85" w:rsidP="0083620E">
            <w:pPr>
              <w:pStyle w:val="TableText"/>
              <w:spacing w:before="60" w:after="60"/>
            </w:pPr>
            <w:r w:rsidRPr="00286149">
              <w:t>2012</w:t>
            </w:r>
            <w:r w:rsidRPr="00A86D78">
              <w:t>–</w:t>
            </w:r>
            <w:r w:rsidRPr="00286149">
              <w:t>2013</w:t>
            </w:r>
          </w:p>
        </w:tc>
        <w:tc>
          <w:tcPr>
            <w:tcW w:w="1800" w:type="dxa"/>
          </w:tcPr>
          <w:p w14:paraId="10BF2BDE" w14:textId="77777777" w:rsidR="005A4E85" w:rsidRPr="00286149" w:rsidRDefault="005A4E85" w:rsidP="0083620E">
            <w:pPr>
              <w:pStyle w:val="TableText"/>
              <w:tabs>
                <w:tab w:val="decimal" w:pos="972"/>
              </w:tabs>
              <w:spacing w:before="60" w:after="60"/>
              <w:cnfStyle w:val="000000100000" w:firstRow="0" w:lastRow="0" w:firstColumn="0" w:lastColumn="0" w:oddVBand="0" w:evenVBand="0" w:oddHBand="1" w:evenHBand="0" w:firstRowFirstColumn="0" w:firstRowLastColumn="0" w:lastRowFirstColumn="0" w:lastRowLastColumn="0"/>
            </w:pPr>
            <w:r w:rsidRPr="00286149">
              <w:t>1,156</w:t>
            </w:r>
          </w:p>
        </w:tc>
        <w:tc>
          <w:tcPr>
            <w:tcW w:w="1980" w:type="dxa"/>
          </w:tcPr>
          <w:p w14:paraId="11028EBC" w14:textId="77777777" w:rsidR="005A4E85" w:rsidRPr="00286149" w:rsidRDefault="005A4E85" w:rsidP="0083620E">
            <w:pPr>
              <w:pStyle w:val="TableText"/>
              <w:tabs>
                <w:tab w:val="decimal" w:pos="1062"/>
              </w:tabs>
              <w:spacing w:before="60" w:after="60"/>
              <w:cnfStyle w:val="000000100000" w:firstRow="0" w:lastRow="0" w:firstColumn="0" w:lastColumn="0" w:oddVBand="0" w:evenVBand="0" w:oddHBand="1" w:evenHBand="0" w:firstRowFirstColumn="0" w:firstRowLastColumn="0" w:lastRowFirstColumn="0" w:lastRowLastColumn="0"/>
            </w:pPr>
            <w:r w:rsidRPr="00286149">
              <w:t>617</w:t>
            </w:r>
          </w:p>
        </w:tc>
        <w:tc>
          <w:tcPr>
            <w:tcW w:w="1980" w:type="dxa"/>
          </w:tcPr>
          <w:p w14:paraId="2A2A86C8" w14:textId="77777777" w:rsidR="005A4E85" w:rsidRPr="00286149" w:rsidRDefault="005A4E85" w:rsidP="0083620E">
            <w:pPr>
              <w:pStyle w:val="TableText"/>
              <w:tabs>
                <w:tab w:val="decimal" w:pos="1062"/>
              </w:tabs>
              <w:spacing w:before="60" w:after="60"/>
              <w:cnfStyle w:val="000000100000" w:firstRow="0" w:lastRow="0" w:firstColumn="0" w:lastColumn="0" w:oddVBand="0" w:evenVBand="0" w:oddHBand="1" w:evenHBand="0" w:firstRowFirstColumn="0" w:firstRowLastColumn="0" w:lastRowFirstColumn="0" w:lastRowLastColumn="0"/>
            </w:pPr>
            <w:r w:rsidRPr="00286149">
              <w:t>1,773</w:t>
            </w:r>
          </w:p>
        </w:tc>
        <w:tc>
          <w:tcPr>
            <w:tcW w:w="1980" w:type="dxa"/>
          </w:tcPr>
          <w:p w14:paraId="3C81813F" w14:textId="77777777" w:rsidR="005A4E85" w:rsidRPr="00286149" w:rsidRDefault="005A4E85" w:rsidP="0083620E">
            <w:pPr>
              <w:pStyle w:val="TableText"/>
              <w:tabs>
                <w:tab w:val="decimal" w:pos="972"/>
              </w:tabs>
              <w:spacing w:before="60" w:after="60"/>
              <w:cnfStyle w:val="000000100000" w:firstRow="0" w:lastRow="0" w:firstColumn="0" w:lastColumn="0" w:oddVBand="0" w:evenVBand="0" w:oddHBand="1" w:evenHBand="0" w:firstRowFirstColumn="0" w:firstRowLastColumn="0" w:lastRowFirstColumn="0" w:lastRowLastColumn="0"/>
            </w:pPr>
            <w:r w:rsidRPr="004D7B3B">
              <w:t>65.2</w:t>
            </w:r>
          </w:p>
        </w:tc>
      </w:tr>
      <w:tr w:rsidR="005A4E85" w:rsidRPr="00286149" w14:paraId="4C53AA0E" w14:textId="77777777" w:rsidTr="00836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BE1567F" w14:textId="77777777" w:rsidR="005A4E85" w:rsidRPr="00286149" w:rsidRDefault="005A4E85" w:rsidP="0083620E">
            <w:pPr>
              <w:pStyle w:val="TableText"/>
              <w:spacing w:before="60" w:after="60"/>
            </w:pPr>
            <w:r w:rsidRPr="00286149">
              <w:t>2013</w:t>
            </w:r>
            <w:r w:rsidRPr="00A86D78">
              <w:t>–</w:t>
            </w:r>
            <w:r w:rsidRPr="00286149">
              <w:t>2014</w:t>
            </w:r>
          </w:p>
        </w:tc>
        <w:tc>
          <w:tcPr>
            <w:tcW w:w="1800" w:type="dxa"/>
          </w:tcPr>
          <w:p w14:paraId="2EC0181C" w14:textId="77777777" w:rsidR="005A4E85" w:rsidRPr="00286149" w:rsidRDefault="005A4E85" w:rsidP="0083620E">
            <w:pPr>
              <w:pStyle w:val="TableText"/>
              <w:tabs>
                <w:tab w:val="decimal" w:pos="972"/>
              </w:tabs>
              <w:spacing w:before="60" w:after="60"/>
              <w:cnfStyle w:val="000000010000" w:firstRow="0" w:lastRow="0" w:firstColumn="0" w:lastColumn="0" w:oddVBand="0" w:evenVBand="0" w:oddHBand="0" w:evenHBand="1" w:firstRowFirstColumn="0" w:firstRowLastColumn="0" w:lastRowFirstColumn="0" w:lastRowLastColumn="0"/>
            </w:pPr>
            <w:r w:rsidRPr="00286149">
              <w:t>299</w:t>
            </w:r>
          </w:p>
        </w:tc>
        <w:tc>
          <w:tcPr>
            <w:tcW w:w="1980" w:type="dxa"/>
          </w:tcPr>
          <w:p w14:paraId="1A69B913" w14:textId="77777777" w:rsidR="005A4E85" w:rsidRPr="00286149" w:rsidRDefault="005A4E85" w:rsidP="0083620E">
            <w:pPr>
              <w:pStyle w:val="TableText"/>
              <w:tabs>
                <w:tab w:val="decimal" w:pos="1062"/>
              </w:tabs>
              <w:spacing w:before="60" w:after="60"/>
              <w:cnfStyle w:val="000000010000" w:firstRow="0" w:lastRow="0" w:firstColumn="0" w:lastColumn="0" w:oddVBand="0" w:evenVBand="0" w:oddHBand="0" w:evenHBand="1" w:firstRowFirstColumn="0" w:firstRowLastColumn="0" w:lastRowFirstColumn="0" w:lastRowLastColumn="0"/>
            </w:pPr>
            <w:r w:rsidRPr="00286149">
              <w:t>57</w:t>
            </w:r>
          </w:p>
        </w:tc>
        <w:tc>
          <w:tcPr>
            <w:tcW w:w="1980" w:type="dxa"/>
          </w:tcPr>
          <w:p w14:paraId="64EDCBA4" w14:textId="77777777" w:rsidR="005A4E85" w:rsidRPr="00286149" w:rsidRDefault="005A4E85" w:rsidP="0083620E">
            <w:pPr>
              <w:pStyle w:val="TableText"/>
              <w:tabs>
                <w:tab w:val="decimal" w:pos="1062"/>
              </w:tabs>
              <w:spacing w:before="60" w:after="60"/>
              <w:cnfStyle w:val="000000010000" w:firstRow="0" w:lastRow="0" w:firstColumn="0" w:lastColumn="0" w:oddVBand="0" w:evenVBand="0" w:oddHBand="0" w:evenHBand="1" w:firstRowFirstColumn="0" w:firstRowLastColumn="0" w:lastRowFirstColumn="0" w:lastRowLastColumn="0"/>
            </w:pPr>
            <w:r w:rsidRPr="00286149">
              <w:t>356</w:t>
            </w:r>
          </w:p>
        </w:tc>
        <w:tc>
          <w:tcPr>
            <w:tcW w:w="1980" w:type="dxa"/>
          </w:tcPr>
          <w:p w14:paraId="11AA4632" w14:textId="77777777" w:rsidR="005A4E85" w:rsidRPr="00286149" w:rsidRDefault="005A4E85" w:rsidP="0083620E">
            <w:pPr>
              <w:pStyle w:val="TableText"/>
              <w:tabs>
                <w:tab w:val="decimal" w:pos="972"/>
              </w:tabs>
              <w:spacing w:before="60" w:after="60"/>
              <w:cnfStyle w:val="000000010000" w:firstRow="0" w:lastRow="0" w:firstColumn="0" w:lastColumn="0" w:oddVBand="0" w:evenVBand="0" w:oddHBand="0" w:evenHBand="1" w:firstRowFirstColumn="0" w:firstRowLastColumn="0" w:lastRowFirstColumn="0" w:lastRowLastColumn="0"/>
            </w:pPr>
            <w:r w:rsidRPr="004D7B3B">
              <w:t>84.0</w:t>
            </w:r>
          </w:p>
        </w:tc>
      </w:tr>
      <w:tr w:rsidR="005A4E85" w:rsidRPr="00286149" w14:paraId="062B34BC" w14:textId="77777777" w:rsidTr="0083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40AFB646" w14:textId="77777777" w:rsidR="005A4E85" w:rsidRPr="00286149" w:rsidRDefault="005A4E85" w:rsidP="0083620E">
            <w:pPr>
              <w:pStyle w:val="TableText"/>
              <w:spacing w:before="60" w:after="60"/>
            </w:pPr>
            <w:r w:rsidRPr="00286149">
              <w:t>2014</w:t>
            </w:r>
            <w:r w:rsidRPr="00A86D78">
              <w:t>–</w:t>
            </w:r>
            <w:r w:rsidRPr="00286149">
              <w:t>2015</w:t>
            </w:r>
          </w:p>
        </w:tc>
        <w:tc>
          <w:tcPr>
            <w:tcW w:w="1800" w:type="dxa"/>
          </w:tcPr>
          <w:p w14:paraId="2FF07771" w14:textId="77777777" w:rsidR="005A4E85" w:rsidRPr="00286149" w:rsidRDefault="005A4E85" w:rsidP="0083620E">
            <w:pPr>
              <w:pStyle w:val="TableText"/>
              <w:tabs>
                <w:tab w:val="decimal" w:pos="972"/>
              </w:tabs>
              <w:spacing w:before="60" w:after="60"/>
              <w:cnfStyle w:val="000000100000" w:firstRow="0" w:lastRow="0" w:firstColumn="0" w:lastColumn="0" w:oddVBand="0" w:evenVBand="0" w:oddHBand="1" w:evenHBand="0" w:firstRowFirstColumn="0" w:firstRowLastColumn="0" w:lastRowFirstColumn="0" w:lastRowLastColumn="0"/>
            </w:pPr>
            <w:r w:rsidRPr="00286149">
              <w:t>349</w:t>
            </w:r>
          </w:p>
        </w:tc>
        <w:tc>
          <w:tcPr>
            <w:tcW w:w="1980" w:type="dxa"/>
          </w:tcPr>
          <w:p w14:paraId="372305FD" w14:textId="77777777" w:rsidR="005A4E85" w:rsidRPr="00286149" w:rsidRDefault="005A4E85" w:rsidP="0083620E">
            <w:pPr>
              <w:pStyle w:val="TableText"/>
              <w:tabs>
                <w:tab w:val="decimal" w:pos="1062"/>
              </w:tabs>
              <w:spacing w:before="60" w:after="60"/>
              <w:cnfStyle w:val="000000100000" w:firstRow="0" w:lastRow="0" w:firstColumn="0" w:lastColumn="0" w:oddVBand="0" w:evenVBand="0" w:oddHBand="1" w:evenHBand="0" w:firstRowFirstColumn="0" w:firstRowLastColumn="0" w:lastRowFirstColumn="0" w:lastRowLastColumn="0"/>
            </w:pPr>
            <w:r w:rsidRPr="00286149">
              <w:t>150</w:t>
            </w:r>
          </w:p>
        </w:tc>
        <w:tc>
          <w:tcPr>
            <w:tcW w:w="1980" w:type="dxa"/>
          </w:tcPr>
          <w:p w14:paraId="55A98FE1" w14:textId="77777777" w:rsidR="005A4E85" w:rsidRPr="00286149" w:rsidRDefault="005A4E85" w:rsidP="0083620E">
            <w:pPr>
              <w:pStyle w:val="TableText"/>
              <w:tabs>
                <w:tab w:val="decimal" w:pos="1062"/>
              </w:tabs>
              <w:spacing w:before="60" w:after="60"/>
              <w:cnfStyle w:val="000000100000" w:firstRow="0" w:lastRow="0" w:firstColumn="0" w:lastColumn="0" w:oddVBand="0" w:evenVBand="0" w:oddHBand="1" w:evenHBand="0" w:firstRowFirstColumn="0" w:firstRowLastColumn="0" w:lastRowFirstColumn="0" w:lastRowLastColumn="0"/>
            </w:pPr>
            <w:r w:rsidRPr="00286149">
              <w:t>499</w:t>
            </w:r>
          </w:p>
        </w:tc>
        <w:tc>
          <w:tcPr>
            <w:tcW w:w="1980" w:type="dxa"/>
          </w:tcPr>
          <w:p w14:paraId="650183D3" w14:textId="77777777" w:rsidR="005A4E85" w:rsidRPr="00286149" w:rsidRDefault="005A4E85" w:rsidP="0083620E">
            <w:pPr>
              <w:pStyle w:val="TableText"/>
              <w:tabs>
                <w:tab w:val="decimal" w:pos="972"/>
              </w:tabs>
              <w:spacing w:before="60" w:after="60"/>
              <w:cnfStyle w:val="000000100000" w:firstRow="0" w:lastRow="0" w:firstColumn="0" w:lastColumn="0" w:oddVBand="0" w:evenVBand="0" w:oddHBand="1" w:evenHBand="0" w:firstRowFirstColumn="0" w:firstRowLastColumn="0" w:lastRowFirstColumn="0" w:lastRowLastColumn="0"/>
            </w:pPr>
            <w:r w:rsidRPr="004D7B3B">
              <w:t>69.9</w:t>
            </w:r>
          </w:p>
        </w:tc>
      </w:tr>
      <w:tr w:rsidR="005A4E85" w:rsidRPr="00286149" w14:paraId="2A5CF851" w14:textId="77777777" w:rsidTr="00836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4292C62C" w14:textId="77777777" w:rsidR="005A4E85" w:rsidRPr="00286149" w:rsidRDefault="005A4E85" w:rsidP="0083620E">
            <w:pPr>
              <w:pStyle w:val="TableText"/>
              <w:spacing w:before="60" w:after="60"/>
            </w:pPr>
            <w:r w:rsidRPr="00286149">
              <w:t>2015</w:t>
            </w:r>
            <w:r w:rsidRPr="00A86D78">
              <w:t>–</w:t>
            </w:r>
            <w:r w:rsidRPr="00286149">
              <w:t>2016</w:t>
            </w:r>
          </w:p>
        </w:tc>
        <w:tc>
          <w:tcPr>
            <w:tcW w:w="1800" w:type="dxa"/>
          </w:tcPr>
          <w:p w14:paraId="13C95077" w14:textId="77777777" w:rsidR="005A4E85" w:rsidRPr="00286149" w:rsidRDefault="005A4E85" w:rsidP="0083620E">
            <w:pPr>
              <w:pStyle w:val="TableText"/>
              <w:tabs>
                <w:tab w:val="decimal" w:pos="972"/>
              </w:tabs>
              <w:spacing w:before="60" w:after="60"/>
              <w:cnfStyle w:val="000000010000" w:firstRow="0" w:lastRow="0" w:firstColumn="0" w:lastColumn="0" w:oddVBand="0" w:evenVBand="0" w:oddHBand="0" w:evenHBand="1" w:firstRowFirstColumn="0" w:firstRowLastColumn="0" w:lastRowFirstColumn="0" w:lastRowLastColumn="0"/>
            </w:pPr>
            <w:r w:rsidRPr="00286149">
              <w:t>805</w:t>
            </w:r>
          </w:p>
        </w:tc>
        <w:tc>
          <w:tcPr>
            <w:tcW w:w="1980" w:type="dxa"/>
          </w:tcPr>
          <w:p w14:paraId="2D20ADD6" w14:textId="77777777" w:rsidR="005A4E85" w:rsidRPr="00286149" w:rsidRDefault="005A4E85" w:rsidP="0083620E">
            <w:pPr>
              <w:pStyle w:val="TableText"/>
              <w:tabs>
                <w:tab w:val="decimal" w:pos="1062"/>
              </w:tabs>
              <w:spacing w:before="60" w:after="60"/>
              <w:cnfStyle w:val="000000010000" w:firstRow="0" w:lastRow="0" w:firstColumn="0" w:lastColumn="0" w:oddVBand="0" w:evenVBand="0" w:oddHBand="0" w:evenHBand="1" w:firstRowFirstColumn="0" w:firstRowLastColumn="0" w:lastRowFirstColumn="0" w:lastRowLastColumn="0"/>
            </w:pPr>
            <w:r w:rsidRPr="00286149">
              <w:t>1,192</w:t>
            </w:r>
          </w:p>
        </w:tc>
        <w:tc>
          <w:tcPr>
            <w:tcW w:w="1980" w:type="dxa"/>
          </w:tcPr>
          <w:p w14:paraId="59B9C4F4" w14:textId="77777777" w:rsidR="005A4E85" w:rsidRPr="00286149" w:rsidRDefault="005A4E85" w:rsidP="0083620E">
            <w:pPr>
              <w:pStyle w:val="TableText"/>
              <w:tabs>
                <w:tab w:val="decimal" w:pos="1062"/>
              </w:tabs>
              <w:spacing w:before="60" w:after="60"/>
              <w:cnfStyle w:val="000000010000" w:firstRow="0" w:lastRow="0" w:firstColumn="0" w:lastColumn="0" w:oddVBand="0" w:evenVBand="0" w:oddHBand="0" w:evenHBand="1" w:firstRowFirstColumn="0" w:firstRowLastColumn="0" w:lastRowFirstColumn="0" w:lastRowLastColumn="0"/>
            </w:pPr>
            <w:r w:rsidRPr="00286149">
              <w:t>1,997</w:t>
            </w:r>
          </w:p>
        </w:tc>
        <w:tc>
          <w:tcPr>
            <w:tcW w:w="1980" w:type="dxa"/>
          </w:tcPr>
          <w:p w14:paraId="46C5B927" w14:textId="77777777" w:rsidR="005A4E85" w:rsidRPr="00286149" w:rsidRDefault="005A4E85" w:rsidP="0083620E">
            <w:pPr>
              <w:pStyle w:val="TableText"/>
              <w:tabs>
                <w:tab w:val="decimal" w:pos="972"/>
              </w:tabs>
              <w:spacing w:before="60" w:after="60"/>
              <w:cnfStyle w:val="000000010000" w:firstRow="0" w:lastRow="0" w:firstColumn="0" w:lastColumn="0" w:oddVBand="0" w:evenVBand="0" w:oddHBand="0" w:evenHBand="1" w:firstRowFirstColumn="0" w:firstRowLastColumn="0" w:lastRowFirstColumn="0" w:lastRowLastColumn="0"/>
            </w:pPr>
            <w:r w:rsidRPr="004D7B3B">
              <w:t>40.3</w:t>
            </w:r>
          </w:p>
        </w:tc>
      </w:tr>
      <w:tr w:rsidR="005A4E85" w:rsidRPr="00286149" w14:paraId="765A9B1E" w14:textId="77777777" w:rsidTr="0083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4BAF0B86" w14:textId="77777777" w:rsidR="005A4E85" w:rsidRPr="00494E13" w:rsidRDefault="005A4E85" w:rsidP="0083620E">
            <w:pPr>
              <w:pStyle w:val="TableText"/>
              <w:spacing w:before="60" w:after="60"/>
              <w:rPr>
                <w:b/>
              </w:rPr>
            </w:pPr>
            <w:r w:rsidRPr="00494E13">
              <w:rPr>
                <w:b/>
              </w:rPr>
              <w:t>Total</w:t>
            </w:r>
          </w:p>
        </w:tc>
        <w:tc>
          <w:tcPr>
            <w:tcW w:w="1800" w:type="dxa"/>
          </w:tcPr>
          <w:p w14:paraId="1559F431" w14:textId="77777777" w:rsidR="005A4E85" w:rsidRPr="00494E13" w:rsidRDefault="005A4E85" w:rsidP="0083620E">
            <w:pPr>
              <w:pStyle w:val="TableText"/>
              <w:tabs>
                <w:tab w:val="decimal" w:pos="972"/>
              </w:tabs>
              <w:spacing w:before="60" w:after="60"/>
              <w:cnfStyle w:val="000000100000" w:firstRow="0" w:lastRow="0" w:firstColumn="0" w:lastColumn="0" w:oddVBand="0" w:evenVBand="0" w:oddHBand="1" w:evenHBand="0" w:firstRowFirstColumn="0" w:firstRowLastColumn="0" w:lastRowFirstColumn="0" w:lastRowLastColumn="0"/>
              <w:rPr>
                <w:b/>
              </w:rPr>
            </w:pPr>
            <w:r w:rsidRPr="00494E13">
              <w:rPr>
                <w:b/>
              </w:rPr>
              <w:t>3,032</w:t>
            </w:r>
          </w:p>
        </w:tc>
        <w:tc>
          <w:tcPr>
            <w:tcW w:w="1980" w:type="dxa"/>
          </w:tcPr>
          <w:p w14:paraId="36F9AD7B" w14:textId="77777777" w:rsidR="005A4E85" w:rsidRPr="00494E13" w:rsidRDefault="005A4E85" w:rsidP="0083620E">
            <w:pPr>
              <w:pStyle w:val="TableText"/>
              <w:tabs>
                <w:tab w:val="decimal" w:pos="1062"/>
              </w:tabs>
              <w:spacing w:before="60" w:after="60"/>
              <w:cnfStyle w:val="000000100000" w:firstRow="0" w:lastRow="0" w:firstColumn="0" w:lastColumn="0" w:oddVBand="0" w:evenVBand="0" w:oddHBand="1" w:evenHBand="0" w:firstRowFirstColumn="0" w:firstRowLastColumn="0" w:lastRowFirstColumn="0" w:lastRowLastColumn="0"/>
              <w:rPr>
                <w:b/>
              </w:rPr>
            </w:pPr>
            <w:r w:rsidRPr="00494E13">
              <w:rPr>
                <w:b/>
              </w:rPr>
              <w:t>2,760</w:t>
            </w:r>
          </w:p>
        </w:tc>
        <w:tc>
          <w:tcPr>
            <w:tcW w:w="1980" w:type="dxa"/>
          </w:tcPr>
          <w:p w14:paraId="23810B92" w14:textId="77777777" w:rsidR="005A4E85" w:rsidRPr="00494E13" w:rsidRDefault="005A4E85" w:rsidP="0083620E">
            <w:pPr>
              <w:pStyle w:val="TableText"/>
              <w:tabs>
                <w:tab w:val="decimal" w:pos="1062"/>
              </w:tabs>
              <w:spacing w:before="60" w:after="60"/>
              <w:cnfStyle w:val="000000100000" w:firstRow="0" w:lastRow="0" w:firstColumn="0" w:lastColumn="0" w:oddVBand="0" w:evenVBand="0" w:oddHBand="1" w:evenHBand="0" w:firstRowFirstColumn="0" w:firstRowLastColumn="0" w:lastRowFirstColumn="0" w:lastRowLastColumn="0"/>
              <w:rPr>
                <w:b/>
              </w:rPr>
            </w:pPr>
            <w:r w:rsidRPr="00494E13">
              <w:rPr>
                <w:b/>
              </w:rPr>
              <w:t>5,792</w:t>
            </w:r>
          </w:p>
        </w:tc>
        <w:tc>
          <w:tcPr>
            <w:tcW w:w="1980" w:type="dxa"/>
          </w:tcPr>
          <w:p w14:paraId="28A5A93F" w14:textId="77777777" w:rsidR="005A4E85" w:rsidRPr="00494E13" w:rsidRDefault="005A4E85" w:rsidP="0083620E">
            <w:pPr>
              <w:pStyle w:val="TableText"/>
              <w:tabs>
                <w:tab w:val="decimal" w:pos="972"/>
              </w:tabs>
              <w:spacing w:before="60" w:after="60"/>
              <w:cnfStyle w:val="000000100000" w:firstRow="0" w:lastRow="0" w:firstColumn="0" w:lastColumn="0" w:oddVBand="0" w:evenVBand="0" w:oddHBand="1" w:evenHBand="0" w:firstRowFirstColumn="0" w:firstRowLastColumn="0" w:lastRowFirstColumn="0" w:lastRowLastColumn="0"/>
              <w:rPr>
                <w:b/>
              </w:rPr>
            </w:pPr>
            <w:r w:rsidRPr="00494E13">
              <w:rPr>
                <w:b/>
              </w:rPr>
              <w:t>52.3</w:t>
            </w:r>
          </w:p>
        </w:tc>
      </w:tr>
    </w:tbl>
    <w:p w14:paraId="0CFDC7CF" w14:textId="77777777" w:rsidR="005A4E85" w:rsidRDefault="005A4E85" w:rsidP="0083620E">
      <w:pPr>
        <w:spacing w:after="240" w:line="240" w:lineRule="auto"/>
      </w:pPr>
    </w:p>
    <w:p w14:paraId="54E4A6C1" w14:textId="6A4A0585" w:rsidR="009C630D" w:rsidRPr="009C630D" w:rsidRDefault="00F71C7B" w:rsidP="0083620E">
      <w:pPr>
        <w:pStyle w:val="H3Alpha"/>
      </w:pPr>
      <w:r>
        <w:t>Table C.2. Baseline equivalence, parent sample</w:t>
      </w:r>
    </w:p>
    <w:tbl>
      <w:tblPr>
        <w:tblStyle w:val="MPRBaseTable1"/>
        <w:tblW w:w="9427" w:type="dxa"/>
        <w:tblLayout w:type="fixed"/>
        <w:tblLook w:val="04A0" w:firstRow="1" w:lastRow="0" w:firstColumn="1" w:lastColumn="0" w:noHBand="0" w:noVBand="1"/>
      </w:tblPr>
      <w:tblGrid>
        <w:gridCol w:w="3864"/>
        <w:gridCol w:w="1854"/>
        <w:gridCol w:w="1854"/>
        <w:gridCol w:w="1855"/>
      </w:tblGrid>
      <w:tr w:rsidR="00F71C7B" w:rsidRPr="009C630D" w14:paraId="0DC8D91D" w14:textId="77777777" w:rsidTr="00F71C7B">
        <w:trPr>
          <w:cnfStyle w:val="100000000000" w:firstRow="1" w:lastRow="0" w:firstColumn="0" w:lastColumn="0" w:oddVBand="0" w:evenVBand="0" w:oddHBand="0" w:evenHBand="0" w:firstRowFirstColumn="0" w:firstRowLastColumn="0" w:lastRowFirstColumn="0" w:lastRowLastColumn="0"/>
          <w:trHeight w:val="226"/>
        </w:trPr>
        <w:tc>
          <w:tcPr>
            <w:cnfStyle w:val="001000000100" w:firstRow="0" w:lastRow="0" w:firstColumn="1" w:lastColumn="0" w:oddVBand="0" w:evenVBand="0" w:oddHBand="0" w:evenHBand="0" w:firstRowFirstColumn="1" w:firstRowLastColumn="0" w:lastRowFirstColumn="0" w:lastRowLastColumn="0"/>
            <w:tcW w:w="3864" w:type="dxa"/>
            <w:vMerge w:val="restart"/>
            <w:shd w:val="clear" w:color="auto" w:fill="767171"/>
          </w:tcPr>
          <w:p w14:paraId="32CAF4F7" w14:textId="77777777" w:rsidR="00F71C7B" w:rsidRPr="009C630D" w:rsidRDefault="00F71C7B" w:rsidP="0083620E">
            <w:pPr>
              <w:spacing w:after="60" w:line="240" w:lineRule="auto"/>
              <w:ind w:firstLine="0"/>
            </w:pPr>
            <w:r w:rsidRPr="009C630D">
              <w:t>Characteristic (percentage unless otherwise indicated)</w:t>
            </w:r>
          </w:p>
        </w:tc>
        <w:tc>
          <w:tcPr>
            <w:tcW w:w="5563" w:type="dxa"/>
            <w:gridSpan w:val="3"/>
            <w:shd w:val="clear" w:color="auto" w:fill="767171"/>
          </w:tcPr>
          <w:p w14:paraId="2751F24A" w14:textId="124CDB0B" w:rsidR="00F71C7B" w:rsidRPr="009C630D" w:rsidRDefault="00F71C7B" w:rsidP="0083620E">
            <w:pPr>
              <w:spacing w:after="60" w:line="240" w:lineRule="auto"/>
              <w:ind w:firstLine="0"/>
              <w:cnfStyle w:val="100000000000" w:firstRow="1" w:lastRow="0" w:firstColumn="0" w:lastColumn="0" w:oddVBand="0" w:evenVBand="0" w:oddHBand="0" w:evenHBand="0" w:firstRowFirstColumn="0" w:firstRowLastColumn="0" w:lastRowFirstColumn="0" w:lastRowLastColumn="0"/>
            </w:pPr>
          </w:p>
        </w:tc>
      </w:tr>
      <w:tr w:rsidR="00F71C7B" w:rsidRPr="009C630D" w14:paraId="258C6725" w14:textId="77777777" w:rsidTr="0083620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864" w:type="dxa"/>
            <w:vMerge/>
            <w:shd w:val="clear" w:color="auto" w:fill="767171"/>
          </w:tcPr>
          <w:p w14:paraId="6D3DEFA8" w14:textId="77777777" w:rsidR="00F71C7B" w:rsidRPr="009C630D" w:rsidRDefault="00F71C7B" w:rsidP="0083620E">
            <w:pPr>
              <w:spacing w:before="20" w:after="20" w:line="240" w:lineRule="auto"/>
              <w:ind w:firstLine="0"/>
              <w:rPr>
                <w:b/>
              </w:rPr>
            </w:pPr>
          </w:p>
        </w:tc>
        <w:tc>
          <w:tcPr>
            <w:tcW w:w="1854" w:type="dxa"/>
            <w:shd w:val="clear" w:color="auto" w:fill="767171"/>
            <w:vAlign w:val="bottom"/>
          </w:tcPr>
          <w:p w14:paraId="663BC4AD" w14:textId="77777777" w:rsidR="00F71C7B" w:rsidRPr="009C630D" w:rsidRDefault="00F71C7B" w:rsidP="0083620E">
            <w:pPr>
              <w:spacing w:before="120" w:after="60" w:line="240" w:lineRule="auto"/>
              <w:ind w:firstLine="0"/>
              <w:jc w:val="center"/>
              <w:cnfStyle w:val="000000100000" w:firstRow="0" w:lastRow="0" w:firstColumn="0" w:lastColumn="0" w:oddVBand="0" w:evenVBand="0" w:oddHBand="1" w:evenHBand="0" w:firstRowFirstColumn="0" w:firstRowLastColumn="0" w:lastRowFirstColumn="0" w:lastRowLastColumn="0"/>
              <w:rPr>
                <w:b/>
                <w:color w:val="FFFFFF"/>
              </w:rPr>
            </w:pPr>
            <w:r w:rsidRPr="009C630D">
              <w:rPr>
                <w:b/>
                <w:color w:val="FFFFFF"/>
              </w:rPr>
              <w:t>Offer</w:t>
            </w:r>
          </w:p>
        </w:tc>
        <w:tc>
          <w:tcPr>
            <w:tcW w:w="1854" w:type="dxa"/>
            <w:shd w:val="clear" w:color="auto" w:fill="767171"/>
            <w:vAlign w:val="bottom"/>
          </w:tcPr>
          <w:p w14:paraId="1DF502DB" w14:textId="77777777" w:rsidR="00F71C7B" w:rsidRPr="009C630D" w:rsidRDefault="00F71C7B" w:rsidP="0083620E">
            <w:pPr>
              <w:spacing w:before="120" w:after="60" w:line="240" w:lineRule="auto"/>
              <w:ind w:firstLine="0"/>
              <w:jc w:val="center"/>
              <w:cnfStyle w:val="000000100000" w:firstRow="0" w:lastRow="0" w:firstColumn="0" w:lastColumn="0" w:oddVBand="0" w:evenVBand="0" w:oddHBand="1" w:evenHBand="0" w:firstRowFirstColumn="0" w:firstRowLastColumn="0" w:lastRowFirstColumn="0" w:lastRowLastColumn="0"/>
              <w:rPr>
                <w:b/>
                <w:color w:val="FFFFFF"/>
              </w:rPr>
            </w:pPr>
            <w:r w:rsidRPr="009C630D">
              <w:rPr>
                <w:b/>
                <w:color w:val="FFFFFF"/>
              </w:rPr>
              <w:t>No offer</w:t>
            </w:r>
          </w:p>
        </w:tc>
        <w:tc>
          <w:tcPr>
            <w:tcW w:w="1855" w:type="dxa"/>
            <w:shd w:val="clear" w:color="auto" w:fill="767171"/>
            <w:vAlign w:val="bottom"/>
          </w:tcPr>
          <w:p w14:paraId="5B7B5583" w14:textId="77777777" w:rsidR="00F71C7B" w:rsidRPr="009C630D" w:rsidRDefault="00F71C7B" w:rsidP="0083620E">
            <w:pPr>
              <w:spacing w:before="120" w:after="60" w:line="240" w:lineRule="auto"/>
              <w:ind w:firstLine="0"/>
              <w:jc w:val="center"/>
              <w:cnfStyle w:val="000000100000" w:firstRow="0" w:lastRow="0" w:firstColumn="0" w:lastColumn="0" w:oddVBand="0" w:evenVBand="0" w:oddHBand="1" w:evenHBand="0" w:firstRowFirstColumn="0" w:firstRowLastColumn="0" w:lastRowFirstColumn="0" w:lastRowLastColumn="0"/>
              <w:rPr>
                <w:b/>
                <w:color w:val="FFFFFF"/>
              </w:rPr>
            </w:pPr>
            <w:r w:rsidRPr="009C630D">
              <w:rPr>
                <w:b/>
                <w:color w:val="FFFFFF"/>
              </w:rPr>
              <w:t>Difference</w:t>
            </w:r>
          </w:p>
        </w:tc>
      </w:tr>
      <w:tr w:rsidR="00F71C7B" w:rsidRPr="009C630D" w14:paraId="097012B2" w14:textId="77777777" w:rsidTr="0083620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864" w:type="dxa"/>
          </w:tcPr>
          <w:p w14:paraId="165DC724" w14:textId="77777777" w:rsidR="00F71C7B" w:rsidRPr="009C630D" w:rsidRDefault="00F71C7B" w:rsidP="0083620E">
            <w:pPr>
              <w:spacing w:before="20" w:after="20" w:line="240" w:lineRule="auto"/>
              <w:ind w:firstLine="0"/>
            </w:pPr>
            <w:r w:rsidRPr="009C630D">
              <w:t>Age at 2016 election</w:t>
            </w:r>
          </w:p>
        </w:tc>
        <w:tc>
          <w:tcPr>
            <w:tcW w:w="1854" w:type="dxa"/>
          </w:tcPr>
          <w:p w14:paraId="6611AE76" w14:textId="77777777" w:rsidR="00F71C7B" w:rsidRPr="009C630D" w:rsidRDefault="00F71C7B" w:rsidP="0083620E">
            <w:pPr>
              <w:tabs>
                <w:tab w:val="decimal" w:pos="882"/>
              </w:tabs>
              <w:spacing w:before="20" w:after="20" w:line="240" w:lineRule="auto"/>
              <w:ind w:firstLine="0"/>
              <w:cnfStyle w:val="000000010000" w:firstRow="0" w:lastRow="0" w:firstColumn="0" w:lastColumn="0" w:oddVBand="0" w:evenVBand="0" w:oddHBand="0" w:evenHBand="1" w:firstRowFirstColumn="0" w:firstRowLastColumn="0" w:lastRowFirstColumn="0" w:lastRowLastColumn="0"/>
            </w:pPr>
          </w:p>
        </w:tc>
        <w:tc>
          <w:tcPr>
            <w:tcW w:w="1854" w:type="dxa"/>
          </w:tcPr>
          <w:p w14:paraId="4F5EC513" w14:textId="77777777" w:rsidR="00F71C7B" w:rsidRPr="009C630D" w:rsidRDefault="00F71C7B" w:rsidP="0083620E">
            <w:pPr>
              <w:tabs>
                <w:tab w:val="decimal" w:pos="882"/>
              </w:tabs>
              <w:spacing w:before="20" w:after="20" w:line="240" w:lineRule="auto"/>
              <w:ind w:firstLine="0"/>
              <w:cnfStyle w:val="000000010000" w:firstRow="0" w:lastRow="0" w:firstColumn="0" w:lastColumn="0" w:oddVBand="0" w:evenVBand="0" w:oddHBand="0" w:evenHBand="1" w:firstRowFirstColumn="0" w:firstRowLastColumn="0" w:lastRowFirstColumn="0" w:lastRowLastColumn="0"/>
            </w:pPr>
          </w:p>
        </w:tc>
        <w:tc>
          <w:tcPr>
            <w:tcW w:w="1855" w:type="dxa"/>
          </w:tcPr>
          <w:p w14:paraId="01BB4C70" w14:textId="77777777" w:rsidR="00F71C7B" w:rsidRPr="009C630D" w:rsidRDefault="00F71C7B" w:rsidP="0083620E">
            <w:pPr>
              <w:tabs>
                <w:tab w:val="decimal" w:pos="882"/>
              </w:tabs>
              <w:spacing w:before="20" w:after="20" w:line="240" w:lineRule="auto"/>
              <w:ind w:firstLine="0"/>
              <w:cnfStyle w:val="000000010000" w:firstRow="0" w:lastRow="0" w:firstColumn="0" w:lastColumn="0" w:oddVBand="0" w:evenVBand="0" w:oddHBand="0" w:evenHBand="1" w:firstRowFirstColumn="0" w:firstRowLastColumn="0" w:lastRowFirstColumn="0" w:lastRowLastColumn="0"/>
            </w:pPr>
          </w:p>
        </w:tc>
      </w:tr>
      <w:tr w:rsidR="00F71C7B" w:rsidRPr="009C630D" w14:paraId="72E6EB0A" w14:textId="77777777" w:rsidTr="0083620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864" w:type="dxa"/>
          </w:tcPr>
          <w:p w14:paraId="2B89FE60" w14:textId="77777777" w:rsidR="00F71C7B" w:rsidRPr="009C630D" w:rsidRDefault="00F71C7B" w:rsidP="0083620E">
            <w:pPr>
              <w:spacing w:before="20" w:after="20" w:line="240" w:lineRule="auto"/>
              <w:ind w:firstLine="0"/>
            </w:pPr>
            <w:r w:rsidRPr="009C630D">
              <w:t>Female</w:t>
            </w:r>
          </w:p>
        </w:tc>
        <w:tc>
          <w:tcPr>
            <w:tcW w:w="1854" w:type="dxa"/>
          </w:tcPr>
          <w:p w14:paraId="0F28F91E" w14:textId="77777777" w:rsidR="00F71C7B" w:rsidRPr="009C630D" w:rsidRDefault="00F71C7B" w:rsidP="0083620E">
            <w:pPr>
              <w:tabs>
                <w:tab w:val="decimal" w:pos="792"/>
              </w:tabs>
              <w:spacing w:before="20" w:after="20" w:line="240" w:lineRule="auto"/>
              <w:ind w:firstLine="0"/>
              <w:cnfStyle w:val="000000100000" w:firstRow="0" w:lastRow="0" w:firstColumn="0" w:lastColumn="0" w:oddVBand="0" w:evenVBand="0" w:oddHBand="1" w:evenHBand="0" w:firstRowFirstColumn="0" w:firstRowLastColumn="0" w:lastRowFirstColumn="0" w:lastRowLastColumn="0"/>
            </w:pPr>
            <w:r w:rsidRPr="009C630D">
              <w:t>67.3</w:t>
            </w:r>
          </w:p>
        </w:tc>
        <w:tc>
          <w:tcPr>
            <w:tcW w:w="1854" w:type="dxa"/>
          </w:tcPr>
          <w:p w14:paraId="31E9A367" w14:textId="77777777" w:rsidR="00F71C7B" w:rsidRPr="009C630D" w:rsidRDefault="00F71C7B" w:rsidP="0083620E">
            <w:pPr>
              <w:tabs>
                <w:tab w:val="decimal" w:pos="792"/>
              </w:tabs>
              <w:spacing w:before="20" w:after="20" w:line="240" w:lineRule="auto"/>
              <w:ind w:firstLine="0"/>
              <w:cnfStyle w:val="000000100000" w:firstRow="0" w:lastRow="0" w:firstColumn="0" w:lastColumn="0" w:oddVBand="0" w:evenVBand="0" w:oddHBand="1" w:evenHBand="0" w:firstRowFirstColumn="0" w:firstRowLastColumn="0" w:lastRowFirstColumn="0" w:lastRowLastColumn="0"/>
            </w:pPr>
            <w:r w:rsidRPr="009C630D">
              <w:t>65.7</w:t>
            </w:r>
          </w:p>
        </w:tc>
        <w:tc>
          <w:tcPr>
            <w:tcW w:w="1855" w:type="dxa"/>
          </w:tcPr>
          <w:p w14:paraId="6B2E8666" w14:textId="77777777" w:rsidR="00F71C7B" w:rsidRPr="009C630D" w:rsidRDefault="00F71C7B" w:rsidP="0083620E">
            <w:pPr>
              <w:tabs>
                <w:tab w:val="decimal" w:pos="792"/>
              </w:tabs>
              <w:spacing w:before="20" w:after="20" w:line="240" w:lineRule="auto"/>
              <w:ind w:firstLine="0"/>
              <w:cnfStyle w:val="000000100000" w:firstRow="0" w:lastRow="0" w:firstColumn="0" w:lastColumn="0" w:oddVBand="0" w:evenVBand="0" w:oddHBand="1" w:evenHBand="0" w:firstRowFirstColumn="0" w:firstRowLastColumn="0" w:lastRowFirstColumn="0" w:lastRowLastColumn="0"/>
            </w:pPr>
            <w:r w:rsidRPr="009C630D">
              <w:t>1.7</w:t>
            </w:r>
          </w:p>
        </w:tc>
      </w:tr>
      <w:tr w:rsidR="00F71C7B" w:rsidRPr="009C630D" w14:paraId="7DCC6409" w14:textId="77777777" w:rsidTr="0083620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864" w:type="dxa"/>
          </w:tcPr>
          <w:p w14:paraId="1FD3E5BB" w14:textId="77777777" w:rsidR="00F71C7B" w:rsidRPr="009C630D" w:rsidRDefault="00F71C7B" w:rsidP="0083620E">
            <w:pPr>
              <w:spacing w:before="20" w:after="20" w:line="240" w:lineRule="auto"/>
              <w:ind w:firstLine="0"/>
            </w:pPr>
            <w:r w:rsidRPr="009C630D">
              <w:t>Male</w:t>
            </w:r>
          </w:p>
        </w:tc>
        <w:tc>
          <w:tcPr>
            <w:tcW w:w="1854" w:type="dxa"/>
          </w:tcPr>
          <w:p w14:paraId="15CF0B90" w14:textId="77777777" w:rsidR="00F71C7B" w:rsidRPr="009C630D" w:rsidRDefault="00F71C7B" w:rsidP="0083620E">
            <w:pPr>
              <w:tabs>
                <w:tab w:val="decimal" w:pos="792"/>
              </w:tabs>
              <w:spacing w:before="20" w:after="20" w:line="240" w:lineRule="auto"/>
              <w:ind w:firstLine="0"/>
              <w:cnfStyle w:val="000000010000" w:firstRow="0" w:lastRow="0" w:firstColumn="0" w:lastColumn="0" w:oddVBand="0" w:evenVBand="0" w:oddHBand="0" w:evenHBand="1" w:firstRowFirstColumn="0" w:firstRowLastColumn="0" w:lastRowFirstColumn="0" w:lastRowLastColumn="0"/>
            </w:pPr>
            <w:r w:rsidRPr="009C630D">
              <w:t>9.5</w:t>
            </w:r>
          </w:p>
        </w:tc>
        <w:tc>
          <w:tcPr>
            <w:tcW w:w="1854" w:type="dxa"/>
          </w:tcPr>
          <w:p w14:paraId="42FB4BE2" w14:textId="77777777" w:rsidR="00F71C7B" w:rsidRPr="009C630D" w:rsidRDefault="00F71C7B" w:rsidP="0083620E">
            <w:pPr>
              <w:tabs>
                <w:tab w:val="decimal" w:pos="792"/>
              </w:tabs>
              <w:spacing w:before="20" w:after="20" w:line="240" w:lineRule="auto"/>
              <w:ind w:firstLine="0"/>
              <w:cnfStyle w:val="000000010000" w:firstRow="0" w:lastRow="0" w:firstColumn="0" w:lastColumn="0" w:oddVBand="0" w:evenVBand="0" w:oddHBand="0" w:evenHBand="1" w:firstRowFirstColumn="0" w:firstRowLastColumn="0" w:lastRowFirstColumn="0" w:lastRowLastColumn="0"/>
            </w:pPr>
            <w:r w:rsidRPr="009C630D">
              <w:t>11.2</w:t>
            </w:r>
          </w:p>
        </w:tc>
        <w:tc>
          <w:tcPr>
            <w:tcW w:w="1855" w:type="dxa"/>
          </w:tcPr>
          <w:p w14:paraId="3D9AFC43" w14:textId="77777777" w:rsidR="00F71C7B" w:rsidRPr="009C630D" w:rsidRDefault="00F71C7B" w:rsidP="0083620E">
            <w:pPr>
              <w:tabs>
                <w:tab w:val="decimal" w:pos="792"/>
              </w:tabs>
              <w:spacing w:before="20" w:after="20" w:line="240" w:lineRule="auto"/>
              <w:ind w:firstLine="0"/>
              <w:cnfStyle w:val="000000010000" w:firstRow="0" w:lastRow="0" w:firstColumn="0" w:lastColumn="0" w:oddVBand="0" w:evenVBand="0" w:oddHBand="0" w:evenHBand="1" w:firstRowFirstColumn="0" w:firstRowLastColumn="0" w:lastRowFirstColumn="0" w:lastRowLastColumn="0"/>
            </w:pPr>
            <w:r w:rsidRPr="009C630D">
              <w:t>-1.7</w:t>
            </w:r>
          </w:p>
        </w:tc>
      </w:tr>
      <w:tr w:rsidR="00F71C7B" w:rsidRPr="009C630D" w14:paraId="3178B61B" w14:textId="77777777" w:rsidTr="0083620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864" w:type="dxa"/>
          </w:tcPr>
          <w:p w14:paraId="2526BB56" w14:textId="77777777" w:rsidR="00F71C7B" w:rsidRPr="009C630D" w:rsidRDefault="00F71C7B" w:rsidP="0083620E">
            <w:pPr>
              <w:spacing w:before="20" w:after="20" w:line="240" w:lineRule="auto"/>
              <w:ind w:firstLine="0"/>
            </w:pPr>
            <w:r w:rsidRPr="009C630D">
              <w:t>Gender missing</w:t>
            </w:r>
          </w:p>
        </w:tc>
        <w:tc>
          <w:tcPr>
            <w:tcW w:w="1854" w:type="dxa"/>
          </w:tcPr>
          <w:p w14:paraId="128F40C0" w14:textId="77777777" w:rsidR="00F71C7B" w:rsidRPr="009C630D" w:rsidRDefault="00F71C7B" w:rsidP="0083620E">
            <w:pPr>
              <w:tabs>
                <w:tab w:val="decimal" w:pos="792"/>
              </w:tabs>
              <w:spacing w:before="20" w:after="20" w:line="240" w:lineRule="auto"/>
              <w:ind w:firstLine="0"/>
              <w:cnfStyle w:val="000000100000" w:firstRow="0" w:lastRow="0" w:firstColumn="0" w:lastColumn="0" w:oddVBand="0" w:evenVBand="0" w:oddHBand="1" w:evenHBand="0" w:firstRowFirstColumn="0" w:firstRowLastColumn="0" w:lastRowFirstColumn="0" w:lastRowLastColumn="0"/>
            </w:pPr>
            <w:r w:rsidRPr="009C630D">
              <w:t>23.1</w:t>
            </w:r>
          </w:p>
        </w:tc>
        <w:tc>
          <w:tcPr>
            <w:tcW w:w="1854" w:type="dxa"/>
          </w:tcPr>
          <w:p w14:paraId="1CB3C3B8" w14:textId="77777777" w:rsidR="00F71C7B" w:rsidRPr="009C630D" w:rsidRDefault="00F71C7B" w:rsidP="0083620E">
            <w:pPr>
              <w:tabs>
                <w:tab w:val="decimal" w:pos="792"/>
              </w:tabs>
              <w:spacing w:before="20" w:after="20" w:line="240" w:lineRule="auto"/>
              <w:ind w:firstLine="0"/>
              <w:cnfStyle w:val="000000100000" w:firstRow="0" w:lastRow="0" w:firstColumn="0" w:lastColumn="0" w:oddVBand="0" w:evenVBand="0" w:oddHBand="1" w:evenHBand="0" w:firstRowFirstColumn="0" w:firstRowLastColumn="0" w:lastRowFirstColumn="0" w:lastRowLastColumn="0"/>
            </w:pPr>
            <w:r w:rsidRPr="009C630D">
              <w:t>23.1</w:t>
            </w:r>
          </w:p>
        </w:tc>
        <w:tc>
          <w:tcPr>
            <w:tcW w:w="1855" w:type="dxa"/>
          </w:tcPr>
          <w:p w14:paraId="376825A3" w14:textId="77777777" w:rsidR="00F71C7B" w:rsidRPr="009C630D" w:rsidRDefault="00F71C7B" w:rsidP="0083620E">
            <w:pPr>
              <w:tabs>
                <w:tab w:val="decimal" w:pos="792"/>
              </w:tabs>
              <w:spacing w:before="20" w:after="20" w:line="240" w:lineRule="auto"/>
              <w:ind w:firstLine="0"/>
              <w:cnfStyle w:val="000000100000" w:firstRow="0" w:lastRow="0" w:firstColumn="0" w:lastColumn="0" w:oddVBand="0" w:evenVBand="0" w:oddHBand="1" w:evenHBand="0" w:firstRowFirstColumn="0" w:firstRowLastColumn="0" w:lastRowFirstColumn="0" w:lastRowLastColumn="0"/>
            </w:pPr>
            <w:r w:rsidRPr="009C630D">
              <w:t>0.0</w:t>
            </w:r>
          </w:p>
        </w:tc>
      </w:tr>
      <w:tr w:rsidR="00F71C7B" w:rsidRPr="009C630D" w14:paraId="64174164" w14:textId="77777777" w:rsidTr="0083620E">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864" w:type="dxa"/>
          </w:tcPr>
          <w:p w14:paraId="7EEF061E" w14:textId="588A7CEB" w:rsidR="00F71C7B" w:rsidRPr="009C630D" w:rsidRDefault="00F71C7B" w:rsidP="0083620E">
            <w:pPr>
              <w:spacing w:before="20" w:after="20" w:line="240" w:lineRule="auto"/>
              <w:ind w:firstLine="0"/>
            </w:pPr>
            <w:r>
              <w:t>R</w:t>
            </w:r>
            <w:r w:rsidRPr="009C630D">
              <w:t>egistered to vote before September 1 of lottery application year</w:t>
            </w:r>
            <w:r w:rsidRPr="009C630D">
              <w:rPr>
                <w:vertAlign w:val="superscript"/>
              </w:rPr>
              <w:t>a</w:t>
            </w:r>
          </w:p>
        </w:tc>
        <w:tc>
          <w:tcPr>
            <w:tcW w:w="1854" w:type="dxa"/>
          </w:tcPr>
          <w:p w14:paraId="0CB0404B" w14:textId="77777777" w:rsidR="00F71C7B" w:rsidRPr="009C630D" w:rsidRDefault="00F71C7B" w:rsidP="0083620E">
            <w:pPr>
              <w:tabs>
                <w:tab w:val="decimal" w:pos="792"/>
              </w:tabs>
              <w:spacing w:before="20" w:after="20" w:line="240" w:lineRule="auto"/>
              <w:ind w:firstLine="0"/>
              <w:cnfStyle w:val="000000010000" w:firstRow="0" w:lastRow="0" w:firstColumn="0" w:lastColumn="0" w:oddVBand="0" w:evenVBand="0" w:oddHBand="0" w:evenHBand="1" w:firstRowFirstColumn="0" w:firstRowLastColumn="0" w:lastRowFirstColumn="0" w:lastRowLastColumn="0"/>
            </w:pPr>
            <w:r w:rsidRPr="009C630D">
              <w:t>60.1</w:t>
            </w:r>
          </w:p>
        </w:tc>
        <w:tc>
          <w:tcPr>
            <w:tcW w:w="1854" w:type="dxa"/>
          </w:tcPr>
          <w:p w14:paraId="609F2DCC" w14:textId="77777777" w:rsidR="00F71C7B" w:rsidRPr="009C630D" w:rsidRDefault="00F71C7B" w:rsidP="0083620E">
            <w:pPr>
              <w:tabs>
                <w:tab w:val="decimal" w:pos="792"/>
              </w:tabs>
              <w:spacing w:before="20" w:after="20" w:line="240" w:lineRule="auto"/>
              <w:ind w:firstLine="0"/>
              <w:cnfStyle w:val="000000010000" w:firstRow="0" w:lastRow="0" w:firstColumn="0" w:lastColumn="0" w:oddVBand="0" w:evenVBand="0" w:oddHBand="0" w:evenHBand="1" w:firstRowFirstColumn="0" w:firstRowLastColumn="0" w:lastRowFirstColumn="0" w:lastRowLastColumn="0"/>
            </w:pPr>
            <w:r w:rsidRPr="009C630D">
              <w:t>60.1</w:t>
            </w:r>
          </w:p>
        </w:tc>
        <w:tc>
          <w:tcPr>
            <w:tcW w:w="1855" w:type="dxa"/>
          </w:tcPr>
          <w:p w14:paraId="55ACDFEC" w14:textId="77777777" w:rsidR="00F71C7B" w:rsidRPr="009C630D" w:rsidRDefault="00F71C7B" w:rsidP="0083620E">
            <w:pPr>
              <w:tabs>
                <w:tab w:val="decimal" w:pos="792"/>
              </w:tabs>
              <w:spacing w:before="20" w:after="20" w:line="240" w:lineRule="auto"/>
              <w:ind w:firstLine="0"/>
              <w:cnfStyle w:val="000000010000" w:firstRow="0" w:lastRow="0" w:firstColumn="0" w:lastColumn="0" w:oddVBand="0" w:evenVBand="0" w:oddHBand="0" w:evenHBand="1" w:firstRowFirstColumn="0" w:firstRowLastColumn="0" w:lastRowFirstColumn="0" w:lastRowLastColumn="0"/>
            </w:pPr>
            <w:r w:rsidRPr="009C630D">
              <w:t>0.0</w:t>
            </w:r>
          </w:p>
        </w:tc>
      </w:tr>
      <w:tr w:rsidR="00F71C7B" w:rsidRPr="009C630D" w14:paraId="3B7C9C3D" w14:textId="77777777" w:rsidTr="0083620E">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864" w:type="dxa"/>
          </w:tcPr>
          <w:p w14:paraId="6B347F4E" w14:textId="77777777" w:rsidR="00F71C7B" w:rsidRPr="009C630D" w:rsidRDefault="00F71C7B" w:rsidP="0083620E">
            <w:pPr>
              <w:spacing w:before="20" w:after="20" w:line="240" w:lineRule="auto"/>
              <w:ind w:firstLine="0"/>
            </w:pPr>
            <w:r w:rsidRPr="009C630D">
              <w:t>Voted in 2012 election prior to application year (2013-14 or later)</w:t>
            </w:r>
          </w:p>
        </w:tc>
        <w:tc>
          <w:tcPr>
            <w:tcW w:w="1854" w:type="dxa"/>
          </w:tcPr>
          <w:p w14:paraId="7524EB94" w14:textId="77777777" w:rsidR="00F71C7B" w:rsidRPr="009C630D" w:rsidRDefault="00F71C7B" w:rsidP="0083620E">
            <w:pPr>
              <w:tabs>
                <w:tab w:val="decimal" w:pos="792"/>
              </w:tabs>
              <w:spacing w:before="20" w:after="20" w:line="240" w:lineRule="auto"/>
              <w:ind w:firstLine="0"/>
              <w:cnfStyle w:val="000000100000" w:firstRow="0" w:lastRow="0" w:firstColumn="0" w:lastColumn="0" w:oddVBand="0" w:evenVBand="0" w:oddHBand="1" w:evenHBand="0" w:firstRowFirstColumn="0" w:firstRowLastColumn="0" w:lastRowFirstColumn="0" w:lastRowLastColumn="0"/>
            </w:pPr>
            <w:r w:rsidRPr="009C630D">
              <w:t>38.8</w:t>
            </w:r>
          </w:p>
        </w:tc>
        <w:tc>
          <w:tcPr>
            <w:tcW w:w="1854" w:type="dxa"/>
          </w:tcPr>
          <w:p w14:paraId="246E7EBC" w14:textId="77777777" w:rsidR="00F71C7B" w:rsidRPr="009C630D" w:rsidRDefault="00F71C7B" w:rsidP="0083620E">
            <w:pPr>
              <w:tabs>
                <w:tab w:val="decimal" w:pos="792"/>
              </w:tabs>
              <w:spacing w:before="20" w:after="20" w:line="240" w:lineRule="auto"/>
              <w:ind w:firstLine="0"/>
              <w:cnfStyle w:val="000000100000" w:firstRow="0" w:lastRow="0" w:firstColumn="0" w:lastColumn="0" w:oddVBand="0" w:evenVBand="0" w:oddHBand="1" w:evenHBand="0" w:firstRowFirstColumn="0" w:firstRowLastColumn="0" w:lastRowFirstColumn="0" w:lastRowLastColumn="0"/>
            </w:pPr>
            <w:r w:rsidRPr="009C630D">
              <w:t>36.8</w:t>
            </w:r>
          </w:p>
        </w:tc>
        <w:tc>
          <w:tcPr>
            <w:tcW w:w="1855" w:type="dxa"/>
          </w:tcPr>
          <w:p w14:paraId="3E00B06A" w14:textId="77777777" w:rsidR="00F71C7B" w:rsidRPr="009C630D" w:rsidRDefault="00F71C7B" w:rsidP="0083620E">
            <w:pPr>
              <w:tabs>
                <w:tab w:val="decimal" w:pos="792"/>
              </w:tabs>
              <w:spacing w:before="20" w:after="20" w:line="240" w:lineRule="auto"/>
              <w:ind w:firstLine="0"/>
              <w:cnfStyle w:val="000000100000" w:firstRow="0" w:lastRow="0" w:firstColumn="0" w:lastColumn="0" w:oddVBand="0" w:evenVBand="0" w:oddHBand="1" w:evenHBand="0" w:firstRowFirstColumn="0" w:firstRowLastColumn="0" w:lastRowFirstColumn="0" w:lastRowLastColumn="0"/>
            </w:pPr>
            <w:r w:rsidRPr="009C630D">
              <w:t>2.0</w:t>
            </w:r>
          </w:p>
        </w:tc>
      </w:tr>
      <w:tr w:rsidR="00F71C7B" w:rsidRPr="009C630D" w14:paraId="44D0019B" w14:textId="77777777" w:rsidTr="0083620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864" w:type="dxa"/>
          </w:tcPr>
          <w:p w14:paraId="36829FCF" w14:textId="77777777" w:rsidR="00F71C7B" w:rsidRPr="009C630D" w:rsidRDefault="00F71C7B" w:rsidP="0083620E">
            <w:pPr>
              <w:spacing w:before="20" w:after="20" w:line="240" w:lineRule="auto"/>
              <w:ind w:firstLine="0"/>
              <w:rPr>
                <w:b/>
              </w:rPr>
            </w:pPr>
            <w:r w:rsidRPr="009C630D">
              <w:rPr>
                <w:b/>
              </w:rPr>
              <w:t>Number</w:t>
            </w:r>
          </w:p>
        </w:tc>
        <w:tc>
          <w:tcPr>
            <w:tcW w:w="1854" w:type="dxa"/>
          </w:tcPr>
          <w:p w14:paraId="6DF4AE83" w14:textId="77777777" w:rsidR="00F71C7B" w:rsidRPr="009C630D" w:rsidRDefault="00F71C7B" w:rsidP="0083620E">
            <w:pPr>
              <w:spacing w:before="20" w:after="20" w:line="240" w:lineRule="auto"/>
              <w:ind w:firstLine="0"/>
              <w:jc w:val="center"/>
              <w:cnfStyle w:val="000000010000" w:firstRow="0" w:lastRow="0" w:firstColumn="0" w:lastColumn="0" w:oddVBand="0" w:evenVBand="0" w:oddHBand="0" w:evenHBand="1" w:firstRowFirstColumn="0" w:firstRowLastColumn="0" w:lastRowFirstColumn="0" w:lastRowLastColumn="0"/>
              <w:rPr>
                <w:b/>
              </w:rPr>
            </w:pPr>
            <w:r w:rsidRPr="009C630D">
              <w:rPr>
                <w:b/>
              </w:rPr>
              <w:t>3,032</w:t>
            </w:r>
          </w:p>
        </w:tc>
        <w:tc>
          <w:tcPr>
            <w:tcW w:w="1854" w:type="dxa"/>
          </w:tcPr>
          <w:p w14:paraId="5ED7CBBA" w14:textId="77777777" w:rsidR="00F71C7B" w:rsidRPr="009C630D" w:rsidRDefault="00F71C7B" w:rsidP="0083620E">
            <w:pPr>
              <w:spacing w:before="20" w:after="20" w:line="240" w:lineRule="auto"/>
              <w:ind w:firstLine="0"/>
              <w:jc w:val="center"/>
              <w:cnfStyle w:val="000000010000" w:firstRow="0" w:lastRow="0" w:firstColumn="0" w:lastColumn="0" w:oddVBand="0" w:evenVBand="0" w:oddHBand="0" w:evenHBand="1" w:firstRowFirstColumn="0" w:firstRowLastColumn="0" w:lastRowFirstColumn="0" w:lastRowLastColumn="0"/>
              <w:rPr>
                <w:b/>
              </w:rPr>
            </w:pPr>
            <w:r w:rsidRPr="009C630D">
              <w:rPr>
                <w:b/>
              </w:rPr>
              <w:t>2,760</w:t>
            </w:r>
          </w:p>
        </w:tc>
        <w:tc>
          <w:tcPr>
            <w:tcW w:w="1855" w:type="dxa"/>
          </w:tcPr>
          <w:p w14:paraId="17AF8D64" w14:textId="77777777" w:rsidR="00F71C7B" w:rsidRPr="009C630D" w:rsidRDefault="00F71C7B" w:rsidP="0083620E">
            <w:pPr>
              <w:spacing w:before="20" w:after="20" w:line="240" w:lineRule="auto"/>
              <w:ind w:firstLine="0"/>
              <w:jc w:val="center"/>
              <w:cnfStyle w:val="000000010000" w:firstRow="0" w:lastRow="0" w:firstColumn="0" w:lastColumn="0" w:oddVBand="0" w:evenVBand="0" w:oddHBand="0" w:evenHBand="1" w:firstRowFirstColumn="0" w:firstRowLastColumn="0" w:lastRowFirstColumn="0" w:lastRowLastColumn="0"/>
              <w:rPr>
                <w:b/>
              </w:rPr>
            </w:pPr>
            <w:r w:rsidRPr="009C630D">
              <w:rPr>
                <w:b/>
              </w:rPr>
              <w:t>5,792</w:t>
            </w:r>
          </w:p>
        </w:tc>
      </w:tr>
    </w:tbl>
    <w:p w14:paraId="7ADA6DB3" w14:textId="77777777" w:rsidR="009C630D" w:rsidRPr="009C630D" w:rsidRDefault="009C630D" w:rsidP="0083620E">
      <w:pPr>
        <w:tabs>
          <w:tab w:val="left" w:pos="1080"/>
        </w:tabs>
        <w:spacing w:before="60" w:line="240" w:lineRule="auto"/>
        <w:ind w:firstLine="0"/>
        <w:rPr>
          <w:rFonts w:ascii="Arial" w:hAnsi="Arial"/>
          <w:sz w:val="18"/>
        </w:rPr>
      </w:pPr>
      <w:r w:rsidRPr="009C630D">
        <w:rPr>
          <w:rFonts w:ascii="Arial" w:hAnsi="Arial"/>
          <w:sz w:val="18"/>
        </w:rPr>
        <w:t>Note: The sample size for pre-application voting behavior is 1,453 parents of offered students and 1,399 parents of students who did not receive an offer.</w:t>
      </w:r>
    </w:p>
    <w:p w14:paraId="28AF566D" w14:textId="77777777" w:rsidR="009C630D" w:rsidRPr="009C630D" w:rsidRDefault="009C630D" w:rsidP="0083620E">
      <w:pPr>
        <w:tabs>
          <w:tab w:val="left" w:pos="1080"/>
        </w:tabs>
        <w:spacing w:before="60" w:line="240" w:lineRule="auto"/>
        <w:ind w:firstLine="0"/>
        <w:rPr>
          <w:rFonts w:ascii="Arial" w:hAnsi="Arial"/>
          <w:sz w:val="18"/>
        </w:rPr>
      </w:pPr>
      <w:r w:rsidRPr="009C630D">
        <w:rPr>
          <w:rFonts w:ascii="Arial" w:hAnsi="Arial"/>
          <w:sz w:val="18"/>
        </w:rPr>
        <w:t xml:space="preserve">* </w:t>
      </w:r>
      <w:r w:rsidRPr="009C630D">
        <w:rPr>
          <w:rFonts w:ascii="Arial" w:hAnsi="Arial"/>
          <w:i/>
          <w:sz w:val="18"/>
        </w:rPr>
        <w:t>p</w:t>
      </w:r>
      <w:r w:rsidRPr="009C630D">
        <w:rPr>
          <w:rFonts w:ascii="Arial" w:hAnsi="Arial"/>
          <w:sz w:val="18"/>
        </w:rPr>
        <w:t xml:space="preserve"> &lt; 0.05, ** </w:t>
      </w:r>
      <w:r w:rsidRPr="009C630D">
        <w:rPr>
          <w:rFonts w:ascii="Arial" w:hAnsi="Arial"/>
          <w:i/>
          <w:sz w:val="18"/>
        </w:rPr>
        <w:t>p</w:t>
      </w:r>
      <w:r w:rsidRPr="009C630D">
        <w:rPr>
          <w:rFonts w:ascii="Arial" w:hAnsi="Arial"/>
          <w:sz w:val="18"/>
        </w:rPr>
        <w:t xml:space="preserve"> &lt; 0.01</w:t>
      </w:r>
    </w:p>
    <w:p w14:paraId="69936ABD" w14:textId="77777777" w:rsidR="009C630D" w:rsidRPr="009C630D" w:rsidRDefault="009C630D" w:rsidP="0083620E">
      <w:pPr>
        <w:tabs>
          <w:tab w:val="left" w:pos="1080"/>
        </w:tabs>
        <w:spacing w:before="60" w:line="240" w:lineRule="auto"/>
        <w:ind w:firstLine="0"/>
        <w:rPr>
          <w:rFonts w:ascii="Arial" w:hAnsi="Arial"/>
          <w:sz w:val="18"/>
        </w:rPr>
      </w:pPr>
    </w:p>
    <w:p w14:paraId="7B258914" w14:textId="77777777" w:rsidR="00154248" w:rsidRDefault="00154248" w:rsidP="0083620E">
      <w:pPr>
        <w:spacing w:line="240" w:lineRule="auto"/>
        <w:rPr>
          <w:rFonts w:ascii="Garamond" w:eastAsia="Calibri" w:hAnsi="Garamond"/>
          <w:sz w:val="22"/>
        </w:rPr>
      </w:pPr>
    </w:p>
    <w:p w14:paraId="23294919" w14:textId="077BAA6F" w:rsidR="00F71C7B" w:rsidRDefault="00F71C7B" w:rsidP="0083620E">
      <w:pPr>
        <w:pStyle w:val="H3Alpha"/>
      </w:pPr>
      <w:bookmarkStart w:id="10" w:name="_Toc504057625"/>
      <w:r>
        <w:t>T</w:t>
      </w:r>
      <w:r w:rsidRPr="00F71C7B">
        <w:t>able C.</w:t>
      </w:r>
      <w:r>
        <w:t>3</w:t>
      </w:r>
      <w:r w:rsidRPr="00F71C7B">
        <w:t xml:space="preserve">. </w:t>
      </w:r>
      <w:r>
        <w:t>Enrollment rates by treatment status, parent sample</w:t>
      </w:r>
    </w:p>
    <w:tbl>
      <w:tblPr>
        <w:tblStyle w:val="MPRBaseTable2"/>
        <w:tblW w:w="9360" w:type="dxa"/>
        <w:tblLayout w:type="fixed"/>
        <w:tblLook w:val="04A0" w:firstRow="1" w:lastRow="0" w:firstColumn="1" w:lastColumn="0" w:noHBand="0" w:noVBand="1"/>
      </w:tblPr>
      <w:tblGrid>
        <w:gridCol w:w="3060"/>
        <w:gridCol w:w="2340"/>
        <w:gridCol w:w="2160"/>
        <w:gridCol w:w="1800"/>
      </w:tblGrid>
      <w:tr w:rsidR="00F71C7B" w:rsidRPr="00F71C7B" w14:paraId="56945CC5" w14:textId="77777777" w:rsidTr="008362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tcPr>
          <w:p w14:paraId="01E61023" w14:textId="77777777" w:rsidR="00F71C7B" w:rsidRPr="00F71C7B" w:rsidRDefault="00F71C7B" w:rsidP="0083620E">
            <w:pPr>
              <w:spacing w:after="60" w:line="240" w:lineRule="auto"/>
              <w:ind w:firstLine="0"/>
            </w:pPr>
            <w:r w:rsidRPr="00F71C7B">
              <w:t>Enrollment rate</w:t>
            </w:r>
          </w:p>
        </w:tc>
        <w:tc>
          <w:tcPr>
            <w:tcW w:w="2340" w:type="dxa"/>
          </w:tcPr>
          <w:p w14:paraId="7205D033" w14:textId="77777777" w:rsidR="00F71C7B" w:rsidRPr="00F71C7B" w:rsidRDefault="00F71C7B" w:rsidP="0083620E">
            <w:pPr>
              <w:spacing w:after="60" w:line="240" w:lineRule="auto"/>
              <w:ind w:firstLine="0"/>
              <w:cnfStyle w:val="100000000000" w:firstRow="1" w:lastRow="0" w:firstColumn="0" w:lastColumn="0" w:oddVBand="0" w:evenVBand="0" w:oddHBand="0" w:evenHBand="0" w:firstRowFirstColumn="0" w:firstRowLastColumn="0" w:lastRowFirstColumn="0" w:lastRowLastColumn="0"/>
            </w:pPr>
            <w:r w:rsidRPr="00F71C7B">
              <w:t>Offer</w:t>
            </w:r>
          </w:p>
        </w:tc>
        <w:tc>
          <w:tcPr>
            <w:tcW w:w="2160" w:type="dxa"/>
          </w:tcPr>
          <w:p w14:paraId="64112B4A" w14:textId="77777777" w:rsidR="00F71C7B" w:rsidRPr="00F71C7B" w:rsidRDefault="00F71C7B" w:rsidP="0083620E">
            <w:pPr>
              <w:spacing w:after="60" w:line="240" w:lineRule="auto"/>
              <w:ind w:firstLine="0"/>
              <w:cnfStyle w:val="100000000000" w:firstRow="1" w:lastRow="0" w:firstColumn="0" w:lastColumn="0" w:oddVBand="0" w:evenVBand="0" w:oddHBand="0" w:evenHBand="0" w:firstRowFirstColumn="0" w:firstRowLastColumn="0" w:lastRowFirstColumn="0" w:lastRowLastColumn="0"/>
            </w:pPr>
            <w:r w:rsidRPr="00F71C7B">
              <w:t>No offer</w:t>
            </w:r>
          </w:p>
        </w:tc>
        <w:tc>
          <w:tcPr>
            <w:tcW w:w="1800" w:type="dxa"/>
          </w:tcPr>
          <w:p w14:paraId="01B6A2E8" w14:textId="77777777" w:rsidR="00F71C7B" w:rsidRPr="00F71C7B" w:rsidRDefault="00F71C7B" w:rsidP="0083620E">
            <w:pPr>
              <w:spacing w:after="60" w:line="240" w:lineRule="auto"/>
              <w:ind w:firstLine="0"/>
              <w:cnfStyle w:val="100000000000" w:firstRow="1" w:lastRow="0" w:firstColumn="0" w:lastColumn="0" w:oddVBand="0" w:evenVBand="0" w:oddHBand="0" w:evenHBand="0" w:firstRowFirstColumn="0" w:firstRowLastColumn="0" w:lastRowFirstColumn="0" w:lastRowLastColumn="0"/>
            </w:pPr>
            <w:r w:rsidRPr="00F71C7B">
              <w:t>Difference</w:t>
            </w:r>
          </w:p>
        </w:tc>
      </w:tr>
      <w:tr w:rsidR="00F71C7B" w:rsidRPr="00F71C7B" w14:paraId="1E424AEC" w14:textId="77777777" w:rsidTr="0083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il"/>
            </w:tcBorders>
          </w:tcPr>
          <w:p w14:paraId="2378A321" w14:textId="77777777" w:rsidR="00F71C7B" w:rsidRPr="00F71C7B" w:rsidRDefault="00F71C7B" w:rsidP="0083620E">
            <w:pPr>
              <w:spacing w:line="240" w:lineRule="auto"/>
              <w:ind w:firstLine="0"/>
            </w:pPr>
            <w:r w:rsidRPr="00F71C7B">
              <w:t>Enrolled (application year)</w:t>
            </w:r>
          </w:p>
        </w:tc>
        <w:tc>
          <w:tcPr>
            <w:tcW w:w="2340" w:type="dxa"/>
            <w:tcBorders>
              <w:top w:val="nil"/>
            </w:tcBorders>
          </w:tcPr>
          <w:p w14:paraId="6616F770" w14:textId="77777777" w:rsidR="00F71C7B" w:rsidRPr="00F71C7B" w:rsidRDefault="00F71C7B" w:rsidP="0083620E">
            <w:pPr>
              <w:tabs>
                <w:tab w:val="decimal" w:pos="1062"/>
              </w:tabs>
              <w:spacing w:line="240" w:lineRule="auto"/>
              <w:ind w:firstLine="0"/>
              <w:cnfStyle w:val="000000100000" w:firstRow="0" w:lastRow="0" w:firstColumn="0" w:lastColumn="0" w:oddVBand="0" w:evenVBand="0" w:oddHBand="1" w:evenHBand="0" w:firstRowFirstColumn="0" w:firstRowLastColumn="0" w:lastRowFirstColumn="0" w:lastRowLastColumn="0"/>
            </w:pPr>
            <w:r w:rsidRPr="00F71C7B">
              <w:t>29.7</w:t>
            </w:r>
          </w:p>
        </w:tc>
        <w:tc>
          <w:tcPr>
            <w:tcW w:w="2160" w:type="dxa"/>
            <w:tcBorders>
              <w:top w:val="nil"/>
            </w:tcBorders>
          </w:tcPr>
          <w:p w14:paraId="1A1F6459" w14:textId="77777777" w:rsidR="00F71C7B" w:rsidRPr="00F71C7B" w:rsidRDefault="00F71C7B" w:rsidP="0083620E">
            <w:pPr>
              <w:tabs>
                <w:tab w:val="decimal" w:pos="972"/>
              </w:tabs>
              <w:spacing w:line="240" w:lineRule="auto"/>
              <w:ind w:firstLine="0"/>
              <w:cnfStyle w:val="000000100000" w:firstRow="0" w:lastRow="0" w:firstColumn="0" w:lastColumn="0" w:oddVBand="0" w:evenVBand="0" w:oddHBand="1" w:evenHBand="0" w:firstRowFirstColumn="0" w:firstRowLastColumn="0" w:lastRowFirstColumn="0" w:lastRowLastColumn="0"/>
            </w:pPr>
            <w:r w:rsidRPr="00F71C7B">
              <w:t>7.4</w:t>
            </w:r>
          </w:p>
        </w:tc>
        <w:tc>
          <w:tcPr>
            <w:tcW w:w="1800" w:type="dxa"/>
            <w:tcBorders>
              <w:top w:val="nil"/>
            </w:tcBorders>
          </w:tcPr>
          <w:p w14:paraId="415969F2" w14:textId="77777777" w:rsidR="00F71C7B" w:rsidRPr="00F71C7B" w:rsidRDefault="00F71C7B" w:rsidP="0083620E">
            <w:pPr>
              <w:tabs>
                <w:tab w:val="decimal" w:pos="792"/>
              </w:tabs>
              <w:spacing w:line="240" w:lineRule="auto"/>
              <w:ind w:firstLine="0"/>
              <w:cnfStyle w:val="000000100000" w:firstRow="0" w:lastRow="0" w:firstColumn="0" w:lastColumn="0" w:oddVBand="0" w:evenVBand="0" w:oddHBand="1" w:evenHBand="0" w:firstRowFirstColumn="0" w:firstRowLastColumn="0" w:lastRowFirstColumn="0" w:lastRowLastColumn="0"/>
            </w:pPr>
            <w:r w:rsidRPr="00F71C7B">
              <w:t>22.3**</w:t>
            </w:r>
          </w:p>
        </w:tc>
      </w:tr>
      <w:tr w:rsidR="00F71C7B" w:rsidRPr="00F71C7B" w14:paraId="19FECE44" w14:textId="77777777" w:rsidTr="00836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704109B0" w14:textId="77777777" w:rsidR="00F71C7B" w:rsidRPr="00F71C7B" w:rsidRDefault="00F71C7B" w:rsidP="0083620E">
            <w:pPr>
              <w:spacing w:line="240" w:lineRule="auto"/>
              <w:ind w:firstLine="0"/>
            </w:pPr>
            <w:r w:rsidRPr="00F71C7B">
              <w:t>Ever enrolled</w:t>
            </w:r>
          </w:p>
        </w:tc>
        <w:tc>
          <w:tcPr>
            <w:tcW w:w="2340" w:type="dxa"/>
          </w:tcPr>
          <w:p w14:paraId="0A1D897F" w14:textId="77777777" w:rsidR="00F71C7B" w:rsidRPr="00F71C7B" w:rsidRDefault="00F71C7B" w:rsidP="0083620E">
            <w:pPr>
              <w:tabs>
                <w:tab w:val="decimal" w:pos="1062"/>
              </w:tabs>
              <w:spacing w:line="240" w:lineRule="auto"/>
              <w:ind w:firstLine="0"/>
              <w:cnfStyle w:val="000000010000" w:firstRow="0" w:lastRow="0" w:firstColumn="0" w:lastColumn="0" w:oddVBand="0" w:evenVBand="0" w:oddHBand="0" w:evenHBand="1" w:firstRowFirstColumn="0" w:firstRowLastColumn="0" w:lastRowFirstColumn="0" w:lastRowLastColumn="0"/>
            </w:pPr>
            <w:r w:rsidRPr="00F71C7B">
              <w:t>30.3</w:t>
            </w:r>
          </w:p>
        </w:tc>
        <w:tc>
          <w:tcPr>
            <w:tcW w:w="2160" w:type="dxa"/>
          </w:tcPr>
          <w:p w14:paraId="2A30779F" w14:textId="77777777" w:rsidR="00F71C7B" w:rsidRPr="00F71C7B" w:rsidRDefault="00F71C7B" w:rsidP="0083620E">
            <w:pPr>
              <w:tabs>
                <w:tab w:val="decimal" w:pos="972"/>
              </w:tabs>
              <w:spacing w:line="240" w:lineRule="auto"/>
              <w:ind w:firstLine="0"/>
              <w:cnfStyle w:val="000000010000" w:firstRow="0" w:lastRow="0" w:firstColumn="0" w:lastColumn="0" w:oddVBand="0" w:evenVBand="0" w:oddHBand="0" w:evenHBand="1" w:firstRowFirstColumn="0" w:firstRowLastColumn="0" w:lastRowFirstColumn="0" w:lastRowLastColumn="0"/>
            </w:pPr>
            <w:r w:rsidRPr="00F71C7B">
              <w:t>7.9</w:t>
            </w:r>
          </w:p>
        </w:tc>
        <w:tc>
          <w:tcPr>
            <w:tcW w:w="1800" w:type="dxa"/>
          </w:tcPr>
          <w:p w14:paraId="2069E83A" w14:textId="77777777" w:rsidR="00F71C7B" w:rsidRPr="00F71C7B" w:rsidRDefault="00F71C7B" w:rsidP="0083620E">
            <w:pPr>
              <w:tabs>
                <w:tab w:val="decimal" w:pos="792"/>
              </w:tabs>
              <w:spacing w:line="240" w:lineRule="auto"/>
              <w:ind w:firstLine="0"/>
              <w:cnfStyle w:val="000000010000" w:firstRow="0" w:lastRow="0" w:firstColumn="0" w:lastColumn="0" w:oddVBand="0" w:evenVBand="0" w:oddHBand="0" w:evenHBand="1" w:firstRowFirstColumn="0" w:firstRowLastColumn="0" w:lastRowFirstColumn="0" w:lastRowLastColumn="0"/>
            </w:pPr>
            <w:r w:rsidRPr="00F71C7B">
              <w:t>22.4**</w:t>
            </w:r>
          </w:p>
        </w:tc>
      </w:tr>
      <w:tr w:rsidR="00F71C7B" w:rsidRPr="00F71C7B" w14:paraId="0BC21E84" w14:textId="77777777" w:rsidTr="0083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5F3BCE55" w14:textId="77777777" w:rsidR="00F71C7B" w:rsidRPr="00F71C7B" w:rsidRDefault="00F71C7B" w:rsidP="0083620E">
            <w:pPr>
              <w:spacing w:line="240" w:lineRule="auto"/>
              <w:ind w:firstLine="0"/>
              <w:rPr>
                <w:b/>
              </w:rPr>
            </w:pPr>
            <w:r w:rsidRPr="00F71C7B">
              <w:rPr>
                <w:b/>
              </w:rPr>
              <w:t>Number</w:t>
            </w:r>
          </w:p>
        </w:tc>
        <w:tc>
          <w:tcPr>
            <w:tcW w:w="2340" w:type="dxa"/>
          </w:tcPr>
          <w:p w14:paraId="14678599" w14:textId="77777777" w:rsidR="00F71C7B" w:rsidRPr="00F71C7B" w:rsidRDefault="00F71C7B" w:rsidP="0083620E">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b/>
              </w:rPr>
            </w:pPr>
            <w:r w:rsidRPr="00F71C7B">
              <w:rPr>
                <w:b/>
              </w:rPr>
              <w:t>3,032</w:t>
            </w:r>
          </w:p>
        </w:tc>
        <w:tc>
          <w:tcPr>
            <w:tcW w:w="2160" w:type="dxa"/>
          </w:tcPr>
          <w:p w14:paraId="627CF594" w14:textId="77777777" w:rsidR="00F71C7B" w:rsidRPr="00F71C7B" w:rsidRDefault="00F71C7B" w:rsidP="0083620E">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b/>
              </w:rPr>
            </w:pPr>
            <w:r w:rsidRPr="00F71C7B">
              <w:rPr>
                <w:b/>
              </w:rPr>
              <w:t>2,760</w:t>
            </w:r>
          </w:p>
        </w:tc>
        <w:tc>
          <w:tcPr>
            <w:tcW w:w="1800" w:type="dxa"/>
          </w:tcPr>
          <w:p w14:paraId="6EE6150A" w14:textId="77777777" w:rsidR="00F71C7B" w:rsidRPr="00F71C7B" w:rsidRDefault="00F71C7B" w:rsidP="0083620E">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b/>
              </w:rPr>
            </w:pPr>
            <w:r w:rsidRPr="00F71C7B">
              <w:rPr>
                <w:b/>
              </w:rPr>
              <w:t>5,792</w:t>
            </w:r>
          </w:p>
        </w:tc>
      </w:tr>
    </w:tbl>
    <w:p w14:paraId="3119676D" w14:textId="77777777" w:rsidR="00F71C7B" w:rsidRDefault="00F71C7B" w:rsidP="0083620E">
      <w:pPr>
        <w:tabs>
          <w:tab w:val="left" w:pos="1080"/>
        </w:tabs>
        <w:spacing w:before="60" w:line="240" w:lineRule="auto"/>
        <w:ind w:firstLine="0"/>
        <w:rPr>
          <w:rFonts w:ascii="Arial" w:hAnsi="Arial"/>
          <w:sz w:val="18"/>
        </w:rPr>
      </w:pPr>
      <w:r w:rsidRPr="00F71C7B">
        <w:rPr>
          <w:rFonts w:ascii="Arial" w:hAnsi="Arial"/>
          <w:sz w:val="18"/>
        </w:rPr>
        <w:t xml:space="preserve">* </w:t>
      </w:r>
      <w:r w:rsidRPr="00F71C7B">
        <w:rPr>
          <w:rFonts w:ascii="Arial" w:hAnsi="Arial"/>
          <w:i/>
          <w:sz w:val="18"/>
        </w:rPr>
        <w:t>p</w:t>
      </w:r>
      <w:r w:rsidRPr="00F71C7B">
        <w:rPr>
          <w:rFonts w:ascii="Arial" w:hAnsi="Arial"/>
          <w:sz w:val="18"/>
        </w:rPr>
        <w:t xml:space="preserve"> &lt; 0.05, ** </w:t>
      </w:r>
      <w:r w:rsidRPr="00F71C7B">
        <w:rPr>
          <w:rFonts w:ascii="Arial" w:hAnsi="Arial"/>
          <w:i/>
          <w:sz w:val="18"/>
        </w:rPr>
        <w:t>p</w:t>
      </w:r>
      <w:r w:rsidRPr="00F71C7B">
        <w:rPr>
          <w:rFonts w:ascii="Arial" w:hAnsi="Arial"/>
          <w:sz w:val="18"/>
        </w:rPr>
        <w:t xml:space="preserve"> &lt; 0.01</w:t>
      </w:r>
    </w:p>
    <w:p w14:paraId="52EECCE1" w14:textId="77777777" w:rsidR="00F71C7B" w:rsidRDefault="00F71C7B" w:rsidP="0083620E">
      <w:pPr>
        <w:tabs>
          <w:tab w:val="left" w:pos="1080"/>
        </w:tabs>
        <w:spacing w:before="60" w:line="240" w:lineRule="auto"/>
        <w:ind w:firstLine="0"/>
        <w:rPr>
          <w:rFonts w:ascii="Arial" w:hAnsi="Arial"/>
          <w:sz w:val="18"/>
        </w:rPr>
      </w:pPr>
    </w:p>
    <w:p w14:paraId="2E36AD94" w14:textId="77777777" w:rsidR="00F71C7B" w:rsidRDefault="00F71C7B" w:rsidP="0083620E">
      <w:pPr>
        <w:tabs>
          <w:tab w:val="left" w:pos="1080"/>
        </w:tabs>
        <w:spacing w:before="60" w:line="240" w:lineRule="auto"/>
        <w:ind w:firstLine="0"/>
        <w:rPr>
          <w:rFonts w:ascii="Arial" w:hAnsi="Arial"/>
          <w:sz w:val="18"/>
        </w:rPr>
      </w:pPr>
    </w:p>
    <w:p w14:paraId="02ADD871" w14:textId="77777777" w:rsidR="00F71C7B" w:rsidRDefault="00F71C7B" w:rsidP="0083620E">
      <w:pPr>
        <w:tabs>
          <w:tab w:val="left" w:pos="1080"/>
        </w:tabs>
        <w:spacing w:before="60" w:line="240" w:lineRule="auto"/>
        <w:ind w:firstLine="0"/>
        <w:rPr>
          <w:rFonts w:ascii="Arial" w:hAnsi="Arial"/>
          <w:sz w:val="18"/>
        </w:rPr>
      </w:pPr>
    </w:p>
    <w:p w14:paraId="62551A13" w14:textId="77777777" w:rsidR="00F71C7B" w:rsidRDefault="00F71C7B" w:rsidP="0083620E">
      <w:pPr>
        <w:tabs>
          <w:tab w:val="left" w:pos="1080"/>
        </w:tabs>
        <w:spacing w:before="60" w:line="240" w:lineRule="auto"/>
        <w:ind w:firstLine="0"/>
        <w:rPr>
          <w:rFonts w:ascii="Arial" w:hAnsi="Arial"/>
          <w:sz w:val="18"/>
        </w:rPr>
      </w:pPr>
    </w:p>
    <w:p w14:paraId="641F0485" w14:textId="77777777" w:rsidR="0062101E" w:rsidRDefault="0062101E" w:rsidP="0083620E">
      <w:pPr>
        <w:tabs>
          <w:tab w:val="left" w:pos="1080"/>
        </w:tabs>
        <w:spacing w:before="60" w:line="240" w:lineRule="auto"/>
        <w:ind w:firstLine="0"/>
        <w:rPr>
          <w:rFonts w:ascii="Arial" w:hAnsi="Arial"/>
          <w:sz w:val="18"/>
        </w:rPr>
      </w:pPr>
    </w:p>
    <w:p w14:paraId="14FD4573" w14:textId="77777777" w:rsidR="0062101E" w:rsidRDefault="0062101E" w:rsidP="0083620E">
      <w:pPr>
        <w:tabs>
          <w:tab w:val="left" w:pos="1080"/>
        </w:tabs>
        <w:spacing w:before="60" w:line="240" w:lineRule="auto"/>
        <w:ind w:firstLine="0"/>
        <w:rPr>
          <w:rFonts w:ascii="Arial" w:hAnsi="Arial"/>
          <w:sz w:val="18"/>
        </w:rPr>
      </w:pPr>
    </w:p>
    <w:p w14:paraId="75D63F7D" w14:textId="77777777" w:rsidR="00F71C7B" w:rsidRPr="00F71C7B" w:rsidRDefault="00F71C7B" w:rsidP="0083620E">
      <w:pPr>
        <w:tabs>
          <w:tab w:val="left" w:pos="1080"/>
        </w:tabs>
        <w:spacing w:before="60" w:line="240" w:lineRule="auto"/>
        <w:ind w:firstLine="0"/>
        <w:rPr>
          <w:rFonts w:ascii="Arial" w:hAnsi="Arial"/>
          <w:sz w:val="18"/>
        </w:rPr>
      </w:pPr>
    </w:p>
    <w:p w14:paraId="05091096" w14:textId="666C66AD" w:rsidR="005A4E85" w:rsidRDefault="005A4E85" w:rsidP="0083620E">
      <w:pPr>
        <w:pStyle w:val="H3Alpha"/>
      </w:pPr>
      <w:r>
        <w:lastRenderedPageBreak/>
        <w:t xml:space="preserve">Table </w:t>
      </w:r>
      <w:r w:rsidR="00F71C7B">
        <w:t>C.4</w:t>
      </w:r>
      <w:r>
        <w:t>. Parent ITT model results</w:t>
      </w:r>
      <w:bookmarkEnd w:id="10"/>
    </w:p>
    <w:tbl>
      <w:tblPr>
        <w:tblStyle w:val="MPRBaseTable"/>
        <w:tblW w:w="9360" w:type="dxa"/>
        <w:tblLayout w:type="fixed"/>
        <w:tblLook w:val="04A0" w:firstRow="1" w:lastRow="0" w:firstColumn="1" w:lastColumn="0" w:noHBand="0" w:noVBand="1"/>
      </w:tblPr>
      <w:tblGrid>
        <w:gridCol w:w="3240"/>
        <w:gridCol w:w="2070"/>
        <w:gridCol w:w="1980"/>
        <w:gridCol w:w="2070"/>
      </w:tblGrid>
      <w:tr w:rsidR="005A4E85" w:rsidRPr="004C5A38" w14:paraId="3B735374" w14:textId="77777777" w:rsidTr="008362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40" w:type="dxa"/>
            <w:vMerge w:val="restart"/>
          </w:tcPr>
          <w:p w14:paraId="47CDF8CC" w14:textId="77777777" w:rsidR="005A4E85" w:rsidRPr="004C5A38" w:rsidRDefault="005A4E85" w:rsidP="0083620E">
            <w:pPr>
              <w:pStyle w:val="TableText"/>
            </w:pPr>
          </w:p>
        </w:tc>
        <w:tc>
          <w:tcPr>
            <w:tcW w:w="2070" w:type="dxa"/>
            <w:tcBorders>
              <w:bottom w:val="single" w:sz="4" w:space="0" w:color="FFFFFF" w:themeColor="background1"/>
              <w:right w:val="single" w:sz="4" w:space="0" w:color="FFFFFF" w:themeColor="background1"/>
            </w:tcBorders>
          </w:tcPr>
          <w:p w14:paraId="43CE8DB0" w14:textId="77777777" w:rsidR="005A4E85" w:rsidRPr="00482C1F" w:rsidRDefault="005A4E85"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82C1F">
              <w:t>Registered</w:t>
            </w:r>
          </w:p>
        </w:tc>
        <w:tc>
          <w:tcPr>
            <w:tcW w:w="4050" w:type="dxa"/>
            <w:gridSpan w:val="2"/>
            <w:tcBorders>
              <w:left w:val="single" w:sz="4" w:space="0" w:color="FFFFFF" w:themeColor="background1"/>
              <w:bottom w:val="single" w:sz="4" w:space="0" w:color="FFFFFF" w:themeColor="background1"/>
            </w:tcBorders>
          </w:tcPr>
          <w:p w14:paraId="661E8223" w14:textId="77777777" w:rsidR="005A4E85" w:rsidRPr="00482C1F" w:rsidRDefault="005A4E85"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82C1F">
              <w:t>Voted</w:t>
            </w:r>
          </w:p>
        </w:tc>
      </w:tr>
      <w:tr w:rsidR="005A4E85" w:rsidRPr="004C5A38" w14:paraId="270ECD6B" w14:textId="77777777" w:rsidTr="0083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vMerge/>
            <w:tcBorders>
              <w:bottom w:val="nil"/>
            </w:tcBorders>
            <w:shd w:val="clear" w:color="auto" w:fill="6C6F70"/>
          </w:tcPr>
          <w:p w14:paraId="525561B4" w14:textId="77777777" w:rsidR="005A4E85" w:rsidRPr="004C5A38" w:rsidRDefault="005A4E85" w:rsidP="0083620E">
            <w:pPr>
              <w:pStyle w:val="TableText"/>
            </w:pPr>
          </w:p>
        </w:tc>
        <w:tc>
          <w:tcPr>
            <w:tcW w:w="2070" w:type="dxa"/>
            <w:tcBorders>
              <w:top w:val="single" w:sz="4" w:space="0" w:color="FFFFFF" w:themeColor="background1"/>
              <w:bottom w:val="nil"/>
              <w:right w:val="single" w:sz="4" w:space="0" w:color="FFFFFF" w:themeColor="background1"/>
            </w:tcBorders>
            <w:shd w:val="clear" w:color="auto" w:fill="6C6F70"/>
            <w:vAlign w:val="bottom"/>
          </w:tcPr>
          <w:p w14:paraId="30922B0E" w14:textId="77777777" w:rsidR="005A4E85" w:rsidRPr="00482C1F" w:rsidRDefault="005A4E85" w:rsidP="0083620E">
            <w:pPr>
              <w:pStyle w:val="TableHeaderCenter"/>
              <w:cnfStyle w:val="000000100000" w:firstRow="0" w:lastRow="0" w:firstColumn="0" w:lastColumn="0" w:oddVBand="0" w:evenVBand="0" w:oddHBand="1" w:evenHBand="0" w:firstRowFirstColumn="0" w:firstRowLastColumn="0" w:lastRowFirstColumn="0" w:lastRowLastColumn="0"/>
            </w:pPr>
            <w:r w:rsidRPr="00482C1F">
              <w:t>2016</w:t>
            </w:r>
          </w:p>
        </w:tc>
        <w:tc>
          <w:tcPr>
            <w:tcW w:w="1980" w:type="dxa"/>
            <w:tcBorders>
              <w:top w:val="single" w:sz="4" w:space="0" w:color="FFFFFF" w:themeColor="background1"/>
              <w:left w:val="single" w:sz="4" w:space="0" w:color="FFFFFF" w:themeColor="background1"/>
              <w:bottom w:val="nil"/>
              <w:right w:val="nil"/>
            </w:tcBorders>
            <w:shd w:val="clear" w:color="auto" w:fill="6C6F70"/>
            <w:vAlign w:val="bottom"/>
          </w:tcPr>
          <w:p w14:paraId="728A8ACE" w14:textId="77777777" w:rsidR="005A4E85" w:rsidRPr="00482C1F" w:rsidRDefault="005A4E85" w:rsidP="0083620E">
            <w:pPr>
              <w:pStyle w:val="TableHeaderCenter"/>
              <w:cnfStyle w:val="000000100000" w:firstRow="0" w:lastRow="0" w:firstColumn="0" w:lastColumn="0" w:oddVBand="0" w:evenVBand="0" w:oddHBand="1" w:evenHBand="0" w:firstRowFirstColumn="0" w:firstRowLastColumn="0" w:lastRowFirstColumn="0" w:lastRowLastColumn="0"/>
            </w:pPr>
            <w:r w:rsidRPr="00482C1F">
              <w:t>2014</w:t>
            </w:r>
          </w:p>
        </w:tc>
        <w:tc>
          <w:tcPr>
            <w:tcW w:w="2070" w:type="dxa"/>
            <w:tcBorders>
              <w:top w:val="nil"/>
              <w:left w:val="nil"/>
              <w:bottom w:val="nil"/>
            </w:tcBorders>
            <w:shd w:val="clear" w:color="auto" w:fill="6C6F70"/>
            <w:vAlign w:val="bottom"/>
          </w:tcPr>
          <w:p w14:paraId="47FBEF0E" w14:textId="77777777" w:rsidR="005A4E85" w:rsidRPr="00482C1F" w:rsidRDefault="005A4E85" w:rsidP="0083620E">
            <w:pPr>
              <w:pStyle w:val="TableHeaderCenter"/>
              <w:cnfStyle w:val="000000100000" w:firstRow="0" w:lastRow="0" w:firstColumn="0" w:lastColumn="0" w:oddVBand="0" w:evenVBand="0" w:oddHBand="1" w:evenHBand="0" w:firstRowFirstColumn="0" w:firstRowLastColumn="0" w:lastRowFirstColumn="0" w:lastRowLastColumn="0"/>
            </w:pPr>
            <w:r w:rsidRPr="00482C1F">
              <w:t>2016</w:t>
            </w:r>
          </w:p>
        </w:tc>
      </w:tr>
      <w:tr w:rsidR="005A4E85" w:rsidRPr="004C5A38" w14:paraId="49B1C9F3" w14:textId="77777777" w:rsidTr="00836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Borders>
              <w:top w:val="nil"/>
            </w:tcBorders>
          </w:tcPr>
          <w:p w14:paraId="7DEB59D5" w14:textId="77777777" w:rsidR="005A4E85" w:rsidRPr="004C5A38" w:rsidRDefault="005A4E85" w:rsidP="0083620E">
            <w:pPr>
              <w:pStyle w:val="TableText"/>
              <w:spacing w:before="60" w:after="60"/>
            </w:pPr>
            <w:r w:rsidRPr="004C5A38">
              <w:t>D</w:t>
            </w:r>
            <w:r>
              <w:t>emocracy Prep</w:t>
            </w:r>
            <w:r w:rsidRPr="004C5A38">
              <w:t xml:space="preserve"> offer</w:t>
            </w:r>
          </w:p>
        </w:tc>
        <w:tc>
          <w:tcPr>
            <w:tcW w:w="2070" w:type="dxa"/>
            <w:tcBorders>
              <w:top w:val="nil"/>
            </w:tcBorders>
          </w:tcPr>
          <w:p w14:paraId="48E24A06" w14:textId="77777777" w:rsidR="005A4E85" w:rsidRPr="004C5A38" w:rsidRDefault="005A4E85" w:rsidP="0083620E">
            <w:pPr>
              <w:pStyle w:val="TableText"/>
              <w:tabs>
                <w:tab w:val="decimal" w:pos="792"/>
              </w:tabs>
              <w:spacing w:before="60" w:after="60"/>
              <w:cnfStyle w:val="000000010000" w:firstRow="0" w:lastRow="0" w:firstColumn="0" w:lastColumn="0" w:oddVBand="0" w:evenVBand="0" w:oddHBand="0" w:evenHBand="1" w:firstRowFirstColumn="0" w:firstRowLastColumn="0" w:lastRowFirstColumn="0" w:lastRowLastColumn="0"/>
            </w:pPr>
            <w:r w:rsidRPr="004C5A38">
              <w:t>-0.009</w:t>
            </w:r>
            <w:r>
              <w:br/>
            </w:r>
            <w:r w:rsidRPr="004C5A38">
              <w:t>(0.008)</w:t>
            </w:r>
          </w:p>
        </w:tc>
        <w:tc>
          <w:tcPr>
            <w:tcW w:w="1980" w:type="dxa"/>
            <w:tcBorders>
              <w:top w:val="nil"/>
            </w:tcBorders>
          </w:tcPr>
          <w:p w14:paraId="2C3E9595" w14:textId="77777777" w:rsidR="005A4E85" w:rsidRPr="004C5A38" w:rsidRDefault="005A4E85" w:rsidP="0083620E">
            <w:pPr>
              <w:pStyle w:val="TableText"/>
              <w:tabs>
                <w:tab w:val="decimal" w:pos="792"/>
              </w:tabs>
              <w:spacing w:before="60" w:after="60"/>
              <w:cnfStyle w:val="000000010000" w:firstRow="0" w:lastRow="0" w:firstColumn="0" w:lastColumn="0" w:oddVBand="0" w:evenVBand="0" w:oddHBand="0" w:evenHBand="1" w:firstRowFirstColumn="0" w:firstRowLastColumn="0" w:lastRowFirstColumn="0" w:lastRowLastColumn="0"/>
            </w:pPr>
            <w:r w:rsidRPr="004C5A38">
              <w:t>0.019</w:t>
            </w:r>
            <w:r>
              <w:br/>
            </w:r>
            <w:r w:rsidRPr="004C5A38">
              <w:t>(0.014)</w:t>
            </w:r>
          </w:p>
        </w:tc>
        <w:tc>
          <w:tcPr>
            <w:tcW w:w="2070" w:type="dxa"/>
            <w:tcBorders>
              <w:top w:val="nil"/>
            </w:tcBorders>
          </w:tcPr>
          <w:p w14:paraId="77FD40F4" w14:textId="77777777" w:rsidR="005A4E85" w:rsidRPr="004C5A38" w:rsidRDefault="005A4E85" w:rsidP="0083620E">
            <w:pPr>
              <w:pStyle w:val="TableText"/>
              <w:tabs>
                <w:tab w:val="decimal" w:pos="792"/>
              </w:tabs>
              <w:spacing w:before="60" w:after="60"/>
              <w:cnfStyle w:val="000000010000" w:firstRow="0" w:lastRow="0" w:firstColumn="0" w:lastColumn="0" w:oddVBand="0" w:evenVBand="0" w:oddHBand="0" w:evenHBand="1" w:firstRowFirstColumn="0" w:firstRowLastColumn="0" w:lastRowFirstColumn="0" w:lastRowLastColumn="0"/>
            </w:pPr>
            <w:r w:rsidRPr="004C5A38">
              <w:t>0.005</w:t>
            </w:r>
            <w:r>
              <w:br/>
            </w:r>
            <w:r w:rsidRPr="004C5A38">
              <w:t>(0.014)</w:t>
            </w:r>
          </w:p>
        </w:tc>
      </w:tr>
      <w:tr w:rsidR="005A4E85" w:rsidRPr="004C5A38" w14:paraId="7909B8F2" w14:textId="77777777" w:rsidTr="0083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449D4C1D" w14:textId="77777777" w:rsidR="005A4E85" w:rsidRPr="004C5A38" w:rsidRDefault="005A4E85" w:rsidP="0083620E">
            <w:pPr>
              <w:pStyle w:val="TableText"/>
              <w:spacing w:before="60" w:after="60"/>
            </w:pPr>
            <w:r w:rsidRPr="004C5A38">
              <w:t>Female</w:t>
            </w:r>
          </w:p>
        </w:tc>
        <w:tc>
          <w:tcPr>
            <w:tcW w:w="2070" w:type="dxa"/>
          </w:tcPr>
          <w:p w14:paraId="617DD065" w14:textId="77777777" w:rsidR="005A4E85" w:rsidRPr="004C5A38" w:rsidRDefault="005A4E85" w:rsidP="0083620E">
            <w:pPr>
              <w:pStyle w:val="TableText"/>
              <w:tabs>
                <w:tab w:val="decimal" w:pos="792"/>
              </w:tabs>
              <w:spacing w:before="60" w:after="60"/>
              <w:cnfStyle w:val="000000100000" w:firstRow="0" w:lastRow="0" w:firstColumn="0" w:lastColumn="0" w:oddVBand="0" w:evenVBand="0" w:oddHBand="1" w:evenHBand="0" w:firstRowFirstColumn="0" w:firstRowLastColumn="0" w:lastRowFirstColumn="0" w:lastRowLastColumn="0"/>
            </w:pPr>
            <w:r w:rsidRPr="004C5A38">
              <w:t>-0.003</w:t>
            </w:r>
            <w:r>
              <w:br/>
            </w:r>
            <w:r w:rsidRPr="004C5A38">
              <w:t>(0.015)</w:t>
            </w:r>
          </w:p>
        </w:tc>
        <w:tc>
          <w:tcPr>
            <w:tcW w:w="1980" w:type="dxa"/>
          </w:tcPr>
          <w:p w14:paraId="32B0A70E" w14:textId="77777777" w:rsidR="005A4E85" w:rsidRPr="004C5A38" w:rsidRDefault="005A4E85" w:rsidP="0083620E">
            <w:pPr>
              <w:pStyle w:val="TableText"/>
              <w:tabs>
                <w:tab w:val="decimal" w:pos="792"/>
              </w:tabs>
              <w:spacing w:before="60" w:after="60"/>
              <w:cnfStyle w:val="000000100000" w:firstRow="0" w:lastRow="0" w:firstColumn="0" w:lastColumn="0" w:oddVBand="0" w:evenVBand="0" w:oddHBand="1" w:evenHBand="0" w:firstRowFirstColumn="0" w:firstRowLastColumn="0" w:lastRowFirstColumn="0" w:lastRowLastColumn="0"/>
            </w:pPr>
            <w:r w:rsidRPr="004C5A38">
              <w:t>-0.030</w:t>
            </w:r>
            <w:r>
              <w:br/>
            </w:r>
            <w:r w:rsidRPr="004C5A38">
              <w:t>(0.025)</w:t>
            </w:r>
          </w:p>
        </w:tc>
        <w:tc>
          <w:tcPr>
            <w:tcW w:w="2070" w:type="dxa"/>
          </w:tcPr>
          <w:p w14:paraId="3E05A14C" w14:textId="77777777" w:rsidR="005A4E85" w:rsidRPr="004C5A38" w:rsidRDefault="005A4E85" w:rsidP="0083620E">
            <w:pPr>
              <w:pStyle w:val="TableText"/>
              <w:tabs>
                <w:tab w:val="decimal" w:pos="792"/>
              </w:tabs>
              <w:spacing w:before="60" w:after="60"/>
              <w:cnfStyle w:val="000000100000" w:firstRow="0" w:lastRow="0" w:firstColumn="0" w:lastColumn="0" w:oddVBand="0" w:evenVBand="0" w:oddHBand="1" w:evenHBand="0" w:firstRowFirstColumn="0" w:firstRowLastColumn="0" w:lastRowFirstColumn="0" w:lastRowLastColumn="0"/>
            </w:pPr>
            <w:r w:rsidRPr="004C5A38">
              <w:t>0.028</w:t>
            </w:r>
            <w:r>
              <w:br/>
            </w:r>
            <w:r w:rsidRPr="004C5A38">
              <w:t>(0.025)</w:t>
            </w:r>
          </w:p>
        </w:tc>
      </w:tr>
      <w:tr w:rsidR="005A4E85" w:rsidRPr="004C5A38" w14:paraId="5C0F6BBF" w14:textId="77777777" w:rsidTr="00836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0509220A" w14:textId="77777777" w:rsidR="005A4E85" w:rsidRPr="004C5A38" w:rsidRDefault="005A4E85" w:rsidP="0083620E">
            <w:pPr>
              <w:pStyle w:val="TableText"/>
              <w:spacing w:before="60" w:after="60"/>
            </w:pPr>
            <w:r w:rsidRPr="004C5A38">
              <w:t>Gender missing</w:t>
            </w:r>
          </w:p>
        </w:tc>
        <w:tc>
          <w:tcPr>
            <w:tcW w:w="2070" w:type="dxa"/>
          </w:tcPr>
          <w:p w14:paraId="4A6B9281" w14:textId="77777777" w:rsidR="005A4E85" w:rsidRPr="004C5A38" w:rsidRDefault="005A4E85" w:rsidP="0083620E">
            <w:pPr>
              <w:pStyle w:val="TableText"/>
              <w:tabs>
                <w:tab w:val="decimal" w:pos="792"/>
              </w:tabs>
              <w:spacing w:before="60" w:after="60"/>
              <w:cnfStyle w:val="000000010000" w:firstRow="0" w:lastRow="0" w:firstColumn="0" w:lastColumn="0" w:oddVBand="0" w:evenVBand="0" w:oddHBand="0" w:evenHBand="1" w:firstRowFirstColumn="0" w:firstRowLastColumn="0" w:lastRowFirstColumn="0" w:lastRowLastColumn="0"/>
            </w:pPr>
            <w:r w:rsidRPr="004C5A38">
              <w:t>-0.006</w:t>
            </w:r>
            <w:r>
              <w:br/>
            </w:r>
            <w:r w:rsidRPr="004C5A38">
              <w:t>(0.017)</w:t>
            </w:r>
          </w:p>
        </w:tc>
        <w:tc>
          <w:tcPr>
            <w:tcW w:w="1980" w:type="dxa"/>
          </w:tcPr>
          <w:p w14:paraId="1BE03389" w14:textId="77777777" w:rsidR="005A4E85" w:rsidRPr="004C5A38" w:rsidRDefault="005A4E85" w:rsidP="0083620E">
            <w:pPr>
              <w:pStyle w:val="TableText"/>
              <w:tabs>
                <w:tab w:val="decimal" w:pos="792"/>
              </w:tabs>
              <w:spacing w:before="60" w:after="60"/>
              <w:cnfStyle w:val="000000010000" w:firstRow="0" w:lastRow="0" w:firstColumn="0" w:lastColumn="0" w:oddVBand="0" w:evenVBand="0" w:oddHBand="0" w:evenHBand="1" w:firstRowFirstColumn="0" w:firstRowLastColumn="0" w:lastRowFirstColumn="0" w:lastRowLastColumn="0"/>
            </w:pPr>
            <w:r w:rsidRPr="004C5A38">
              <w:t>-0.023</w:t>
            </w:r>
            <w:r>
              <w:br/>
            </w:r>
            <w:r w:rsidRPr="004C5A38">
              <w:t>(0.028)</w:t>
            </w:r>
          </w:p>
        </w:tc>
        <w:tc>
          <w:tcPr>
            <w:tcW w:w="2070" w:type="dxa"/>
          </w:tcPr>
          <w:p w14:paraId="0325CBFD" w14:textId="77777777" w:rsidR="005A4E85" w:rsidRPr="004C5A38" w:rsidRDefault="005A4E85" w:rsidP="0083620E">
            <w:pPr>
              <w:pStyle w:val="TableText"/>
              <w:tabs>
                <w:tab w:val="decimal" w:pos="792"/>
              </w:tabs>
              <w:spacing w:before="60" w:after="60"/>
              <w:cnfStyle w:val="000000010000" w:firstRow="0" w:lastRow="0" w:firstColumn="0" w:lastColumn="0" w:oddVBand="0" w:evenVBand="0" w:oddHBand="0" w:evenHBand="1" w:firstRowFirstColumn="0" w:firstRowLastColumn="0" w:lastRowFirstColumn="0" w:lastRowLastColumn="0"/>
            </w:pPr>
            <w:r w:rsidRPr="004C5A38">
              <w:t>0.042</w:t>
            </w:r>
            <w:r>
              <w:br/>
            </w:r>
            <w:r w:rsidRPr="004C5A38">
              <w:t>(0.026)</w:t>
            </w:r>
          </w:p>
        </w:tc>
      </w:tr>
      <w:tr w:rsidR="005A4E85" w:rsidRPr="004C5A38" w14:paraId="3C1EF2BA" w14:textId="77777777" w:rsidTr="0083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56A55920" w14:textId="77777777" w:rsidR="005A4E85" w:rsidRPr="004C5A38" w:rsidRDefault="005A4E85" w:rsidP="0083620E">
            <w:pPr>
              <w:pStyle w:val="TableText"/>
              <w:spacing w:before="60" w:after="60"/>
            </w:pPr>
            <w:r w:rsidRPr="004C5A38">
              <w:t xml:space="preserve">Registered to vote </w:t>
            </w:r>
            <w:r>
              <w:t>before</w:t>
            </w:r>
            <w:r w:rsidRPr="004C5A38">
              <w:t xml:space="preserve"> Sept</w:t>
            </w:r>
            <w:r>
              <w:t>ember</w:t>
            </w:r>
            <w:r w:rsidRPr="004C5A38">
              <w:t xml:space="preserve"> 1 of application year</w:t>
            </w:r>
          </w:p>
        </w:tc>
        <w:tc>
          <w:tcPr>
            <w:tcW w:w="2070" w:type="dxa"/>
          </w:tcPr>
          <w:p w14:paraId="20591032" w14:textId="77777777" w:rsidR="005A4E85" w:rsidRPr="004C5A38" w:rsidRDefault="005A4E85" w:rsidP="0083620E">
            <w:pPr>
              <w:pStyle w:val="TableText"/>
              <w:tabs>
                <w:tab w:val="decimal" w:pos="792"/>
              </w:tabs>
              <w:spacing w:before="60" w:after="60"/>
              <w:cnfStyle w:val="000000100000" w:firstRow="0" w:lastRow="0" w:firstColumn="0" w:lastColumn="0" w:oddVBand="0" w:evenVBand="0" w:oddHBand="1" w:evenHBand="0" w:firstRowFirstColumn="0" w:firstRowLastColumn="0" w:lastRowFirstColumn="0" w:lastRowLastColumn="0"/>
            </w:pPr>
            <w:r w:rsidRPr="004C5A38">
              <w:t>0.854**</w:t>
            </w:r>
            <w:r>
              <w:br/>
            </w:r>
            <w:r w:rsidRPr="004C5A38">
              <w:t>(0.010)</w:t>
            </w:r>
          </w:p>
        </w:tc>
        <w:tc>
          <w:tcPr>
            <w:tcW w:w="1980" w:type="dxa"/>
          </w:tcPr>
          <w:p w14:paraId="13CF1367" w14:textId="77777777" w:rsidR="005A4E85" w:rsidRPr="004C5A38" w:rsidRDefault="005A4E85" w:rsidP="0083620E">
            <w:pPr>
              <w:pStyle w:val="TableText"/>
              <w:tabs>
                <w:tab w:val="decimal" w:pos="792"/>
              </w:tabs>
              <w:spacing w:before="60" w:after="60"/>
              <w:cnfStyle w:val="000000100000" w:firstRow="0" w:lastRow="0" w:firstColumn="0" w:lastColumn="0" w:oddVBand="0" w:evenVBand="0" w:oddHBand="1" w:evenHBand="0" w:firstRowFirstColumn="0" w:firstRowLastColumn="0" w:lastRowFirstColumn="0" w:lastRowLastColumn="0"/>
            </w:pPr>
            <w:r w:rsidRPr="004C5A38">
              <w:t>0.233**</w:t>
            </w:r>
            <w:r>
              <w:br/>
            </w:r>
            <w:r w:rsidRPr="004C5A38">
              <w:t>(0.013)</w:t>
            </w:r>
          </w:p>
        </w:tc>
        <w:tc>
          <w:tcPr>
            <w:tcW w:w="2070" w:type="dxa"/>
          </w:tcPr>
          <w:p w14:paraId="0A28039A" w14:textId="77777777" w:rsidR="005A4E85" w:rsidRPr="004C5A38" w:rsidRDefault="005A4E85" w:rsidP="0083620E">
            <w:pPr>
              <w:pStyle w:val="TableText"/>
              <w:tabs>
                <w:tab w:val="decimal" w:pos="792"/>
              </w:tabs>
              <w:spacing w:before="60" w:after="60"/>
              <w:cnfStyle w:val="000000100000" w:firstRow="0" w:lastRow="0" w:firstColumn="0" w:lastColumn="0" w:oddVBand="0" w:evenVBand="0" w:oddHBand="1" w:evenHBand="0" w:firstRowFirstColumn="0" w:firstRowLastColumn="0" w:lastRowFirstColumn="0" w:lastRowLastColumn="0"/>
            </w:pPr>
            <w:r w:rsidRPr="004C5A38">
              <w:t>0.578**</w:t>
            </w:r>
            <w:r>
              <w:br/>
            </w:r>
            <w:r w:rsidRPr="004C5A38">
              <w:t>(0.013)</w:t>
            </w:r>
          </w:p>
        </w:tc>
      </w:tr>
      <w:tr w:rsidR="005A4E85" w:rsidRPr="004C5A38" w14:paraId="6EF002A2" w14:textId="77777777" w:rsidTr="00836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0A52A3DD" w14:textId="77777777" w:rsidR="005A4E85" w:rsidRPr="004C6EC2" w:rsidRDefault="005A4E85" w:rsidP="0083620E">
            <w:pPr>
              <w:pStyle w:val="TableText"/>
              <w:spacing w:before="60" w:after="60"/>
              <w:rPr>
                <w:b/>
              </w:rPr>
            </w:pPr>
            <w:r w:rsidRPr="004C6EC2">
              <w:rPr>
                <w:b/>
              </w:rPr>
              <w:t>Number</w:t>
            </w:r>
          </w:p>
        </w:tc>
        <w:tc>
          <w:tcPr>
            <w:tcW w:w="2070" w:type="dxa"/>
          </w:tcPr>
          <w:p w14:paraId="1F65040B" w14:textId="77777777" w:rsidR="005A4E85" w:rsidRPr="004C6EC2" w:rsidRDefault="005A4E85" w:rsidP="0083620E">
            <w:pPr>
              <w:pStyle w:val="TableText"/>
              <w:spacing w:before="60" w:after="60"/>
              <w:jc w:val="center"/>
              <w:cnfStyle w:val="000000010000" w:firstRow="0" w:lastRow="0" w:firstColumn="0" w:lastColumn="0" w:oddVBand="0" w:evenVBand="0" w:oddHBand="0" w:evenHBand="1" w:firstRowFirstColumn="0" w:firstRowLastColumn="0" w:lastRowFirstColumn="0" w:lastRowLastColumn="0"/>
              <w:rPr>
                <w:b/>
              </w:rPr>
            </w:pPr>
            <w:r w:rsidRPr="004C6EC2">
              <w:rPr>
                <w:b/>
              </w:rPr>
              <w:t>5,792</w:t>
            </w:r>
          </w:p>
        </w:tc>
        <w:tc>
          <w:tcPr>
            <w:tcW w:w="1980" w:type="dxa"/>
          </w:tcPr>
          <w:p w14:paraId="0158DAAA" w14:textId="77777777" w:rsidR="005A4E85" w:rsidRPr="004C6EC2" w:rsidRDefault="005A4E85" w:rsidP="0083620E">
            <w:pPr>
              <w:pStyle w:val="TableText"/>
              <w:spacing w:before="60" w:after="60"/>
              <w:jc w:val="center"/>
              <w:cnfStyle w:val="000000010000" w:firstRow="0" w:lastRow="0" w:firstColumn="0" w:lastColumn="0" w:oddVBand="0" w:evenVBand="0" w:oddHBand="0" w:evenHBand="1" w:firstRowFirstColumn="0" w:firstRowLastColumn="0" w:lastRowFirstColumn="0" w:lastRowLastColumn="0"/>
              <w:rPr>
                <w:b/>
              </w:rPr>
            </w:pPr>
            <w:r w:rsidRPr="004C6EC2">
              <w:rPr>
                <w:b/>
              </w:rPr>
              <w:t>3,296</w:t>
            </w:r>
          </w:p>
        </w:tc>
        <w:tc>
          <w:tcPr>
            <w:tcW w:w="2070" w:type="dxa"/>
          </w:tcPr>
          <w:p w14:paraId="48C955DE" w14:textId="77777777" w:rsidR="005A4E85" w:rsidRPr="004C6EC2" w:rsidRDefault="005A4E85" w:rsidP="0083620E">
            <w:pPr>
              <w:pStyle w:val="TableText"/>
              <w:spacing w:before="60" w:after="60"/>
              <w:jc w:val="center"/>
              <w:cnfStyle w:val="000000010000" w:firstRow="0" w:lastRow="0" w:firstColumn="0" w:lastColumn="0" w:oddVBand="0" w:evenVBand="0" w:oddHBand="0" w:evenHBand="1" w:firstRowFirstColumn="0" w:firstRowLastColumn="0" w:lastRowFirstColumn="0" w:lastRowLastColumn="0"/>
              <w:rPr>
                <w:b/>
              </w:rPr>
            </w:pPr>
            <w:r w:rsidRPr="004C6EC2">
              <w:rPr>
                <w:b/>
              </w:rPr>
              <w:t>5,792</w:t>
            </w:r>
          </w:p>
        </w:tc>
      </w:tr>
    </w:tbl>
    <w:p w14:paraId="08A1F61E" w14:textId="77777777" w:rsidR="005A4E85" w:rsidRDefault="005A4E85" w:rsidP="0083620E">
      <w:pPr>
        <w:pStyle w:val="TableSourceCaption"/>
      </w:pPr>
      <w:r w:rsidRPr="00B701C9">
        <w:t>Note:</w:t>
      </w:r>
      <w:r w:rsidRPr="00B701C9">
        <w:tab/>
        <w:t>Standard errors in parentheses.</w:t>
      </w:r>
    </w:p>
    <w:p w14:paraId="486B9AB7" w14:textId="77777777" w:rsidR="005A4E85" w:rsidRDefault="005A4E85" w:rsidP="0083620E">
      <w:pPr>
        <w:pStyle w:val="TableFootnoteCaption"/>
      </w:pPr>
      <w:r>
        <w:t xml:space="preserve">* </w:t>
      </w:r>
      <w:r w:rsidRPr="00B701C9">
        <w:rPr>
          <w:i/>
        </w:rPr>
        <w:t>p</w:t>
      </w:r>
      <w:r>
        <w:t xml:space="preserve"> &lt; 0.05, ** </w:t>
      </w:r>
      <w:r w:rsidRPr="00B701C9">
        <w:rPr>
          <w:i/>
        </w:rPr>
        <w:t>p</w:t>
      </w:r>
      <w:r>
        <w:t xml:space="preserve"> &lt; 0.01.</w:t>
      </w:r>
    </w:p>
    <w:p w14:paraId="631B32B3" w14:textId="77777777" w:rsidR="005A4E85" w:rsidRDefault="005A4E85" w:rsidP="0083620E">
      <w:pPr>
        <w:pStyle w:val="TableSignificanceCaption"/>
      </w:pPr>
      <w:r>
        <w:t>ITT = intent-to-treat.</w:t>
      </w:r>
    </w:p>
    <w:p w14:paraId="374EA788" w14:textId="77777777" w:rsidR="00F71C7B" w:rsidRDefault="00F71C7B" w:rsidP="0083620E">
      <w:pPr>
        <w:pStyle w:val="TableSignificanceCaption"/>
      </w:pPr>
    </w:p>
    <w:p w14:paraId="5CB2D052" w14:textId="77777777" w:rsidR="00F71C7B" w:rsidRDefault="00F71C7B" w:rsidP="0083620E">
      <w:pPr>
        <w:pStyle w:val="TableSignificanceCaption"/>
      </w:pPr>
    </w:p>
    <w:p w14:paraId="0F554976" w14:textId="4B2FBA61" w:rsidR="005A4E85" w:rsidRDefault="005A4E85" w:rsidP="0083620E">
      <w:pPr>
        <w:pStyle w:val="H3Alpha"/>
      </w:pPr>
      <w:bookmarkStart w:id="11" w:name="_Toc504057626"/>
      <w:r>
        <w:t>Table C.</w:t>
      </w:r>
      <w:r w:rsidR="00F71C7B">
        <w:t>5</w:t>
      </w:r>
      <w:r>
        <w:t>. Parent TOT model results</w:t>
      </w:r>
      <w:bookmarkEnd w:id="11"/>
    </w:p>
    <w:tbl>
      <w:tblPr>
        <w:tblStyle w:val="MPRBaseTable"/>
        <w:tblW w:w="9360" w:type="dxa"/>
        <w:tblLayout w:type="fixed"/>
        <w:tblLook w:val="04A0" w:firstRow="1" w:lastRow="0" w:firstColumn="1" w:lastColumn="0" w:noHBand="0" w:noVBand="1"/>
      </w:tblPr>
      <w:tblGrid>
        <w:gridCol w:w="2490"/>
        <w:gridCol w:w="3180"/>
        <w:gridCol w:w="1980"/>
        <w:gridCol w:w="1710"/>
      </w:tblGrid>
      <w:tr w:rsidR="005A4E85" w:rsidRPr="004C5A38" w14:paraId="2EF850D9" w14:textId="77777777" w:rsidTr="008362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90" w:type="dxa"/>
          </w:tcPr>
          <w:p w14:paraId="55EFE5FE" w14:textId="77777777" w:rsidR="005A4E85" w:rsidRPr="004C5A38" w:rsidRDefault="005A4E85" w:rsidP="0083620E">
            <w:pPr>
              <w:pStyle w:val="TableText"/>
            </w:pPr>
          </w:p>
        </w:tc>
        <w:tc>
          <w:tcPr>
            <w:tcW w:w="3180" w:type="dxa"/>
          </w:tcPr>
          <w:p w14:paraId="6F572EF7" w14:textId="77777777" w:rsidR="005A4E85" w:rsidRPr="004C6EC2" w:rsidRDefault="005A4E85"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C6EC2">
              <w:t>First stage</w:t>
            </w:r>
            <w:r w:rsidRPr="004C6EC2">
              <w:br/>
              <w:t>(treatment–control difference in enrollment rate)</w:t>
            </w:r>
          </w:p>
        </w:tc>
        <w:tc>
          <w:tcPr>
            <w:tcW w:w="1980" w:type="dxa"/>
          </w:tcPr>
          <w:p w14:paraId="7EB1B6EF" w14:textId="77777777" w:rsidR="005A4E85" w:rsidRPr="004C6EC2" w:rsidRDefault="005A4E85"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C6EC2">
              <w:t>Reduced form</w:t>
            </w:r>
            <w:r w:rsidRPr="004C6EC2">
              <w:br/>
              <w:t>(ITT impact)</w:t>
            </w:r>
          </w:p>
        </w:tc>
        <w:tc>
          <w:tcPr>
            <w:tcW w:w="1710" w:type="dxa"/>
          </w:tcPr>
          <w:p w14:paraId="02C3DCC0" w14:textId="77777777" w:rsidR="005A4E85" w:rsidRPr="004C6EC2" w:rsidRDefault="005A4E85" w:rsidP="0083620E">
            <w:pPr>
              <w:pStyle w:val="TableHeaderCenter"/>
              <w:cnfStyle w:val="100000000000" w:firstRow="1" w:lastRow="0" w:firstColumn="0" w:lastColumn="0" w:oddVBand="0" w:evenVBand="0" w:oddHBand="0" w:evenHBand="0" w:firstRowFirstColumn="0" w:firstRowLastColumn="0" w:lastRowFirstColumn="0" w:lastRowLastColumn="0"/>
              <w:rPr>
                <w:b/>
              </w:rPr>
            </w:pPr>
            <w:r w:rsidRPr="004C6EC2">
              <w:t>2SLS</w:t>
            </w:r>
            <w:r w:rsidRPr="004C6EC2">
              <w:br/>
              <w:t>(TOT impact)</w:t>
            </w:r>
          </w:p>
        </w:tc>
      </w:tr>
      <w:tr w:rsidR="005A4E85" w:rsidRPr="004C5A38" w14:paraId="52F15B8C" w14:textId="77777777" w:rsidTr="0083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Pr>
          <w:p w14:paraId="074256ED" w14:textId="77777777" w:rsidR="005A4E85" w:rsidRPr="004C5A38" w:rsidRDefault="005A4E85" w:rsidP="0083620E">
            <w:pPr>
              <w:pStyle w:val="TableText"/>
              <w:spacing w:before="60" w:after="60"/>
            </w:pPr>
            <w:r w:rsidRPr="004C5A38">
              <w:t xml:space="preserve">Registered </w:t>
            </w:r>
            <w:r>
              <w:t>before</w:t>
            </w:r>
            <w:r w:rsidRPr="004C5A38">
              <w:t xml:space="preserve"> 2016 election</w:t>
            </w:r>
          </w:p>
        </w:tc>
        <w:tc>
          <w:tcPr>
            <w:tcW w:w="3180" w:type="dxa"/>
          </w:tcPr>
          <w:p w14:paraId="170D6E29" w14:textId="77777777" w:rsidR="005A4E85" w:rsidRPr="004C5A38" w:rsidRDefault="005A4E85" w:rsidP="0083620E">
            <w:pPr>
              <w:pStyle w:val="TableText"/>
              <w:tabs>
                <w:tab w:val="decimal" w:pos="1362"/>
              </w:tabs>
              <w:spacing w:before="60" w:after="60"/>
              <w:cnfStyle w:val="000000100000" w:firstRow="0" w:lastRow="0" w:firstColumn="0" w:lastColumn="0" w:oddVBand="0" w:evenVBand="0" w:oddHBand="1" w:evenHBand="0" w:firstRowFirstColumn="0" w:firstRowLastColumn="0" w:lastRowFirstColumn="0" w:lastRowLastColumn="0"/>
            </w:pPr>
            <w:r w:rsidRPr="004C5A38">
              <w:t>0.225**</w:t>
            </w:r>
            <w:r>
              <w:br/>
            </w:r>
            <w:r w:rsidRPr="004C5A38">
              <w:t>(0.011)</w:t>
            </w:r>
          </w:p>
        </w:tc>
        <w:tc>
          <w:tcPr>
            <w:tcW w:w="1980" w:type="dxa"/>
          </w:tcPr>
          <w:p w14:paraId="7947C6E0" w14:textId="77777777" w:rsidR="005A4E85" w:rsidRPr="004C5A38" w:rsidRDefault="005A4E85" w:rsidP="0083620E">
            <w:pPr>
              <w:pStyle w:val="TableText"/>
              <w:tabs>
                <w:tab w:val="decimal" w:pos="702"/>
              </w:tabs>
              <w:spacing w:before="60" w:after="60"/>
              <w:cnfStyle w:val="000000100000" w:firstRow="0" w:lastRow="0" w:firstColumn="0" w:lastColumn="0" w:oddVBand="0" w:evenVBand="0" w:oddHBand="1" w:evenHBand="0" w:firstRowFirstColumn="0" w:firstRowLastColumn="0" w:lastRowFirstColumn="0" w:lastRowLastColumn="0"/>
            </w:pPr>
            <w:r w:rsidRPr="004C5A38">
              <w:t>-0.009</w:t>
            </w:r>
            <w:r>
              <w:br/>
            </w:r>
            <w:r w:rsidRPr="004C5A38">
              <w:t>(0.008)</w:t>
            </w:r>
          </w:p>
        </w:tc>
        <w:tc>
          <w:tcPr>
            <w:tcW w:w="1710" w:type="dxa"/>
          </w:tcPr>
          <w:p w14:paraId="51A5711E" w14:textId="77777777" w:rsidR="005A4E85" w:rsidRPr="004C5A38" w:rsidRDefault="005A4E85" w:rsidP="0083620E">
            <w:pPr>
              <w:pStyle w:val="TableText"/>
              <w:tabs>
                <w:tab w:val="decimal" w:pos="702"/>
              </w:tabs>
              <w:spacing w:before="60" w:after="60"/>
              <w:cnfStyle w:val="000000100000" w:firstRow="0" w:lastRow="0" w:firstColumn="0" w:lastColumn="0" w:oddVBand="0" w:evenVBand="0" w:oddHBand="1" w:evenHBand="0" w:firstRowFirstColumn="0" w:firstRowLastColumn="0" w:lastRowFirstColumn="0" w:lastRowLastColumn="0"/>
            </w:pPr>
            <w:r w:rsidRPr="004C5A38">
              <w:t>-0.040</w:t>
            </w:r>
            <w:r>
              <w:br/>
            </w:r>
            <w:r w:rsidRPr="004C5A38">
              <w:t>(0.036)</w:t>
            </w:r>
          </w:p>
        </w:tc>
      </w:tr>
      <w:tr w:rsidR="005A4E85" w:rsidRPr="004C5A38" w14:paraId="1AB065B5" w14:textId="77777777" w:rsidTr="00836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Pr>
          <w:p w14:paraId="1051E6EC" w14:textId="77777777" w:rsidR="005A4E85" w:rsidRPr="004C5A38" w:rsidRDefault="005A4E85" w:rsidP="0083620E">
            <w:pPr>
              <w:pStyle w:val="TableText"/>
              <w:spacing w:before="60" w:after="60"/>
            </w:pPr>
            <w:r w:rsidRPr="004C5A38">
              <w:t>Voted in any 2014 election</w:t>
            </w:r>
          </w:p>
        </w:tc>
        <w:tc>
          <w:tcPr>
            <w:tcW w:w="3180" w:type="dxa"/>
          </w:tcPr>
          <w:p w14:paraId="3114B624" w14:textId="6D52B0F9" w:rsidR="005A4E85" w:rsidRPr="007A1F50" w:rsidRDefault="005A4E85" w:rsidP="0083620E">
            <w:pPr>
              <w:pStyle w:val="TableText"/>
              <w:tabs>
                <w:tab w:val="decimal" w:pos="1362"/>
              </w:tabs>
              <w:spacing w:before="60" w:after="60"/>
              <w:cnfStyle w:val="000000010000" w:firstRow="0" w:lastRow="0" w:firstColumn="0" w:lastColumn="0" w:oddVBand="0" w:evenVBand="0" w:oddHBand="0" w:evenHBand="1" w:firstRowFirstColumn="0" w:firstRowLastColumn="0" w:lastRowFirstColumn="0" w:lastRowLastColumn="0"/>
            </w:pPr>
            <w:r w:rsidRPr="007A1F50">
              <w:t>0.</w:t>
            </w:r>
            <w:r w:rsidR="00182D2A" w:rsidRPr="007A1F50">
              <w:t>265</w:t>
            </w:r>
            <w:r w:rsidRPr="007A1F50">
              <w:t>**</w:t>
            </w:r>
            <w:r w:rsidRPr="007A1F50">
              <w:br/>
              <w:t>(0.</w:t>
            </w:r>
            <w:r w:rsidR="00182D2A" w:rsidRPr="007A1F50">
              <w:t>016</w:t>
            </w:r>
            <w:r w:rsidRPr="007A1F50">
              <w:t>)</w:t>
            </w:r>
          </w:p>
        </w:tc>
        <w:tc>
          <w:tcPr>
            <w:tcW w:w="1980" w:type="dxa"/>
          </w:tcPr>
          <w:p w14:paraId="029C44B8" w14:textId="77777777" w:rsidR="005A4E85" w:rsidRPr="004C5A38" w:rsidRDefault="005A4E85" w:rsidP="0083620E">
            <w:pPr>
              <w:pStyle w:val="TableText"/>
              <w:tabs>
                <w:tab w:val="decimal" w:pos="702"/>
              </w:tabs>
              <w:spacing w:before="60" w:after="60"/>
              <w:cnfStyle w:val="000000010000" w:firstRow="0" w:lastRow="0" w:firstColumn="0" w:lastColumn="0" w:oddVBand="0" w:evenVBand="0" w:oddHBand="0" w:evenHBand="1" w:firstRowFirstColumn="0" w:firstRowLastColumn="0" w:lastRowFirstColumn="0" w:lastRowLastColumn="0"/>
            </w:pPr>
            <w:r w:rsidRPr="004C5A38">
              <w:t>0.019</w:t>
            </w:r>
            <w:r>
              <w:br/>
            </w:r>
            <w:r w:rsidRPr="004C5A38">
              <w:t>(0.014)</w:t>
            </w:r>
          </w:p>
        </w:tc>
        <w:tc>
          <w:tcPr>
            <w:tcW w:w="1710" w:type="dxa"/>
          </w:tcPr>
          <w:p w14:paraId="4004FED1" w14:textId="77777777" w:rsidR="005A4E85" w:rsidRPr="004C5A38" w:rsidRDefault="005A4E85" w:rsidP="0083620E">
            <w:pPr>
              <w:pStyle w:val="TableText"/>
              <w:tabs>
                <w:tab w:val="decimal" w:pos="702"/>
              </w:tabs>
              <w:spacing w:before="60" w:after="60"/>
              <w:cnfStyle w:val="000000010000" w:firstRow="0" w:lastRow="0" w:firstColumn="0" w:lastColumn="0" w:oddVBand="0" w:evenVBand="0" w:oddHBand="0" w:evenHBand="1" w:firstRowFirstColumn="0" w:firstRowLastColumn="0" w:lastRowFirstColumn="0" w:lastRowLastColumn="0"/>
            </w:pPr>
            <w:r w:rsidRPr="004C5A38">
              <w:t>0.070</w:t>
            </w:r>
            <w:r>
              <w:br/>
            </w:r>
            <w:r w:rsidRPr="004C5A38">
              <w:t>(0.055)</w:t>
            </w:r>
          </w:p>
        </w:tc>
      </w:tr>
      <w:tr w:rsidR="005A4E85" w14:paraId="1654B391" w14:textId="77777777" w:rsidTr="00836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Pr>
          <w:p w14:paraId="7C3A89B2" w14:textId="77777777" w:rsidR="005A4E85" w:rsidRPr="004C5A38" w:rsidRDefault="005A4E85" w:rsidP="0083620E">
            <w:pPr>
              <w:pStyle w:val="TableText"/>
              <w:spacing w:before="60" w:after="60"/>
            </w:pPr>
            <w:r w:rsidRPr="004C5A38">
              <w:t>Voted in any 2016 election</w:t>
            </w:r>
          </w:p>
        </w:tc>
        <w:tc>
          <w:tcPr>
            <w:tcW w:w="3180" w:type="dxa"/>
          </w:tcPr>
          <w:p w14:paraId="6CC173AA" w14:textId="77777777" w:rsidR="005A4E85" w:rsidRPr="007A1F50" w:rsidRDefault="005A4E85" w:rsidP="0083620E">
            <w:pPr>
              <w:pStyle w:val="TableText"/>
              <w:tabs>
                <w:tab w:val="decimal" w:pos="1362"/>
              </w:tabs>
              <w:spacing w:before="60" w:after="60"/>
              <w:cnfStyle w:val="000000100000" w:firstRow="0" w:lastRow="0" w:firstColumn="0" w:lastColumn="0" w:oddVBand="0" w:evenVBand="0" w:oddHBand="1" w:evenHBand="0" w:firstRowFirstColumn="0" w:firstRowLastColumn="0" w:lastRowFirstColumn="0" w:lastRowLastColumn="0"/>
            </w:pPr>
            <w:r w:rsidRPr="007A1F50">
              <w:t>0.225**</w:t>
            </w:r>
            <w:r w:rsidRPr="007A1F50">
              <w:br/>
              <w:t>(0.011)</w:t>
            </w:r>
          </w:p>
        </w:tc>
        <w:tc>
          <w:tcPr>
            <w:tcW w:w="1980" w:type="dxa"/>
          </w:tcPr>
          <w:p w14:paraId="547F204A" w14:textId="77777777" w:rsidR="005A4E85" w:rsidRPr="004C5A38" w:rsidRDefault="005A4E85" w:rsidP="0083620E">
            <w:pPr>
              <w:pStyle w:val="TableText"/>
              <w:tabs>
                <w:tab w:val="decimal" w:pos="702"/>
              </w:tabs>
              <w:spacing w:before="60" w:after="60"/>
              <w:cnfStyle w:val="000000100000" w:firstRow="0" w:lastRow="0" w:firstColumn="0" w:lastColumn="0" w:oddVBand="0" w:evenVBand="0" w:oddHBand="1" w:evenHBand="0" w:firstRowFirstColumn="0" w:firstRowLastColumn="0" w:lastRowFirstColumn="0" w:lastRowLastColumn="0"/>
            </w:pPr>
            <w:r w:rsidRPr="004C5A38">
              <w:t>0.005</w:t>
            </w:r>
            <w:r>
              <w:br/>
            </w:r>
            <w:r w:rsidRPr="004C5A38">
              <w:t>(0.014)</w:t>
            </w:r>
          </w:p>
        </w:tc>
        <w:tc>
          <w:tcPr>
            <w:tcW w:w="1710" w:type="dxa"/>
          </w:tcPr>
          <w:p w14:paraId="2C06A780" w14:textId="77777777" w:rsidR="005A4E85" w:rsidRDefault="005A4E85" w:rsidP="0083620E">
            <w:pPr>
              <w:pStyle w:val="TableText"/>
              <w:tabs>
                <w:tab w:val="decimal" w:pos="702"/>
              </w:tabs>
              <w:spacing w:before="60" w:after="60"/>
              <w:cnfStyle w:val="000000100000" w:firstRow="0" w:lastRow="0" w:firstColumn="0" w:lastColumn="0" w:oddVBand="0" w:evenVBand="0" w:oddHBand="1" w:evenHBand="0" w:firstRowFirstColumn="0" w:firstRowLastColumn="0" w:lastRowFirstColumn="0" w:lastRowLastColumn="0"/>
            </w:pPr>
            <w:r w:rsidRPr="004C5A38">
              <w:t>0.024</w:t>
            </w:r>
            <w:r>
              <w:br/>
            </w:r>
            <w:r w:rsidRPr="004C5A38">
              <w:t>(0.060)</w:t>
            </w:r>
          </w:p>
        </w:tc>
      </w:tr>
      <w:tr w:rsidR="005A4E85" w14:paraId="12CEA945" w14:textId="77777777" w:rsidTr="00836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Pr>
          <w:p w14:paraId="4A7981E4" w14:textId="77777777" w:rsidR="005A4E85" w:rsidRPr="004C5A38" w:rsidRDefault="005A4E85" w:rsidP="0083620E">
            <w:pPr>
              <w:pStyle w:val="TableText"/>
              <w:spacing w:before="60" w:after="60"/>
            </w:pPr>
            <w:r w:rsidRPr="004C5A38">
              <w:rPr>
                <w:b/>
              </w:rPr>
              <w:t>N</w:t>
            </w:r>
            <w:r>
              <w:rPr>
                <w:b/>
              </w:rPr>
              <w:t>umber</w:t>
            </w:r>
          </w:p>
        </w:tc>
        <w:tc>
          <w:tcPr>
            <w:tcW w:w="3180" w:type="dxa"/>
          </w:tcPr>
          <w:p w14:paraId="3278D4DB" w14:textId="77777777" w:rsidR="005A4E85" w:rsidRPr="004C5A38" w:rsidRDefault="005A4E85" w:rsidP="0083620E">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rsidRPr="00082FBD">
              <w:rPr>
                <w:b/>
              </w:rPr>
              <w:t>3,296</w:t>
            </w:r>
            <w:r>
              <w:rPr>
                <w:b/>
              </w:rPr>
              <w:t>-</w:t>
            </w:r>
            <w:r w:rsidRPr="004C5A38">
              <w:rPr>
                <w:b/>
              </w:rPr>
              <w:t>5,792</w:t>
            </w:r>
          </w:p>
        </w:tc>
        <w:tc>
          <w:tcPr>
            <w:tcW w:w="1980" w:type="dxa"/>
          </w:tcPr>
          <w:p w14:paraId="608AA4E8" w14:textId="77777777" w:rsidR="005A4E85" w:rsidRPr="004C5A38" w:rsidRDefault="005A4E85" w:rsidP="0083620E">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rsidRPr="00082FBD">
              <w:rPr>
                <w:b/>
              </w:rPr>
              <w:t>3,296-5,792</w:t>
            </w:r>
          </w:p>
        </w:tc>
        <w:tc>
          <w:tcPr>
            <w:tcW w:w="1710" w:type="dxa"/>
          </w:tcPr>
          <w:p w14:paraId="41E53FD5" w14:textId="77777777" w:rsidR="005A4E85" w:rsidRPr="004C5A38" w:rsidRDefault="005A4E85" w:rsidP="0083620E">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rsidRPr="00082FBD">
              <w:rPr>
                <w:b/>
              </w:rPr>
              <w:t>3,296-5,792</w:t>
            </w:r>
          </w:p>
        </w:tc>
      </w:tr>
    </w:tbl>
    <w:p w14:paraId="04207E93" w14:textId="5A1F32DA" w:rsidR="00432B5B" w:rsidRDefault="005A4E85" w:rsidP="00432B5B">
      <w:pPr>
        <w:pStyle w:val="TableSourceCaption"/>
      </w:pPr>
      <w:r w:rsidRPr="00B701C9">
        <w:t>Note:</w:t>
      </w:r>
      <w:r w:rsidRPr="00B701C9">
        <w:tab/>
        <w:t>Standard errors in parentheses.</w:t>
      </w:r>
      <w:r w:rsidR="00432B5B" w:rsidRPr="00432B5B">
        <w:t xml:space="preserve"> </w:t>
      </w:r>
      <w:r w:rsidR="00432B5B">
        <w:t>Model includes weights, baseline covariates, and lottery fixed effects.</w:t>
      </w:r>
    </w:p>
    <w:p w14:paraId="4DE9C350" w14:textId="77777777" w:rsidR="005A4E85" w:rsidRDefault="005A4E85" w:rsidP="0083620E">
      <w:pPr>
        <w:pStyle w:val="TableFootnoteCaption"/>
      </w:pPr>
      <w:r>
        <w:t xml:space="preserve">* </w:t>
      </w:r>
      <w:r w:rsidRPr="00B701C9">
        <w:rPr>
          <w:i/>
        </w:rPr>
        <w:t>p</w:t>
      </w:r>
      <w:r>
        <w:t xml:space="preserve"> &lt; 0.05, ** </w:t>
      </w:r>
      <w:r w:rsidRPr="00B701C9">
        <w:rPr>
          <w:i/>
        </w:rPr>
        <w:t>p</w:t>
      </w:r>
      <w:r>
        <w:t xml:space="preserve"> &lt; 0.01.</w:t>
      </w:r>
    </w:p>
    <w:p w14:paraId="1BF6A789" w14:textId="77777777" w:rsidR="005A4E85" w:rsidRDefault="005A4E85" w:rsidP="0083620E">
      <w:pPr>
        <w:pStyle w:val="TableSignificanceCaption"/>
      </w:pPr>
      <w:r w:rsidRPr="007D799B">
        <w:t xml:space="preserve">2SLS = </w:t>
      </w:r>
      <w:r>
        <w:t>two-stage least squares</w:t>
      </w:r>
      <w:r w:rsidRPr="007D799B">
        <w:t>; ITT = intent-to-treat; TOT = treatment-on-the-treated.</w:t>
      </w:r>
    </w:p>
    <w:p w14:paraId="6085F395" w14:textId="5907CF87" w:rsidR="005A4E85" w:rsidRDefault="005A4E85" w:rsidP="0083620E">
      <w:pPr>
        <w:pStyle w:val="TableSignificanceCaption"/>
      </w:pPr>
    </w:p>
    <w:p w14:paraId="7B3399DD" w14:textId="30DAB108" w:rsidR="00432B5B" w:rsidRDefault="00432B5B" w:rsidP="00432B5B">
      <w:pPr>
        <w:spacing w:after="240" w:line="240" w:lineRule="auto"/>
        <w:ind w:firstLine="0"/>
        <w:rPr>
          <w:rFonts w:ascii="Arial Black" w:hAnsi="Arial Black"/>
          <w:sz w:val="22"/>
        </w:rPr>
      </w:pPr>
      <w:r>
        <w:rPr>
          <w:rFonts w:ascii="Arial Black" w:hAnsi="Arial Black"/>
          <w:sz w:val="22"/>
        </w:rPr>
        <w:t>Table C.6. Parent TOT model results, without baseline covariates</w:t>
      </w:r>
    </w:p>
    <w:tbl>
      <w:tblPr>
        <w:tblStyle w:val="MPRBaseTable"/>
        <w:tblW w:w="9360" w:type="dxa"/>
        <w:tblLayout w:type="fixed"/>
        <w:tblLook w:val="04A0" w:firstRow="1" w:lastRow="0" w:firstColumn="1" w:lastColumn="0" w:noHBand="0" w:noVBand="1"/>
      </w:tblPr>
      <w:tblGrid>
        <w:gridCol w:w="2880"/>
        <w:gridCol w:w="2970"/>
        <w:gridCol w:w="1800"/>
        <w:gridCol w:w="1710"/>
      </w:tblGrid>
      <w:tr w:rsidR="00432B5B" w:rsidRPr="00DA493F" w14:paraId="3885EE66" w14:textId="77777777" w:rsidTr="007867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80" w:type="dxa"/>
          </w:tcPr>
          <w:p w14:paraId="05A2BC8F" w14:textId="77777777" w:rsidR="00432B5B" w:rsidRPr="00DA493F" w:rsidRDefault="00432B5B" w:rsidP="007867DD">
            <w:pPr>
              <w:pStyle w:val="Customheader"/>
            </w:pPr>
          </w:p>
        </w:tc>
        <w:tc>
          <w:tcPr>
            <w:tcW w:w="2970" w:type="dxa"/>
          </w:tcPr>
          <w:p w14:paraId="4F28646F" w14:textId="77777777" w:rsidR="00432B5B" w:rsidRPr="00482C1F" w:rsidRDefault="00432B5B" w:rsidP="007867DD">
            <w:pPr>
              <w:pStyle w:val="TableHeaderCenter"/>
              <w:cnfStyle w:val="100000000000" w:firstRow="1" w:lastRow="0" w:firstColumn="0" w:lastColumn="0" w:oddVBand="0" w:evenVBand="0" w:oddHBand="0" w:evenHBand="0" w:firstRowFirstColumn="0" w:firstRowLastColumn="0" w:lastRowFirstColumn="0" w:lastRowLastColumn="0"/>
              <w:rPr>
                <w:b/>
              </w:rPr>
            </w:pPr>
            <w:r w:rsidRPr="00482C1F">
              <w:t>First stage</w:t>
            </w:r>
            <w:r w:rsidRPr="00482C1F">
              <w:br/>
              <w:t>(treatment–control difference in enrollment rate)</w:t>
            </w:r>
          </w:p>
        </w:tc>
        <w:tc>
          <w:tcPr>
            <w:tcW w:w="1800" w:type="dxa"/>
          </w:tcPr>
          <w:p w14:paraId="5BA1CFCA" w14:textId="77777777" w:rsidR="00432B5B" w:rsidRPr="00482C1F" w:rsidRDefault="00432B5B" w:rsidP="007867DD">
            <w:pPr>
              <w:pStyle w:val="TableHeaderCenter"/>
              <w:cnfStyle w:val="100000000000" w:firstRow="1" w:lastRow="0" w:firstColumn="0" w:lastColumn="0" w:oddVBand="0" w:evenVBand="0" w:oddHBand="0" w:evenHBand="0" w:firstRowFirstColumn="0" w:firstRowLastColumn="0" w:lastRowFirstColumn="0" w:lastRowLastColumn="0"/>
              <w:rPr>
                <w:b/>
              </w:rPr>
            </w:pPr>
            <w:r w:rsidRPr="00482C1F">
              <w:t>Reduced form</w:t>
            </w:r>
            <w:r w:rsidRPr="00482C1F">
              <w:br/>
              <w:t>(ITT impact)</w:t>
            </w:r>
          </w:p>
        </w:tc>
        <w:tc>
          <w:tcPr>
            <w:tcW w:w="1710" w:type="dxa"/>
          </w:tcPr>
          <w:p w14:paraId="69AD4D93" w14:textId="77777777" w:rsidR="00432B5B" w:rsidRPr="00482C1F" w:rsidRDefault="00432B5B" w:rsidP="007867DD">
            <w:pPr>
              <w:pStyle w:val="TableHeaderCenter"/>
              <w:cnfStyle w:val="100000000000" w:firstRow="1" w:lastRow="0" w:firstColumn="0" w:lastColumn="0" w:oddVBand="0" w:evenVBand="0" w:oddHBand="0" w:evenHBand="0" w:firstRowFirstColumn="0" w:firstRowLastColumn="0" w:lastRowFirstColumn="0" w:lastRowLastColumn="0"/>
              <w:rPr>
                <w:b/>
              </w:rPr>
            </w:pPr>
            <w:r w:rsidRPr="00482C1F">
              <w:t>2SLS</w:t>
            </w:r>
            <w:r w:rsidRPr="00482C1F">
              <w:br/>
              <w:t>(TOT impact)</w:t>
            </w:r>
          </w:p>
        </w:tc>
      </w:tr>
      <w:tr w:rsidR="00432B5B" w:rsidRPr="00DA493F" w14:paraId="2527B61C" w14:textId="77777777" w:rsidTr="00786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5178B69" w14:textId="77777777" w:rsidR="00432B5B" w:rsidRPr="00DA493F" w:rsidRDefault="00432B5B" w:rsidP="007867DD">
            <w:pPr>
              <w:pStyle w:val="TableText"/>
              <w:spacing w:before="60" w:after="60"/>
            </w:pPr>
            <w:r w:rsidRPr="00DA493F">
              <w:t xml:space="preserve">Registered </w:t>
            </w:r>
            <w:r>
              <w:t>before</w:t>
            </w:r>
            <w:r w:rsidRPr="00DA493F">
              <w:t xml:space="preserve"> 2016 election</w:t>
            </w:r>
          </w:p>
        </w:tc>
        <w:tc>
          <w:tcPr>
            <w:tcW w:w="2970" w:type="dxa"/>
            <w:vAlign w:val="center"/>
          </w:tcPr>
          <w:p w14:paraId="3F0218FF" w14:textId="77777777" w:rsidR="00182D2A" w:rsidRDefault="00182D2A" w:rsidP="00182D2A">
            <w:pPr>
              <w:pStyle w:val="TableText"/>
              <w:tabs>
                <w:tab w:val="decimal" w:pos="1242"/>
              </w:tabs>
              <w:spacing w:before="60" w:after="60"/>
              <w:cnfStyle w:val="000000100000" w:firstRow="0" w:lastRow="0" w:firstColumn="0" w:lastColumn="0" w:oddVBand="0" w:evenVBand="0" w:oddHBand="1" w:evenHBand="0" w:firstRowFirstColumn="0" w:firstRowLastColumn="0" w:lastRowFirstColumn="0" w:lastRowLastColumn="0"/>
            </w:pPr>
            <w:r>
              <w:t>0.225**</w:t>
            </w:r>
          </w:p>
          <w:p w14:paraId="734BF224" w14:textId="4E85B5D1" w:rsidR="00432B5B" w:rsidRPr="00DA493F" w:rsidRDefault="00182D2A" w:rsidP="00182D2A">
            <w:pPr>
              <w:pStyle w:val="TableText"/>
              <w:tabs>
                <w:tab w:val="decimal" w:pos="1242"/>
              </w:tabs>
              <w:spacing w:before="60" w:after="60"/>
              <w:cnfStyle w:val="000000100000" w:firstRow="0" w:lastRow="0" w:firstColumn="0" w:lastColumn="0" w:oddVBand="0" w:evenVBand="0" w:oddHBand="1" w:evenHBand="0" w:firstRowFirstColumn="0" w:firstRowLastColumn="0" w:lastRowFirstColumn="0" w:lastRowLastColumn="0"/>
            </w:pPr>
            <w:r>
              <w:t>(0.011)</w:t>
            </w:r>
          </w:p>
        </w:tc>
        <w:tc>
          <w:tcPr>
            <w:tcW w:w="1800" w:type="dxa"/>
            <w:vAlign w:val="center"/>
          </w:tcPr>
          <w:p w14:paraId="7BAC49DD" w14:textId="77777777" w:rsidR="00182D2A" w:rsidRDefault="00182D2A" w:rsidP="00182D2A">
            <w:pPr>
              <w:pStyle w:val="TableText"/>
              <w:tabs>
                <w:tab w:val="decimal" w:pos="612"/>
              </w:tabs>
              <w:spacing w:before="60" w:after="60"/>
              <w:cnfStyle w:val="000000100000" w:firstRow="0" w:lastRow="0" w:firstColumn="0" w:lastColumn="0" w:oddVBand="0" w:evenVBand="0" w:oddHBand="1" w:evenHBand="0" w:firstRowFirstColumn="0" w:firstRowLastColumn="0" w:lastRowFirstColumn="0" w:lastRowLastColumn="0"/>
            </w:pPr>
            <w:r>
              <w:t>-0.012</w:t>
            </w:r>
          </w:p>
          <w:p w14:paraId="4395355B" w14:textId="1B9AA570" w:rsidR="00432B5B" w:rsidRPr="00DA493F" w:rsidRDefault="00182D2A" w:rsidP="00182D2A">
            <w:pPr>
              <w:pStyle w:val="TableText"/>
              <w:tabs>
                <w:tab w:val="decimal" w:pos="612"/>
              </w:tabs>
              <w:spacing w:before="60" w:after="60"/>
              <w:cnfStyle w:val="000000100000" w:firstRow="0" w:lastRow="0" w:firstColumn="0" w:lastColumn="0" w:oddVBand="0" w:evenVBand="0" w:oddHBand="1" w:evenHBand="0" w:firstRowFirstColumn="0" w:firstRowLastColumn="0" w:lastRowFirstColumn="0" w:lastRowLastColumn="0"/>
            </w:pPr>
            <w:r>
              <w:t>(0.015)</w:t>
            </w:r>
          </w:p>
        </w:tc>
        <w:tc>
          <w:tcPr>
            <w:tcW w:w="1710" w:type="dxa"/>
            <w:vAlign w:val="center"/>
          </w:tcPr>
          <w:p w14:paraId="2C77657C" w14:textId="77777777" w:rsidR="00182D2A" w:rsidRDefault="00182D2A" w:rsidP="00182D2A">
            <w:pPr>
              <w:pStyle w:val="TableText"/>
              <w:tabs>
                <w:tab w:val="decimal" w:pos="612"/>
              </w:tabs>
              <w:spacing w:before="60" w:after="60"/>
              <w:cnfStyle w:val="000000100000" w:firstRow="0" w:lastRow="0" w:firstColumn="0" w:lastColumn="0" w:oddVBand="0" w:evenVBand="0" w:oddHBand="1" w:evenHBand="0" w:firstRowFirstColumn="0" w:firstRowLastColumn="0" w:lastRowFirstColumn="0" w:lastRowLastColumn="0"/>
            </w:pPr>
            <w:r>
              <w:t>-0.054</w:t>
            </w:r>
          </w:p>
          <w:p w14:paraId="4E2CBBA6" w14:textId="7B7CFF97" w:rsidR="00432B5B" w:rsidRPr="00DA493F" w:rsidRDefault="00182D2A" w:rsidP="00182D2A">
            <w:pPr>
              <w:pStyle w:val="TableText"/>
              <w:tabs>
                <w:tab w:val="decimal" w:pos="612"/>
              </w:tabs>
              <w:spacing w:before="60" w:after="60"/>
              <w:cnfStyle w:val="000000100000" w:firstRow="0" w:lastRow="0" w:firstColumn="0" w:lastColumn="0" w:oddVBand="0" w:evenVBand="0" w:oddHBand="1" w:evenHBand="0" w:firstRowFirstColumn="0" w:firstRowLastColumn="0" w:lastRowFirstColumn="0" w:lastRowLastColumn="0"/>
            </w:pPr>
            <w:r>
              <w:t>(0.068)</w:t>
            </w:r>
          </w:p>
        </w:tc>
      </w:tr>
      <w:tr w:rsidR="00432B5B" w:rsidRPr="00DA493F" w14:paraId="07E43C68" w14:textId="77777777" w:rsidTr="007867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C6222B0" w14:textId="7E40399D" w:rsidR="00432B5B" w:rsidRPr="00DA493F" w:rsidRDefault="00432B5B" w:rsidP="007867DD">
            <w:pPr>
              <w:pStyle w:val="TableText"/>
              <w:spacing w:before="60" w:after="60"/>
            </w:pPr>
            <w:r>
              <w:t>Voted in any 2014 election</w:t>
            </w:r>
          </w:p>
        </w:tc>
        <w:tc>
          <w:tcPr>
            <w:tcW w:w="2970" w:type="dxa"/>
            <w:vAlign w:val="center"/>
          </w:tcPr>
          <w:p w14:paraId="03012497" w14:textId="77777777" w:rsidR="00182D2A" w:rsidRDefault="00182D2A" w:rsidP="00182D2A">
            <w:pPr>
              <w:pStyle w:val="TableText"/>
              <w:tabs>
                <w:tab w:val="decimal" w:pos="1242"/>
              </w:tabs>
              <w:spacing w:before="60" w:after="60"/>
              <w:cnfStyle w:val="000000010000" w:firstRow="0" w:lastRow="0" w:firstColumn="0" w:lastColumn="0" w:oddVBand="0" w:evenVBand="0" w:oddHBand="0" w:evenHBand="1" w:firstRowFirstColumn="0" w:firstRowLastColumn="0" w:lastRowFirstColumn="0" w:lastRowLastColumn="0"/>
            </w:pPr>
            <w:r>
              <w:t>0.264**</w:t>
            </w:r>
          </w:p>
          <w:p w14:paraId="2BD960C0" w14:textId="5DE56688" w:rsidR="00432B5B" w:rsidRPr="00DA493F" w:rsidRDefault="00182D2A" w:rsidP="00182D2A">
            <w:pPr>
              <w:pStyle w:val="TableText"/>
              <w:tabs>
                <w:tab w:val="decimal" w:pos="1242"/>
              </w:tabs>
              <w:spacing w:before="60" w:after="60"/>
              <w:cnfStyle w:val="000000010000" w:firstRow="0" w:lastRow="0" w:firstColumn="0" w:lastColumn="0" w:oddVBand="0" w:evenVBand="0" w:oddHBand="0" w:evenHBand="1" w:firstRowFirstColumn="0" w:firstRowLastColumn="0" w:lastRowFirstColumn="0" w:lastRowLastColumn="0"/>
            </w:pPr>
            <w:r>
              <w:t>(0.016)</w:t>
            </w:r>
          </w:p>
        </w:tc>
        <w:tc>
          <w:tcPr>
            <w:tcW w:w="1800" w:type="dxa"/>
            <w:vAlign w:val="center"/>
          </w:tcPr>
          <w:p w14:paraId="25FB9DB7" w14:textId="77777777" w:rsidR="00182D2A" w:rsidRDefault="00182D2A" w:rsidP="00182D2A">
            <w:pPr>
              <w:pStyle w:val="TableText"/>
              <w:tabs>
                <w:tab w:val="decimal" w:pos="612"/>
              </w:tabs>
              <w:spacing w:before="60" w:after="60"/>
              <w:cnfStyle w:val="000000010000" w:firstRow="0" w:lastRow="0" w:firstColumn="0" w:lastColumn="0" w:oddVBand="0" w:evenVBand="0" w:oddHBand="0" w:evenHBand="1" w:firstRowFirstColumn="0" w:firstRowLastColumn="0" w:lastRowFirstColumn="0" w:lastRowLastColumn="0"/>
            </w:pPr>
            <w:r>
              <w:t>0.013</w:t>
            </w:r>
          </w:p>
          <w:p w14:paraId="4D618309" w14:textId="40DE47D4" w:rsidR="00432B5B" w:rsidRPr="00DA493F" w:rsidRDefault="00182D2A" w:rsidP="00182D2A">
            <w:pPr>
              <w:pStyle w:val="TableText"/>
              <w:tabs>
                <w:tab w:val="decimal" w:pos="612"/>
              </w:tabs>
              <w:spacing w:before="60" w:after="60"/>
              <w:cnfStyle w:val="000000010000" w:firstRow="0" w:lastRow="0" w:firstColumn="0" w:lastColumn="0" w:oddVBand="0" w:evenVBand="0" w:oddHBand="0" w:evenHBand="1" w:firstRowFirstColumn="0" w:firstRowLastColumn="0" w:lastRowFirstColumn="0" w:lastRowLastColumn="0"/>
            </w:pPr>
            <w:r>
              <w:t>(0.015)</w:t>
            </w:r>
          </w:p>
        </w:tc>
        <w:tc>
          <w:tcPr>
            <w:tcW w:w="1710" w:type="dxa"/>
            <w:vAlign w:val="center"/>
          </w:tcPr>
          <w:p w14:paraId="5F1402A4" w14:textId="77777777" w:rsidR="00182D2A" w:rsidRDefault="00182D2A" w:rsidP="00182D2A">
            <w:pPr>
              <w:pStyle w:val="TableText"/>
              <w:tabs>
                <w:tab w:val="decimal" w:pos="612"/>
              </w:tabs>
              <w:spacing w:before="60" w:after="60"/>
              <w:cnfStyle w:val="000000010000" w:firstRow="0" w:lastRow="0" w:firstColumn="0" w:lastColumn="0" w:oddVBand="0" w:evenVBand="0" w:oddHBand="0" w:evenHBand="1" w:firstRowFirstColumn="0" w:firstRowLastColumn="0" w:lastRowFirstColumn="0" w:lastRowLastColumn="0"/>
            </w:pPr>
            <w:r>
              <w:t>0.048</w:t>
            </w:r>
          </w:p>
          <w:p w14:paraId="30ECCF94" w14:textId="1DB62A1E" w:rsidR="00432B5B" w:rsidRPr="00DA493F" w:rsidRDefault="00182D2A" w:rsidP="00182D2A">
            <w:pPr>
              <w:pStyle w:val="TableText"/>
              <w:tabs>
                <w:tab w:val="decimal" w:pos="612"/>
              </w:tabs>
              <w:spacing w:before="60" w:after="60"/>
              <w:cnfStyle w:val="000000010000" w:firstRow="0" w:lastRow="0" w:firstColumn="0" w:lastColumn="0" w:oddVBand="0" w:evenVBand="0" w:oddHBand="0" w:evenHBand="1" w:firstRowFirstColumn="0" w:firstRowLastColumn="0" w:lastRowFirstColumn="0" w:lastRowLastColumn="0"/>
            </w:pPr>
            <w:r>
              <w:t>(0.057)</w:t>
            </w:r>
          </w:p>
        </w:tc>
      </w:tr>
      <w:tr w:rsidR="00432B5B" w:rsidRPr="00DA493F" w14:paraId="0918C302" w14:textId="77777777" w:rsidTr="00786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7F820BBC" w14:textId="77777777" w:rsidR="00432B5B" w:rsidRPr="00DA493F" w:rsidRDefault="00432B5B" w:rsidP="007867DD">
            <w:pPr>
              <w:pStyle w:val="TableText"/>
              <w:spacing w:before="60" w:after="60"/>
            </w:pPr>
            <w:r w:rsidRPr="00DA493F">
              <w:t>Voted in any 2016 election</w:t>
            </w:r>
          </w:p>
        </w:tc>
        <w:tc>
          <w:tcPr>
            <w:tcW w:w="2970" w:type="dxa"/>
            <w:vAlign w:val="center"/>
          </w:tcPr>
          <w:p w14:paraId="5AC9AA57" w14:textId="77777777" w:rsidR="00182D2A" w:rsidRDefault="00182D2A" w:rsidP="00182D2A">
            <w:pPr>
              <w:pStyle w:val="TableText"/>
              <w:tabs>
                <w:tab w:val="decimal" w:pos="1242"/>
              </w:tabs>
              <w:spacing w:before="60" w:after="60"/>
              <w:cnfStyle w:val="000000100000" w:firstRow="0" w:lastRow="0" w:firstColumn="0" w:lastColumn="0" w:oddVBand="0" w:evenVBand="0" w:oddHBand="1" w:evenHBand="0" w:firstRowFirstColumn="0" w:firstRowLastColumn="0" w:lastRowFirstColumn="0" w:lastRowLastColumn="0"/>
            </w:pPr>
            <w:r>
              <w:t>0.225**</w:t>
            </w:r>
          </w:p>
          <w:p w14:paraId="3B093B03" w14:textId="0598B209" w:rsidR="00432B5B" w:rsidRPr="00DA493F" w:rsidRDefault="00182D2A" w:rsidP="00182D2A">
            <w:pPr>
              <w:pStyle w:val="TableText"/>
              <w:tabs>
                <w:tab w:val="decimal" w:pos="1242"/>
              </w:tabs>
              <w:spacing w:before="60" w:after="60"/>
              <w:cnfStyle w:val="000000100000" w:firstRow="0" w:lastRow="0" w:firstColumn="0" w:lastColumn="0" w:oddVBand="0" w:evenVBand="0" w:oddHBand="1" w:evenHBand="0" w:firstRowFirstColumn="0" w:firstRowLastColumn="0" w:lastRowFirstColumn="0" w:lastRowLastColumn="0"/>
            </w:pPr>
            <w:r>
              <w:t>(0.011)</w:t>
            </w:r>
          </w:p>
        </w:tc>
        <w:tc>
          <w:tcPr>
            <w:tcW w:w="1800" w:type="dxa"/>
            <w:vAlign w:val="center"/>
          </w:tcPr>
          <w:p w14:paraId="00A87623" w14:textId="77777777" w:rsidR="00182D2A" w:rsidRDefault="00182D2A" w:rsidP="00182D2A">
            <w:pPr>
              <w:pStyle w:val="TableText"/>
              <w:tabs>
                <w:tab w:val="decimal" w:pos="612"/>
              </w:tabs>
              <w:spacing w:before="60" w:after="60"/>
              <w:cnfStyle w:val="000000100000" w:firstRow="0" w:lastRow="0" w:firstColumn="0" w:lastColumn="0" w:oddVBand="0" w:evenVBand="0" w:oddHBand="1" w:evenHBand="0" w:firstRowFirstColumn="0" w:firstRowLastColumn="0" w:lastRowFirstColumn="0" w:lastRowLastColumn="0"/>
            </w:pPr>
            <w:r>
              <w:t>0.004</w:t>
            </w:r>
          </w:p>
          <w:p w14:paraId="6C29A48D" w14:textId="59C8DB21" w:rsidR="00432B5B" w:rsidRPr="00DA493F" w:rsidRDefault="00182D2A" w:rsidP="00182D2A">
            <w:pPr>
              <w:pStyle w:val="TableText"/>
              <w:tabs>
                <w:tab w:val="decimal" w:pos="612"/>
              </w:tabs>
              <w:spacing w:before="60" w:after="60"/>
              <w:cnfStyle w:val="000000100000" w:firstRow="0" w:lastRow="0" w:firstColumn="0" w:lastColumn="0" w:oddVBand="0" w:evenVBand="0" w:oddHBand="1" w:evenHBand="0" w:firstRowFirstColumn="0" w:firstRowLastColumn="0" w:lastRowFirstColumn="0" w:lastRowLastColumn="0"/>
            </w:pPr>
            <w:r>
              <w:t>(0.016)</w:t>
            </w:r>
          </w:p>
        </w:tc>
        <w:tc>
          <w:tcPr>
            <w:tcW w:w="1710" w:type="dxa"/>
            <w:vAlign w:val="center"/>
          </w:tcPr>
          <w:p w14:paraId="0A4A981D" w14:textId="77777777" w:rsidR="00182D2A" w:rsidRDefault="00182D2A" w:rsidP="00182D2A">
            <w:pPr>
              <w:pStyle w:val="TableText"/>
              <w:tabs>
                <w:tab w:val="decimal" w:pos="612"/>
              </w:tabs>
              <w:spacing w:before="60" w:after="60"/>
              <w:cnfStyle w:val="000000100000" w:firstRow="0" w:lastRow="0" w:firstColumn="0" w:lastColumn="0" w:oddVBand="0" w:evenVBand="0" w:oddHBand="1" w:evenHBand="0" w:firstRowFirstColumn="0" w:firstRowLastColumn="0" w:lastRowFirstColumn="0" w:lastRowLastColumn="0"/>
            </w:pPr>
            <w:r>
              <w:t>0.017</w:t>
            </w:r>
          </w:p>
          <w:p w14:paraId="149A937C" w14:textId="6ABA5504" w:rsidR="00432B5B" w:rsidRPr="00DA493F" w:rsidRDefault="00182D2A" w:rsidP="00182D2A">
            <w:pPr>
              <w:pStyle w:val="TableText"/>
              <w:tabs>
                <w:tab w:val="decimal" w:pos="612"/>
              </w:tabs>
              <w:spacing w:before="60" w:after="60"/>
              <w:cnfStyle w:val="000000100000" w:firstRow="0" w:lastRow="0" w:firstColumn="0" w:lastColumn="0" w:oddVBand="0" w:evenVBand="0" w:oddHBand="1" w:evenHBand="0" w:firstRowFirstColumn="0" w:firstRowLastColumn="0" w:lastRowFirstColumn="0" w:lastRowLastColumn="0"/>
            </w:pPr>
            <w:r>
              <w:t>(0.071)</w:t>
            </w:r>
          </w:p>
        </w:tc>
      </w:tr>
      <w:tr w:rsidR="00432B5B" w:rsidRPr="00DA493F" w14:paraId="450CCFBC" w14:textId="77777777" w:rsidTr="007867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5FDD7BB" w14:textId="77777777" w:rsidR="00432B5B" w:rsidRPr="00DA493F" w:rsidRDefault="00432B5B" w:rsidP="007867DD">
            <w:pPr>
              <w:pStyle w:val="TableText"/>
              <w:spacing w:before="60" w:after="60"/>
            </w:pPr>
            <w:r w:rsidRPr="00DA493F">
              <w:rPr>
                <w:b/>
              </w:rPr>
              <w:t>N</w:t>
            </w:r>
            <w:r>
              <w:rPr>
                <w:b/>
              </w:rPr>
              <w:t>umber</w:t>
            </w:r>
          </w:p>
        </w:tc>
        <w:tc>
          <w:tcPr>
            <w:tcW w:w="2970" w:type="dxa"/>
          </w:tcPr>
          <w:p w14:paraId="4649D6A8" w14:textId="16221CD8" w:rsidR="00432B5B" w:rsidRPr="00182D2A" w:rsidRDefault="00182D2A" w:rsidP="007867DD">
            <w:pPr>
              <w:pStyle w:val="TableText"/>
              <w:spacing w:before="60" w:after="60"/>
              <w:jc w:val="center"/>
              <w:cnfStyle w:val="000000010000" w:firstRow="0" w:lastRow="0" w:firstColumn="0" w:lastColumn="0" w:oddVBand="0" w:evenVBand="0" w:oddHBand="0" w:evenHBand="1" w:firstRowFirstColumn="0" w:firstRowLastColumn="0" w:lastRowFirstColumn="0" w:lastRowLastColumn="0"/>
              <w:rPr>
                <w:b/>
                <w:bCs/>
              </w:rPr>
            </w:pPr>
            <w:r w:rsidRPr="00182D2A">
              <w:rPr>
                <w:b/>
                <w:bCs/>
              </w:rPr>
              <w:t>3,296-5,792</w:t>
            </w:r>
          </w:p>
        </w:tc>
        <w:tc>
          <w:tcPr>
            <w:tcW w:w="1800" w:type="dxa"/>
          </w:tcPr>
          <w:p w14:paraId="19BCCDF0" w14:textId="3FCE12D1" w:rsidR="00432B5B" w:rsidRPr="00DA493F" w:rsidRDefault="00182D2A" w:rsidP="007867DD">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rsidRPr="00082FBD">
              <w:rPr>
                <w:b/>
              </w:rPr>
              <w:t>3,296-5,792</w:t>
            </w:r>
          </w:p>
        </w:tc>
        <w:tc>
          <w:tcPr>
            <w:tcW w:w="1710" w:type="dxa"/>
          </w:tcPr>
          <w:p w14:paraId="7B354108" w14:textId="0F3E9F55" w:rsidR="00432B5B" w:rsidRPr="00DA493F" w:rsidRDefault="00182D2A" w:rsidP="007867DD">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rsidRPr="00082FBD">
              <w:rPr>
                <w:b/>
              </w:rPr>
              <w:t>3,296-5,792</w:t>
            </w:r>
          </w:p>
        </w:tc>
      </w:tr>
    </w:tbl>
    <w:p w14:paraId="178A34A5" w14:textId="77777777" w:rsidR="00432B5B" w:rsidRDefault="00432B5B" w:rsidP="00432B5B">
      <w:pPr>
        <w:pStyle w:val="TableSourceCaption"/>
      </w:pPr>
      <w:r w:rsidRPr="00B701C9">
        <w:t>Note:</w:t>
      </w:r>
      <w:r w:rsidRPr="00B701C9">
        <w:tab/>
        <w:t>Standard errors in parentheses.</w:t>
      </w:r>
      <w:r>
        <w:t xml:space="preserve"> Model includes weights and lottery fixed effects.</w:t>
      </w:r>
    </w:p>
    <w:p w14:paraId="2C124D26" w14:textId="77777777" w:rsidR="00432B5B" w:rsidRDefault="00432B5B" w:rsidP="00432B5B">
      <w:pPr>
        <w:pStyle w:val="TableFootnoteCaption"/>
      </w:pPr>
      <w:r>
        <w:t xml:space="preserve">* </w:t>
      </w:r>
      <w:r w:rsidRPr="00B701C9">
        <w:rPr>
          <w:i/>
        </w:rPr>
        <w:t>p</w:t>
      </w:r>
      <w:r>
        <w:t xml:space="preserve"> &lt; 0.05, ** </w:t>
      </w:r>
      <w:r w:rsidRPr="00B701C9">
        <w:rPr>
          <w:i/>
        </w:rPr>
        <w:t>p</w:t>
      </w:r>
      <w:r>
        <w:t xml:space="preserve"> &lt; 0.01.</w:t>
      </w:r>
    </w:p>
    <w:p w14:paraId="55266EEA" w14:textId="77777777" w:rsidR="00432B5B" w:rsidRDefault="00432B5B" w:rsidP="00432B5B">
      <w:pPr>
        <w:pStyle w:val="TableSignificanceCaption"/>
      </w:pPr>
      <w:r w:rsidRPr="00B701C9">
        <w:t>2SLS = two-stage least squares; ITT</w:t>
      </w:r>
      <w:r>
        <w:t xml:space="preserve"> = intent-to-treat; TOT = treatment-on-the-treated.</w:t>
      </w:r>
    </w:p>
    <w:p w14:paraId="1BB14869" w14:textId="77777777" w:rsidR="00432B5B" w:rsidRDefault="00432B5B" w:rsidP="0083620E">
      <w:pPr>
        <w:pStyle w:val="TableSignificanceCaption"/>
      </w:pPr>
    </w:p>
    <w:sectPr w:rsidR="00432B5B" w:rsidSect="007B0D70">
      <w:headerReference w:type="default" r:id="rId15"/>
      <w:footerReference w:type="default" r:id="rId16"/>
      <w:endnotePr>
        <w:numFmt w:val="decimal"/>
      </w:endnotePr>
      <w:pgSz w:w="12240" w:h="15840" w:code="1"/>
      <w:pgMar w:top="1440" w:right="1080" w:bottom="1440" w:left="108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8AB5B" w14:textId="77777777" w:rsidR="003C140A" w:rsidRDefault="003C140A" w:rsidP="002E3E35">
      <w:pPr>
        <w:spacing w:line="240" w:lineRule="auto"/>
      </w:pPr>
      <w:r>
        <w:separator/>
      </w:r>
    </w:p>
  </w:endnote>
  <w:endnote w:type="continuationSeparator" w:id="0">
    <w:p w14:paraId="5B672C4A" w14:textId="77777777" w:rsidR="003C140A" w:rsidRDefault="003C140A"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Goudy Old Style">
    <w:altName w:val="Goudy Old Style"/>
    <w:panose1 w:val="02020502050305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FAFEC" w14:textId="77777777" w:rsidR="0083620E" w:rsidRPr="00A12B64" w:rsidRDefault="0083620E" w:rsidP="001F2C28">
    <w:pPr>
      <w:pStyle w:val="Footer"/>
      <w:pBdr>
        <w:bottom w:val="none" w:sz="0" w:space="0" w:color="auto"/>
      </w:pBdr>
      <w:tabs>
        <w:tab w:val="clear" w:pos="4320"/>
        <w:tab w:val="right" w:leader="underscore" w:pos="8539"/>
      </w:tabs>
      <w:spacing w:line="192" w:lineRule="auto"/>
      <w:rPr>
        <w:rFonts w:cs="Arial"/>
        <w:snapToGrid w:val="0"/>
        <w:szCs w:val="14"/>
      </w:rPr>
    </w:pPr>
  </w:p>
  <w:p w14:paraId="073CD717" w14:textId="77777777" w:rsidR="0083620E" w:rsidRDefault="0083620E" w:rsidP="001F2C28">
    <w:pPr>
      <w:pStyle w:val="Footer"/>
      <w:pBdr>
        <w:top w:val="single" w:sz="2" w:space="1" w:color="auto"/>
        <w:bottom w:val="none" w:sz="0" w:space="0" w:color="auto"/>
      </w:pBdr>
      <w:spacing w:line="192" w:lineRule="auto"/>
      <w:rPr>
        <w:rStyle w:val="PageNumber"/>
      </w:rPr>
    </w:pPr>
  </w:p>
  <w:p w14:paraId="441445A0" w14:textId="58BFF4C6" w:rsidR="0083620E" w:rsidRPr="001F2C28" w:rsidRDefault="0083620E" w:rsidP="001F2C28">
    <w:pPr>
      <w:pStyle w:val="Footer"/>
      <w:pBdr>
        <w:top w:val="single" w:sz="2" w:space="1" w:color="auto"/>
        <w:bottom w:val="none" w:sz="0" w:space="0" w:color="auto"/>
      </w:pBdr>
      <w:rPr>
        <w:rStyle w:val="PageNumber"/>
      </w:rPr>
    </w:pPr>
    <w:r w:rsidRPr="00964AB7">
      <w:rPr>
        <w:rStyle w:val="PageNumber"/>
      </w:rPr>
      <w:tab/>
    </w:r>
    <w:r>
      <w:rPr>
        <w:rStyle w:val="PageNumber"/>
      </w:rPr>
      <w:t>A-</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C14D8B">
      <w:rPr>
        <w:rStyle w:val="PageNumber"/>
        <w:noProof/>
      </w:rPr>
      <w:t>2</w:t>
    </w:r>
    <w:r w:rsidRPr="00964AB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30C75" w14:textId="7D092129" w:rsidR="0083620E" w:rsidRPr="001F2C28" w:rsidRDefault="0083620E" w:rsidP="001F2C28">
    <w:pPr>
      <w:pStyle w:val="NormalSS"/>
      <w:rPr>
        <w:rStyle w:val="PageNumber"/>
        <w:rFonts w:ascii="Times New Roman" w:hAnsi="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3BA54" w14:textId="77777777" w:rsidR="0083620E" w:rsidRPr="001F2C28" w:rsidRDefault="0083620E" w:rsidP="001F2C28">
    <w:pPr>
      <w:pStyle w:val="NormalSS"/>
      <w:rPr>
        <w:rStyle w:val="PageNumber"/>
        <w:rFonts w:ascii="Times New Roman"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1B3F6" w14:textId="23D9EA2E" w:rsidR="0083620E" w:rsidRDefault="0083620E">
    <w:pPr>
      <w:pStyle w:val="Footer"/>
      <w:jc w:val="center"/>
    </w:pPr>
    <w:r>
      <w:t>C-</w:t>
    </w:r>
    <w:sdt>
      <w:sdtPr>
        <w:id w:val="6946543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4D8B">
          <w:rPr>
            <w:noProof/>
          </w:rPr>
          <w:t>7</w:t>
        </w:r>
        <w:r>
          <w:rPr>
            <w:noProof/>
          </w:rPr>
          <w:fldChar w:fldCharType="end"/>
        </w:r>
      </w:sdtContent>
    </w:sdt>
  </w:p>
  <w:p w14:paraId="04D71ADC" w14:textId="77777777" w:rsidR="0083620E" w:rsidRPr="004B75AD" w:rsidRDefault="0083620E" w:rsidP="00A90543">
    <w:pPr>
      <w:pStyle w:val="NormalSS"/>
      <w:rPr>
        <w:rStyle w:val="PageNumbe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59934" w14:textId="77777777" w:rsidR="003C140A" w:rsidRDefault="003C140A" w:rsidP="00203E3B">
      <w:pPr>
        <w:spacing w:line="240" w:lineRule="auto"/>
      </w:pPr>
      <w:r>
        <w:separator/>
      </w:r>
    </w:p>
  </w:footnote>
  <w:footnote w:type="continuationSeparator" w:id="0">
    <w:p w14:paraId="18B9E8F9" w14:textId="77777777" w:rsidR="003C140A" w:rsidRDefault="003C140A" w:rsidP="00203E3B">
      <w:pPr>
        <w:spacing w:line="240" w:lineRule="auto"/>
      </w:pPr>
      <w:r>
        <w:separator/>
      </w:r>
    </w:p>
    <w:p w14:paraId="2F2B4484" w14:textId="77777777" w:rsidR="003C140A" w:rsidRPr="00157CA2" w:rsidRDefault="003C140A" w:rsidP="00203E3B">
      <w:pPr>
        <w:spacing w:after="120" w:line="240" w:lineRule="auto"/>
        <w:rPr>
          <w:sz w:val="20"/>
        </w:rPr>
      </w:pPr>
      <w:r w:rsidRPr="00157CA2">
        <w:rPr>
          <w:i/>
          <w:sz w:val="20"/>
        </w:rPr>
        <w:t>(continued)</w:t>
      </w:r>
    </w:p>
  </w:footnote>
  <w:footnote w:id="1">
    <w:p w14:paraId="72CFAA37" w14:textId="6D799C33" w:rsidR="00CB28A3" w:rsidRDefault="00CB28A3">
      <w:pPr>
        <w:pStyle w:val="FootnoteText"/>
      </w:pPr>
      <w:r>
        <w:rPr>
          <w:rStyle w:val="FootnoteReference"/>
        </w:rPr>
        <w:footnoteRef/>
      </w:r>
      <w:r>
        <w:t xml:space="preserve"> While we prefer the models with baseline covariates, we also provide results for models that exclude baseline covariates. As shown in Appendices B and C, results are similar across both specifications.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2036" w14:textId="3F78492F" w:rsidR="0083620E" w:rsidRPr="00C44B5B" w:rsidRDefault="0083620E" w:rsidP="005979FF">
    <w:pPr>
      <w:pStyle w:val="Header"/>
      <w:rPr>
        <w:rFonts w:cs="Arial"/>
        <w:i/>
        <w:szCs w:val="14"/>
      </w:rPr>
    </w:pPr>
    <w:r w:rsidRPr="006F6DD5">
      <w:tab/>
    </w:r>
  </w:p>
  <w:p w14:paraId="765376EE" w14:textId="77777777" w:rsidR="0083620E" w:rsidRPr="005979FF" w:rsidRDefault="0083620E" w:rsidP="005979FF">
    <w:pPr>
      <w:pStyle w:val="NormalS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690C" w14:textId="77777777" w:rsidR="0083620E" w:rsidRPr="001F2C28" w:rsidRDefault="0083620E" w:rsidP="001F2C28">
    <w:pPr>
      <w:pStyle w:val="NormalS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3B7A" w14:textId="77777777" w:rsidR="0083620E" w:rsidRPr="001F2C28" w:rsidRDefault="0083620E" w:rsidP="001F2C28">
    <w:pPr>
      <w:pStyle w:val="Normal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D976E" w14:textId="77777777" w:rsidR="0083620E" w:rsidRPr="00A90543" w:rsidRDefault="0083620E" w:rsidP="00A90543">
    <w:pPr>
      <w:pStyle w:val="Normal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C018A"/>
    <w:multiLevelType w:val="hybridMultilevel"/>
    <w:tmpl w:val="7F5C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E1293"/>
    <w:multiLevelType w:val="hybridMultilevel"/>
    <w:tmpl w:val="8A16E88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03A63826"/>
    <w:multiLevelType w:val="hybridMultilevel"/>
    <w:tmpl w:val="91BA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868A3"/>
    <w:multiLevelType w:val="hybridMultilevel"/>
    <w:tmpl w:val="2254492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D728E3"/>
    <w:multiLevelType w:val="hybridMultilevel"/>
    <w:tmpl w:val="9336094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8"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32F7B"/>
    <w:multiLevelType w:val="hybridMultilevel"/>
    <w:tmpl w:val="8A16E88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83B68"/>
    <w:multiLevelType w:val="hybridMultilevel"/>
    <w:tmpl w:val="C25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65A23B61"/>
    <w:multiLevelType w:val="hybridMultilevel"/>
    <w:tmpl w:val="8436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8"/>
  </w:num>
  <w:num w:numId="2">
    <w:abstractNumId w:val="18"/>
  </w:num>
  <w:num w:numId="3">
    <w:abstractNumId w:val="30"/>
  </w:num>
  <w:num w:numId="4">
    <w:abstractNumId w:val="9"/>
  </w:num>
  <w:num w:numId="5">
    <w:abstractNumId w:val="29"/>
  </w:num>
  <w:num w:numId="6">
    <w:abstractNumId w:val="31"/>
  </w:num>
  <w:num w:numId="7">
    <w:abstractNumId w:val="24"/>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7"/>
  </w:num>
  <w:num w:numId="18">
    <w:abstractNumId w:val="12"/>
  </w:num>
  <w:num w:numId="19">
    <w:abstractNumId w:val="20"/>
  </w:num>
  <w:num w:numId="20">
    <w:abstractNumId w:val="7"/>
  </w:num>
  <w:num w:numId="21">
    <w:abstractNumId w:val="21"/>
  </w:num>
  <w:num w:numId="22">
    <w:abstractNumId w:val="5"/>
  </w:num>
  <w:num w:numId="23">
    <w:abstractNumId w:val="14"/>
  </w:num>
  <w:num w:numId="24">
    <w:abstractNumId w:val="27"/>
  </w:num>
  <w:num w:numId="25">
    <w:abstractNumId w:val="8"/>
  </w:num>
  <w:num w:numId="26">
    <w:abstractNumId w:val="3"/>
  </w:num>
  <w:num w:numId="27">
    <w:abstractNumId w:val="10"/>
  </w:num>
  <w:num w:numId="28">
    <w:abstractNumId w:val="15"/>
  </w:num>
  <w:num w:numId="29">
    <w:abstractNumId w:val="26"/>
  </w:num>
  <w:num w:numId="30">
    <w:abstractNumId w:val="23"/>
  </w:num>
  <w:num w:numId="31">
    <w:abstractNumId w:val="6"/>
  </w:num>
  <w:num w:numId="32">
    <w:abstractNumId w:val="17"/>
    <w:lvlOverride w:ilvl="0">
      <w:startOverride w:val="1"/>
    </w:lvlOverride>
  </w:num>
  <w:num w:numId="33">
    <w:abstractNumId w:val="11"/>
  </w:num>
  <w:num w:numId="34">
    <w:abstractNumId w:val="25"/>
  </w:num>
  <w:num w:numId="35">
    <w:abstractNumId w:val="1"/>
  </w:num>
  <w:num w:numId="36">
    <w:abstractNumId w:val="4"/>
  </w:num>
  <w:num w:numId="37">
    <w:abstractNumId w:val="16"/>
  </w:num>
  <w:num w:numId="38">
    <w:abstractNumId w:val="22"/>
  </w:num>
  <w:num w:numId="39">
    <w:abstractNumId w:val="2"/>
  </w:num>
  <w:num w:numId="40">
    <w:abstractNumId w:val="1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BAB"/>
    <w:rsid w:val="000030B1"/>
    <w:rsid w:val="00003B5A"/>
    <w:rsid w:val="00005408"/>
    <w:rsid w:val="000104C3"/>
    <w:rsid w:val="00010CEE"/>
    <w:rsid w:val="000119AF"/>
    <w:rsid w:val="00011AAF"/>
    <w:rsid w:val="00014C16"/>
    <w:rsid w:val="0001587F"/>
    <w:rsid w:val="00016D34"/>
    <w:rsid w:val="00020D13"/>
    <w:rsid w:val="000212FC"/>
    <w:rsid w:val="00022A0A"/>
    <w:rsid w:val="0002322B"/>
    <w:rsid w:val="0002323E"/>
    <w:rsid w:val="00023F12"/>
    <w:rsid w:val="0002565F"/>
    <w:rsid w:val="00026334"/>
    <w:rsid w:val="00027428"/>
    <w:rsid w:val="0002754E"/>
    <w:rsid w:val="00030273"/>
    <w:rsid w:val="000307F7"/>
    <w:rsid w:val="0003149A"/>
    <w:rsid w:val="0003265D"/>
    <w:rsid w:val="00032DE0"/>
    <w:rsid w:val="00032E4E"/>
    <w:rsid w:val="00034667"/>
    <w:rsid w:val="00034CBB"/>
    <w:rsid w:val="0003529C"/>
    <w:rsid w:val="000360BE"/>
    <w:rsid w:val="00036E7F"/>
    <w:rsid w:val="00037541"/>
    <w:rsid w:val="00040B2C"/>
    <w:rsid w:val="000423BE"/>
    <w:rsid w:val="00042419"/>
    <w:rsid w:val="00042726"/>
    <w:rsid w:val="00042DE8"/>
    <w:rsid w:val="00042FA8"/>
    <w:rsid w:val="00043329"/>
    <w:rsid w:val="00043B27"/>
    <w:rsid w:val="00044069"/>
    <w:rsid w:val="00046EDA"/>
    <w:rsid w:val="00047BDD"/>
    <w:rsid w:val="00056BC1"/>
    <w:rsid w:val="000571D1"/>
    <w:rsid w:val="000572C2"/>
    <w:rsid w:val="000575D5"/>
    <w:rsid w:val="000578BB"/>
    <w:rsid w:val="00060579"/>
    <w:rsid w:val="00060D27"/>
    <w:rsid w:val="000628E4"/>
    <w:rsid w:val="000633AA"/>
    <w:rsid w:val="000656E4"/>
    <w:rsid w:val="0007041A"/>
    <w:rsid w:val="00072208"/>
    <w:rsid w:val="00073D00"/>
    <w:rsid w:val="00074EFE"/>
    <w:rsid w:val="000752DC"/>
    <w:rsid w:val="000777DB"/>
    <w:rsid w:val="00077E81"/>
    <w:rsid w:val="000802CF"/>
    <w:rsid w:val="00082FBD"/>
    <w:rsid w:val="000834EE"/>
    <w:rsid w:val="00084741"/>
    <w:rsid w:val="00084BBD"/>
    <w:rsid w:val="000855BD"/>
    <w:rsid w:val="00086066"/>
    <w:rsid w:val="0009143A"/>
    <w:rsid w:val="00095543"/>
    <w:rsid w:val="000972E1"/>
    <w:rsid w:val="000A2181"/>
    <w:rsid w:val="000A2330"/>
    <w:rsid w:val="000A3F53"/>
    <w:rsid w:val="000A5A8D"/>
    <w:rsid w:val="000A6591"/>
    <w:rsid w:val="000A7190"/>
    <w:rsid w:val="000A7604"/>
    <w:rsid w:val="000A7FB4"/>
    <w:rsid w:val="000B32A3"/>
    <w:rsid w:val="000B378F"/>
    <w:rsid w:val="000B521D"/>
    <w:rsid w:val="000B555A"/>
    <w:rsid w:val="000B6EDB"/>
    <w:rsid w:val="000B764C"/>
    <w:rsid w:val="000B78F6"/>
    <w:rsid w:val="000B796B"/>
    <w:rsid w:val="000C2E3B"/>
    <w:rsid w:val="000C413E"/>
    <w:rsid w:val="000C7D4D"/>
    <w:rsid w:val="000D0132"/>
    <w:rsid w:val="000D0390"/>
    <w:rsid w:val="000D0DF9"/>
    <w:rsid w:val="000D352E"/>
    <w:rsid w:val="000D47A7"/>
    <w:rsid w:val="000D5B34"/>
    <w:rsid w:val="000D5ED0"/>
    <w:rsid w:val="000D6D88"/>
    <w:rsid w:val="000D751A"/>
    <w:rsid w:val="000E0694"/>
    <w:rsid w:val="000E1C2B"/>
    <w:rsid w:val="000E2169"/>
    <w:rsid w:val="000E2C90"/>
    <w:rsid w:val="000E4077"/>
    <w:rsid w:val="000E4597"/>
    <w:rsid w:val="000E4C3F"/>
    <w:rsid w:val="000F2062"/>
    <w:rsid w:val="000F38AF"/>
    <w:rsid w:val="000F5FC5"/>
    <w:rsid w:val="000F677B"/>
    <w:rsid w:val="001004A7"/>
    <w:rsid w:val="00105486"/>
    <w:rsid w:val="001104EA"/>
    <w:rsid w:val="001105C2"/>
    <w:rsid w:val="001119F8"/>
    <w:rsid w:val="00112098"/>
    <w:rsid w:val="00112A5E"/>
    <w:rsid w:val="00113CC8"/>
    <w:rsid w:val="00120321"/>
    <w:rsid w:val="00122C2C"/>
    <w:rsid w:val="0012542C"/>
    <w:rsid w:val="00130C03"/>
    <w:rsid w:val="001311F7"/>
    <w:rsid w:val="0013184F"/>
    <w:rsid w:val="00131D22"/>
    <w:rsid w:val="00131F00"/>
    <w:rsid w:val="0013216F"/>
    <w:rsid w:val="001329A2"/>
    <w:rsid w:val="0013346F"/>
    <w:rsid w:val="00135389"/>
    <w:rsid w:val="00135EB7"/>
    <w:rsid w:val="0013709C"/>
    <w:rsid w:val="0014122A"/>
    <w:rsid w:val="0014163C"/>
    <w:rsid w:val="00146CE3"/>
    <w:rsid w:val="00147414"/>
    <w:rsid w:val="00147515"/>
    <w:rsid w:val="00147A74"/>
    <w:rsid w:val="0015342A"/>
    <w:rsid w:val="00154248"/>
    <w:rsid w:val="00154DF1"/>
    <w:rsid w:val="00155D06"/>
    <w:rsid w:val="0015661A"/>
    <w:rsid w:val="00156EF1"/>
    <w:rsid w:val="00157631"/>
    <w:rsid w:val="00157CA2"/>
    <w:rsid w:val="0016107F"/>
    <w:rsid w:val="00162079"/>
    <w:rsid w:val="001623F8"/>
    <w:rsid w:val="001631A9"/>
    <w:rsid w:val="001649D5"/>
    <w:rsid w:val="00164BC2"/>
    <w:rsid w:val="00170A34"/>
    <w:rsid w:val="001719AF"/>
    <w:rsid w:val="001739F1"/>
    <w:rsid w:val="00173F6C"/>
    <w:rsid w:val="00176DB4"/>
    <w:rsid w:val="00176FBE"/>
    <w:rsid w:val="001801AB"/>
    <w:rsid w:val="00181AC8"/>
    <w:rsid w:val="00182D2A"/>
    <w:rsid w:val="00184421"/>
    <w:rsid w:val="00185CEF"/>
    <w:rsid w:val="00185EBE"/>
    <w:rsid w:val="001876CE"/>
    <w:rsid w:val="0019065F"/>
    <w:rsid w:val="00190E28"/>
    <w:rsid w:val="001921A4"/>
    <w:rsid w:val="00194A0E"/>
    <w:rsid w:val="00195671"/>
    <w:rsid w:val="001969F1"/>
    <w:rsid w:val="00196DCD"/>
    <w:rsid w:val="00196E5A"/>
    <w:rsid w:val="00197503"/>
    <w:rsid w:val="001A3781"/>
    <w:rsid w:val="001A5819"/>
    <w:rsid w:val="001A640D"/>
    <w:rsid w:val="001A6B3D"/>
    <w:rsid w:val="001B0CC8"/>
    <w:rsid w:val="001B107D"/>
    <w:rsid w:val="001B19FE"/>
    <w:rsid w:val="001B4842"/>
    <w:rsid w:val="001B60FD"/>
    <w:rsid w:val="001C13BF"/>
    <w:rsid w:val="001C5EB8"/>
    <w:rsid w:val="001C7FBE"/>
    <w:rsid w:val="001D01B7"/>
    <w:rsid w:val="001D3544"/>
    <w:rsid w:val="001D39AA"/>
    <w:rsid w:val="001D39EC"/>
    <w:rsid w:val="001D418D"/>
    <w:rsid w:val="001D661F"/>
    <w:rsid w:val="001D6F05"/>
    <w:rsid w:val="001D7B65"/>
    <w:rsid w:val="001E0026"/>
    <w:rsid w:val="001E04B1"/>
    <w:rsid w:val="001E5827"/>
    <w:rsid w:val="001E5D40"/>
    <w:rsid w:val="001E6A60"/>
    <w:rsid w:val="001E6E5A"/>
    <w:rsid w:val="001F2C28"/>
    <w:rsid w:val="001F5FDB"/>
    <w:rsid w:val="001F61B3"/>
    <w:rsid w:val="002002DE"/>
    <w:rsid w:val="00201E7E"/>
    <w:rsid w:val="00203E3B"/>
    <w:rsid w:val="00204AB9"/>
    <w:rsid w:val="00204B23"/>
    <w:rsid w:val="002050B7"/>
    <w:rsid w:val="00206C71"/>
    <w:rsid w:val="00206DFB"/>
    <w:rsid w:val="0020761B"/>
    <w:rsid w:val="00210915"/>
    <w:rsid w:val="0021150A"/>
    <w:rsid w:val="00211760"/>
    <w:rsid w:val="00214E0B"/>
    <w:rsid w:val="00215C5A"/>
    <w:rsid w:val="00215E4D"/>
    <w:rsid w:val="00216121"/>
    <w:rsid w:val="002166BC"/>
    <w:rsid w:val="00217FA0"/>
    <w:rsid w:val="00220A36"/>
    <w:rsid w:val="002230F7"/>
    <w:rsid w:val="00225954"/>
    <w:rsid w:val="0022638C"/>
    <w:rsid w:val="00227048"/>
    <w:rsid w:val="0022714B"/>
    <w:rsid w:val="002272CB"/>
    <w:rsid w:val="002309FF"/>
    <w:rsid w:val="00231131"/>
    <w:rsid w:val="00231607"/>
    <w:rsid w:val="00232F48"/>
    <w:rsid w:val="00233680"/>
    <w:rsid w:val="0023638D"/>
    <w:rsid w:val="00236EDC"/>
    <w:rsid w:val="002415A7"/>
    <w:rsid w:val="002417FC"/>
    <w:rsid w:val="00247945"/>
    <w:rsid w:val="00251297"/>
    <w:rsid w:val="00254C89"/>
    <w:rsid w:val="00254E2D"/>
    <w:rsid w:val="00256CE0"/>
    <w:rsid w:val="00256D04"/>
    <w:rsid w:val="0026025C"/>
    <w:rsid w:val="00260DBC"/>
    <w:rsid w:val="00260FBF"/>
    <w:rsid w:val="00264DE9"/>
    <w:rsid w:val="00265B08"/>
    <w:rsid w:val="002668AD"/>
    <w:rsid w:val="0026713B"/>
    <w:rsid w:val="002674A1"/>
    <w:rsid w:val="00267884"/>
    <w:rsid w:val="00271C83"/>
    <w:rsid w:val="0027245E"/>
    <w:rsid w:val="00272B66"/>
    <w:rsid w:val="00272E27"/>
    <w:rsid w:val="002733A4"/>
    <w:rsid w:val="00275F9A"/>
    <w:rsid w:val="002770EB"/>
    <w:rsid w:val="002774E8"/>
    <w:rsid w:val="00277973"/>
    <w:rsid w:val="0028159A"/>
    <w:rsid w:val="002817A6"/>
    <w:rsid w:val="00283304"/>
    <w:rsid w:val="002834BE"/>
    <w:rsid w:val="00283600"/>
    <w:rsid w:val="0028360E"/>
    <w:rsid w:val="00284FBE"/>
    <w:rsid w:val="0028576D"/>
    <w:rsid w:val="002869EF"/>
    <w:rsid w:val="002879B2"/>
    <w:rsid w:val="0029011D"/>
    <w:rsid w:val="0029042C"/>
    <w:rsid w:val="002918C5"/>
    <w:rsid w:val="00292A7F"/>
    <w:rsid w:val="00294B21"/>
    <w:rsid w:val="00296B83"/>
    <w:rsid w:val="00297266"/>
    <w:rsid w:val="00297601"/>
    <w:rsid w:val="002A00E4"/>
    <w:rsid w:val="002A0A02"/>
    <w:rsid w:val="002A2808"/>
    <w:rsid w:val="002A32E3"/>
    <w:rsid w:val="002A3D5D"/>
    <w:rsid w:val="002A4F27"/>
    <w:rsid w:val="002A55E8"/>
    <w:rsid w:val="002A6448"/>
    <w:rsid w:val="002A64F9"/>
    <w:rsid w:val="002A6552"/>
    <w:rsid w:val="002A6807"/>
    <w:rsid w:val="002B0E82"/>
    <w:rsid w:val="002B1950"/>
    <w:rsid w:val="002B25CD"/>
    <w:rsid w:val="002B3B10"/>
    <w:rsid w:val="002B619D"/>
    <w:rsid w:val="002B71CD"/>
    <w:rsid w:val="002B72E0"/>
    <w:rsid w:val="002B76AB"/>
    <w:rsid w:val="002B7C37"/>
    <w:rsid w:val="002C031B"/>
    <w:rsid w:val="002C073F"/>
    <w:rsid w:val="002C1507"/>
    <w:rsid w:val="002C3CA5"/>
    <w:rsid w:val="002C3D33"/>
    <w:rsid w:val="002C40A9"/>
    <w:rsid w:val="002C440A"/>
    <w:rsid w:val="002C5399"/>
    <w:rsid w:val="002C5735"/>
    <w:rsid w:val="002C598D"/>
    <w:rsid w:val="002C5F2B"/>
    <w:rsid w:val="002C71CA"/>
    <w:rsid w:val="002D0026"/>
    <w:rsid w:val="002D0D1B"/>
    <w:rsid w:val="002D0E97"/>
    <w:rsid w:val="002D262A"/>
    <w:rsid w:val="002D3DFA"/>
    <w:rsid w:val="002D5FA8"/>
    <w:rsid w:val="002D6763"/>
    <w:rsid w:val="002D7B94"/>
    <w:rsid w:val="002E06F1"/>
    <w:rsid w:val="002E1868"/>
    <w:rsid w:val="002E226E"/>
    <w:rsid w:val="002E29FF"/>
    <w:rsid w:val="002E3E35"/>
    <w:rsid w:val="002F0BF5"/>
    <w:rsid w:val="002F2666"/>
    <w:rsid w:val="002F297B"/>
    <w:rsid w:val="002F3EFA"/>
    <w:rsid w:val="002F425D"/>
    <w:rsid w:val="002F471A"/>
    <w:rsid w:val="002F5D61"/>
    <w:rsid w:val="002F6E35"/>
    <w:rsid w:val="002F6E68"/>
    <w:rsid w:val="0030242C"/>
    <w:rsid w:val="00302890"/>
    <w:rsid w:val="003055FA"/>
    <w:rsid w:val="00305BB5"/>
    <w:rsid w:val="00306F1E"/>
    <w:rsid w:val="00310CBE"/>
    <w:rsid w:val="00314B60"/>
    <w:rsid w:val="003151FA"/>
    <w:rsid w:val="00315DEC"/>
    <w:rsid w:val="0031740A"/>
    <w:rsid w:val="00317FDB"/>
    <w:rsid w:val="00322C90"/>
    <w:rsid w:val="003230C7"/>
    <w:rsid w:val="00323758"/>
    <w:rsid w:val="003250D8"/>
    <w:rsid w:val="00325B2A"/>
    <w:rsid w:val="00325FF2"/>
    <w:rsid w:val="00326958"/>
    <w:rsid w:val="0032743A"/>
    <w:rsid w:val="0033012A"/>
    <w:rsid w:val="003308C3"/>
    <w:rsid w:val="003308CD"/>
    <w:rsid w:val="00331ADC"/>
    <w:rsid w:val="00332C87"/>
    <w:rsid w:val="00334BEB"/>
    <w:rsid w:val="00341682"/>
    <w:rsid w:val="003426BF"/>
    <w:rsid w:val="003428BA"/>
    <w:rsid w:val="00345556"/>
    <w:rsid w:val="003455D3"/>
    <w:rsid w:val="00346E5F"/>
    <w:rsid w:val="00352A1B"/>
    <w:rsid w:val="00354EBB"/>
    <w:rsid w:val="0035526C"/>
    <w:rsid w:val="00357B5C"/>
    <w:rsid w:val="00363410"/>
    <w:rsid w:val="00363A19"/>
    <w:rsid w:val="00363F6C"/>
    <w:rsid w:val="003656C4"/>
    <w:rsid w:val="00366F93"/>
    <w:rsid w:val="00370490"/>
    <w:rsid w:val="00370BC5"/>
    <w:rsid w:val="00370D5B"/>
    <w:rsid w:val="003743AD"/>
    <w:rsid w:val="00376F22"/>
    <w:rsid w:val="00384A00"/>
    <w:rsid w:val="00384E5E"/>
    <w:rsid w:val="00387A25"/>
    <w:rsid w:val="00387A81"/>
    <w:rsid w:val="00387C3D"/>
    <w:rsid w:val="003921CA"/>
    <w:rsid w:val="003924C6"/>
    <w:rsid w:val="00392614"/>
    <w:rsid w:val="00394544"/>
    <w:rsid w:val="00394DAA"/>
    <w:rsid w:val="003969F2"/>
    <w:rsid w:val="00396FD7"/>
    <w:rsid w:val="00397A90"/>
    <w:rsid w:val="00397D03"/>
    <w:rsid w:val="003A0C7A"/>
    <w:rsid w:val="003A16DA"/>
    <w:rsid w:val="003A2086"/>
    <w:rsid w:val="003A392B"/>
    <w:rsid w:val="003A3ADA"/>
    <w:rsid w:val="003A501E"/>
    <w:rsid w:val="003A63C1"/>
    <w:rsid w:val="003C05DB"/>
    <w:rsid w:val="003C140A"/>
    <w:rsid w:val="003C1D82"/>
    <w:rsid w:val="003C3464"/>
    <w:rsid w:val="003C38EC"/>
    <w:rsid w:val="003C3D79"/>
    <w:rsid w:val="003C6019"/>
    <w:rsid w:val="003D5E37"/>
    <w:rsid w:val="003E1520"/>
    <w:rsid w:val="003E21DB"/>
    <w:rsid w:val="003E3505"/>
    <w:rsid w:val="003E3AE9"/>
    <w:rsid w:val="003E412C"/>
    <w:rsid w:val="003E418E"/>
    <w:rsid w:val="003E5418"/>
    <w:rsid w:val="003E7979"/>
    <w:rsid w:val="003F1B97"/>
    <w:rsid w:val="003F356C"/>
    <w:rsid w:val="003F4ADD"/>
    <w:rsid w:val="003F4ECA"/>
    <w:rsid w:val="003F7027"/>
    <w:rsid w:val="003F7D6D"/>
    <w:rsid w:val="00401DA9"/>
    <w:rsid w:val="004048C6"/>
    <w:rsid w:val="004055FB"/>
    <w:rsid w:val="00406064"/>
    <w:rsid w:val="00406183"/>
    <w:rsid w:val="00406760"/>
    <w:rsid w:val="00412CC7"/>
    <w:rsid w:val="004133BF"/>
    <w:rsid w:val="00413779"/>
    <w:rsid w:val="004168C4"/>
    <w:rsid w:val="00417BF5"/>
    <w:rsid w:val="00417E7D"/>
    <w:rsid w:val="0042370D"/>
    <w:rsid w:val="004267F2"/>
    <w:rsid w:val="0043004C"/>
    <w:rsid w:val="0043061B"/>
    <w:rsid w:val="00430A83"/>
    <w:rsid w:val="00431084"/>
    <w:rsid w:val="00432B5B"/>
    <w:rsid w:val="0043338C"/>
    <w:rsid w:val="00435539"/>
    <w:rsid w:val="00436B58"/>
    <w:rsid w:val="00436BEA"/>
    <w:rsid w:val="00437868"/>
    <w:rsid w:val="004406E3"/>
    <w:rsid w:val="00440D15"/>
    <w:rsid w:val="00443033"/>
    <w:rsid w:val="00443262"/>
    <w:rsid w:val="0044335E"/>
    <w:rsid w:val="00446C1B"/>
    <w:rsid w:val="004506E5"/>
    <w:rsid w:val="00451226"/>
    <w:rsid w:val="00452ED6"/>
    <w:rsid w:val="004533DB"/>
    <w:rsid w:val="00455754"/>
    <w:rsid w:val="00455D47"/>
    <w:rsid w:val="00457AB5"/>
    <w:rsid w:val="00457D9F"/>
    <w:rsid w:val="0046079D"/>
    <w:rsid w:val="004620FF"/>
    <w:rsid w:val="00462212"/>
    <w:rsid w:val="00464B7F"/>
    <w:rsid w:val="004655C1"/>
    <w:rsid w:val="00465789"/>
    <w:rsid w:val="00465AC2"/>
    <w:rsid w:val="004662C5"/>
    <w:rsid w:val="0046784D"/>
    <w:rsid w:val="00470846"/>
    <w:rsid w:val="00473EE0"/>
    <w:rsid w:val="00474B13"/>
    <w:rsid w:val="00477B64"/>
    <w:rsid w:val="004802CD"/>
    <w:rsid w:val="00480779"/>
    <w:rsid w:val="00482C1F"/>
    <w:rsid w:val="00483056"/>
    <w:rsid w:val="0048655A"/>
    <w:rsid w:val="004867C2"/>
    <w:rsid w:val="0049195D"/>
    <w:rsid w:val="00491AB9"/>
    <w:rsid w:val="004934BE"/>
    <w:rsid w:val="00494E13"/>
    <w:rsid w:val="004955E9"/>
    <w:rsid w:val="00495A95"/>
    <w:rsid w:val="00495DE3"/>
    <w:rsid w:val="004960C1"/>
    <w:rsid w:val="00496FCE"/>
    <w:rsid w:val="004A28CF"/>
    <w:rsid w:val="004A4935"/>
    <w:rsid w:val="004A4B00"/>
    <w:rsid w:val="004A50DE"/>
    <w:rsid w:val="004A606E"/>
    <w:rsid w:val="004B2FBE"/>
    <w:rsid w:val="004B47D3"/>
    <w:rsid w:val="004B4E6A"/>
    <w:rsid w:val="004B5863"/>
    <w:rsid w:val="004C4536"/>
    <w:rsid w:val="004C498B"/>
    <w:rsid w:val="004C67B1"/>
    <w:rsid w:val="004C6C8B"/>
    <w:rsid w:val="004C6EC2"/>
    <w:rsid w:val="004D0274"/>
    <w:rsid w:val="004D0AD0"/>
    <w:rsid w:val="004D1EAA"/>
    <w:rsid w:val="004D25DE"/>
    <w:rsid w:val="004D2C35"/>
    <w:rsid w:val="004D5CD9"/>
    <w:rsid w:val="004D6B97"/>
    <w:rsid w:val="004D6E46"/>
    <w:rsid w:val="004D7721"/>
    <w:rsid w:val="004E049B"/>
    <w:rsid w:val="004E1565"/>
    <w:rsid w:val="004E38F3"/>
    <w:rsid w:val="004E54CF"/>
    <w:rsid w:val="004E69F7"/>
    <w:rsid w:val="004E7409"/>
    <w:rsid w:val="004E74D1"/>
    <w:rsid w:val="004F13BA"/>
    <w:rsid w:val="004F2BAC"/>
    <w:rsid w:val="004F36C4"/>
    <w:rsid w:val="004F4752"/>
    <w:rsid w:val="004F4E39"/>
    <w:rsid w:val="004F6DAB"/>
    <w:rsid w:val="00500104"/>
    <w:rsid w:val="0050038C"/>
    <w:rsid w:val="00501922"/>
    <w:rsid w:val="005032FB"/>
    <w:rsid w:val="00503C67"/>
    <w:rsid w:val="005046C9"/>
    <w:rsid w:val="00505804"/>
    <w:rsid w:val="00505B5E"/>
    <w:rsid w:val="005066C2"/>
    <w:rsid w:val="00506A20"/>
    <w:rsid w:val="00506F79"/>
    <w:rsid w:val="00511D22"/>
    <w:rsid w:val="00515971"/>
    <w:rsid w:val="005211D6"/>
    <w:rsid w:val="00521C0E"/>
    <w:rsid w:val="005236E4"/>
    <w:rsid w:val="00523E3C"/>
    <w:rsid w:val="005257EC"/>
    <w:rsid w:val="00526576"/>
    <w:rsid w:val="00526D08"/>
    <w:rsid w:val="005277E5"/>
    <w:rsid w:val="00531EAE"/>
    <w:rsid w:val="00535221"/>
    <w:rsid w:val="0053540D"/>
    <w:rsid w:val="0053560F"/>
    <w:rsid w:val="00535ACA"/>
    <w:rsid w:val="00537E01"/>
    <w:rsid w:val="005400FC"/>
    <w:rsid w:val="00540352"/>
    <w:rsid w:val="005403E8"/>
    <w:rsid w:val="00540C6F"/>
    <w:rsid w:val="00541E4F"/>
    <w:rsid w:val="005436DC"/>
    <w:rsid w:val="0055125F"/>
    <w:rsid w:val="00551D48"/>
    <w:rsid w:val="00552426"/>
    <w:rsid w:val="005547CA"/>
    <w:rsid w:val="00555363"/>
    <w:rsid w:val="00555F68"/>
    <w:rsid w:val="005576F8"/>
    <w:rsid w:val="00560D9D"/>
    <w:rsid w:val="00561604"/>
    <w:rsid w:val="0056259E"/>
    <w:rsid w:val="00563D4A"/>
    <w:rsid w:val="00564784"/>
    <w:rsid w:val="00564F8E"/>
    <w:rsid w:val="005654D3"/>
    <w:rsid w:val="00567FA8"/>
    <w:rsid w:val="00571F69"/>
    <w:rsid w:val="005720EB"/>
    <w:rsid w:val="00573505"/>
    <w:rsid w:val="00574590"/>
    <w:rsid w:val="00577E41"/>
    <w:rsid w:val="00577E8E"/>
    <w:rsid w:val="00580A6C"/>
    <w:rsid w:val="005837E2"/>
    <w:rsid w:val="005843D5"/>
    <w:rsid w:val="00585F60"/>
    <w:rsid w:val="005860D2"/>
    <w:rsid w:val="005903AC"/>
    <w:rsid w:val="00590DDE"/>
    <w:rsid w:val="00592D59"/>
    <w:rsid w:val="00593327"/>
    <w:rsid w:val="00595576"/>
    <w:rsid w:val="005975FE"/>
    <w:rsid w:val="005979FF"/>
    <w:rsid w:val="005A0951"/>
    <w:rsid w:val="005A0AFA"/>
    <w:rsid w:val="005A151B"/>
    <w:rsid w:val="005A370B"/>
    <w:rsid w:val="005A4075"/>
    <w:rsid w:val="005A4E85"/>
    <w:rsid w:val="005A783C"/>
    <w:rsid w:val="005A7F69"/>
    <w:rsid w:val="005B0748"/>
    <w:rsid w:val="005B0CFB"/>
    <w:rsid w:val="005B36C3"/>
    <w:rsid w:val="005B3BFB"/>
    <w:rsid w:val="005B4AFC"/>
    <w:rsid w:val="005C12D8"/>
    <w:rsid w:val="005C1414"/>
    <w:rsid w:val="005C2E96"/>
    <w:rsid w:val="005C40D5"/>
    <w:rsid w:val="005C40E0"/>
    <w:rsid w:val="005C5760"/>
    <w:rsid w:val="005C599E"/>
    <w:rsid w:val="005C5DBA"/>
    <w:rsid w:val="005C6F6A"/>
    <w:rsid w:val="005D1DEB"/>
    <w:rsid w:val="005D2C0D"/>
    <w:rsid w:val="005D47B1"/>
    <w:rsid w:val="005D51C5"/>
    <w:rsid w:val="005D5D21"/>
    <w:rsid w:val="005D5D8A"/>
    <w:rsid w:val="005E2479"/>
    <w:rsid w:val="005E2B24"/>
    <w:rsid w:val="005E41C6"/>
    <w:rsid w:val="005E454D"/>
    <w:rsid w:val="005E533A"/>
    <w:rsid w:val="005E57D1"/>
    <w:rsid w:val="005E5A3A"/>
    <w:rsid w:val="005F1B42"/>
    <w:rsid w:val="005F1C6D"/>
    <w:rsid w:val="005F28ED"/>
    <w:rsid w:val="005F5DC1"/>
    <w:rsid w:val="005F6F8C"/>
    <w:rsid w:val="005F7ADD"/>
    <w:rsid w:val="005F7FEA"/>
    <w:rsid w:val="006001FF"/>
    <w:rsid w:val="00600B07"/>
    <w:rsid w:val="006075CC"/>
    <w:rsid w:val="00611D8B"/>
    <w:rsid w:val="006137F8"/>
    <w:rsid w:val="00615050"/>
    <w:rsid w:val="0061595D"/>
    <w:rsid w:val="00616DE6"/>
    <w:rsid w:val="0062101E"/>
    <w:rsid w:val="00622372"/>
    <w:rsid w:val="0062363D"/>
    <w:rsid w:val="00623E13"/>
    <w:rsid w:val="00625211"/>
    <w:rsid w:val="0062545D"/>
    <w:rsid w:val="00627B07"/>
    <w:rsid w:val="00630F29"/>
    <w:rsid w:val="006319FF"/>
    <w:rsid w:val="00632EB6"/>
    <w:rsid w:val="00633E77"/>
    <w:rsid w:val="00634D7E"/>
    <w:rsid w:val="0063644E"/>
    <w:rsid w:val="00636D6D"/>
    <w:rsid w:val="006371A1"/>
    <w:rsid w:val="006404FF"/>
    <w:rsid w:val="00645036"/>
    <w:rsid w:val="00645104"/>
    <w:rsid w:val="00653816"/>
    <w:rsid w:val="0066062F"/>
    <w:rsid w:val="0066273C"/>
    <w:rsid w:val="00664B34"/>
    <w:rsid w:val="00665962"/>
    <w:rsid w:val="00670802"/>
    <w:rsid w:val="00670D60"/>
    <w:rsid w:val="00671099"/>
    <w:rsid w:val="0067358F"/>
    <w:rsid w:val="0067395C"/>
    <w:rsid w:val="00675321"/>
    <w:rsid w:val="006755FA"/>
    <w:rsid w:val="00676A56"/>
    <w:rsid w:val="0068215C"/>
    <w:rsid w:val="0068230E"/>
    <w:rsid w:val="0068555F"/>
    <w:rsid w:val="00685914"/>
    <w:rsid w:val="006937AF"/>
    <w:rsid w:val="00697041"/>
    <w:rsid w:val="0069799C"/>
    <w:rsid w:val="00697E5B"/>
    <w:rsid w:val="006A465C"/>
    <w:rsid w:val="006A4FFC"/>
    <w:rsid w:val="006A578E"/>
    <w:rsid w:val="006A6D7D"/>
    <w:rsid w:val="006A73F8"/>
    <w:rsid w:val="006B1180"/>
    <w:rsid w:val="006B1E1A"/>
    <w:rsid w:val="006B2425"/>
    <w:rsid w:val="006B2483"/>
    <w:rsid w:val="006B2822"/>
    <w:rsid w:val="006B33E6"/>
    <w:rsid w:val="006B34A1"/>
    <w:rsid w:val="006B4C3D"/>
    <w:rsid w:val="006B4E3F"/>
    <w:rsid w:val="006B6D4A"/>
    <w:rsid w:val="006C1C7E"/>
    <w:rsid w:val="006C24FB"/>
    <w:rsid w:val="006C2620"/>
    <w:rsid w:val="006C3304"/>
    <w:rsid w:val="006C635C"/>
    <w:rsid w:val="006C7956"/>
    <w:rsid w:val="006C7BD2"/>
    <w:rsid w:val="006C7F9E"/>
    <w:rsid w:val="006D03BB"/>
    <w:rsid w:val="006D0FD5"/>
    <w:rsid w:val="006D1159"/>
    <w:rsid w:val="006D21FF"/>
    <w:rsid w:val="006D46F4"/>
    <w:rsid w:val="006D680C"/>
    <w:rsid w:val="006E2449"/>
    <w:rsid w:val="006E35BB"/>
    <w:rsid w:val="006E3BD4"/>
    <w:rsid w:val="006E3D82"/>
    <w:rsid w:val="006E4164"/>
    <w:rsid w:val="006E5B0A"/>
    <w:rsid w:val="006E65A9"/>
    <w:rsid w:val="006F00E7"/>
    <w:rsid w:val="006F0FCD"/>
    <w:rsid w:val="006F12F5"/>
    <w:rsid w:val="006F17E6"/>
    <w:rsid w:val="006F265F"/>
    <w:rsid w:val="006F3FEB"/>
    <w:rsid w:val="006F4AFC"/>
    <w:rsid w:val="006F62D9"/>
    <w:rsid w:val="006F730C"/>
    <w:rsid w:val="006F73F3"/>
    <w:rsid w:val="006F747A"/>
    <w:rsid w:val="006F77B7"/>
    <w:rsid w:val="0070058B"/>
    <w:rsid w:val="00700DDD"/>
    <w:rsid w:val="007017A6"/>
    <w:rsid w:val="00702EB1"/>
    <w:rsid w:val="00702F11"/>
    <w:rsid w:val="007031B1"/>
    <w:rsid w:val="007043FD"/>
    <w:rsid w:val="00706435"/>
    <w:rsid w:val="00707736"/>
    <w:rsid w:val="00711B96"/>
    <w:rsid w:val="00712033"/>
    <w:rsid w:val="0071490D"/>
    <w:rsid w:val="00716DB7"/>
    <w:rsid w:val="00717224"/>
    <w:rsid w:val="007173C4"/>
    <w:rsid w:val="00717AE9"/>
    <w:rsid w:val="007222A0"/>
    <w:rsid w:val="00722D13"/>
    <w:rsid w:val="00726719"/>
    <w:rsid w:val="007278DA"/>
    <w:rsid w:val="00732B37"/>
    <w:rsid w:val="00735339"/>
    <w:rsid w:val="007359CD"/>
    <w:rsid w:val="00737CE3"/>
    <w:rsid w:val="00741999"/>
    <w:rsid w:val="007419EE"/>
    <w:rsid w:val="00744CCD"/>
    <w:rsid w:val="00750505"/>
    <w:rsid w:val="00752ADD"/>
    <w:rsid w:val="0075488B"/>
    <w:rsid w:val="00756044"/>
    <w:rsid w:val="00756E06"/>
    <w:rsid w:val="007614D4"/>
    <w:rsid w:val="00761AF1"/>
    <w:rsid w:val="00761C9D"/>
    <w:rsid w:val="00761DA6"/>
    <w:rsid w:val="00764A19"/>
    <w:rsid w:val="00767899"/>
    <w:rsid w:val="007700B1"/>
    <w:rsid w:val="007710D3"/>
    <w:rsid w:val="007741E8"/>
    <w:rsid w:val="00775B69"/>
    <w:rsid w:val="00775DC1"/>
    <w:rsid w:val="00777362"/>
    <w:rsid w:val="00780B38"/>
    <w:rsid w:val="00780D07"/>
    <w:rsid w:val="00781F52"/>
    <w:rsid w:val="007825D9"/>
    <w:rsid w:val="007874CA"/>
    <w:rsid w:val="00787602"/>
    <w:rsid w:val="00787CE7"/>
    <w:rsid w:val="0079389E"/>
    <w:rsid w:val="00793FE9"/>
    <w:rsid w:val="007963EB"/>
    <w:rsid w:val="00796D38"/>
    <w:rsid w:val="007A1493"/>
    <w:rsid w:val="007A1F50"/>
    <w:rsid w:val="007A2D95"/>
    <w:rsid w:val="007A2E39"/>
    <w:rsid w:val="007A3616"/>
    <w:rsid w:val="007A38F5"/>
    <w:rsid w:val="007A4FD7"/>
    <w:rsid w:val="007A6370"/>
    <w:rsid w:val="007B0D70"/>
    <w:rsid w:val="007B1192"/>
    <w:rsid w:val="007B1305"/>
    <w:rsid w:val="007B1E87"/>
    <w:rsid w:val="007B3A0A"/>
    <w:rsid w:val="007B449C"/>
    <w:rsid w:val="007C1F59"/>
    <w:rsid w:val="007C233C"/>
    <w:rsid w:val="007C3453"/>
    <w:rsid w:val="007C6363"/>
    <w:rsid w:val="007C6B92"/>
    <w:rsid w:val="007C7719"/>
    <w:rsid w:val="007D2AD5"/>
    <w:rsid w:val="007D2C6D"/>
    <w:rsid w:val="007D6AE7"/>
    <w:rsid w:val="007D6CFB"/>
    <w:rsid w:val="007D799B"/>
    <w:rsid w:val="007E1155"/>
    <w:rsid w:val="007E1607"/>
    <w:rsid w:val="007E3511"/>
    <w:rsid w:val="007E574B"/>
    <w:rsid w:val="007E5750"/>
    <w:rsid w:val="007E6126"/>
    <w:rsid w:val="007E656F"/>
    <w:rsid w:val="007E6923"/>
    <w:rsid w:val="007F0AC3"/>
    <w:rsid w:val="007F18E7"/>
    <w:rsid w:val="007F3A3B"/>
    <w:rsid w:val="007F3CCB"/>
    <w:rsid w:val="007F703A"/>
    <w:rsid w:val="00800C5F"/>
    <w:rsid w:val="0080192E"/>
    <w:rsid w:val="00801BF0"/>
    <w:rsid w:val="0080264C"/>
    <w:rsid w:val="008059AC"/>
    <w:rsid w:val="00806199"/>
    <w:rsid w:val="008065F4"/>
    <w:rsid w:val="00810F1B"/>
    <w:rsid w:val="00811638"/>
    <w:rsid w:val="00812179"/>
    <w:rsid w:val="00814AE7"/>
    <w:rsid w:val="00815382"/>
    <w:rsid w:val="00815435"/>
    <w:rsid w:val="00820C3F"/>
    <w:rsid w:val="00821341"/>
    <w:rsid w:val="00830296"/>
    <w:rsid w:val="00831B88"/>
    <w:rsid w:val="008321D0"/>
    <w:rsid w:val="00832862"/>
    <w:rsid w:val="00833B51"/>
    <w:rsid w:val="00834F33"/>
    <w:rsid w:val="0083620E"/>
    <w:rsid w:val="0084022E"/>
    <w:rsid w:val="008403EE"/>
    <w:rsid w:val="008405D8"/>
    <w:rsid w:val="00841251"/>
    <w:rsid w:val="00841793"/>
    <w:rsid w:val="00841813"/>
    <w:rsid w:val="008453D2"/>
    <w:rsid w:val="0085028F"/>
    <w:rsid w:val="00850F24"/>
    <w:rsid w:val="00852D7A"/>
    <w:rsid w:val="008540D9"/>
    <w:rsid w:val="00854CC7"/>
    <w:rsid w:val="00854FD1"/>
    <w:rsid w:val="0085710E"/>
    <w:rsid w:val="0086105C"/>
    <w:rsid w:val="00865AD4"/>
    <w:rsid w:val="00865E7D"/>
    <w:rsid w:val="00872A9C"/>
    <w:rsid w:val="008773E3"/>
    <w:rsid w:val="00877B02"/>
    <w:rsid w:val="00880F24"/>
    <w:rsid w:val="008813AB"/>
    <w:rsid w:val="0088174A"/>
    <w:rsid w:val="00882E5C"/>
    <w:rsid w:val="00882EF3"/>
    <w:rsid w:val="008841DA"/>
    <w:rsid w:val="00884237"/>
    <w:rsid w:val="0089226B"/>
    <w:rsid w:val="0089429C"/>
    <w:rsid w:val="00895819"/>
    <w:rsid w:val="0089611E"/>
    <w:rsid w:val="008972FC"/>
    <w:rsid w:val="00897391"/>
    <w:rsid w:val="00897C0D"/>
    <w:rsid w:val="008A11AB"/>
    <w:rsid w:val="008A1353"/>
    <w:rsid w:val="008A180A"/>
    <w:rsid w:val="008A3AEC"/>
    <w:rsid w:val="008A5A62"/>
    <w:rsid w:val="008A61DD"/>
    <w:rsid w:val="008A705A"/>
    <w:rsid w:val="008B07B5"/>
    <w:rsid w:val="008B09D6"/>
    <w:rsid w:val="008B2BAC"/>
    <w:rsid w:val="008B2F47"/>
    <w:rsid w:val="008B4482"/>
    <w:rsid w:val="008B4A37"/>
    <w:rsid w:val="008B4E7B"/>
    <w:rsid w:val="008B5A65"/>
    <w:rsid w:val="008B5ADA"/>
    <w:rsid w:val="008C0044"/>
    <w:rsid w:val="008C1440"/>
    <w:rsid w:val="008C16FA"/>
    <w:rsid w:val="008C2A69"/>
    <w:rsid w:val="008C39E1"/>
    <w:rsid w:val="008C42DA"/>
    <w:rsid w:val="008C5D23"/>
    <w:rsid w:val="008C792F"/>
    <w:rsid w:val="008D19C5"/>
    <w:rsid w:val="008D674E"/>
    <w:rsid w:val="008D680C"/>
    <w:rsid w:val="008D6AB9"/>
    <w:rsid w:val="008E0151"/>
    <w:rsid w:val="008E127A"/>
    <w:rsid w:val="008E2336"/>
    <w:rsid w:val="008E725C"/>
    <w:rsid w:val="008F2984"/>
    <w:rsid w:val="008F36AD"/>
    <w:rsid w:val="008F463E"/>
    <w:rsid w:val="008F7DA8"/>
    <w:rsid w:val="00900ECE"/>
    <w:rsid w:val="00901CA4"/>
    <w:rsid w:val="009059B9"/>
    <w:rsid w:val="0090716C"/>
    <w:rsid w:val="009079E0"/>
    <w:rsid w:val="00907B2E"/>
    <w:rsid w:val="009105F1"/>
    <w:rsid w:val="00910B00"/>
    <w:rsid w:val="0091273C"/>
    <w:rsid w:val="0091313F"/>
    <w:rsid w:val="00914549"/>
    <w:rsid w:val="009147A0"/>
    <w:rsid w:val="00914B1E"/>
    <w:rsid w:val="009157C5"/>
    <w:rsid w:val="00916365"/>
    <w:rsid w:val="0091693C"/>
    <w:rsid w:val="0091711A"/>
    <w:rsid w:val="00917F77"/>
    <w:rsid w:val="0092292E"/>
    <w:rsid w:val="0092419D"/>
    <w:rsid w:val="00924BAC"/>
    <w:rsid w:val="009250ED"/>
    <w:rsid w:val="009259C2"/>
    <w:rsid w:val="0092651E"/>
    <w:rsid w:val="00931483"/>
    <w:rsid w:val="009315B2"/>
    <w:rsid w:val="0093204A"/>
    <w:rsid w:val="00932372"/>
    <w:rsid w:val="00932E4E"/>
    <w:rsid w:val="00933A06"/>
    <w:rsid w:val="00934CE6"/>
    <w:rsid w:val="009350C0"/>
    <w:rsid w:val="00935598"/>
    <w:rsid w:val="00940BA2"/>
    <w:rsid w:val="00941069"/>
    <w:rsid w:val="0094322F"/>
    <w:rsid w:val="00944C5E"/>
    <w:rsid w:val="00950935"/>
    <w:rsid w:val="0095390A"/>
    <w:rsid w:val="00953D02"/>
    <w:rsid w:val="009555B9"/>
    <w:rsid w:val="0095583D"/>
    <w:rsid w:val="00956336"/>
    <w:rsid w:val="0095642D"/>
    <w:rsid w:val="00957A43"/>
    <w:rsid w:val="00961B61"/>
    <w:rsid w:val="00962492"/>
    <w:rsid w:val="009625E7"/>
    <w:rsid w:val="0096324F"/>
    <w:rsid w:val="00964824"/>
    <w:rsid w:val="00964B48"/>
    <w:rsid w:val="00970A65"/>
    <w:rsid w:val="00971326"/>
    <w:rsid w:val="00971586"/>
    <w:rsid w:val="00972C11"/>
    <w:rsid w:val="009766F4"/>
    <w:rsid w:val="00976BF5"/>
    <w:rsid w:val="009808C7"/>
    <w:rsid w:val="00981FE2"/>
    <w:rsid w:val="00982052"/>
    <w:rsid w:val="00982410"/>
    <w:rsid w:val="00984E9A"/>
    <w:rsid w:val="009856C4"/>
    <w:rsid w:val="009869C2"/>
    <w:rsid w:val="009879D4"/>
    <w:rsid w:val="00991924"/>
    <w:rsid w:val="00993D99"/>
    <w:rsid w:val="00995D54"/>
    <w:rsid w:val="009A5344"/>
    <w:rsid w:val="009A5372"/>
    <w:rsid w:val="009A5B76"/>
    <w:rsid w:val="009B11C3"/>
    <w:rsid w:val="009B2121"/>
    <w:rsid w:val="009B2C86"/>
    <w:rsid w:val="009B69E2"/>
    <w:rsid w:val="009B6CDF"/>
    <w:rsid w:val="009B6D8C"/>
    <w:rsid w:val="009B7195"/>
    <w:rsid w:val="009B76DA"/>
    <w:rsid w:val="009C13E5"/>
    <w:rsid w:val="009C17F5"/>
    <w:rsid w:val="009C4062"/>
    <w:rsid w:val="009C40AE"/>
    <w:rsid w:val="009C4853"/>
    <w:rsid w:val="009C630D"/>
    <w:rsid w:val="009C73FF"/>
    <w:rsid w:val="009D060F"/>
    <w:rsid w:val="009D523A"/>
    <w:rsid w:val="009D58E7"/>
    <w:rsid w:val="009D634A"/>
    <w:rsid w:val="009E2852"/>
    <w:rsid w:val="009E2956"/>
    <w:rsid w:val="009E3657"/>
    <w:rsid w:val="009E542C"/>
    <w:rsid w:val="009E552B"/>
    <w:rsid w:val="009E637D"/>
    <w:rsid w:val="009E69BF"/>
    <w:rsid w:val="009E6C29"/>
    <w:rsid w:val="009E715C"/>
    <w:rsid w:val="009E756D"/>
    <w:rsid w:val="009E7C89"/>
    <w:rsid w:val="009F0CD4"/>
    <w:rsid w:val="009F11EC"/>
    <w:rsid w:val="009F33C2"/>
    <w:rsid w:val="009F45A2"/>
    <w:rsid w:val="009F4DF3"/>
    <w:rsid w:val="00A01047"/>
    <w:rsid w:val="00A0340B"/>
    <w:rsid w:val="00A064A6"/>
    <w:rsid w:val="00A1550E"/>
    <w:rsid w:val="00A16A9F"/>
    <w:rsid w:val="00A219A4"/>
    <w:rsid w:val="00A23043"/>
    <w:rsid w:val="00A25844"/>
    <w:rsid w:val="00A26D0C"/>
    <w:rsid w:val="00A26E0C"/>
    <w:rsid w:val="00A270F8"/>
    <w:rsid w:val="00A306D2"/>
    <w:rsid w:val="00A30C7E"/>
    <w:rsid w:val="00A311C2"/>
    <w:rsid w:val="00A31CF6"/>
    <w:rsid w:val="00A32B49"/>
    <w:rsid w:val="00A32BED"/>
    <w:rsid w:val="00A33846"/>
    <w:rsid w:val="00A33B0E"/>
    <w:rsid w:val="00A343A5"/>
    <w:rsid w:val="00A36F52"/>
    <w:rsid w:val="00A3715B"/>
    <w:rsid w:val="00A37813"/>
    <w:rsid w:val="00A40FBE"/>
    <w:rsid w:val="00A41130"/>
    <w:rsid w:val="00A4255B"/>
    <w:rsid w:val="00A44318"/>
    <w:rsid w:val="00A469D3"/>
    <w:rsid w:val="00A5080D"/>
    <w:rsid w:val="00A52E56"/>
    <w:rsid w:val="00A54822"/>
    <w:rsid w:val="00A60379"/>
    <w:rsid w:val="00A606CF"/>
    <w:rsid w:val="00A6526D"/>
    <w:rsid w:val="00A6550C"/>
    <w:rsid w:val="00A66515"/>
    <w:rsid w:val="00A66A4E"/>
    <w:rsid w:val="00A70EF5"/>
    <w:rsid w:val="00A71859"/>
    <w:rsid w:val="00A74AFC"/>
    <w:rsid w:val="00A76BB3"/>
    <w:rsid w:val="00A76CB9"/>
    <w:rsid w:val="00A80898"/>
    <w:rsid w:val="00A80DB4"/>
    <w:rsid w:val="00A81E86"/>
    <w:rsid w:val="00A82633"/>
    <w:rsid w:val="00A8684E"/>
    <w:rsid w:val="00A86D78"/>
    <w:rsid w:val="00A900BC"/>
    <w:rsid w:val="00A90543"/>
    <w:rsid w:val="00A91B54"/>
    <w:rsid w:val="00A92089"/>
    <w:rsid w:val="00A929AD"/>
    <w:rsid w:val="00A95D0E"/>
    <w:rsid w:val="00A960CD"/>
    <w:rsid w:val="00A96CD2"/>
    <w:rsid w:val="00A96D41"/>
    <w:rsid w:val="00AA1231"/>
    <w:rsid w:val="00AA174B"/>
    <w:rsid w:val="00AA795E"/>
    <w:rsid w:val="00AA7DC7"/>
    <w:rsid w:val="00AB03E4"/>
    <w:rsid w:val="00AB496C"/>
    <w:rsid w:val="00AB50B6"/>
    <w:rsid w:val="00AB7AB9"/>
    <w:rsid w:val="00AB7DAD"/>
    <w:rsid w:val="00AC2B78"/>
    <w:rsid w:val="00AC603E"/>
    <w:rsid w:val="00AD2206"/>
    <w:rsid w:val="00AD24F3"/>
    <w:rsid w:val="00AD25BD"/>
    <w:rsid w:val="00AD2E68"/>
    <w:rsid w:val="00AD2E6C"/>
    <w:rsid w:val="00AD2FE9"/>
    <w:rsid w:val="00AD5038"/>
    <w:rsid w:val="00AD5C1F"/>
    <w:rsid w:val="00AE2703"/>
    <w:rsid w:val="00AE3DBB"/>
    <w:rsid w:val="00AF0545"/>
    <w:rsid w:val="00AF0DE2"/>
    <w:rsid w:val="00AF1570"/>
    <w:rsid w:val="00AF3A57"/>
    <w:rsid w:val="00AF5FF4"/>
    <w:rsid w:val="00AF7CB5"/>
    <w:rsid w:val="00B000BE"/>
    <w:rsid w:val="00B01117"/>
    <w:rsid w:val="00B01CB5"/>
    <w:rsid w:val="00B023D9"/>
    <w:rsid w:val="00B02C9E"/>
    <w:rsid w:val="00B04DDB"/>
    <w:rsid w:val="00B05B29"/>
    <w:rsid w:val="00B06456"/>
    <w:rsid w:val="00B07687"/>
    <w:rsid w:val="00B11994"/>
    <w:rsid w:val="00B11C13"/>
    <w:rsid w:val="00B11F80"/>
    <w:rsid w:val="00B176FD"/>
    <w:rsid w:val="00B20090"/>
    <w:rsid w:val="00B20930"/>
    <w:rsid w:val="00B27449"/>
    <w:rsid w:val="00B30F06"/>
    <w:rsid w:val="00B331F4"/>
    <w:rsid w:val="00B33BD4"/>
    <w:rsid w:val="00B35718"/>
    <w:rsid w:val="00B35A5D"/>
    <w:rsid w:val="00B42423"/>
    <w:rsid w:val="00B42D80"/>
    <w:rsid w:val="00B43BB4"/>
    <w:rsid w:val="00B45465"/>
    <w:rsid w:val="00B45B86"/>
    <w:rsid w:val="00B51186"/>
    <w:rsid w:val="00B518EB"/>
    <w:rsid w:val="00B53E58"/>
    <w:rsid w:val="00B56043"/>
    <w:rsid w:val="00B5689F"/>
    <w:rsid w:val="00B57DCF"/>
    <w:rsid w:val="00B6037C"/>
    <w:rsid w:val="00B63A82"/>
    <w:rsid w:val="00B67DE3"/>
    <w:rsid w:val="00B701C9"/>
    <w:rsid w:val="00B721DF"/>
    <w:rsid w:val="00B72C2C"/>
    <w:rsid w:val="00B73D4C"/>
    <w:rsid w:val="00B76F10"/>
    <w:rsid w:val="00B80400"/>
    <w:rsid w:val="00B82124"/>
    <w:rsid w:val="00B82B1F"/>
    <w:rsid w:val="00B83792"/>
    <w:rsid w:val="00B83829"/>
    <w:rsid w:val="00B83B64"/>
    <w:rsid w:val="00B86797"/>
    <w:rsid w:val="00B86E7E"/>
    <w:rsid w:val="00B9069A"/>
    <w:rsid w:val="00B90E1D"/>
    <w:rsid w:val="00B949A7"/>
    <w:rsid w:val="00B973C9"/>
    <w:rsid w:val="00BA0343"/>
    <w:rsid w:val="00BA36B1"/>
    <w:rsid w:val="00BA5DF1"/>
    <w:rsid w:val="00BA6490"/>
    <w:rsid w:val="00BA79D9"/>
    <w:rsid w:val="00BB000E"/>
    <w:rsid w:val="00BB076D"/>
    <w:rsid w:val="00BB0FB8"/>
    <w:rsid w:val="00BB3CE6"/>
    <w:rsid w:val="00BB402D"/>
    <w:rsid w:val="00BB4F8E"/>
    <w:rsid w:val="00BB5573"/>
    <w:rsid w:val="00BB5649"/>
    <w:rsid w:val="00BB60F1"/>
    <w:rsid w:val="00BB67D3"/>
    <w:rsid w:val="00BB74AC"/>
    <w:rsid w:val="00BC2562"/>
    <w:rsid w:val="00BC3468"/>
    <w:rsid w:val="00BC63A8"/>
    <w:rsid w:val="00BD2629"/>
    <w:rsid w:val="00BD3C7B"/>
    <w:rsid w:val="00BD6CB6"/>
    <w:rsid w:val="00BD7B00"/>
    <w:rsid w:val="00BE07F4"/>
    <w:rsid w:val="00BE0B8B"/>
    <w:rsid w:val="00BE18A5"/>
    <w:rsid w:val="00BE22A4"/>
    <w:rsid w:val="00BE266D"/>
    <w:rsid w:val="00BE33C8"/>
    <w:rsid w:val="00BE60A2"/>
    <w:rsid w:val="00BE6894"/>
    <w:rsid w:val="00BE6A2C"/>
    <w:rsid w:val="00BF1CE7"/>
    <w:rsid w:val="00BF1EE8"/>
    <w:rsid w:val="00BF2E1A"/>
    <w:rsid w:val="00BF2F2F"/>
    <w:rsid w:val="00BF39D4"/>
    <w:rsid w:val="00BF3F82"/>
    <w:rsid w:val="00BF4FE5"/>
    <w:rsid w:val="00BF52DC"/>
    <w:rsid w:val="00BF5B09"/>
    <w:rsid w:val="00BF5F04"/>
    <w:rsid w:val="00BF709D"/>
    <w:rsid w:val="00BF717F"/>
    <w:rsid w:val="00BF7326"/>
    <w:rsid w:val="00C01B00"/>
    <w:rsid w:val="00C03799"/>
    <w:rsid w:val="00C03960"/>
    <w:rsid w:val="00C102F5"/>
    <w:rsid w:val="00C11408"/>
    <w:rsid w:val="00C138B9"/>
    <w:rsid w:val="00C14871"/>
    <w:rsid w:val="00C14D8B"/>
    <w:rsid w:val="00C17415"/>
    <w:rsid w:val="00C21D49"/>
    <w:rsid w:val="00C22C89"/>
    <w:rsid w:val="00C242FF"/>
    <w:rsid w:val="00C247F2"/>
    <w:rsid w:val="00C2798C"/>
    <w:rsid w:val="00C32F2F"/>
    <w:rsid w:val="00C33DF7"/>
    <w:rsid w:val="00C33E30"/>
    <w:rsid w:val="00C3420A"/>
    <w:rsid w:val="00C37640"/>
    <w:rsid w:val="00C40CA4"/>
    <w:rsid w:val="00C4142C"/>
    <w:rsid w:val="00C41896"/>
    <w:rsid w:val="00C43F6A"/>
    <w:rsid w:val="00C44D41"/>
    <w:rsid w:val="00C45A45"/>
    <w:rsid w:val="00C45D90"/>
    <w:rsid w:val="00C46DC5"/>
    <w:rsid w:val="00C47A9D"/>
    <w:rsid w:val="00C50508"/>
    <w:rsid w:val="00C51094"/>
    <w:rsid w:val="00C51CBF"/>
    <w:rsid w:val="00C536C6"/>
    <w:rsid w:val="00C53AF5"/>
    <w:rsid w:val="00C53D98"/>
    <w:rsid w:val="00C5579E"/>
    <w:rsid w:val="00C565A6"/>
    <w:rsid w:val="00C5662D"/>
    <w:rsid w:val="00C566A8"/>
    <w:rsid w:val="00C57856"/>
    <w:rsid w:val="00C57FD5"/>
    <w:rsid w:val="00C622A4"/>
    <w:rsid w:val="00C62485"/>
    <w:rsid w:val="00C62A9F"/>
    <w:rsid w:val="00C6450B"/>
    <w:rsid w:val="00C65E6C"/>
    <w:rsid w:val="00C70E2B"/>
    <w:rsid w:val="00C7488A"/>
    <w:rsid w:val="00C749D7"/>
    <w:rsid w:val="00C75BB4"/>
    <w:rsid w:val="00C81A3E"/>
    <w:rsid w:val="00C81C15"/>
    <w:rsid w:val="00C81CE4"/>
    <w:rsid w:val="00C83353"/>
    <w:rsid w:val="00C8614C"/>
    <w:rsid w:val="00C86206"/>
    <w:rsid w:val="00C9081B"/>
    <w:rsid w:val="00C90FA2"/>
    <w:rsid w:val="00C938B3"/>
    <w:rsid w:val="00C94B60"/>
    <w:rsid w:val="00C95148"/>
    <w:rsid w:val="00C971DE"/>
    <w:rsid w:val="00C973DE"/>
    <w:rsid w:val="00CA1A25"/>
    <w:rsid w:val="00CA1FFC"/>
    <w:rsid w:val="00CA204B"/>
    <w:rsid w:val="00CA2DCE"/>
    <w:rsid w:val="00CA3C03"/>
    <w:rsid w:val="00CA6471"/>
    <w:rsid w:val="00CA6DE8"/>
    <w:rsid w:val="00CA73BC"/>
    <w:rsid w:val="00CA76E4"/>
    <w:rsid w:val="00CA7F45"/>
    <w:rsid w:val="00CB036A"/>
    <w:rsid w:val="00CB173D"/>
    <w:rsid w:val="00CB1CB6"/>
    <w:rsid w:val="00CB28A3"/>
    <w:rsid w:val="00CB3552"/>
    <w:rsid w:val="00CB4193"/>
    <w:rsid w:val="00CB4AFD"/>
    <w:rsid w:val="00CB5665"/>
    <w:rsid w:val="00CB5AE6"/>
    <w:rsid w:val="00CB64E7"/>
    <w:rsid w:val="00CB77C1"/>
    <w:rsid w:val="00CC1B4B"/>
    <w:rsid w:val="00CC1B89"/>
    <w:rsid w:val="00CC2B56"/>
    <w:rsid w:val="00CC2CE1"/>
    <w:rsid w:val="00CC6904"/>
    <w:rsid w:val="00CD0D49"/>
    <w:rsid w:val="00CD148B"/>
    <w:rsid w:val="00CD30C4"/>
    <w:rsid w:val="00CD3139"/>
    <w:rsid w:val="00CD4E94"/>
    <w:rsid w:val="00CD7F54"/>
    <w:rsid w:val="00CE0581"/>
    <w:rsid w:val="00CE347E"/>
    <w:rsid w:val="00CE55BF"/>
    <w:rsid w:val="00CE5A30"/>
    <w:rsid w:val="00CE614C"/>
    <w:rsid w:val="00CF429F"/>
    <w:rsid w:val="00CF6E72"/>
    <w:rsid w:val="00CF773F"/>
    <w:rsid w:val="00CF7C68"/>
    <w:rsid w:val="00D029AE"/>
    <w:rsid w:val="00D02AD5"/>
    <w:rsid w:val="00D04B5A"/>
    <w:rsid w:val="00D05BD4"/>
    <w:rsid w:val="00D13A18"/>
    <w:rsid w:val="00D14864"/>
    <w:rsid w:val="00D14A92"/>
    <w:rsid w:val="00D154AE"/>
    <w:rsid w:val="00D15E8A"/>
    <w:rsid w:val="00D170E4"/>
    <w:rsid w:val="00D17BAD"/>
    <w:rsid w:val="00D206F1"/>
    <w:rsid w:val="00D20EEE"/>
    <w:rsid w:val="00D21577"/>
    <w:rsid w:val="00D242E5"/>
    <w:rsid w:val="00D253E4"/>
    <w:rsid w:val="00D3011C"/>
    <w:rsid w:val="00D3206B"/>
    <w:rsid w:val="00D32D01"/>
    <w:rsid w:val="00D3411D"/>
    <w:rsid w:val="00D36546"/>
    <w:rsid w:val="00D36A2A"/>
    <w:rsid w:val="00D40185"/>
    <w:rsid w:val="00D426AD"/>
    <w:rsid w:val="00D44269"/>
    <w:rsid w:val="00D44594"/>
    <w:rsid w:val="00D44A26"/>
    <w:rsid w:val="00D45423"/>
    <w:rsid w:val="00D46CC5"/>
    <w:rsid w:val="00D50DC3"/>
    <w:rsid w:val="00D50EA1"/>
    <w:rsid w:val="00D50FFC"/>
    <w:rsid w:val="00D52972"/>
    <w:rsid w:val="00D531B7"/>
    <w:rsid w:val="00D541E7"/>
    <w:rsid w:val="00D56B96"/>
    <w:rsid w:val="00D56E8F"/>
    <w:rsid w:val="00D57DFE"/>
    <w:rsid w:val="00D6225B"/>
    <w:rsid w:val="00D6503E"/>
    <w:rsid w:val="00D71B98"/>
    <w:rsid w:val="00D74BA6"/>
    <w:rsid w:val="00D75074"/>
    <w:rsid w:val="00D76187"/>
    <w:rsid w:val="00D8277C"/>
    <w:rsid w:val="00D849EE"/>
    <w:rsid w:val="00D854D7"/>
    <w:rsid w:val="00D864BC"/>
    <w:rsid w:val="00D8659F"/>
    <w:rsid w:val="00D867E0"/>
    <w:rsid w:val="00D90DCC"/>
    <w:rsid w:val="00D92A84"/>
    <w:rsid w:val="00D9439C"/>
    <w:rsid w:val="00D95F9A"/>
    <w:rsid w:val="00D9679F"/>
    <w:rsid w:val="00DA37FA"/>
    <w:rsid w:val="00DA450D"/>
    <w:rsid w:val="00DA4998"/>
    <w:rsid w:val="00DA4E74"/>
    <w:rsid w:val="00DA521A"/>
    <w:rsid w:val="00DA5FE9"/>
    <w:rsid w:val="00DB0CFD"/>
    <w:rsid w:val="00DB2324"/>
    <w:rsid w:val="00DB3238"/>
    <w:rsid w:val="00DB3651"/>
    <w:rsid w:val="00DB7AA3"/>
    <w:rsid w:val="00DC02C5"/>
    <w:rsid w:val="00DC0518"/>
    <w:rsid w:val="00DC1F96"/>
    <w:rsid w:val="00DC2044"/>
    <w:rsid w:val="00DC274F"/>
    <w:rsid w:val="00DC57DB"/>
    <w:rsid w:val="00DC5863"/>
    <w:rsid w:val="00DC6A0F"/>
    <w:rsid w:val="00DD27BC"/>
    <w:rsid w:val="00DD2ADB"/>
    <w:rsid w:val="00DD32A0"/>
    <w:rsid w:val="00DD50E9"/>
    <w:rsid w:val="00DE061D"/>
    <w:rsid w:val="00DE0DA1"/>
    <w:rsid w:val="00DE222B"/>
    <w:rsid w:val="00DE490D"/>
    <w:rsid w:val="00DE4BDB"/>
    <w:rsid w:val="00DE4FC5"/>
    <w:rsid w:val="00DF0B17"/>
    <w:rsid w:val="00DF3111"/>
    <w:rsid w:val="00DF35B2"/>
    <w:rsid w:val="00DF4330"/>
    <w:rsid w:val="00DF4F75"/>
    <w:rsid w:val="00DF5201"/>
    <w:rsid w:val="00DF5BB0"/>
    <w:rsid w:val="00DF683E"/>
    <w:rsid w:val="00DF7006"/>
    <w:rsid w:val="00E03420"/>
    <w:rsid w:val="00E03DB4"/>
    <w:rsid w:val="00E07F44"/>
    <w:rsid w:val="00E13169"/>
    <w:rsid w:val="00E141D5"/>
    <w:rsid w:val="00E15AD4"/>
    <w:rsid w:val="00E16443"/>
    <w:rsid w:val="00E166B4"/>
    <w:rsid w:val="00E202FA"/>
    <w:rsid w:val="00E207EF"/>
    <w:rsid w:val="00E218CA"/>
    <w:rsid w:val="00E2311C"/>
    <w:rsid w:val="00E23370"/>
    <w:rsid w:val="00E2458E"/>
    <w:rsid w:val="00E245CE"/>
    <w:rsid w:val="00E253D5"/>
    <w:rsid w:val="00E25645"/>
    <w:rsid w:val="00E335C6"/>
    <w:rsid w:val="00E34944"/>
    <w:rsid w:val="00E4054A"/>
    <w:rsid w:val="00E4096D"/>
    <w:rsid w:val="00E41FF2"/>
    <w:rsid w:val="00E42570"/>
    <w:rsid w:val="00E42C60"/>
    <w:rsid w:val="00E43A6B"/>
    <w:rsid w:val="00E4482D"/>
    <w:rsid w:val="00E463A9"/>
    <w:rsid w:val="00E50C9B"/>
    <w:rsid w:val="00E521D4"/>
    <w:rsid w:val="00E53523"/>
    <w:rsid w:val="00E53819"/>
    <w:rsid w:val="00E55240"/>
    <w:rsid w:val="00E55A38"/>
    <w:rsid w:val="00E56206"/>
    <w:rsid w:val="00E56BAB"/>
    <w:rsid w:val="00E57389"/>
    <w:rsid w:val="00E57A14"/>
    <w:rsid w:val="00E6337E"/>
    <w:rsid w:val="00E64671"/>
    <w:rsid w:val="00E655FB"/>
    <w:rsid w:val="00E67AF9"/>
    <w:rsid w:val="00E71EDC"/>
    <w:rsid w:val="00E742E4"/>
    <w:rsid w:val="00E75A04"/>
    <w:rsid w:val="00E77099"/>
    <w:rsid w:val="00E77EEF"/>
    <w:rsid w:val="00E813FD"/>
    <w:rsid w:val="00E81DAA"/>
    <w:rsid w:val="00E822C0"/>
    <w:rsid w:val="00E825A3"/>
    <w:rsid w:val="00E82949"/>
    <w:rsid w:val="00E84138"/>
    <w:rsid w:val="00E85F06"/>
    <w:rsid w:val="00E873E6"/>
    <w:rsid w:val="00E877DB"/>
    <w:rsid w:val="00E90323"/>
    <w:rsid w:val="00E930DC"/>
    <w:rsid w:val="00E9389E"/>
    <w:rsid w:val="00E97688"/>
    <w:rsid w:val="00E97A52"/>
    <w:rsid w:val="00EA0346"/>
    <w:rsid w:val="00EA2A19"/>
    <w:rsid w:val="00EA2F43"/>
    <w:rsid w:val="00EA50A7"/>
    <w:rsid w:val="00EA7592"/>
    <w:rsid w:val="00EB08A5"/>
    <w:rsid w:val="00EB175C"/>
    <w:rsid w:val="00EB41E8"/>
    <w:rsid w:val="00EB7A57"/>
    <w:rsid w:val="00EB7B14"/>
    <w:rsid w:val="00EC1999"/>
    <w:rsid w:val="00EC4A25"/>
    <w:rsid w:val="00EC6178"/>
    <w:rsid w:val="00EC6DF5"/>
    <w:rsid w:val="00EC73E9"/>
    <w:rsid w:val="00ED4601"/>
    <w:rsid w:val="00ED5C68"/>
    <w:rsid w:val="00ED66AC"/>
    <w:rsid w:val="00EE0500"/>
    <w:rsid w:val="00EE11F8"/>
    <w:rsid w:val="00EE2CF3"/>
    <w:rsid w:val="00EE3B32"/>
    <w:rsid w:val="00EE3C1D"/>
    <w:rsid w:val="00EE6F67"/>
    <w:rsid w:val="00EE78A1"/>
    <w:rsid w:val="00EE7AE6"/>
    <w:rsid w:val="00EF14AC"/>
    <w:rsid w:val="00EF2082"/>
    <w:rsid w:val="00EF6A44"/>
    <w:rsid w:val="00EF6B9D"/>
    <w:rsid w:val="00F01A99"/>
    <w:rsid w:val="00F03230"/>
    <w:rsid w:val="00F03421"/>
    <w:rsid w:val="00F04524"/>
    <w:rsid w:val="00F0490D"/>
    <w:rsid w:val="00F0539F"/>
    <w:rsid w:val="00F05AD1"/>
    <w:rsid w:val="00F07599"/>
    <w:rsid w:val="00F07937"/>
    <w:rsid w:val="00F1029B"/>
    <w:rsid w:val="00F104A0"/>
    <w:rsid w:val="00F10679"/>
    <w:rsid w:val="00F12333"/>
    <w:rsid w:val="00F14FDC"/>
    <w:rsid w:val="00F175F8"/>
    <w:rsid w:val="00F176FC"/>
    <w:rsid w:val="00F20D01"/>
    <w:rsid w:val="00F220AC"/>
    <w:rsid w:val="00F2315C"/>
    <w:rsid w:val="00F27495"/>
    <w:rsid w:val="00F27613"/>
    <w:rsid w:val="00F3108C"/>
    <w:rsid w:val="00F318F6"/>
    <w:rsid w:val="00F326A0"/>
    <w:rsid w:val="00F337D1"/>
    <w:rsid w:val="00F404F5"/>
    <w:rsid w:val="00F41F88"/>
    <w:rsid w:val="00F42181"/>
    <w:rsid w:val="00F43593"/>
    <w:rsid w:val="00F44272"/>
    <w:rsid w:val="00F4588E"/>
    <w:rsid w:val="00F468B0"/>
    <w:rsid w:val="00F52F14"/>
    <w:rsid w:val="00F53B72"/>
    <w:rsid w:val="00F553C3"/>
    <w:rsid w:val="00F55ECD"/>
    <w:rsid w:val="00F567E2"/>
    <w:rsid w:val="00F57CBF"/>
    <w:rsid w:val="00F6063A"/>
    <w:rsid w:val="00F60738"/>
    <w:rsid w:val="00F60FDA"/>
    <w:rsid w:val="00F61242"/>
    <w:rsid w:val="00F62672"/>
    <w:rsid w:val="00F6274E"/>
    <w:rsid w:val="00F70118"/>
    <w:rsid w:val="00F71C7B"/>
    <w:rsid w:val="00F72FA4"/>
    <w:rsid w:val="00F74D33"/>
    <w:rsid w:val="00F756FE"/>
    <w:rsid w:val="00F75849"/>
    <w:rsid w:val="00F75FD5"/>
    <w:rsid w:val="00F770B2"/>
    <w:rsid w:val="00F80A85"/>
    <w:rsid w:val="00F81C42"/>
    <w:rsid w:val="00F82B86"/>
    <w:rsid w:val="00F82C09"/>
    <w:rsid w:val="00F85145"/>
    <w:rsid w:val="00F85583"/>
    <w:rsid w:val="00F85601"/>
    <w:rsid w:val="00F865F5"/>
    <w:rsid w:val="00F868A6"/>
    <w:rsid w:val="00F868DF"/>
    <w:rsid w:val="00F878AA"/>
    <w:rsid w:val="00F90870"/>
    <w:rsid w:val="00F92064"/>
    <w:rsid w:val="00F9218C"/>
    <w:rsid w:val="00F9372C"/>
    <w:rsid w:val="00F93A13"/>
    <w:rsid w:val="00F957AF"/>
    <w:rsid w:val="00F978AA"/>
    <w:rsid w:val="00FA03B3"/>
    <w:rsid w:val="00FA42D6"/>
    <w:rsid w:val="00FA4E12"/>
    <w:rsid w:val="00FA73CD"/>
    <w:rsid w:val="00FA7F82"/>
    <w:rsid w:val="00FB0194"/>
    <w:rsid w:val="00FB0524"/>
    <w:rsid w:val="00FB066B"/>
    <w:rsid w:val="00FB4654"/>
    <w:rsid w:val="00FB4904"/>
    <w:rsid w:val="00FB64F7"/>
    <w:rsid w:val="00FC50A5"/>
    <w:rsid w:val="00FC6324"/>
    <w:rsid w:val="00FC7605"/>
    <w:rsid w:val="00FC7F31"/>
    <w:rsid w:val="00FD13E1"/>
    <w:rsid w:val="00FD140E"/>
    <w:rsid w:val="00FD1796"/>
    <w:rsid w:val="00FD327B"/>
    <w:rsid w:val="00FD70FD"/>
    <w:rsid w:val="00FE1900"/>
    <w:rsid w:val="00FE3270"/>
    <w:rsid w:val="00FE3618"/>
    <w:rsid w:val="00FE5257"/>
    <w:rsid w:val="00FE7DA9"/>
    <w:rsid w:val="00FF17E7"/>
    <w:rsid w:val="00FF2049"/>
    <w:rsid w:val="00FF29C0"/>
    <w:rsid w:val="00FF374D"/>
    <w:rsid w:val="00FF4446"/>
    <w:rsid w:val="00FF47F9"/>
    <w:rsid w:val="00FF663C"/>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004D99"/>
  <w15:docId w15:val="{6E7277B5-0295-443B-9738-F67006A1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B5B"/>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5979FF"/>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5979FF"/>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5979FF"/>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5979FF"/>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5979FF"/>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5979FF"/>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5979FF"/>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5979FF"/>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5979FF"/>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9FF"/>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5979FF"/>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5979FF"/>
    <w:rPr>
      <w:rFonts w:ascii="Tahoma" w:eastAsia="Times New Roman" w:hAnsi="Tahoma" w:cs="Tahoma"/>
      <w:sz w:val="16"/>
      <w:szCs w:val="16"/>
    </w:rPr>
  </w:style>
  <w:style w:type="paragraph" w:customStyle="1" w:styleId="Bullet">
    <w:name w:val="Bullet"/>
    <w:basedOn w:val="Normal"/>
    <w:qFormat/>
    <w:rsid w:val="005979FF"/>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5979FF"/>
    <w:pPr>
      <w:numPr>
        <w:numId w:val="2"/>
      </w:numPr>
      <w:spacing w:after="240"/>
      <w:ind w:left="432" w:hanging="432"/>
    </w:pPr>
  </w:style>
  <w:style w:type="paragraph" w:customStyle="1" w:styleId="BulletLastDS">
    <w:name w:val="Bullet (Last DS)"/>
    <w:basedOn w:val="Bullet"/>
    <w:next w:val="Normal"/>
    <w:qFormat/>
    <w:rsid w:val="005979FF"/>
    <w:pPr>
      <w:numPr>
        <w:numId w:val="3"/>
      </w:numPr>
      <w:spacing w:after="320"/>
      <w:ind w:left="432" w:hanging="432"/>
    </w:pPr>
  </w:style>
  <w:style w:type="paragraph" w:customStyle="1" w:styleId="Center">
    <w:name w:val="Center"/>
    <w:basedOn w:val="Normal"/>
    <w:semiHidden/>
    <w:unhideWhenUsed/>
    <w:rsid w:val="005979FF"/>
    <w:pPr>
      <w:ind w:firstLine="0"/>
      <w:jc w:val="center"/>
    </w:pPr>
  </w:style>
  <w:style w:type="paragraph" w:customStyle="1" w:styleId="Dash">
    <w:name w:val="Dash"/>
    <w:basedOn w:val="Normal"/>
    <w:qFormat/>
    <w:rsid w:val="005979FF"/>
    <w:pPr>
      <w:numPr>
        <w:numId w:val="4"/>
      </w:numPr>
      <w:tabs>
        <w:tab w:val="left" w:pos="288"/>
      </w:tabs>
      <w:spacing w:after="120" w:line="240" w:lineRule="auto"/>
    </w:pPr>
  </w:style>
  <w:style w:type="paragraph" w:customStyle="1" w:styleId="DashLASTSS">
    <w:name w:val="Dash (LAST SS)"/>
    <w:basedOn w:val="Dash"/>
    <w:next w:val="NormalSS"/>
    <w:qFormat/>
    <w:rsid w:val="005979FF"/>
    <w:pPr>
      <w:numPr>
        <w:numId w:val="5"/>
      </w:numPr>
      <w:spacing w:after="240"/>
    </w:pPr>
  </w:style>
  <w:style w:type="paragraph" w:customStyle="1" w:styleId="DashLASTDS">
    <w:name w:val="Dash (LAST DS)"/>
    <w:basedOn w:val="Dash"/>
    <w:next w:val="Normal"/>
    <w:qFormat/>
    <w:rsid w:val="005979FF"/>
    <w:pPr>
      <w:spacing w:after="320"/>
    </w:pPr>
    <w:rPr>
      <w:szCs w:val="24"/>
    </w:rPr>
  </w:style>
  <w:style w:type="paragraph" w:styleId="Footer">
    <w:name w:val="footer"/>
    <w:basedOn w:val="Normal"/>
    <w:link w:val="FooterChar"/>
    <w:uiPriority w:val="99"/>
    <w:qFormat/>
    <w:rsid w:val="005979FF"/>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5979FF"/>
    <w:rPr>
      <w:rFonts w:ascii="Arial" w:eastAsia="Times New Roman" w:hAnsi="Arial" w:cs="Times New Roman"/>
      <w:sz w:val="20"/>
      <w:szCs w:val="20"/>
    </w:rPr>
  </w:style>
  <w:style w:type="paragraph" w:styleId="DocumentMap">
    <w:name w:val="Document Map"/>
    <w:basedOn w:val="Normal"/>
    <w:link w:val="DocumentMapChar"/>
    <w:semiHidden/>
    <w:unhideWhenUsed/>
    <w:rsid w:val="005979FF"/>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5979FF"/>
    <w:rPr>
      <w:rFonts w:asciiTheme="majorHAnsi" w:eastAsia="Times New Roman" w:hAnsiTheme="majorHAnsi" w:cs="Times New Roman"/>
      <w:szCs w:val="20"/>
    </w:rPr>
  </w:style>
  <w:style w:type="character" w:styleId="FootnoteReference">
    <w:name w:val="footnote reference"/>
    <w:basedOn w:val="DefaultParagraphFont"/>
    <w:qFormat/>
    <w:rsid w:val="005979FF"/>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5979FF"/>
    <w:pPr>
      <w:spacing w:after="120" w:line="240" w:lineRule="auto"/>
      <w:ind w:firstLine="0"/>
    </w:pPr>
    <w:rPr>
      <w:sz w:val="20"/>
    </w:rPr>
  </w:style>
  <w:style w:type="character" w:customStyle="1" w:styleId="FootnoteTextChar">
    <w:name w:val="Footnote Text Char"/>
    <w:basedOn w:val="DefaultParagraphFont"/>
    <w:link w:val="FootnoteText"/>
    <w:rsid w:val="005979FF"/>
    <w:rPr>
      <w:rFonts w:eastAsia="Times New Roman" w:cs="Times New Roman"/>
      <w:sz w:val="20"/>
      <w:szCs w:val="20"/>
    </w:rPr>
  </w:style>
  <w:style w:type="paragraph" w:styleId="Header">
    <w:name w:val="header"/>
    <w:basedOn w:val="Normal"/>
    <w:link w:val="HeaderChar"/>
    <w:uiPriority w:val="99"/>
    <w:qFormat/>
    <w:rsid w:val="005979FF"/>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5979FF"/>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5979FF"/>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5979FF"/>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5979FF"/>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5979FF"/>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5979FF"/>
    <w:pPr>
      <w:outlineLvl w:val="9"/>
    </w:pPr>
  </w:style>
  <w:style w:type="character" w:customStyle="1" w:styleId="Heading4Char">
    <w:name w:val="Heading 4 Char"/>
    <w:basedOn w:val="DefaultParagraphFont"/>
    <w:link w:val="Heading4"/>
    <w:semiHidden/>
    <w:rsid w:val="005979FF"/>
    <w:rPr>
      <w:rFonts w:eastAsia="Times New Roman" w:cs="Times New Roman"/>
      <w:b/>
      <w:szCs w:val="20"/>
    </w:rPr>
  </w:style>
  <w:style w:type="character" w:customStyle="1" w:styleId="Heading5Char">
    <w:name w:val="Heading 5 Char"/>
    <w:basedOn w:val="DefaultParagraphFont"/>
    <w:link w:val="Heading5"/>
    <w:semiHidden/>
    <w:rsid w:val="005979FF"/>
    <w:rPr>
      <w:rFonts w:eastAsia="Times New Roman" w:cs="Times New Roman"/>
      <w:b/>
      <w:szCs w:val="20"/>
    </w:rPr>
  </w:style>
  <w:style w:type="character" w:customStyle="1" w:styleId="Heading6Char">
    <w:name w:val="Heading 6 Char"/>
    <w:basedOn w:val="DefaultParagraphFont"/>
    <w:link w:val="Heading6"/>
    <w:semiHidden/>
    <w:rsid w:val="005979FF"/>
    <w:rPr>
      <w:rFonts w:eastAsia="Times New Roman" w:cs="Times New Roman"/>
      <w:szCs w:val="20"/>
    </w:rPr>
  </w:style>
  <w:style w:type="character" w:customStyle="1" w:styleId="Heading7Char">
    <w:name w:val="Heading 7 Char"/>
    <w:basedOn w:val="DefaultParagraphFont"/>
    <w:link w:val="Heading7"/>
    <w:semiHidden/>
    <w:rsid w:val="005979FF"/>
    <w:rPr>
      <w:rFonts w:eastAsia="Times New Roman" w:cs="Times New Roman"/>
      <w:szCs w:val="20"/>
    </w:rPr>
  </w:style>
  <w:style w:type="character" w:customStyle="1" w:styleId="Heading8Char">
    <w:name w:val="Heading 8 Char"/>
    <w:basedOn w:val="DefaultParagraphFont"/>
    <w:link w:val="Heading8"/>
    <w:semiHidden/>
    <w:rsid w:val="005979FF"/>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979FF"/>
    <w:rPr>
      <w:rFonts w:eastAsia="Times New Roman" w:cs="Times New Roman"/>
      <w:szCs w:val="20"/>
    </w:rPr>
  </w:style>
  <w:style w:type="paragraph" w:customStyle="1" w:styleId="MarkforAppendixTitle">
    <w:name w:val="Mark for Appendix Title"/>
    <w:basedOn w:val="Normal"/>
    <w:next w:val="Normal"/>
    <w:qFormat/>
    <w:rsid w:val="005979FF"/>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5979FF"/>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5979FF"/>
  </w:style>
  <w:style w:type="paragraph" w:customStyle="1" w:styleId="MarkforTableTitle">
    <w:name w:val="Mark for Table Title"/>
    <w:basedOn w:val="Normal"/>
    <w:next w:val="NormalSS"/>
    <w:qFormat/>
    <w:rsid w:val="005979FF"/>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5979FF"/>
  </w:style>
  <w:style w:type="numbering" w:customStyle="1" w:styleId="MPROutline">
    <w:name w:val="MPROutline"/>
    <w:uiPriority w:val="99"/>
    <w:locked/>
    <w:rsid w:val="005979FF"/>
    <w:pPr>
      <w:numPr>
        <w:numId w:val="7"/>
      </w:numPr>
    </w:pPr>
  </w:style>
  <w:style w:type="character" w:customStyle="1" w:styleId="MTEquationSection">
    <w:name w:val="MTEquationSection"/>
    <w:basedOn w:val="DefaultParagraphFont"/>
    <w:rsid w:val="005979FF"/>
    <w:rPr>
      <w:rFonts w:ascii="Arial" w:hAnsi="Arial"/>
      <w:vanish/>
      <w:color w:val="auto"/>
      <w:sz w:val="18"/>
    </w:rPr>
  </w:style>
  <w:style w:type="paragraph" w:customStyle="1" w:styleId="Normalcontinued">
    <w:name w:val="Normal (continued)"/>
    <w:basedOn w:val="Normal"/>
    <w:next w:val="Normal"/>
    <w:qFormat/>
    <w:rsid w:val="005979FF"/>
    <w:pPr>
      <w:ind w:firstLine="0"/>
    </w:pPr>
  </w:style>
  <w:style w:type="paragraph" w:customStyle="1" w:styleId="NormalSS">
    <w:name w:val="NormalSS"/>
    <w:basedOn w:val="Normal"/>
    <w:link w:val="NormalSSChar"/>
    <w:qFormat/>
    <w:rsid w:val="005979FF"/>
    <w:pPr>
      <w:spacing w:after="240" w:line="240" w:lineRule="auto"/>
    </w:pPr>
  </w:style>
  <w:style w:type="paragraph" w:customStyle="1" w:styleId="NormalSScontinued">
    <w:name w:val="NormalSS (continued)"/>
    <w:basedOn w:val="NormalSS"/>
    <w:next w:val="NormalSS"/>
    <w:qFormat/>
    <w:rsid w:val="005979FF"/>
    <w:pPr>
      <w:ind w:firstLine="0"/>
    </w:pPr>
  </w:style>
  <w:style w:type="paragraph" w:customStyle="1" w:styleId="NumberedBullet">
    <w:name w:val="Numbered Bullet"/>
    <w:basedOn w:val="Normal"/>
    <w:link w:val="NumberedBulletChar"/>
    <w:qFormat/>
    <w:rsid w:val="005979FF"/>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5979FF"/>
    <w:pPr>
      <w:spacing w:after="240" w:line="240" w:lineRule="auto"/>
      <w:ind w:left="720" w:hanging="720"/>
    </w:pPr>
  </w:style>
  <w:style w:type="character" w:styleId="PageNumber">
    <w:name w:val="page number"/>
    <w:basedOn w:val="DefaultParagraphFont"/>
    <w:uiPriority w:val="99"/>
    <w:semiHidden/>
    <w:qFormat/>
    <w:rsid w:val="005979FF"/>
    <w:rPr>
      <w:rFonts w:ascii="Arial" w:hAnsi="Arial"/>
      <w:color w:val="auto"/>
      <w:sz w:val="20"/>
      <w:bdr w:val="none" w:sz="0" w:space="0" w:color="auto"/>
    </w:rPr>
  </w:style>
  <w:style w:type="paragraph" w:customStyle="1" w:styleId="References">
    <w:name w:val="References"/>
    <w:basedOn w:val="Normal"/>
    <w:qFormat/>
    <w:rsid w:val="005979FF"/>
    <w:pPr>
      <w:keepLines/>
      <w:spacing w:after="240" w:line="240" w:lineRule="auto"/>
      <w:ind w:left="432" w:hanging="432"/>
    </w:pPr>
  </w:style>
  <w:style w:type="paragraph" w:customStyle="1" w:styleId="TableFootnoteCaption">
    <w:name w:val="Table Footnote_Caption"/>
    <w:qFormat/>
    <w:rsid w:val="005979FF"/>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979FF"/>
    <w:pPr>
      <w:spacing w:before="120" w:after="60"/>
    </w:pPr>
    <w:rPr>
      <w:b/>
      <w:color w:val="FFFFFF" w:themeColor="background1"/>
    </w:rPr>
  </w:style>
  <w:style w:type="paragraph" w:customStyle="1" w:styleId="TableHeaderCenter">
    <w:name w:val="Table Header Center"/>
    <w:basedOn w:val="TableHeaderLeft"/>
    <w:qFormat/>
    <w:rsid w:val="005979FF"/>
    <w:pPr>
      <w:jc w:val="center"/>
    </w:pPr>
  </w:style>
  <w:style w:type="paragraph" w:styleId="TableofFigures">
    <w:name w:val="table of figures"/>
    <w:basedOn w:val="Normal"/>
    <w:next w:val="Normal"/>
    <w:uiPriority w:val="99"/>
    <w:locked/>
    <w:rsid w:val="005979FF"/>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5979FF"/>
    <w:pPr>
      <w:spacing w:line="240" w:lineRule="auto"/>
      <w:ind w:firstLine="0"/>
    </w:pPr>
    <w:rPr>
      <w:rFonts w:ascii="Arial" w:hAnsi="Arial"/>
      <w:sz w:val="18"/>
    </w:rPr>
  </w:style>
  <w:style w:type="paragraph" w:customStyle="1" w:styleId="TableSourceCaption">
    <w:name w:val="Table Source_Caption"/>
    <w:qFormat/>
    <w:rsid w:val="005979FF"/>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5979FF"/>
  </w:style>
  <w:style w:type="paragraph" w:customStyle="1" w:styleId="Tabletext8">
    <w:name w:val="Table text 8"/>
    <w:basedOn w:val="TableText"/>
    <w:qFormat/>
    <w:rsid w:val="005979FF"/>
    <w:rPr>
      <w:snapToGrid w:val="0"/>
      <w:sz w:val="16"/>
      <w:szCs w:val="16"/>
    </w:rPr>
  </w:style>
  <w:style w:type="paragraph" w:customStyle="1" w:styleId="TableSpace">
    <w:name w:val="TableSpace"/>
    <w:basedOn w:val="TableSourceCaption"/>
    <w:next w:val="TableFootnoteCaption"/>
    <w:semiHidden/>
    <w:qFormat/>
    <w:rsid w:val="005979FF"/>
  </w:style>
  <w:style w:type="paragraph" w:styleId="Title">
    <w:name w:val="Title"/>
    <w:basedOn w:val="Normal"/>
    <w:next w:val="Normal"/>
    <w:link w:val="TitleChar"/>
    <w:semiHidden/>
    <w:rsid w:val="005979FF"/>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5979FF"/>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5979FF"/>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5979FF"/>
    <w:pPr>
      <w:spacing w:before="0" w:after="160"/>
    </w:pPr>
  </w:style>
  <w:style w:type="paragraph" w:customStyle="1" w:styleId="TitleofDocumentNoPhoto">
    <w:name w:val="Title of Document No Photo"/>
    <w:basedOn w:val="TitleofDocumentHorizontal"/>
    <w:semiHidden/>
    <w:qFormat/>
    <w:rsid w:val="005979FF"/>
  </w:style>
  <w:style w:type="paragraph" w:styleId="TOC1">
    <w:name w:val="toc 1"/>
    <w:next w:val="Normalcontinued"/>
    <w:autoRedefine/>
    <w:uiPriority w:val="39"/>
    <w:qFormat/>
    <w:rsid w:val="005979FF"/>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9FF"/>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9FF"/>
    <w:pPr>
      <w:tabs>
        <w:tab w:val="clear" w:pos="1080"/>
        <w:tab w:val="left" w:pos="1440"/>
      </w:tabs>
      <w:spacing w:after="120"/>
      <w:ind w:left="1440"/>
    </w:pPr>
  </w:style>
  <w:style w:type="paragraph" w:styleId="TOC4">
    <w:name w:val="toc 4"/>
    <w:next w:val="Normal"/>
    <w:autoRedefine/>
    <w:qFormat/>
    <w:rsid w:val="005979FF"/>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9FF"/>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5979FF"/>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5979FF"/>
    <w:rPr>
      <w:rFonts w:eastAsia="Times New Roman" w:cs="Times New Roman"/>
      <w:szCs w:val="20"/>
    </w:rPr>
  </w:style>
  <w:style w:type="paragraph" w:customStyle="1" w:styleId="NumberedBulletLastDS">
    <w:name w:val="Numbered Bullet (Last DS)"/>
    <w:basedOn w:val="NumberedBullet"/>
    <w:next w:val="Normal"/>
    <w:qFormat/>
    <w:rsid w:val="005979FF"/>
    <w:pPr>
      <w:spacing w:after="320"/>
    </w:pPr>
  </w:style>
  <w:style w:type="paragraph" w:customStyle="1" w:styleId="NumberedBulletLastSS">
    <w:name w:val="Numbered Bullet (Last SS)"/>
    <w:basedOn w:val="NumberedBulletLastDS"/>
    <w:next w:val="NormalSS"/>
    <w:qFormat/>
    <w:rsid w:val="005979FF"/>
    <w:pPr>
      <w:spacing w:after="240"/>
    </w:pPr>
  </w:style>
  <w:style w:type="table" w:styleId="LightList">
    <w:name w:val="Light List"/>
    <w:basedOn w:val="TableNormal"/>
    <w:uiPriority w:val="61"/>
    <w:locked/>
    <w:rsid w:val="005979FF"/>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979FF"/>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5979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9FF"/>
    <w:pPr>
      <w:ind w:left="720"/>
      <w:contextualSpacing/>
    </w:pPr>
  </w:style>
  <w:style w:type="paragraph" w:customStyle="1" w:styleId="H1Title">
    <w:name w:val="H1_Title"/>
    <w:basedOn w:val="Normal"/>
    <w:next w:val="Normal"/>
    <w:link w:val="H1TitleChar"/>
    <w:qFormat/>
    <w:rsid w:val="005979FF"/>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5979FF"/>
    <w:pPr>
      <w:ind w:left="432" w:hanging="432"/>
      <w:outlineLvl w:val="1"/>
    </w:pPr>
  </w:style>
  <w:style w:type="character" w:customStyle="1" w:styleId="H1TitleChar">
    <w:name w:val="H1_Title Char"/>
    <w:basedOn w:val="DefaultParagraphFont"/>
    <w:link w:val="H1Title"/>
    <w:rsid w:val="005979FF"/>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5979FF"/>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5979FF"/>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5979FF"/>
    <w:pPr>
      <w:outlineLvl w:val="9"/>
    </w:pPr>
  </w:style>
  <w:style w:type="character" w:customStyle="1" w:styleId="H3AlphaChar">
    <w:name w:val="H3_Alpha Char"/>
    <w:basedOn w:val="Heading2Char"/>
    <w:link w:val="H3Alpha"/>
    <w:rsid w:val="005979FF"/>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5979FF"/>
    <w:pPr>
      <w:outlineLvl w:val="3"/>
    </w:pPr>
    <w:rPr>
      <w:b/>
    </w:rPr>
  </w:style>
  <w:style w:type="character" w:customStyle="1" w:styleId="H3AlphaNoTOCChar">
    <w:name w:val="H3_Alpha_No TOC Char"/>
    <w:basedOn w:val="H3AlphaChar"/>
    <w:link w:val="H3AlphaNoTOC"/>
    <w:rsid w:val="005979FF"/>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5979FF"/>
    <w:pPr>
      <w:outlineLvl w:val="9"/>
    </w:pPr>
  </w:style>
  <w:style w:type="character" w:customStyle="1" w:styleId="H4NumberChar">
    <w:name w:val="H4_Number Char"/>
    <w:basedOn w:val="Heading3Char"/>
    <w:link w:val="H4Number"/>
    <w:rsid w:val="005979FF"/>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5979FF"/>
    <w:pPr>
      <w:outlineLvl w:val="4"/>
    </w:pPr>
  </w:style>
  <w:style w:type="character" w:customStyle="1" w:styleId="H4NumberNoTOCChar">
    <w:name w:val="H4_Number_No TOC Char"/>
    <w:basedOn w:val="H4NumberChar"/>
    <w:link w:val="H4NumberNoTOC"/>
    <w:rsid w:val="005979FF"/>
    <w:rPr>
      <w:rFonts w:ascii="Arial Black" w:eastAsia="Times New Roman" w:hAnsi="Arial Black" w:cs="Times New Roman"/>
      <w:b/>
      <w:sz w:val="22"/>
      <w:szCs w:val="20"/>
    </w:rPr>
  </w:style>
  <w:style w:type="character" w:customStyle="1" w:styleId="H5LowerChar">
    <w:name w:val="H5_Lower Char"/>
    <w:basedOn w:val="Heading4Char"/>
    <w:link w:val="H5Lower"/>
    <w:rsid w:val="005979FF"/>
    <w:rPr>
      <w:rFonts w:eastAsia="Times New Roman" w:cs="Times New Roman"/>
      <w:b/>
      <w:szCs w:val="20"/>
    </w:rPr>
  </w:style>
  <w:style w:type="character" w:customStyle="1" w:styleId="NormalSSChar">
    <w:name w:val="NormalSS Char"/>
    <w:basedOn w:val="DefaultParagraphFont"/>
    <w:link w:val="NormalSS"/>
    <w:locked/>
    <w:rsid w:val="00E84138"/>
    <w:rPr>
      <w:rFonts w:eastAsia="Times New Roman" w:cs="Times New Roman"/>
      <w:szCs w:val="20"/>
    </w:rPr>
  </w:style>
  <w:style w:type="paragraph" w:styleId="NoSpacing">
    <w:name w:val="No Spacing"/>
    <w:uiPriority w:val="1"/>
    <w:qFormat/>
    <w:rsid w:val="00E56BAB"/>
    <w:pPr>
      <w:spacing w:after="0"/>
    </w:pPr>
    <w:rPr>
      <w:rFonts w:eastAsiaTheme="minorHAnsi"/>
      <w:szCs w:val="22"/>
    </w:rPr>
  </w:style>
  <w:style w:type="paragraph" w:customStyle="1" w:styleId="Default">
    <w:name w:val="Default"/>
    <w:rsid w:val="006B1E1A"/>
    <w:pPr>
      <w:autoSpaceDE w:val="0"/>
      <w:autoSpaceDN w:val="0"/>
      <w:adjustRightInd w:val="0"/>
      <w:spacing w:after="0"/>
    </w:pPr>
    <w:rPr>
      <w:rFonts w:eastAsiaTheme="minorHAnsi" w:cs="Times New Roman"/>
      <w:color w:val="000000"/>
    </w:rPr>
  </w:style>
  <w:style w:type="character" w:customStyle="1" w:styleId="A1">
    <w:name w:val="A1"/>
    <w:uiPriority w:val="99"/>
    <w:rsid w:val="006B1E1A"/>
    <w:rPr>
      <w:rFonts w:cs="Verdana"/>
      <w:color w:val="000000"/>
      <w:sz w:val="20"/>
      <w:szCs w:val="20"/>
    </w:rPr>
  </w:style>
  <w:style w:type="character" w:styleId="CommentReference">
    <w:name w:val="annotation reference"/>
    <w:basedOn w:val="DefaultParagraphFont"/>
    <w:uiPriority w:val="99"/>
    <w:unhideWhenUsed/>
    <w:rsid w:val="00C973DE"/>
    <w:rPr>
      <w:sz w:val="16"/>
      <w:szCs w:val="16"/>
    </w:rPr>
  </w:style>
  <w:style w:type="paragraph" w:styleId="CommentText">
    <w:name w:val="annotation text"/>
    <w:basedOn w:val="Normal"/>
    <w:link w:val="CommentTextChar"/>
    <w:uiPriority w:val="99"/>
    <w:unhideWhenUsed/>
    <w:rsid w:val="00C973DE"/>
    <w:pPr>
      <w:spacing w:line="240" w:lineRule="auto"/>
    </w:pPr>
    <w:rPr>
      <w:sz w:val="20"/>
    </w:rPr>
  </w:style>
  <w:style w:type="character" w:customStyle="1" w:styleId="CommentTextChar">
    <w:name w:val="Comment Text Char"/>
    <w:basedOn w:val="DefaultParagraphFont"/>
    <w:link w:val="CommentText"/>
    <w:uiPriority w:val="99"/>
    <w:rsid w:val="00C973D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C973DE"/>
    <w:rPr>
      <w:b/>
      <w:bCs/>
    </w:rPr>
  </w:style>
  <w:style w:type="character" w:customStyle="1" w:styleId="CommentSubjectChar">
    <w:name w:val="Comment Subject Char"/>
    <w:basedOn w:val="CommentTextChar"/>
    <w:link w:val="CommentSubject"/>
    <w:uiPriority w:val="99"/>
    <w:semiHidden/>
    <w:rsid w:val="00C973DE"/>
    <w:rPr>
      <w:rFonts w:eastAsiaTheme="minorHAnsi"/>
      <w:b/>
      <w:bCs/>
      <w:sz w:val="20"/>
      <w:szCs w:val="20"/>
    </w:rPr>
  </w:style>
  <w:style w:type="table" w:customStyle="1" w:styleId="Customtable">
    <w:name w:val="Custom table"/>
    <w:basedOn w:val="TableNormal"/>
    <w:rsid w:val="00D029AE"/>
    <w:pPr>
      <w:suppressAutoHyphens/>
      <w:spacing w:after="160"/>
      <w:jc w:val="center"/>
    </w:pPr>
    <w:rPr>
      <w:rFonts w:ascii="Franklin Gothic Book" w:eastAsiaTheme="minorHAnsi" w:hAnsi="Franklin Gothic Book"/>
      <w:color w:val="000000"/>
      <w:sz w:val="16"/>
      <w:szCs w:val="22"/>
    </w:rPr>
    <w:tblPr>
      <w:tblBorders>
        <w:bottom w:val="single" w:sz="2" w:space="0" w:color="0085C7"/>
        <w:insideH w:val="single" w:sz="2" w:space="0" w:color="0085C7"/>
      </w:tblBorders>
    </w:tblPr>
    <w:tcPr>
      <w:shd w:val="clear" w:color="auto" w:fill="FFFFFF"/>
      <w:tcMar>
        <w:left w:w="72" w:type="dxa"/>
        <w:right w:w="72" w:type="dxa"/>
      </w:tcMar>
    </w:tcPr>
    <w:tblStylePr w:type="firstRow">
      <w:pPr>
        <w:keepNext/>
      </w:pPr>
      <w:rPr>
        <w:color w:val="FFFFFF"/>
      </w:rPr>
      <w:tblPr/>
      <w:tcPr>
        <w:tcBorders>
          <w:top w:val="nil"/>
          <w:left w:val="nil"/>
          <w:bottom w:val="nil"/>
          <w:right w:val="nil"/>
          <w:insideH w:val="nil"/>
          <w:insideV w:val="nil"/>
        </w:tcBorders>
        <w:shd w:val="clear" w:color="auto" w:fill="0085C7"/>
      </w:tcPr>
    </w:tblStylePr>
    <w:tblStylePr w:type="lastRow">
      <w:pPr>
        <w:keepNext/>
      </w:pPr>
    </w:tblStylePr>
    <w:tblStylePr w:type="firstCol">
      <w:pPr>
        <w:jc w:val="left"/>
      </w:pPr>
    </w:tblStylePr>
    <w:tblStylePr w:type="lastCol">
      <w:pPr>
        <w:jc w:val="center"/>
      </w:pPr>
      <w:tblPr/>
      <w:tcPr>
        <w:vAlign w:val="center"/>
      </w:tcPr>
    </w:tblStylePr>
  </w:style>
  <w:style w:type="paragraph" w:customStyle="1" w:styleId="Customtext">
    <w:name w:val="Custom text"/>
    <w:basedOn w:val="Normal"/>
    <w:link w:val="CustomtextChar"/>
    <w:qFormat/>
    <w:rsid w:val="000F5FC5"/>
    <w:pPr>
      <w:suppressAutoHyphens/>
      <w:spacing w:before="58" w:after="58" w:line="240" w:lineRule="auto"/>
    </w:pPr>
    <w:rPr>
      <w:rFonts w:ascii="Franklin Gothic Book" w:hAnsi="Franklin Gothic Book"/>
      <w:color w:val="000000"/>
      <w:sz w:val="16"/>
    </w:rPr>
  </w:style>
  <w:style w:type="character" w:customStyle="1" w:styleId="CustomtextChar">
    <w:name w:val="Custom text Char"/>
    <w:basedOn w:val="DefaultParagraphFont"/>
    <w:link w:val="Customtext"/>
    <w:rsid w:val="000F5FC5"/>
    <w:rPr>
      <w:rFonts w:ascii="Franklin Gothic Book" w:eastAsiaTheme="minorHAnsi" w:hAnsi="Franklin Gothic Book"/>
      <w:color w:val="000000"/>
      <w:sz w:val="16"/>
      <w:szCs w:val="22"/>
    </w:rPr>
  </w:style>
  <w:style w:type="paragraph" w:customStyle="1" w:styleId="Customheader">
    <w:name w:val="Custom header"/>
    <w:basedOn w:val="Normal"/>
    <w:link w:val="CustomheaderChar"/>
    <w:qFormat/>
    <w:rsid w:val="000F5FC5"/>
    <w:pPr>
      <w:spacing w:before="100" w:after="100" w:line="240" w:lineRule="auto"/>
    </w:pPr>
    <w:rPr>
      <w:rFonts w:ascii="Franklin Gothic Book" w:hAnsi="Franklin Gothic Book"/>
      <w:b/>
      <w:color w:val="FFFFFF"/>
      <w:sz w:val="16"/>
    </w:rPr>
  </w:style>
  <w:style w:type="character" w:customStyle="1" w:styleId="CustomheaderChar">
    <w:name w:val="Custom header Char"/>
    <w:basedOn w:val="DefaultParagraphFont"/>
    <w:link w:val="Customheader"/>
    <w:rsid w:val="000F5FC5"/>
    <w:rPr>
      <w:rFonts w:ascii="Franklin Gothic Book" w:eastAsiaTheme="minorHAnsi" w:hAnsi="Franklin Gothic Book"/>
      <w:b/>
      <w:color w:val="FFFFFF"/>
      <w:sz w:val="16"/>
      <w:szCs w:val="22"/>
    </w:rPr>
  </w:style>
  <w:style w:type="paragraph" w:customStyle="1" w:styleId="Customtitle">
    <w:name w:val="Custom title"/>
    <w:basedOn w:val="Normal"/>
    <w:link w:val="CustomtitleChar"/>
    <w:qFormat/>
    <w:rsid w:val="00895819"/>
    <w:pPr>
      <w:keepNext/>
      <w:pBdr>
        <w:top w:val="single" w:sz="18" w:space="0" w:color="000000"/>
      </w:pBdr>
      <w:suppressAutoHyphens/>
      <w:spacing w:before="240" w:after="120" w:line="240" w:lineRule="auto"/>
    </w:pPr>
    <w:rPr>
      <w:rFonts w:ascii="Franklin Gothic Demi" w:hAnsi="Franklin Gothic Demi"/>
      <w:color w:val="000000"/>
      <w:sz w:val="21"/>
    </w:rPr>
  </w:style>
  <w:style w:type="character" w:customStyle="1" w:styleId="CustomtitleChar">
    <w:name w:val="Custom title Char"/>
    <w:basedOn w:val="DefaultParagraphFont"/>
    <w:link w:val="Customtitle"/>
    <w:rsid w:val="00895819"/>
    <w:rPr>
      <w:rFonts w:ascii="Franklin Gothic Demi" w:eastAsiaTheme="minorHAnsi" w:hAnsi="Franklin Gothic Demi"/>
      <w:color w:val="000000"/>
      <w:sz w:val="21"/>
      <w:szCs w:val="22"/>
    </w:rPr>
  </w:style>
  <w:style w:type="paragraph" w:customStyle="1" w:styleId="Customfooter">
    <w:name w:val="Custom footer"/>
    <w:basedOn w:val="Normal"/>
    <w:link w:val="CustomfooterChar"/>
    <w:qFormat/>
    <w:rsid w:val="00895819"/>
    <w:pPr>
      <w:keepNext/>
      <w:pBdr>
        <w:bottom w:val="single" w:sz="18" w:space="0" w:color="000000"/>
      </w:pBdr>
      <w:suppressAutoHyphens/>
      <w:spacing w:before="120" w:after="240" w:line="240" w:lineRule="auto"/>
    </w:pPr>
    <w:rPr>
      <w:rFonts w:ascii="Franklin Gothic Book" w:hAnsi="Franklin Gothic Book"/>
      <w:color w:val="000000"/>
      <w:sz w:val="16"/>
    </w:rPr>
  </w:style>
  <w:style w:type="character" w:customStyle="1" w:styleId="CustomfooterChar">
    <w:name w:val="Custom footer Char"/>
    <w:basedOn w:val="DefaultParagraphFont"/>
    <w:link w:val="Customfooter"/>
    <w:rsid w:val="00895819"/>
    <w:rPr>
      <w:rFonts w:ascii="Franklin Gothic Book" w:eastAsiaTheme="minorHAnsi" w:hAnsi="Franklin Gothic Book"/>
      <w:color w:val="000000"/>
      <w:sz w:val="16"/>
      <w:szCs w:val="22"/>
    </w:rPr>
  </w:style>
  <w:style w:type="character" w:styleId="PlaceholderText">
    <w:name w:val="Placeholder Text"/>
    <w:basedOn w:val="DefaultParagraphFont"/>
    <w:uiPriority w:val="99"/>
    <w:semiHidden/>
    <w:rsid w:val="00FD1796"/>
    <w:rPr>
      <w:color w:val="808080"/>
    </w:rPr>
  </w:style>
  <w:style w:type="paragraph" w:styleId="Revision">
    <w:name w:val="Revision"/>
    <w:hidden/>
    <w:uiPriority w:val="99"/>
    <w:semiHidden/>
    <w:rsid w:val="00CE5A30"/>
    <w:pPr>
      <w:spacing w:after="0"/>
    </w:pPr>
    <w:rPr>
      <w:rFonts w:eastAsiaTheme="minorHAnsi"/>
      <w:szCs w:val="22"/>
    </w:rPr>
  </w:style>
  <w:style w:type="paragraph" w:styleId="TOCHeading">
    <w:name w:val="TOC Heading"/>
    <w:basedOn w:val="Heading1"/>
    <w:next w:val="Normal"/>
    <w:uiPriority w:val="39"/>
    <w:unhideWhenUsed/>
    <w:qFormat/>
    <w:rsid w:val="007E656F"/>
    <w:pPr>
      <w:keepLines/>
      <w:pBdr>
        <w:bottom w:val="none" w:sz="0" w:space="0" w:color="auto"/>
      </w:pBdr>
      <w:tabs>
        <w:tab w:val="clear" w:pos="432"/>
      </w:tabs>
      <w:spacing w:after="0" w:line="259" w:lineRule="auto"/>
      <w:outlineLvl w:val="9"/>
    </w:pPr>
    <w:rPr>
      <w:rFonts w:asciiTheme="majorHAnsi" w:eastAsiaTheme="majorEastAsia" w:hAnsiTheme="majorHAnsi" w:cstheme="majorBidi"/>
      <w:caps w:val="0"/>
      <w:color w:val="365F91" w:themeColor="accent1" w:themeShade="BF"/>
      <w:sz w:val="32"/>
      <w:szCs w:val="32"/>
    </w:rPr>
  </w:style>
  <w:style w:type="character" w:styleId="Hyperlink">
    <w:name w:val="Hyperlink"/>
    <w:basedOn w:val="DefaultParagraphFont"/>
    <w:uiPriority w:val="99"/>
    <w:unhideWhenUsed/>
    <w:rsid w:val="007E656F"/>
    <w:rPr>
      <w:color w:val="0000FF" w:themeColor="hyperlink"/>
      <w:u w:val="single"/>
    </w:rPr>
  </w:style>
  <w:style w:type="table" w:customStyle="1" w:styleId="Customtable1">
    <w:name w:val="Custom table1"/>
    <w:basedOn w:val="TableNormal"/>
    <w:rsid w:val="00600B07"/>
    <w:pPr>
      <w:suppressAutoHyphens/>
      <w:spacing w:after="160"/>
      <w:jc w:val="center"/>
    </w:pPr>
    <w:rPr>
      <w:rFonts w:ascii="Franklin Gothic Book" w:eastAsia="Calibri" w:hAnsi="Franklin Gothic Book"/>
      <w:color w:val="000000"/>
      <w:sz w:val="16"/>
      <w:szCs w:val="22"/>
    </w:rPr>
    <w:tblPr>
      <w:tblBorders>
        <w:bottom w:val="single" w:sz="2" w:space="0" w:color="0085C7"/>
        <w:insideH w:val="single" w:sz="2" w:space="0" w:color="0085C7"/>
      </w:tblBorders>
    </w:tblPr>
    <w:tcPr>
      <w:shd w:val="clear" w:color="auto" w:fill="FFFFFF"/>
      <w:tcMar>
        <w:left w:w="72" w:type="dxa"/>
        <w:right w:w="72" w:type="dxa"/>
      </w:tcMar>
    </w:tcPr>
    <w:tblStylePr w:type="firstRow">
      <w:pPr>
        <w:keepNext/>
      </w:pPr>
      <w:rPr>
        <w:color w:val="FFFFFF"/>
      </w:rPr>
      <w:tblPr/>
      <w:tcPr>
        <w:tcBorders>
          <w:top w:val="nil"/>
          <w:left w:val="nil"/>
          <w:bottom w:val="nil"/>
          <w:right w:val="nil"/>
          <w:insideH w:val="nil"/>
          <w:insideV w:val="nil"/>
        </w:tcBorders>
        <w:shd w:val="clear" w:color="auto" w:fill="0085C7"/>
      </w:tcPr>
    </w:tblStylePr>
    <w:tblStylePr w:type="lastRow">
      <w:pPr>
        <w:keepNext/>
      </w:pPr>
    </w:tblStylePr>
    <w:tblStylePr w:type="firstCol">
      <w:pPr>
        <w:jc w:val="left"/>
      </w:pPr>
    </w:tblStylePr>
  </w:style>
  <w:style w:type="table" w:customStyle="1" w:styleId="Customtable2">
    <w:name w:val="Custom table2"/>
    <w:basedOn w:val="TableNormal"/>
    <w:rsid w:val="00154248"/>
    <w:pPr>
      <w:suppressAutoHyphens/>
      <w:spacing w:after="160"/>
      <w:jc w:val="center"/>
    </w:pPr>
    <w:rPr>
      <w:rFonts w:ascii="Franklin Gothic Book" w:eastAsia="Calibri" w:hAnsi="Franklin Gothic Book"/>
      <w:color w:val="000000"/>
      <w:sz w:val="16"/>
      <w:szCs w:val="22"/>
    </w:rPr>
    <w:tblPr>
      <w:tblBorders>
        <w:bottom w:val="single" w:sz="2" w:space="0" w:color="0085C7"/>
        <w:insideH w:val="single" w:sz="2" w:space="0" w:color="0085C7"/>
      </w:tblBorders>
    </w:tblPr>
    <w:tcPr>
      <w:shd w:val="clear" w:color="auto" w:fill="FFFFFF"/>
      <w:tcMar>
        <w:left w:w="72" w:type="dxa"/>
        <w:right w:w="72" w:type="dxa"/>
      </w:tcMar>
    </w:tcPr>
    <w:tblStylePr w:type="firstRow">
      <w:pPr>
        <w:keepNext/>
      </w:pPr>
      <w:rPr>
        <w:color w:val="FFFFFF"/>
      </w:rPr>
      <w:tblPr/>
      <w:tcPr>
        <w:tcBorders>
          <w:top w:val="nil"/>
          <w:left w:val="nil"/>
          <w:bottom w:val="nil"/>
          <w:right w:val="nil"/>
          <w:insideH w:val="nil"/>
          <w:insideV w:val="nil"/>
        </w:tcBorders>
        <w:shd w:val="clear" w:color="auto" w:fill="0085C7"/>
      </w:tcPr>
    </w:tblStylePr>
    <w:tblStylePr w:type="lastRow">
      <w:pPr>
        <w:keepNext/>
      </w:pPr>
    </w:tblStylePr>
    <w:tblStylePr w:type="firstCol">
      <w:pPr>
        <w:jc w:val="left"/>
      </w:pPr>
    </w:tblStylePr>
  </w:style>
  <w:style w:type="table" w:customStyle="1" w:styleId="Customtable3">
    <w:name w:val="Custom table3"/>
    <w:basedOn w:val="TableNormal"/>
    <w:rsid w:val="00154248"/>
    <w:pPr>
      <w:suppressAutoHyphens/>
      <w:spacing w:after="160"/>
      <w:jc w:val="center"/>
    </w:pPr>
    <w:rPr>
      <w:rFonts w:ascii="Franklin Gothic Book" w:eastAsia="Calibri" w:hAnsi="Franklin Gothic Book"/>
      <w:color w:val="000000"/>
      <w:sz w:val="16"/>
      <w:szCs w:val="22"/>
    </w:rPr>
    <w:tblPr>
      <w:tblBorders>
        <w:bottom w:val="single" w:sz="2" w:space="0" w:color="0085C7"/>
        <w:insideH w:val="single" w:sz="2" w:space="0" w:color="0085C7"/>
      </w:tblBorders>
    </w:tblPr>
    <w:tcPr>
      <w:shd w:val="clear" w:color="auto" w:fill="FFFFFF"/>
      <w:tcMar>
        <w:left w:w="72" w:type="dxa"/>
        <w:right w:w="72" w:type="dxa"/>
      </w:tcMar>
    </w:tcPr>
    <w:tblStylePr w:type="firstRow">
      <w:pPr>
        <w:keepNext/>
      </w:pPr>
      <w:rPr>
        <w:color w:val="FFFFFF"/>
      </w:rPr>
      <w:tblPr/>
      <w:tcPr>
        <w:tcBorders>
          <w:top w:val="nil"/>
          <w:left w:val="nil"/>
          <w:bottom w:val="nil"/>
          <w:right w:val="nil"/>
          <w:insideH w:val="nil"/>
          <w:insideV w:val="nil"/>
        </w:tcBorders>
        <w:shd w:val="clear" w:color="auto" w:fill="0085C7"/>
      </w:tcPr>
    </w:tblStylePr>
    <w:tblStylePr w:type="lastRow">
      <w:pPr>
        <w:keepNext/>
      </w:pPr>
    </w:tblStylePr>
    <w:tblStylePr w:type="firstCol">
      <w:pPr>
        <w:jc w:val="left"/>
      </w:pPr>
    </w:tblStylePr>
  </w:style>
  <w:style w:type="character" w:styleId="FollowedHyperlink">
    <w:name w:val="FollowedHyperlink"/>
    <w:basedOn w:val="DefaultParagraphFont"/>
    <w:semiHidden/>
    <w:unhideWhenUsed/>
    <w:rsid w:val="00726719"/>
    <w:rPr>
      <w:color w:val="800080" w:themeColor="followedHyperlink"/>
      <w:u w:val="single"/>
    </w:rPr>
  </w:style>
  <w:style w:type="paragraph" w:styleId="Caption">
    <w:name w:val="caption"/>
    <w:basedOn w:val="Normal"/>
    <w:next w:val="Normal"/>
    <w:uiPriority w:val="35"/>
    <w:unhideWhenUsed/>
    <w:qFormat/>
    <w:rsid w:val="00EE78A1"/>
    <w:pPr>
      <w:spacing w:after="200" w:line="240" w:lineRule="auto"/>
    </w:pPr>
    <w:rPr>
      <w:rFonts w:ascii="Goudy Old Style" w:hAnsi="Goudy Old Style"/>
      <w:iCs/>
      <w:szCs w:val="18"/>
    </w:rPr>
  </w:style>
  <w:style w:type="paragraph" w:styleId="HTMLPreformatted">
    <w:name w:val="HTML Preformatted"/>
    <w:basedOn w:val="Normal"/>
    <w:link w:val="HTMLPreformattedChar"/>
    <w:uiPriority w:val="99"/>
    <w:semiHidden/>
    <w:unhideWhenUsed/>
    <w:rsid w:val="00685914"/>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685914"/>
    <w:rPr>
      <w:rFonts w:ascii="Consolas" w:eastAsiaTheme="minorHAnsi" w:hAnsi="Consolas" w:cs="Consolas"/>
      <w:sz w:val="20"/>
      <w:szCs w:val="20"/>
    </w:rPr>
  </w:style>
  <w:style w:type="paragraph" w:customStyle="1" w:styleId="disclosure">
    <w:name w:val="disclosure"/>
    <w:basedOn w:val="Footer"/>
    <w:qFormat/>
    <w:rsid w:val="00971326"/>
    <w:pPr>
      <w:pBdr>
        <w:bottom w:val="none" w:sz="0" w:space="0" w:color="auto"/>
      </w:pBdr>
      <w:tabs>
        <w:tab w:val="clear" w:pos="4320"/>
        <w:tab w:val="center" w:pos="4770"/>
      </w:tabs>
      <w:spacing w:before="120"/>
      <w:jc w:val="center"/>
    </w:pPr>
    <w:rPr>
      <w:sz w:val="17"/>
    </w:rPr>
  </w:style>
  <w:style w:type="paragraph" w:customStyle="1" w:styleId="TPLB">
    <w:name w:val="TPLB"/>
    <w:basedOn w:val="Normal"/>
    <w:qFormat/>
    <w:rsid w:val="005979FF"/>
    <w:pPr>
      <w:spacing w:before="2640" w:after="120" w:line="192" w:lineRule="auto"/>
      <w:jc w:val="center"/>
    </w:pPr>
    <w:rPr>
      <w:b/>
    </w:rPr>
  </w:style>
  <w:style w:type="paragraph" w:customStyle="1" w:styleId="backcovercities">
    <w:name w:val="back cover cities"/>
    <w:basedOn w:val="Normal"/>
    <w:qFormat/>
    <w:rsid w:val="00A90543"/>
    <w:pPr>
      <w:spacing w:line="240" w:lineRule="auto"/>
      <w:ind w:firstLine="0"/>
    </w:pPr>
    <w:rPr>
      <w:rFonts w:ascii="Arial Black" w:hAnsi="Arial Black"/>
      <w:caps/>
      <w:noProof/>
      <w:spacing w:val="-3"/>
      <w:sz w:val="14"/>
      <w:szCs w:val="19"/>
    </w:rPr>
  </w:style>
  <w:style w:type="paragraph" w:customStyle="1" w:styleId="backcovertitle">
    <w:name w:val="back cover title"/>
    <w:basedOn w:val="Normal"/>
    <w:qFormat/>
    <w:rsid w:val="00A90543"/>
    <w:pPr>
      <w:pBdr>
        <w:top w:val="single" w:sz="4" w:space="5" w:color="auto"/>
        <w:bottom w:val="single" w:sz="4" w:space="5" w:color="auto"/>
      </w:pBdr>
      <w:spacing w:after="184" w:line="280" w:lineRule="exact"/>
      <w:ind w:firstLine="0"/>
      <w:outlineLvl w:val="0"/>
    </w:pPr>
    <w:rPr>
      <w:rFonts w:ascii="Arial Black" w:hAnsi="Arial Black"/>
      <w:noProof/>
      <w:color w:val="E70033"/>
      <w:szCs w:val="26"/>
    </w:rPr>
  </w:style>
  <w:style w:type="paragraph" w:customStyle="1" w:styleId="coverallcaps">
    <w:name w:val="cover all caps"/>
    <w:basedOn w:val="Normal"/>
    <w:qFormat/>
    <w:rsid w:val="007741E8"/>
    <w:pPr>
      <w:spacing w:line="560" w:lineRule="exact"/>
      <w:ind w:firstLine="0"/>
    </w:pPr>
    <w:rPr>
      <w:rFonts w:ascii="Arial" w:hAnsi="Arial"/>
      <w:caps/>
      <w:spacing w:val="28"/>
      <w:sz w:val="17"/>
      <w:szCs w:val="26"/>
    </w:rPr>
  </w:style>
  <w:style w:type="paragraph" w:customStyle="1" w:styleId="coverdate">
    <w:name w:val="cover date"/>
    <w:qFormat/>
    <w:rsid w:val="007741E8"/>
    <w:pPr>
      <w:spacing w:after="0" w:line="440" w:lineRule="exact"/>
    </w:pPr>
    <w:rPr>
      <w:rFonts w:ascii="Arial" w:eastAsia="Times New Roman" w:hAnsi="Arial" w:cs="Times New Roman"/>
      <w:sz w:val="34"/>
      <w:szCs w:val="26"/>
    </w:rPr>
  </w:style>
  <w:style w:type="paragraph" w:customStyle="1" w:styleId="covertext">
    <w:name w:val="cover text"/>
    <w:qFormat/>
    <w:rsid w:val="007741E8"/>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7741E8"/>
    <w:pPr>
      <w:pBdr>
        <w:bottom w:val="single" w:sz="2" w:space="1" w:color="auto"/>
      </w:pBdr>
      <w:spacing w:line="240" w:lineRule="auto"/>
    </w:pPr>
  </w:style>
  <w:style w:type="paragraph" w:customStyle="1" w:styleId="reportcovername">
    <w:name w:val="report cover name"/>
    <w:basedOn w:val="covertext"/>
    <w:qFormat/>
    <w:rsid w:val="007741E8"/>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7741E8"/>
    <w:pPr>
      <w:spacing w:line="240" w:lineRule="auto"/>
      <w:ind w:firstLine="0"/>
    </w:pPr>
    <w:rPr>
      <w:rFonts w:ascii="Arial Black" w:hAnsi="Arial Black"/>
      <w:noProof/>
      <w:sz w:val="16"/>
      <w:szCs w:val="19"/>
    </w:rPr>
  </w:style>
  <w:style w:type="paragraph" w:styleId="NormalWeb">
    <w:name w:val="Normal (Web)"/>
    <w:basedOn w:val="Normal"/>
    <w:uiPriority w:val="99"/>
    <w:semiHidden/>
    <w:unhideWhenUsed/>
    <w:rsid w:val="005A4075"/>
    <w:pPr>
      <w:spacing w:before="100" w:beforeAutospacing="1" w:after="100" w:afterAutospacing="1" w:line="240" w:lineRule="auto"/>
      <w:ind w:firstLine="0"/>
    </w:pPr>
    <w:rPr>
      <w:rFonts w:eastAsiaTheme="minorEastAsia"/>
      <w:szCs w:val="24"/>
    </w:rPr>
  </w:style>
  <w:style w:type="table" w:customStyle="1" w:styleId="MPRBaseTable1">
    <w:name w:val="MPR Base Table1"/>
    <w:basedOn w:val="TableNormal"/>
    <w:uiPriority w:val="99"/>
    <w:rsid w:val="009C630D"/>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MPRBaseTable2">
    <w:name w:val="MPR Base Table2"/>
    <w:basedOn w:val="TableNormal"/>
    <w:uiPriority w:val="99"/>
    <w:rsid w:val="00F71C7B"/>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726305">
      <w:bodyDiv w:val="1"/>
      <w:marLeft w:val="0"/>
      <w:marRight w:val="0"/>
      <w:marTop w:val="0"/>
      <w:marBottom w:val="0"/>
      <w:divBdr>
        <w:top w:val="none" w:sz="0" w:space="0" w:color="auto"/>
        <w:left w:val="none" w:sz="0" w:space="0" w:color="auto"/>
        <w:bottom w:val="none" w:sz="0" w:space="0" w:color="auto"/>
        <w:right w:val="none" w:sz="0" w:space="0" w:color="auto"/>
      </w:divBdr>
    </w:div>
    <w:div w:id="543182280">
      <w:bodyDiv w:val="1"/>
      <w:marLeft w:val="0"/>
      <w:marRight w:val="0"/>
      <w:marTop w:val="0"/>
      <w:marBottom w:val="0"/>
      <w:divBdr>
        <w:top w:val="none" w:sz="0" w:space="0" w:color="auto"/>
        <w:left w:val="none" w:sz="0" w:space="0" w:color="auto"/>
        <w:bottom w:val="none" w:sz="0" w:space="0" w:color="auto"/>
        <w:right w:val="none" w:sz="0" w:space="0" w:color="auto"/>
      </w:divBdr>
    </w:div>
    <w:div w:id="552811101">
      <w:bodyDiv w:val="1"/>
      <w:marLeft w:val="0"/>
      <w:marRight w:val="0"/>
      <w:marTop w:val="0"/>
      <w:marBottom w:val="0"/>
      <w:divBdr>
        <w:top w:val="none" w:sz="0" w:space="0" w:color="auto"/>
        <w:left w:val="none" w:sz="0" w:space="0" w:color="auto"/>
        <w:bottom w:val="none" w:sz="0" w:space="0" w:color="auto"/>
        <w:right w:val="none" w:sz="0" w:space="0" w:color="auto"/>
      </w:divBdr>
    </w:div>
    <w:div w:id="172860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stat.columbia.edu/~gelman/boo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71553-1FE7-4804-99E9-7A3250E8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1</TotalTime>
  <Pages>18</Pages>
  <Words>3452</Words>
  <Characters>19682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Shantal Alston</dc:creator>
  <cp:keywords/>
  <dc:description/>
  <cp:lastModifiedBy>Emi Whitesell</cp:lastModifiedBy>
  <cp:revision>2</cp:revision>
  <cp:lastPrinted>2018-04-02T16:43:00Z</cp:lastPrinted>
  <dcterms:created xsi:type="dcterms:W3CDTF">2020-05-05T13:48:00Z</dcterms:created>
  <dcterms:modified xsi:type="dcterms:W3CDTF">2020-05-05T13:48:00Z</dcterms:modified>
</cp:coreProperties>
</file>