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0A2B" w14:textId="1E3CDFB9" w:rsidR="004172FC" w:rsidRDefault="00B02B8A" w:rsidP="00B02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</w:p>
    <w:p w14:paraId="205F6FC3" w14:textId="084F3E1F" w:rsidR="00483BCE" w:rsidRDefault="00483BCE" w:rsidP="00483B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42A6E8" w14:textId="6011C1C5" w:rsidR="002D2EDE" w:rsidRDefault="00483BCE" w:rsidP="00483B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Qualitative Data </w:t>
      </w:r>
      <w:r w:rsidR="002D2EDE">
        <w:rPr>
          <w:rFonts w:ascii="Times New Roman" w:hAnsi="Times New Roman" w:cs="Times New Roman"/>
          <w:b/>
          <w:bCs/>
          <w:sz w:val="24"/>
          <w:szCs w:val="24"/>
        </w:rPr>
        <w:t xml:space="preserve">Collection </w:t>
      </w:r>
    </w:p>
    <w:p w14:paraId="244387A6" w14:textId="2F618133" w:rsidR="008E23D8" w:rsidRPr="00240E94" w:rsidRDefault="008E23D8" w:rsidP="0048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0E94">
        <w:rPr>
          <w:rFonts w:ascii="Times New Roman" w:hAnsi="Times New Roman" w:cs="Times New Roman"/>
          <w:sz w:val="24"/>
          <w:szCs w:val="24"/>
        </w:rPr>
        <w:t>The qualitative data for th</w:t>
      </w:r>
      <w:r w:rsidR="00052479" w:rsidRPr="00240E94">
        <w:rPr>
          <w:rFonts w:ascii="Times New Roman" w:hAnsi="Times New Roman" w:cs="Times New Roman"/>
          <w:sz w:val="24"/>
          <w:szCs w:val="24"/>
        </w:rPr>
        <w:t xml:space="preserve">is paper </w:t>
      </w:r>
      <w:r w:rsidR="00861B66" w:rsidRPr="00240E94">
        <w:rPr>
          <w:rFonts w:ascii="Times New Roman" w:hAnsi="Times New Roman" w:cs="Times New Roman"/>
          <w:sz w:val="24"/>
          <w:szCs w:val="24"/>
        </w:rPr>
        <w:t xml:space="preserve">is comprised of historical newspapers and the </w:t>
      </w:r>
      <w:r w:rsidR="00385C0C">
        <w:rPr>
          <w:rFonts w:ascii="Times New Roman" w:hAnsi="Times New Roman" w:cs="Times New Roman"/>
          <w:sz w:val="24"/>
          <w:szCs w:val="24"/>
        </w:rPr>
        <w:t>c</w:t>
      </w:r>
      <w:r w:rsidR="00861B66" w:rsidRPr="00240E94">
        <w:rPr>
          <w:rFonts w:ascii="Times New Roman" w:hAnsi="Times New Roman" w:cs="Times New Roman"/>
          <w:sz w:val="24"/>
          <w:szCs w:val="24"/>
        </w:rPr>
        <w:t xml:space="preserve">ongressional record, congressional hearings, </w:t>
      </w:r>
      <w:r w:rsidR="00D92347" w:rsidRPr="00240E94">
        <w:rPr>
          <w:rFonts w:ascii="Times New Roman" w:hAnsi="Times New Roman" w:cs="Times New Roman"/>
          <w:sz w:val="24"/>
          <w:szCs w:val="24"/>
        </w:rPr>
        <w:t xml:space="preserve">committee reports, </w:t>
      </w:r>
      <w:r w:rsidR="004613F2" w:rsidRPr="00240E94">
        <w:rPr>
          <w:rFonts w:ascii="Times New Roman" w:hAnsi="Times New Roman" w:cs="Times New Roman"/>
          <w:sz w:val="24"/>
          <w:szCs w:val="24"/>
        </w:rPr>
        <w:t xml:space="preserve">and </w:t>
      </w:r>
      <w:r w:rsidR="0060221A" w:rsidRPr="00240E94">
        <w:rPr>
          <w:rFonts w:ascii="Times New Roman" w:hAnsi="Times New Roman" w:cs="Times New Roman"/>
          <w:sz w:val="24"/>
          <w:szCs w:val="24"/>
        </w:rPr>
        <w:t>Congressional Research Service (CRS)</w:t>
      </w:r>
      <w:r w:rsidR="0070397A" w:rsidRPr="00240E94">
        <w:rPr>
          <w:rFonts w:ascii="Times New Roman" w:hAnsi="Times New Roman" w:cs="Times New Roman"/>
          <w:sz w:val="24"/>
          <w:szCs w:val="24"/>
        </w:rPr>
        <w:t xml:space="preserve"> reports</w:t>
      </w:r>
      <w:r w:rsidR="0060221A" w:rsidRPr="00240E94">
        <w:rPr>
          <w:rFonts w:ascii="Times New Roman" w:hAnsi="Times New Roman" w:cs="Times New Roman"/>
          <w:sz w:val="24"/>
          <w:szCs w:val="24"/>
        </w:rPr>
        <w:t xml:space="preserve">. </w:t>
      </w:r>
      <w:r w:rsidR="0022168A" w:rsidRPr="00240E94">
        <w:rPr>
          <w:rFonts w:ascii="Times New Roman" w:hAnsi="Times New Roman" w:cs="Times New Roman"/>
          <w:sz w:val="24"/>
          <w:szCs w:val="24"/>
        </w:rPr>
        <w:t>Newspapers were collected using t</w:t>
      </w:r>
      <w:r w:rsidR="0072194A">
        <w:rPr>
          <w:rFonts w:ascii="Times New Roman" w:hAnsi="Times New Roman" w:cs="Times New Roman"/>
          <w:sz w:val="24"/>
          <w:szCs w:val="24"/>
        </w:rPr>
        <w:t>hree</w:t>
      </w:r>
      <w:r w:rsidR="0022168A" w:rsidRPr="00240E94">
        <w:rPr>
          <w:rFonts w:ascii="Times New Roman" w:hAnsi="Times New Roman" w:cs="Times New Roman"/>
          <w:sz w:val="24"/>
          <w:szCs w:val="24"/>
        </w:rPr>
        <w:t xml:space="preserve"> repositories: “Newsbank”</w:t>
      </w:r>
      <w:r w:rsidR="0072194A">
        <w:rPr>
          <w:rFonts w:ascii="Times New Roman" w:hAnsi="Times New Roman" w:cs="Times New Roman"/>
          <w:sz w:val="24"/>
          <w:szCs w:val="24"/>
        </w:rPr>
        <w:t xml:space="preserve">, the </w:t>
      </w:r>
      <w:r w:rsidR="008069A8">
        <w:rPr>
          <w:rFonts w:ascii="Times New Roman" w:hAnsi="Times New Roman" w:cs="Times New Roman"/>
          <w:sz w:val="24"/>
          <w:szCs w:val="24"/>
        </w:rPr>
        <w:t>“</w:t>
      </w:r>
      <w:r w:rsidR="0072194A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 w:rsidR="009C6243">
        <w:rPr>
          <w:rFonts w:ascii="Times New Roman" w:hAnsi="Times New Roman" w:cs="Times New Roman"/>
          <w:sz w:val="24"/>
          <w:szCs w:val="24"/>
        </w:rPr>
        <w:t xml:space="preserve"> (</w:t>
      </w:r>
      <w:r w:rsidR="009C6243">
        <w:rPr>
          <w:rFonts w:ascii="Times New Roman" w:hAnsi="Times New Roman" w:cs="Times New Roman"/>
          <w:i/>
          <w:iCs/>
          <w:sz w:val="24"/>
          <w:szCs w:val="24"/>
        </w:rPr>
        <w:t>NYT</w:t>
      </w:r>
      <w:r w:rsidR="009C6243">
        <w:rPr>
          <w:rFonts w:ascii="Times New Roman" w:hAnsi="Times New Roman" w:cs="Times New Roman"/>
          <w:sz w:val="24"/>
          <w:szCs w:val="24"/>
        </w:rPr>
        <w:t>)</w:t>
      </w:r>
      <w:r w:rsidR="00721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194A">
        <w:rPr>
          <w:rFonts w:ascii="Times New Roman" w:hAnsi="Times New Roman" w:cs="Times New Roman"/>
          <w:sz w:val="24"/>
          <w:szCs w:val="24"/>
        </w:rPr>
        <w:t xml:space="preserve">Archive” </w:t>
      </w:r>
      <w:r w:rsidR="0022168A" w:rsidRPr="00240E94">
        <w:rPr>
          <w:rFonts w:ascii="Times New Roman" w:hAnsi="Times New Roman" w:cs="Times New Roman"/>
          <w:sz w:val="24"/>
          <w:szCs w:val="24"/>
        </w:rPr>
        <w:t xml:space="preserve">and “Proquest Historical Newspapers”. </w:t>
      </w:r>
      <w:r w:rsidR="005A7E0F" w:rsidRPr="00240E94">
        <w:rPr>
          <w:rFonts w:ascii="Times New Roman" w:hAnsi="Times New Roman" w:cs="Times New Roman"/>
          <w:sz w:val="24"/>
          <w:szCs w:val="24"/>
        </w:rPr>
        <w:t xml:space="preserve">Congressional materials were collected using </w:t>
      </w:r>
      <w:r w:rsidR="00512865">
        <w:rPr>
          <w:rFonts w:ascii="Times New Roman" w:hAnsi="Times New Roman" w:cs="Times New Roman"/>
          <w:sz w:val="24"/>
          <w:szCs w:val="24"/>
        </w:rPr>
        <w:t xml:space="preserve">the </w:t>
      </w:r>
      <w:r w:rsidR="005A7E0F" w:rsidRPr="00240E94">
        <w:rPr>
          <w:rFonts w:ascii="Times New Roman" w:hAnsi="Times New Roman" w:cs="Times New Roman"/>
          <w:sz w:val="24"/>
          <w:szCs w:val="24"/>
        </w:rPr>
        <w:t>“Proquest Congressional”</w:t>
      </w:r>
      <w:r w:rsidR="00512865">
        <w:rPr>
          <w:rFonts w:ascii="Times New Roman" w:hAnsi="Times New Roman" w:cs="Times New Roman"/>
          <w:sz w:val="24"/>
          <w:szCs w:val="24"/>
        </w:rPr>
        <w:t xml:space="preserve"> database</w:t>
      </w:r>
      <w:r w:rsidR="005A7E0F" w:rsidRPr="00240E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31CED" w14:textId="0E118531" w:rsidR="005A7E0F" w:rsidRDefault="00641D06" w:rsidP="00483BCE">
      <w:pPr>
        <w:rPr>
          <w:rFonts w:ascii="Times New Roman" w:hAnsi="Times New Roman" w:cs="Times New Roman"/>
          <w:sz w:val="24"/>
          <w:szCs w:val="24"/>
        </w:rPr>
      </w:pPr>
      <w:r w:rsidRPr="00240E94">
        <w:rPr>
          <w:rFonts w:ascii="Times New Roman" w:hAnsi="Times New Roman" w:cs="Times New Roman"/>
          <w:sz w:val="24"/>
          <w:szCs w:val="24"/>
        </w:rPr>
        <w:tab/>
      </w:r>
      <w:r w:rsidR="00AA62B7" w:rsidRPr="00240E94">
        <w:rPr>
          <w:rFonts w:ascii="Times New Roman" w:hAnsi="Times New Roman" w:cs="Times New Roman"/>
          <w:sz w:val="24"/>
          <w:szCs w:val="24"/>
        </w:rPr>
        <w:t>The process of collecting qualitative data was</w:t>
      </w:r>
      <w:r w:rsidR="00D9269E">
        <w:rPr>
          <w:rFonts w:ascii="Times New Roman" w:hAnsi="Times New Roman" w:cs="Times New Roman"/>
          <w:sz w:val="24"/>
          <w:szCs w:val="24"/>
        </w:rPr>
        <w:t xml:space="preserve"> </w:t>
      </w:r>
      <w:r w:rsidR="00AA62B7" w:rsidRPr="00240E94">
        <w:rPr>
          <w:rFonts w:ascii="Times New Roman" w:hAnsi="Times New Roman" w:cs="Times New Roman"/>
          <w:sz w:val="24"/>
          <w:szCs w:val="24"/>
        </w:rPr>
        <w:t xml:space="preserve">based </w:t>
      </w:r>
      <w:r w:rsidR="00C20AC7" w:rsidRPr="00240E94">
        <w:rPr>
          <w:rFonts w:ascii="Times New Roman" w:hAnsi="Times New Roman" w:cs="Times New Roman"/>
          <w:sz w:val="24"/>
          <w:szCs w:val="24"/>
        </w:rPr>
        <w:t xml:space="preserve">around individual Supreme Court decisions. </w:t>
      </w:r>
      <w:r w:rsidR="004E5ED9" w:rsidRPr="00240E94">
        <w:rPr>
          <w:rFonts w:ascii="Times New Roman" w:hAnsi="Times New Roman" w:cs="Times New Roman"/>
          <w:sz w:val="24"/>
          <w:szCs w:val="24"/>
        </w:rPr>
        <w:t xml:space="preserve">For each relevant Court decision, I searched the decision name (e.g., “NLRB v. Mackay Radio”) and/or its constituent parts (e.g., “Mackay” </w:t>
      </w:r>
      <w:r w:rsidR="0020238B" w:rsidRPr="00240E94">
        <w:rPr>
          <w:rFonts w:ascii="Times New Roman" w:hAnsi="Times New Roman" w:cs="Times New Roman"/>
          <w:sz w:val="24"/>
          <w:szCs w:val="24"/>
        </w:rPr>
        <w:t>or “Mackay Radio”)</w:t>
      </w:r>
      <w:r w:rsidR="00020F5F" w:rsidRPr="00240E94">
        <w:rPr>
          <w:rFonts w:ascii="Times New Roman" w:hAnsi="Times New Roman" w:cs="Times New Roman"/>
          <w:sz w:val="24"/>
          <w:szCs w:val="24"/>
        </w:rPr>
        <w:t xml:space="preserve">, </w:t>
      </w:r>
      <w:r w:rsidR="00365027" w:rsidRPr="00240E94">
        <w:rPr>
          <w:rFonts w:ascii="Times New Roman" w:hAnsi="Times New Roman" w:cs="Times New Roman"/>
          <w:sz w:val="24"/>
          <w:szCs w:val="24"/>
        </w:rPr>
        <w:t xml:space="preserve">relevant topics </w:t>
      </w:r>
      <w:r w:rsidR="009A2C28" w:rsidRPr="00240E94">
        <w:rPr>
          <w:rFonts w:ascii="Times New Roman" w:hAnsi="Times New Roman" w:cs="Times New Roman"/>
          <w:sz w:val="24"/>
          <w:szCs w:val="24"/>
        </w:rPr>
        <w:t>regarding</w:t>
      </w:r>
      <w:r w:rsidR="00365027" w:rsidRPr="00240E94">
        <w:rPr>
          <w:rFonts w:ascii="Times New Roman" w:hAnsi="Times New Roman" w:cs="Times New Roman"/>
          <w:sz w:val="24"/>
          <w:szCs w:val="24"/>
        </w:rPr>
        <w:t xml:space="preserve"> the decision (e.g., “strike replacements”)</w:t>
      </w:r>
      <w:r w:rsidR="00D85547">
        <w:rPr>
          <w:rFonts w:ascii="Times New Roman" w:hAnsi="Times New Roman" w:cs="Times New Roman"/>
          <w:sz w:val="24"/>
          <w:szCs w:val="24"/>
        </w:rPr>
        <w:t xml:space="preserve"> </w:t>
      </w:r>
      <w:r w:rsidR="00181A45">
        <w:rPr>
          <w:rFonts w:ascii="Times New Roman" w:hAnsi="Times New Roman" w:cs="Times New Roman"/>
          <w:sz w:val="24"/>
          <w:szCs w:val="24"/>
        </w:rPr>
        <w:t xml:space="preserve">in Newsbank, </w:t>
      </w:r>
      <w:r w:rsidR="00961815">
        <w:rPr>
          <w:rFonts w:ascii="Times New Roman" w:hAnsi="Times New Roman" w:cs="Times New Roman"/>
          <w:sz w:val="24"/>
          <w:szCs w:val="24"/>
        </w:rPr>
        <w:t xml:space="preserve">the </w:t>
      </w:r>
      <w:r w:rsidR="00961815">
        <w:rPr>
          <w:rFonts w:ascii="Times New Roman" w:hAnsi="Times New Roman" w:cs="Times New Roman"/>
          <w:i/>
          <w:iCs/>
          <w:sz w:val="24"/>
          <w:szCs w:val="24"/>
        </w:rPr>
        <w:t xml:space="preserve">NYT </w:t>
      </w:r>
      <w:r w:rsidR="00961815">
        <w:rPr>
          <w:rFonts w:ascii="Times New Roman" w:hAnsi="Times New Roman" w:cs="Times New Roman"/>
          <w:sz w:val="24"/>
          <w:szCs w:val="24"/>
        </w:rPr>
        <w:t xml:space="preserve">Archive, </w:t>
      </w:r>
      <w:r w:rsidR="00181A45">
        <w:rPr>
          <w:rFonts w:ascii="Times New Roman" w:hAnsi="Times New Roman" w:cs="Times New Roman"/>
          <w:sz w:val="24"/>
          <w:szCs w:val="24"/>
        </w:rPr>
        <w:t xml:space="preserve">Proquest Historical Newspapers, and </w:t>
      </w:r>
      <w:r w:rsidR="00555F60">
        <w:rPr>
          <w:rFonts w:ascii="Times New Roman" w:hAnsi="Times New Roman" w:cs="Times New Roman"/>
          <w:sz w:val="24"/>
          <w:szCs w:val="24"/>
        </w:rPr>
        <w:t xml:space="preserve">Proquest Congressional. </w:t>
      </w:r>
      <w:r w:rsidR="006E5204">
        <w:rPr>
          <w:rFonts w:ascii="Times New Roman" w:hAnsi="Times New Roman" w:cs="Times New Roman"/>
          <w:sz w:val="24"/>
          <w:szCs w:val="24"/>
        </w:rPr>
        <w:t xml:space="preserve">Search terms are included below in table A1. </w:t>
      </w:r>
    </w:p>
    <w:p w14:paraId="7A533BB6" w14:textId="3DE62C7B" w:rsidR="006E5204" w:rsidRPr="000204DB" w:rsidRDefault="008E572F" w:rsidP="00483BC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Table</w:t>
      </w:r>
      <w:r w:rsidR="009209AB" w:rsidRPr="000204DB">
        <w:rPr>
          <w:rFonts w:ascii="Times New Roman" w:hAnsi="Times New Roman" w:cs="Times New Roman"/>
          <w:sz w:val="24"/>
          <w:szCs w:val="24"/>
          <w:u w:val="single"/>
        </w:rPr>
        <w:t xml:space="preserve"> A1: Search Terms Used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5204" w14:paraId="1A739FCF" w14:textId="77777777" w:rsidTr="006E5204">
        <w:tc>
          <w:tcPr>
            <w:tcW w:w="4675" w:type="dxa"/>
          </w:tcPr>
          <w:p w14:paraId="74A46583" w14:textId="54981B49" w:rsidR="006E5204" w:rsidRPr="006E5204" w:rsidRDefault="006E5204" w:rsidP="0048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Supreme Court Decision </w:t>
            </w:r>
          </w:p>
        </w:tc>
        <w:tc>
          <w:tcPr>
            <w:tcW w:w="4675" w:type="dxa"/>
          </w:tcPr>
          <w:p w14:paraId="61D744B4" w14:textId="08445882" w:rsidR="006E5204" w:rsidRPr="006E5204" w:rsidRDefault="006E5204" w:rsidP="0048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Search Terms </w:t>
            </w:r>
          </w:p>
        </w:tc>
      </w:tr>
      <w:tr w:rsidR="006E5204" w14:paraId="0F7CBA43" w14:textId="77777777" w:rsidTr="006E5204">
        <w:tc>
          <w:tcPr>
            <w:tcW w:w="4675" w:type="dxa"/>
          </w:tcPr>
          <w:p w14:paraId="60C689AF" w14:textId="7A22390A" w:rsidR="006E5204" w:rsidRPr="00505C77" w:rsidRDefault="00505C77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Consolidated Edison v. NLRB </w:t>
            </w:r>
          </w:p>
        </w:tc>
        <w:tc>
          <w:tcPr>
            <w:tcW w:w="4675" w:type="dxa"/>
          </w:tcPr>
          <w:p w14:paraId="3B9CF556" w14:textId="7ED5745B" w:rsidR="006E5204" w:rsidRDefault="00505C77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“Consolidated Edison v. NRLB”; “Consolidated Edison” </w:t>
            </w:r>
          </w:p>
        </w:tc>
      </w:tr>
      <w:tr w:rsidR="006E5204" w14:paraId="17385FAC" w14:textId="77777777" w:rsidTr="006E5204">
        <w:tc>
          <w:tcPr>
            <w:tcW w:w="4675" w:type="dxa"/>
          </w:tcPr>
          <w:p w14:paraId="3F0263E6" w14:textId="08F13B53" w:rsidR="006E5204" w:rsidRPr="003A1F33" w:rsidRDefault="003A1F33" w:rsidP="00483B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NLRB v. Mackay Radio </w:t>
            </w:r>
          </w:p>
        </w:tc>
        <w:tc>
          <w:tcPr>
            <w:tcW w:w="4675" w:type="dxa"/>
          </w:tcPr>
          <w:p w14:paraId="59BF33F0" w14:textId="4D7F1818" w:rsidR="006E5204" w:rsidRPr="0072194A" w:rsidRDefault="003A1F33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“NLRB v. Mackay Radio”</w:t>
            </w:r>
            <w:r w:rsidR="006C0CFF"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403CD" w:rsidRPr="0072194A">
              <w:rPr>
                <w:rFonts w:ascii="Times New Roman" w:hAnsi="Times New Roman" w:cs="Times New Roman"/>
                <w:sz w:val="24"/>
                <w:szCs w:val="24"/>
              </w:rPr>
              <w:t>“Mackay Radio”</w:t>
            </w:r>
            <w:r w:rsidR="00991137" w:rsidRPr="0072194A">
              <w:rPr>
                <w:rFonts w:ascii="Times New Roman" w:hAnsi="Times New Roman" w:cs="Times New Roman"/>
                <w:sz w:val="24"/>
                <w:szCs w:val="24"/>
              </w:rPr>
              <w:t>; “Mackay Radio”, “Strike Replacements”</w:t>
            </w:r>
            <w:r w:rsidR="002F5840"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204" w14:paraId="0139606C" w14:textId="77777777" w:rsidTr="006E5204">
        <w:tc>
          <w:tcPr>
            <w:tcW w:w="4675" w:type="dxa"/>
          </w:tcPr>
          <w:p w14:paraId="68BB0905" w14:textId="3E6E428E" w:rsidR="006E5204" w:rsidRPr="00AD2AF1" w:rsidRDefault="00AD2AF1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Republic Steel v. NLRB </w:t>
            </w:r>
          </w:p>
        </w:tc>
        <w:tc>
          <w:tcPr>
            <w:tcW w:w="4675" w:type="dxa"/>
          </w:tcPr>
          <w:p w14:paraId="6A560637" w14:textId="3C4EE7B1" w:rsidR="006E5204" w:rsidRPr="0072194A" w:rsidRDefault="00AD2AF1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“Republic Steel”, “NLRB”; </w:t>
            </w:r>
            <w:r w:rsidR="00547B7A" w:rsidRPr="0072194A">
              <w:rPr>
                <w:rFonts w:ascii="Times New Roman" w:hAnsi="Times New Roman" w:cs="Times New Roman"/>
                <w:sz w:val="24"/>
                <w:szCs w:val="24"/>
              </w:rPr>
              <w:t>“Republic Steel”; “Supreme Court”, “NLRA”</w:t>
            </w:r>
            <w:r w:rsidR="00563B20"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; “Republic Steel”, “Supreme Court” </w:t>
            </w:r>
          </w:p>
        </w:tc>
      </w:tr>
      <w:tr w:rsidR="006E5204" w14:paraId="11C0EC30" w14:textId="77777777" w:rsidTr="006E5204">
        <w:tc>
          <w:tcPr>
            <w:tcW w:w="4675" w:type="dxa"/>
          </w:tcPr>
          <w:p w14:paraId="1134CD0E" w14:textId="54CBF522" w:rsidR="006E5204" w:rsidRPr="00284274" w:rsidRDefault="00284274" w:rsidP="00483BCE"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San Diego Building Trades Council v. Garmon </w:t>
            </w:r>
          </w:p>
        </w:tc>
        <w:tc>
          <w:tcPr>
            <w:tcW w:w="4675" w:type="dxa"/>
          </w:tcPr>
          <w:p w14:paraId="31AB3FF2" w14:textId="291E417B" w:rsidR="006E5204" w:rsidRPr="0072194A" w:rsidRDefault="00FF5055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“San Diego Building”, “Garmon”; 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57D9" w:rsidRPr="0072194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San Diego Building Trades Council v. Garmon”</w:t>
            </w:r>
            <w:r w:rsidR="00992146">
              <w:rPr>
                <w:rFonts w:ascii="Times New Roman" w:hAnsi="Times New Roman" w:cs="Times New Roman"/>
                <w:sz w:val="24"/>
                <w:szCs w:val="24"/>
              </w:rPr>
              <w:t>’ “NLRA”, “Garmon”; “labor law preempti</w:t>
            </w:r>
            <w:r w:rsidR="00501AB4">
              <w:rPr>
                <w:rFonts w:ascii="Times New Roman" w:hAnsi="Times New Roman" w:cs="Times New Roman"/>
                <w:sz w:val="24"/>
                <w:szCs w:val="24"/>
              </w:rPr>
              <w:t xml:space="preserve">on” </w:t>
            </w:r>
          </w:p>
        </w:tc>
      </w:tr>
      <w:tr w:rsidR="006E5204" w14:paraId="594807B6" w14:textId="77777777" w:rsidTr="006E5204">
        <w:tc>
          <w:tcPr>
            <w:tcW w:w="4675" w:type="dxa"/>
          </w:tcPr>
          <w:p w14:paraId="3131B149" w14:textId="21E7DAB6" w:rsidR="006E5204" w:rsidRPr="0029613A" w:rsidRDefault="0029613A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Machinists </w:t>
            </w:r>
            <w:r w:rsidR="00484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 Wisconsin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Employment Division </w:t>
            </w:r>
          </w:p>
        </w:tc>
        <w:tc>
          <w:tcPr>
            <w:tcW w:w="4675" w:type="dxa"/>
          </w:tcPr>
          <w:p w14:paraId="5A6B166C" w14:textId="09CCDCB2" w:rsidR="006E5204" w:rsidRDefault="00742FBD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“Machinists v. Wisconsin Employment”; “Machinists”, “Wisconsin Employment”, “Supreme Court”; </w:t>
            </w:r>
            <w:r w:rsidR="009B673F">
              <w:rPr>
                <w:rFonts w:ascii="Times New Roman" w:hAnsi="Times New Roman" w:cs="Times New Roman"/>
                <w:sz w:val="24"/>
                <w:szCs w:val="24"/>
              </w:rPr>
              <w:t>“International Association of Machinists v. Wisconsin”</w:t>
            </w:r>
            <w:r w:rsidR="00FD6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C4787">
              <w:rPr>
                <w:rFonts w:ascii="Times New Roman" w:hAnsi="Times New Roman" w:cs="Times New Roman"/>
                <w:sz w:val="24"/>
                <w:szCs w:val="24"/>
              </w:rPr>
              <w:t>“Machinists v. Wisconsin”</w:t>
            </w:r>
            <w:r w:rsidR="00AE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204" w14:paraId="37AAABC0" w14:textId="77777777" w:rsidTr="006E5204">
        <w:tc>
          <w:tcPr>
            <w:tcW w:w="4675" w:type="dxa"/>
          </w:tcPr>
          <w:p w14:paraId="3B5CA470" w14:textId="21096BBC" w:rsidR="006E5204" w:rsidRPr="00CC0B56" w:rsidRDefault="00CC0B56" w:rsidP="00483B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NLRB v. Yeshiva University </w:t>
            </w:r>
          </w:p>
        </w:tc>
        <w:tc>
          <w:tcPr>
            <w:tcW w:w="4675" w:type="dxa"/>
          </w:tcPr>
          <w:p w14:paraId="6C1D35ED" w14:textId="2DE2A479" w:rsidR="006E5204" w:rsidRDefault="00C93435" w:rsidP="004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“NLRB”, “Yeshiva University”</w:t>
            </w:r>
            <w:r w:rsidR="0032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13A" w14:paraId="3E8BD94F" w14:textId="77777777" w:rsidTr="0029613A">
        <w:tc>
          <w:tcPr>
            <w:tcW w:w="4675" w:type="dxa"/>
          </w:tcPr>
          <w:p w14:paraId="07894F8E" w14:textId="407BF68D" w:rsidR="0029613A" w:rsidRPr="00F73039" w:rsidRDefault="00F73039" w:rsidP="006A45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Transworld Airlines v. Flight Attendants </w:t>
            </w:r>
          </w:p>
        </w:tc>
        <w:tc>
          <w:tcPr>
            <w:tcW w:w="4675" w:type="dxa"/>
          </w:tcPr>
          <w:p w14:paraId="39BDB9C0" w14:textId="6D39AF4B" w:rsidR="0029613A" w:rsidRDefault="009409F4" w:rsidP="006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“Transworld Airlines”, “Supreme Court”</w:t>
            </w:r>
            <w:r w:rsidR="00DA28B5">
              <w:rPr>
                <w:rFonts w:ascii="Times New Roman" w:hAnsi="Times New Roman" w:cs="Times New Roman"/>
                <w:sz w:val="24"/>
                <w:szCs w:val="24"/>
              </w:rPr>
              <w:t xml:space="preserve">; “Transworld Airlines v. Flight Attendants” </w:t>
            </w:r>
          </w:p>
        </w:tc>
      </w:tr>
      <w:tr w:rsidR="0029613A" w14:paraId="693B1752" w14:textId="77777777" w:rsidTr="0029613A">
        <w:tc>
          <w:tcPr>
            <w:tcW w:w="4675" w:type="dxa"/>
          </w:tcPr>
          <w:p w14:paraId="161C8E62" w14:textId="1646F3B0" w:rsidR="0029613A" w:rsidRPr="006E09E4" w:rsidRDefault="006E09E4" w:rsidP="006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Hoffman Plastics v. NLRB </w:t>
            </w:r>
          </w:p>
        </w:tc>
        <w:tc>
          <w:tcPr>
            <w:tcW w:w="4675" w:type="dxa"/>
          </w:tcPr>
          <w:p w14:paraId="608F018B" w14:textId="4A63312B" w:rsidR="0029613A" w:rsidRDefault="006E09E4" w:rsidP="006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“Hoffman Plastics v. NLRB”; “Hoffman Plastics”, “NLRB”</w:t>
            </w:r>
          </w:p>
        </w:tc>
      </w:tr>
      <w:tr w:rsidR="0029613A" w14:paraId="74C3C4B8" w14:textId="77777777" w:rsidTr="0029613A">
        <w:tc>
          <w:tcPr>
            <w:tcW w:w="4675" w:type="dxa"/>
          </w:tcPr>
          <w:p w14:paraId="1AFA9F39" w14:textId="30823B9A" w:rsidR="0029613A" w:rsidRPr="00737889" w:rsidRDefault="00737889" w:rsidP="006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Chamber of Commerce v. Brown </w:t>
            </w:r>
          </w:p>
        </w:tc>
        <w:tc>
          <w:tcPr>
            <w:tcW w:w="4675" w:type="dxa"/>
          </w:tcPr>
          <w:p w14:paraId="1BBB1FE8" w14:textId="40004948" w:rsidR="0029613A" w:rsidRDefault="00737889" w:rsidP="006A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“Chamber of Commerce v. Brown”; </w:t>
            </w:r>
            <w:r w:rsidR="00B90FA6">
              <w:rPr>
                <w:rFonts w:ascii="Times New Roman" w:hAnsi="Times New Roman" w:cs="Times New Roman"/>
                <w:sz w:val="24"/>
                <w:szCs w:val="24"/>
              </w:rPr>
              <w:t xml:space="preserve">“State Public Funds Protection Act” </w:t>
            </w:r>
          </w:p>
        </w:tc>
      </w:tr>
    </w:tbl>
    <w:p w14:paraId="7407338E" w14:textId="77777777" w:rsidR="006E5204" w:rsidRPr="00240E94" w:rsidRDefault="006E5204" w:rsidP="00483BCE">
      <w:pPr>
        <w:rPr>
          <w:rFonts w:ascii="Times New Roman" w:hAnsi="Times New Roman" w:cs="Times New Roman"/>
          <w:sz w:val="24"/>
          <w:szCs w:val="24"/>
        </w:rPr>
      </w:pPr>
    </w:p>
    <w:sectPr w:rsidR="006E5204" w:rsidRPr="0024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47"/>
    <w:rsid w:val="00011E87"/>
    <w:rsid w:val="000204DB"/>
    <w:rsid w:val="00020F5F"/>
    <w:rsid w:val="00052479"/>
    <w:rsid w:val="00181A45"/>
    <w:rsid w:val="001C4FBF"/>
    <w:rsid w:val="001D37A1"/>
    <w:rsid w:val="0020238B"/>
    <w:rsid w:val="0020274D"/>
    <w:rsid w:val="0022168A"/>
    <w:rsid w:val="00240E94"/>
    <w:rsid w:val="002763F0"/>
    <w:rsid w:val="00284274"/>
    <w:rsid w:val="0029613A"/>
    <w:rsid w:val="002D2EDE"/>
    <w:rsid w:val="002F5840"/>
    <w:rsid w:val="00304467"/>
    <w:rsid w:val="00323384"/>
    <w:rsid w:val="00365027"/>
    <w:rsid w:val="00385C0C"/>
    <w:rsid w:val="003A1F33"/>
    <w:rsid w:val="003C3AA9"/>
    <w:rsid w:val="003F59EC"/>
    <w:rsid w:val="00411752"/>
    <w:rsid w:val="0041413E"/>
    <w:rsid w:val="004172FC"/>
    <w:rsid w:val="004613F2"/>
    <w:rsid w:val="0047346F"/>
    <w:rsid w:val="004737A3"/>
    <w:rsid w:val="00483BCE"/>
    <w:rsid w:val="00484C1C"/>
    <w:rsid w:val="004E5ED9"/>
    <w:rsid w:val="00500477"/>
    <w:rsid w:val="00501AB4"/>
    <w:rsid w:val="00505C77"/>
    <w:rsid w:val="005105DF"/>
    <w:rsid w:val="00512865"/>
    <w:rsid w:val="00547B7A"/>
    <w:rsid w:val="00555F60"/>
    <w:rsid w:val="00563B20"/>
    <w:rsid w:val="005A7E0F"/>
    <w:rsid w:val="005B0924"/>
    <w:rsid w:val="0060221A"/>
    <w:rsid w:val="00641D06"/>
    <w:rsid w:val="00656C47"/>
    <w:rsid w:val="006875F5"/>
    <w:rsid w:val="006C0CFF"/>
    <w:rsid w:val="006E09E4"/>
    <w:rsid w:val="006E5204"/>
    <w:rsid w:val="00702047"/>
    <w:rsid w:val="0070397A"/>
    <w:rsid w:val="0072194A"/>
    <w:rsid w:val="00737889"/>
    <w:rsid w:val="00742FBD"/>
    <w:rsid w:val="007C522A"/>
    <w:rsid w:val="007F64BC"/>
    <w:rsid w:val="008069A8"/>
    <w:rsid w:val="008403CD"/>
    <w:rsid w:val="00861B66"/>
    <w:rsid w:val="008E23D8"/>
    <w:rsid w:val="008E572F"/>
    <w:rsid w:val="009209AB"/>
    <w:rsid w:val="00920BBE"/>
    <w:rsid w:val="009409F4"/>
    <w:rsid w:val="009425F1"/>
    <w:rsid w:val="00961815"/>
    <w:rsid w:val="00991137"/>
    <w:rsid w:val="00992146"/>
    <w:rsid w:val="009A2C28"/>
    <w:rsid w:val="009B673F"/>
    <w:rsid w:val="009C6243"/>
    <w:rsid w:val="009F47D0"/>
    <w:rsid w:val="00A21819"/>
    <w:rsid w:val="00AA62B7"/>
    <w:rsid w:val="00AD2AF1"/>
    <w:rsid w:val="00AE3D4D"/>
    <w:rsid w:val="00AE5D99"/>
    <w:rsid w:val="00B02B8A"/>
    <w:rsid w:val="00B31B00"/>
    <w:rsid w:val="00B821DC"/>
    <w:rsid w:val="00B90FA6"/>
    <w:rsid w:val="00C15C0C"/>
    <w:rsid w:val="00C20AC7"/>
    <w:rsid w:val="00C25E2E"/>
    <w:rsid w:val="00C519F9"/>
    <w:rsid w:val="00C93435"/>
    <w:rsid w:val="00CB373B"/>
    <w:rsid w:val="00CC0B56"/>
    <w:rsid w:val="00CC31EA"/>
    <w:rsid w:val="00CC4787"/>
    <w:rsid w:val="00D85547"/>
    <w:rsid w:val="00D92347"/>
    <w:rsid w:val="00D9269E"/>
    <w:rsid w:val="00DA28B5"/>
    <w:rsid w:val="00E51E0C"/>
    <w:rsid w:val="00E75DFA"/>
    <w:rsid w:val="00EA2BEC"/>
    <w:rsid w:val="00F73039"/>
    <w:rsid w:val="00F951ED"/>
    <w:rsid w:val="00FA57D9"/>
    <w:rsid w:val="00FD619E"/>
    <w:rsid w:val="00FF4020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E056"/>
  <w15:chartTrackingRefBased/>
  <w15:docId w15:val="{CF7F537B-13A9-46D0-9B1B-C3B2EC8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Snead</dc:creator>
  <cp:keywords/>
  <dc:description/>
  <cp:lastModifiedBy>Warren Snead</cp:lastModifiedBy>
  <cp:revision>121</cp:revision>
  <dcterms:created xsi:type="dcterms:W3CDTF">2022-01-04T16:06:00Z</dcterms:created>
  <dcterms:modified xsi:type="dcterms:W3CDTF">2022-01-12T15:27:00Z</dcterms:modified>
</cp:coreProperties>
</file>