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B4E28" w14:textId="4CC878B2" w:rsidR="002546BE" w:rsidRDefault="00A6040D" w:rsidP="00800BF9">
      <w:pPr>
        <w:spacing w:after="0" w:line="240" w:lineRule="auto"/>
        <w:jc w:val="center"/>
        <w:rPr>
          <w:b/>
          <w:bCs/>
        </w:rPr>
      </w:pPr>
      <w:r w:rsidRPr="00A6040D">
        <w:rPr>
          <w:b/>
          <w:bCs/>
        </w:rPr>
        <w:t xml:space="preserve">Appendix A. </w:t>
      </w:r>
      <w:proofErr w:type="spellStart"/>
      <w:r w:rsidR="00B159CA">
        <w:rPr>
          <w:b/>
          <w:bCs/>
        </w:rPr>
        <w:t>Descriptives</w:t>
      </w:r>
      <w:proofErr w:type="spellEnd"/>
      <w:r w:rsidR="00B159CA">
        <w:rPr>
          <w:b/>
          <w:bCs/>
        </w:rPr>
        <w:t>, i</w:t>
      </w:r>
      <w:r w:rsidR="00674288">
        <w:rPr>
          <w:b/>
          <w:bCs/>
        </w:rPr>
        <w:t>nteraction models</w:t>
      </w:r>
      <w:r w:rsidR="002546BE">
        <w:rPr>
          <w:b/>
          <w:bCs/>
        </w:rPr>
        <w:t xml:space="preserve"> and alternative specifications</w:t>
      </w:r>
      <w:r w:rsidR="00674288">
        <w:rPr>
          <w:b/>
          <w:bCs/>
        </w:rPr>
        <w:t>.</w:t>
      </w:r>
    </w:p>
    <w:p w14:paraId="41CB1E34" w14:textId="77777777" w:rsidR="000B062A" w:rsidRDefault="000B062A" w:rsidP="00800BF9">
      <w:pPr>
        <w:spacing w:after="0" w:line="240" w:lineRule="auto"/>
        <w:jc w:val="center"/>
        <w:rPr>
          <w:b/>
          <w:bCs/>
        </w:rPr>
      </w:pPr>
    </w:p>
    <w:p w14:paraId="52668F58" w14:textId="28528D0E" w:rsidR="00B159CA" w:rsidRPr="009060CD" w:rsidRDefault="00B159CA" w:rsidP="00800BF9">
      <w:pPr>
        <w:spacing w:after="0" w:line="240" w:lineRule="auto"/>
        <w:jc w:val="center"/>
      </w:pPr>
      <w:r w:rsidRPr="009060CD">
        <w:t xml:space="preserve">Table </w:t>
      </w:r>
      <w:r>
        <w:t>A1</w:t>
      </w:r>
      <w:r w:rsidRPr="009060CD">
        <w:t xml:space="preserve">. </w:t>
      </w:r>
      <w:proofErr w:type="spellStart"/>
      <w:r w:rsidRPr="009060CD">
        <w:t>Descriptives</w:t>
      </w:r>
      <w:proofErr w:type="spellEnd"/>
      <w:r w:rsidRPr="009060CD">
        <w:t xml:space="preserve"> (at quarterly level)</w:t>
      </w:r>
      <w:r w:rsidR="000B062A">
        <w:t>.</w:t>
      </w:r>
    </w:p>
    <w:tbl>
      <w:tblPr>
        <w:tblStyle w:val="Tabelltemaer"/>
        <w:tblW w:w="9499" w:type="dxa"/>
        <w:jc w:val="center"/>
        <w:tblLayout w:type="fixed"/>
        <w:tblLook w:val="04A0" w:firstRow="1" w:lastRow="0" w:firstColumn="1" w:lastColumn="0" w:noHBand="0" w:noVBand="1"/>
      </w:tblPr>
      <w:tblGrid>
        <w:gridCol w:w="2246"/>
        <w:gridCol w:w="797"/>
        <w:gridCol w:w="797"/>
        <w:gridCol w:w="798"/>
        <w:gridCol w:w="886"/>
        <w:gridCol w:w="236"/>
        <w:gridCol w:w="1039"/>
        <w:gridCol w:w="851"/>
        <w:gridCol w:w="850"/>
        <w:gridCol w:w="999"/>
      </w:tblGrid>
      <w:tr w:rsidR="00B159CA" w:rsidRPr="00226592" w14:paraId="485D2B0F" w14:textId="77777777" w:rsidTr="00800BF9">
        <w:trPr>
          <w:trHeight w:hRule="exact" w:val="284"/>
          <w:jc w:val="center"/>
        </w:trPr>
        <w:tc>
          <w:tcPr>
            <w:tcW w:w="2246" w:type="dxa"/>
            <w:noWrap/>
            <w:hideMark/>
          </w:tcPr>
          <w:p w14:paraId="43960919" w14:textId="77777777" w:rsidR="00B159CA" w:rsidRPr="002D7BA5" w:rsidRDefault="00B159CA" w:rsidP="00800BF9">
            <w:pPr>
              <w:jc w:val="center"/>
              <w:rPr>
                <w:sz w:val="22"/>
                <w:lang w:eastAsia="nb-NO"/>
              </w:rPr>
            </w:pPr>
          </w:p>
        </w:tc>
        <w:tc>
          <w:tcPr>
            <w:tcW w:w="3278" w:type="dxa"/>
            <w:gridSpan w:val="4"/>
            <w:noWrap/>
            <w:vAlign w:val="center"/>
          </w:tcPr>
          <w:p w14:paraId="6DE7CDA9" w14:textId="77777777" w:rsidR="00B159CA" w:rsidRPr="002D7BA5" w:rsidRDefault="00B159CA" w:rsidP="00800BF9">
            <w:pPr>
              <w:jc w:val="center"/>
              <w:rPr>
                <w:sz w:val="22"/>
                <w:lang w:eastAsia="nb-NO"/>
              </w:rPr>
            </w:pPr>
            <w:r>
              <w:rPr>
                <w:sz w:val="22"/>
                <w:lang w:eastAsia="nb-NO"/>
              </w:rPr>
              <w:t>United Kingdom</w:t>
            </w:r>
          </w:p>
        </w:tc>
        <w:tc>
          <w:tcPr>
            <w:tcW w:w="236" w:type="dxa"/>
            <w:noWrap/>
            <w:vAlign w:val="center"/>
            <w:hideMark/>
          </w:tcPr>
          <w:p w14:paraId="70C9B478" w14:textId="77777777" w:rsidR="00B159CA" w:rsidRPr="002D7BA5" w:rsidRDefault="00B159CA" w:rsidP="00800BF9">
            <w:pPr>
              <w:jc w:val="center"/>
              <w:rPr>
                <w:sz w:val="22"/>
                <w:lang w:eastAsia="nb-NO"/>
              </w:rPr>
            </w:pPr>
          </w:p>
        </w:tc>
        <w:tc>
          <w:tcPr>
            <w:tcW w:w="3739" w:type="dxa"/>
            <w:gridSpan w:val="4"/>
            <w:noWrap/>
            <w:vAlign w:val="center"/>
          </w:tcPr>
          <w:p w14:paraId="051D44FA" w14:textId="77777777" w:rsidR="00B159CA" w:rsidRDefault="00B159CA" w:rsidP="00800BF9">
            <w:pPr>
              <w:jc w:val="center"/>
              <w:rPr>
                <w:sz w:val="22"/>
                <w:lang w:eastAsia="nb-NO"/>
              </w:rPr>
            </w:pPr>
            <w:r>
              <w:rPr>
                <w:sz w:val="22"/>
                <w:lang w:eastAsia="nb-NO"/>
              </w:rPr>
              <w:t>Norway</w:t>
            </w:r>
          </w:p>
          <w:p w14:paraId="4EEBD527" w14:textId="77777777" w:rsidR="00B159CA" w:rsidRPr="002D7BA5" w:rsidRDefault="00B159CA" w:rsidP="00800BF9">
            <w:pPr>
              <w:jc w:val="center"/>
              <w:rPr>
                <w:sz w:val="22"/>
                <w:lang w:eastAsia="nb-NO"/>
              </w:rPr>
            </w:pPr>
          </w:p>
        </w:tc>
      </w:tr>
      <w:tr w:rsidR="00B159CA" w:rsidRPr="00226592" w14:paraId="6B2D5200" w14:textId="77777777" w:rsidTr="00800BF9">
        <w:trPr>
          <w:trHeight w:hRule="exact" w:val="284"/>
          <w:jc w:val="center"/>
        </w:trPr>
        <w:tc>
          <w:tcPr>
            <w:tcW w:w="2246" w:type="dxa"/>
            <w:noWrap/>
          </w:tcPr>
          <w:p w14:paraId="3949BBE3" w14:textId="77777777" w:rsidR="00B159CA" w:rsidRPr="00226592" w:rsidRDefault="00B159CA" w:rsidP="00800BF9">
            <w:pPr>
              <w:jc w:val="center"/>
              <w:rPr>
                <w:sz w:val="22"/>
                <w:lang w:eastAsia="nb-NO"/>
              </w:rPr>
            </w:pPr>
            <w:r w:rsidRPr="00BB2B50">
              <w:rPr>
                <w:sz w:val="22"/>
                <w:lang w:eastAsia="nb-NO"/>
              </w:rPr>
              <w:t>Variable</w:t>
            </w:r>
          </w:p>
        </w:tc>
        <w:tc>
          <w:tcPr>
            <w:tcW w:w="797" w:type="dxa"/>
            <w:noWrap/>
            <w:vAlign w:val="center"/>
          </w:tcPr>
          <w:p w14:paraId="5CB9BA58" w14:textId="77777777" w:rsidR="00B159CA" w:rsidRDefault="00B159CA" w:rsidP="00800BF9">
            <w:pPr>
              <w:jc w:val="center"/>
              <w:rPr>
                <w:sz w:val="22"/>
                <w:lang w:eastAsia="nb-NO"/>
              </w:rPr>
            </w:pPr>
            <w:r>
              <w:rPr>
                <w:sz w:val="22"/>
                <w:lang w:eastAsia="nb-NO"/>
              </w:rPr>
              <w:t>Mean</w:t>
            </w:r>
          </w:p>
        </w:tc>
        <w:tc>
          <w:tcPr>
            <w:tcW w:w="797" w:type="dxa"/>
            <w:noWrap/>
            <w:vAlign w:val="center"/>
          </w:tcPr>
          <w:p w14:paraId="5C2EBBBA" w14:textId="77777777" w:rsidR="00B159CA" w:rsidRDefault="00B159CA" w:rsidP="00800BF9">
            <w:pPr>
              <w:jc w:val="center"/>
              <w:rPr>
                <w:sz w:val="22"/>
                <w:lang w:eastAsia="nb-NO"/>
              </w:rPr>
            </w:pPr>
            <w:r>
              <w:rPr>
                <w:sz w:val="22"/>
                <w:lang w:eastAsia="nb-NO"/>
              </w:rPr>
              <w:t>St. dev</w:t>
            </w:r>
          </w:p>
        </w:tc>
        <w:tc>
          <w:tcPr>
            <w:tcW w:w="798" w:type="dxa"/>
            <w:noWrap/>
            <w:vAlign w:val="center"/>
          </w:tcPr>
          <w:p w14:paraId="07E4AEC8" w14:textId="77777777" w:rsidR="00B159CA" w:rsidRDefault="00B159CA" w:rsidP="00800BF9">
            <w:pPr>
              <w:jc w:val="center"/>
              <w:rPr>
                <w:sz w:val="22"/>
                <w:lang w:eastAsia="nb-NO"/>
              </w:rPr>
            </w:pPr>
            <w:r>
              <w:rPr>
                <w:sz w:val="22"/>
                <w:lang w:eastAsia="nb-NO"/>
              </w:rPr>
              <w:t>Min</w:t>
            </w:r>
          </w:p>
        </w:tc>
        <w:tc>
          <w:tcPr>
            <w:tcW w:w="886" w:type="dxa"/>
            <w:noWrap/>
            <w:vAlign w:val="center"/>
          </w:tcPr>
          <w:p w14:paraId="6B11EAD2" w14:textId="77777777" w:rsidR="00B159CA" w:rsidRDefault="00B159CA" w:rsidP="00800BF9">
            <w:pPr>
              <w:jc w:val="center"/>
              <w:rPr>
                <w:sz w:val="22"/>
                <w:lang w:eastAsia="nb-NO"/>
              </w:rPr>
            </w:pPr>
            <w:r>
              <w:rPr>
                <w:sz w:val="22"/>
                <w:lang w:eastAsia="nb-NO"/>
              </w:rPr>
              <w:t>Max</w:t>
            </w:r>
          </w:p>
        </w:tc>
        <w:tc>
          <w:tcPr>
            <w:tcW w:w="236" w:type="dxa"/>
            <w:noWrap/>
            <w:vAlign w:val="center"/>
          </w:tcPr>
          <w:p w14:paraId="296A7506" w14:textId="77777777" w:rsidR="00B159CA" w:rsidRPr="00226592" w:rsidRDefault="00B159CA" w:rsidP="00800BF9">
            <w:pPr>
              <w:jc w:val="center"/>
              <w:rPr>
                <w:sz w:val="22"/>
                <w:lang w:eastAsia="nb-NO"/>
              </w:rPr>
            </w:pPr>
          </w:p>
        </w:tc>
        <w:tc>
          <w:tcPr>
            <w:tcW w:w="1039" w:type="dxa"/>
            <w:noWrap/>
            <w:vAlign w:val="center"/>
          </w:tcPr>
          <w:p w14:paraId="74182F08" w14:textId="77777777" w:rsidR="00B159CA" w:rsidRDefault="00B159CA" w:rsidP="00800BF9">
            <w:pPr>
              <w:jc w:val="center"/>
              <w:rPr>
                <w:sz w:val="22"/>
                <w:lang w:eastAsia="nb-NO"/>
              </w:rPr>
            </w:pPr>
            <w:r>
              <w:rPr>
                <w:sz w:val="22"/>
                <w:lang w:eastAsia="nb-NO"/>
              </w:rPr>
              <w:t>Mean</w:t>
            </w:r>
          </w:p>
        </w:tc>
        <w:tc>
          <w:tcPr>
            <w:tcW w:w="851" w:type="dxa"/>
            <w:noWrap/>
            <w:vAlign w:val="center"/>
          </w:tcPr>
          <w:p w14:paraId="5ED14D86" w14:textId="77777777" w:rsidR="00B159CA" w:rsidRDefault="00B159CA" w:rsidP="00800BF9">
            <w:pPr>
              <w:jc w:val="center"/>
              <w:rPr>
                <w:sz w:val="22"/>
                <w:lang w:eastAsia="nb-NO"/>
              </w:rPr>
            </w:pPr>
            <w:r>
              <w:rPr>
                <w:sz w:val="22"/>
                <w:lang w:eastAsia="nb-NO"/>
              </w:rPr>
              <w:t>St. dev</w:t>
            </w:r>
          </w:p>
        </w:tc>
        <w:tc>
          <w:tcPr>
            <w:tcW w:w="850" w:type="dxa"/>
            <w:noWrap/>
            <w:vAlign w:val="center"/>
          </w:tcPr>
          <w:p w14:paraId="1E980531" w14:textId="77777777" w:rsidR="00B159CA" w:rsidRDefault="00B159CA" w:rsidP="00800BF9">
            <w:pPr>
              <w:jc w:val="center"/>
              <w:rPr>
                <w:sz w:val="22"/>
                <w:lang w:eastAsia="nb-NO"/>
              </w:rPr>
            </w:pPr>
            <w:r>
              <w:rPr>
                <w:sz w:val="22"/>
                <w:lang w:eastAsia="nb-NO"/>
              </w:rPr>
              <w:t>Min</w:t>
            </w:r>
          </w:p>
        </w:tc>
        <w:tc>
          <w:tcPr>
            <w:tcW w:w="999" w:type="dxa"/>
            <w:noWrap/>
            <w:vAlign w:val="center"/>
          </w:tcPr>
          <w:p w14:paraId="490BF7C6" w14:textId="77777777" w:rsidR="00B159CA" w:rsidRDefault="00B159CA" w:rsidP="00800BF9">
            <w:pPr>
              <w:jc w:val="center"/>
              <w:rPr>
                <w:sz w:val="22"/>
                <w:lang w:eastAsia="nb-NO"/>
              </w:rPr>
            </w:pPr>
            <w:r>
              <w:rPr>
                <w:sz w:val="22"/>
                <w:lang w:eastAsia="nb-NO"/>
              </w:rPr>
              <w:t>Max</w:t>
            </w:r>
          </w:p>
        </w:tc>
      </w:tr>
      <w:tr w:rsidR="00B159CA" w:rsidRPr="00226592" w14:paraId="691877AF" w14:textId="77777777" w:rsidTr="00800BF9">
        <w:trPr>
          <w:trHeight w:hRule="exact" w:val="284"/>
          <w:jc w:val="center"/>
        </w:trPr>
        <w:tc>
          <w:tcPr>
            <w:tcW w:w="2246" w:type="dxa"/>
            <w:shd w:val="clear" w:color="auto" w:fill="auto"/>
            <w:noWrap/>
            <w:hideMark/>
          </w:tcPr>
          <w:p w14:paraId="44AFB97E" w14:textId="77777777" w:rsidR="00B159CA" w:rsidRPr="002D7BA5" w:rsidRDefault="00B159CA" w:rsidP="00800BF9">
            <w:pPr>
              <w:jc w:val="center"/>
              <w:rPr>
                <w:sz w:val="22"/>
                <w:lang w:eastAsia="nb-NO"/>
              </w:rPr>
            </w:pPr>
            <w:r w:rsidRPr="002D7BA5">
              <w:rPr>
                <w:sz w:val="22"/>
                <w:lang w:eastAsia="nb-NO"/>
              </w:rPr>
              <w:t>News visibility</w:t>
            </w:r>
          </w:p>
        </w:tc>
        <w:tc>
          <w:tcPr>
            <w:tcW w:w="797" w:type="dxa"/>
            <w:shd w:val="clear" w:color="auto" w:fill="auto"/>
            <w:noWrap/>
            <w:vAlign w:val="bottom"/>
            <w:hideMark/>
          </w:tcPr>
          <w:p w14:paraId="246BFB67" w14:textId="54209419" w:rsidR="00B159CA" w:rsidRPr="002D7BA5" w:rsidRDefault="00B159CA" w:rsidP="00800BF9">
            <w:pPr>
              <w:jc w:val="center"/>
              <w:rPr>
                <w:sz w:val="22"/>
                <w:lang w:eastAsia="nb-NO"/>
              </w:rPr>
            </w:pPr>
            <w:r w:rsidRPr="002D7BA5">
              <w:rPr>
                <w:rFonts w:cs="Calibri"/>
                <w:color w:val="000000"/>
                <w:sz w:val="22"/>
              </w:rPr>
              <w:t>1</w:t>
            </w:r>
            <w:r w:rsidR="0042387D">
              <w:rPr>
                <w:rFonts w:cs="Calibri"/>
                <w:color w:val="000000"/>
                <w:sz w:val="22"/>
              </w:rPr>
              <w:t>0</w:t>
            </w:r>
            <w:r w:rsidRPr="002D7BA5">
              <w:rPr>
                <w:rFonts w:cs="Calibri"/>
                <w:color w:val="000000"/>
                <w:sz w:val="22"/>
              </w:rPr>
              <w:t>.</w:t>
            </w:r>
            <w:r w:rsidR="0042387D">
              <w:rPr>
                <w:rFonts w:cs="Calibri"/>
                <w:color w:val="000000"/>
                <w:sz w:val="22"/>
              </w:rPr>
              <w:t>98</w:t>
            </w:r>
          </w:p>
        </w:tc>
        <w:tc>
          <w:tcPr>
            <w:tcW w:w="797" w:type="dxa"/>
            <w:shd w:val="clear" w:color="auto" w:fill="auto"/>
            <w:noWrap/>
            <w:vAlign w:val="bottom"/>
            <w:hideMark/>
          </w:tcPr>
          <w:p w14:paraId="5D987615" w14:textId="1EC53669" w:rsidR="00B159CA" w:rsidRPr="002D7BA5" w:rsidRDefault="0042387D" w:rsidP="00800BF9">
            <w:pPr>
              <w:jc w:val="center"/>
              <w:rPr>
                <w:sz w:val="22"/>
                <w:lang w:eastAsia="nb-NO"/>
              </w:rPr>
            </w:pPr>
            <w:r>
              <w:rPr>
                <w:rFonts w:cs="Calibri"/>
                <w:color w:val="000000"/>
                <w:sz w:val="22"/>
              </w:rPr>
              <w:t>41</w:t>
            </w:r>
            <w:r w:rsidR="00B159CA" w:rsidRPr="002D7BA5">
              <w:rPr>
                <w:rFonts w:cs="Calibri"/>
                <w:color w:val="000000"/>
                <w:sz w:val="22"/>
              </w:rPr>
              <w:t>.9</w:t>
            </w:r>
            <w:r>
              <w:rPr>
                <w:rFonts w:cs="Calibri"/>
                <w:color w:val="000000"/>
                <w:sz w:val="22"/>
              </w:rPr>
              <w:t>2</w:t>
            </w:r>
          </w:p>
        </w:tc>
        <w:tc>
          <w:tcPr>
            <w:tcW w:w="798" w:type="dxa"/>
            <w:shd w:val="clear" w:color="auto" w:fill="auto"/>
            <w:noWrap/>
            <w:vAlign w:val="bottom"/>
            <w:hideMark/>
          </w:tcPr>
          <w:p w14:paraId="3CF6F166" w14:textId="77777777" w:rsidR="00B159CA" w:rsidRPr="002D7BA5" w:rsidRDefault="00B159CA" w:rsidP="00800BF9">
            <w:pPr>
              <w:jc w:val="center"/>
              <w:rPr>
                <w:sz w:val="22"/>
                <w:lang w:eastAsia="nb-NO"/>
              </w:rPr>
            </w:pPr>
            <w:r w:rsidRPr="002D7BA5">
              <w:rPr>
                <w:rFonts w:cs="Calibri"/>
                <w:color w:val="000000"/>
                <w:sz w:val="22"/>
              </w:rPr>
              <w:t>0</w:t>
            </w:r>
          </w:p>
        </w:tc>
        <w:tc>
          <w:tcPr>
            <w:tcW w:w="886" w:type="dxa"/>
            <w:shd w:val="clear" w:color="auto" w:fill="auto"/>
            <w:noWrap/>
            <w:vAlign w:val="bottom"/>
            <w:hideMark/>
          </w:tcPr>
          <w:p w14:paraId="6897B3DD" w14:textId="7132AC0C" w:rsidR="00B159CA" w:rsidRPr="002D7BA5" w:rsidRDefault="0042387D" w:rsidP="00800BF9">
            <w:pPr>
              <w:jc w:val="center"/>
              <w:rPr>
                <w:sz w:val="22"/>
                <w:lang w:eastAsia="nb-NO"/>
              </w:rPr>
            </w:pPr>
            <w:r>
              <w:rPr>
                <w:rFonts w:cs="Calibri"/>
                <w:color w:val="000000"/>
                <w:sz w:val="22"/>
              </w:rPr>
              <w:t>2214</w:t>
            </w:r>
          </w:p>
        </w:tc>
        <w:tc>
          <w:tcPr>
            <w:tcW w:w="236" w:type="dxa"/>
            <w:shd w:val="clear" w:color="auto" w:fill="auto"/>
            <w:noWrap/>
            <w:vAlign w:val="bottom"/>
            <w:hideMark/>
          </w:tcPr>
          <w:p w14:paraId="1EDC0F03" w14:textId="77777777" w:rsidR="00B159CA" w:rsidRPr="002D7BA5" w:rsidRDefault="00B159CA" w:rsidP="00800BF9">
            <w:pPr>
              <w:jc w:val="center"/>
              <w:rPr>
                <w:sz w:val="22"/>
                <w:lang w:eastAsia="nb-NO"/>
              </w:rPr>
            </w:pPr>
          </w:p>
        </w:tc>
        <w:tc>
          <w:tcPr>
            <w:tcW w:w="1039" w:type="dxa"/>
            <w:shd w:val="clear" w:color="auto" w:fill="auto"/>
            <w:noWrap/>
            <w:vAlign w:val="bottom"/>
            <w:hideMark/>
          </w:tcPr>
          <w:p w14:paraId="7B38A4E0" w14:textId="6B47E03C" w:rsidR="00B159CA" w:rsidRPr="002D7BA5" w:rsidRDefault="00B159CA" w:rsidP="00800BF9">
            <w:pPr>
              <w:jc w:val="center"/>
              <w:rPr>
                <w:sz w:val="22"/>
                <w:lang w:eastAsia="nb-NO"/>
              </w:rPr>
            </w:pPr>
            <w:r w:rsidRPr="002D7BA5">
              <w:rPr>
                <w:rFonts w:cs="Calibri"/>
                <w:color w:val="000000"/>
                <w:sz w:val="22"/>
              </w:rPr>
              <w:t>1</w:t>
            </w:r>
            <w:r w:rsidR="00F50353">
              <w:rPr>
                <w:rFonts w:cs="Calibri"/>
                <w:color w:val="000000"/>
                <w:sz w:val="22"/>
              </w:rPr>
              <w:t>7</w:t>
            </w:r>
            <w:r w:rsidRPr="002D7BA5">
              <w:rPr>
                <w:rFonts w:cs="Calibri"/>
                <w:color w:val="000000"/>
                <w:sz w:val="22"/>
              </w:rPr>
              <w:t>.</w:t>
            </w:r>
            <w:r w:rsidR="00F50353">
              <w:rPr>
                <w:rFonts w:cs="Calibri"/>
                <w:color w:val="000000"/>
                <w:sz w:val="22"/>
              </w:rPr>
              <w:t>11</w:t>
            </w:r>
          </w:p>
        </w:tc>
        <w:tc>
          <w:tcPr>
            <w:tcW w:w="851" w:type="dxa"/>
            <w:shd w:val="clear" w:color="auto" w:fill="auto"/>
            <w:noWrap/>
            <w:vAlign w:val="bottom"/>
            <w:hideMark/>
          </w:tcPr>
          <w:p w14:paraId="471A2DD2" w14:textId="0AF75CF9" w:rsidR="00B159CA" w:rsidRPr="002D7BA5" w:rsidRDefault="00B159CA" w:rsidP="00800BF9">
            <w:pPr>
              <w:jc w:val="center"/>
              <w:rPr>
                <w:sz w:val="22"/>
                <w:lang w:eastAsia="nb-NO"/>
              </w:rPr>
            </w:pPr>
            <w:r w:rsidRPr="002D7BA5">
              <w:rPr>
                <w:rFonts w:cs="Calibri"/>
                <w:color w:val="000000"/>
                <w:sz w:val="22"/>
              </w:rPr>
              <w:t>4</w:t>
            </w:r>
            <w:r w:rsidR="0042387D">
              <w:rPr>
                <w:rFonts w:cs="Calibri"/>
                <w:color w:val="000000"/>
                <w:sz w:val="22"/>
              </w:rPr>
              <w:t>6</w:t>
            </w:r>
            <w:r w:rsidRPr="002D7BA5">
              <w:rPr>
                <w:rFonts w:cs="Calibri"/>
                <w:color w:val="000000"/>
                <w:sz w:val="22"/>
              </w:rPr>
              <w:t>.</w:t>
            </w:r>
            <w:r w:rsidR="00F50353">
              <w:rPr>
                <w:rFonts w:cs="Calibri"/>
                <w:color w:val="000000"/>
                <w:sz w:val="22"/>
              </w:rPr>
              <w:t>50</w:t>
            </w:r>
          </w:p>
        </w:tc>
        <w:tc>
          <w:tcPr>
            <w:tcW w:w="850" w:type="dxa"/>
            <w:shd w:val="clear" w:color="auto" w:fill="auto"/>
            <w:noWrap/>
            <w:vAlign w:val="bottom"/>
            <w:hideMark/>
          </w:tcPr>
          <w:p w14:paraId="525CA249" w14:textId="77777777" w:rsidR="00B159CA" w:rsidRPr="002D7BA5" w:rsidRDefault="00B159CA" w:rsidP="00800BF9">
            <w:pPr>
              <w:jc w:val="center"/>
              <w:rPr>
                <w:sz w:val="22"/>
                <w:lang w:eastAsia="nb-NO"/>
              </w:rPr>
            </w:pPr>
            <w:r w:rsidRPr="002D7BA5">
              <w:rPr>
                <w:rFonts w:cs="Calibri"/>
                <w:color w:val="000000"/>
                <w:sz w:val="22"/>
              </w:rPr>
              <w:t>0</w:t>
            </w:r>
          </w:p>
        </w:tc>
        <w:tc>
          <w:tcPr>
            <w:tcW w:w="999" w:type="dxa"/>
            <w:shd w:val="clear" w:color="auto" w:fill="auto"/>
            <w:noWrap/>
            <w:vAlign w:val="bottom"/>
            <w:hideMark/>
          </w:tcPr>
          <w:p w14:paraId="46CAB1EC" w14:textId="0612F96A" w:rsidR="00B159CA" w:rsidRPr="002D7BA5" w:rsidRDefault="00B159CA" w:rsidP="00800BF9">
            <w:pPr>
              <w:jc w:val="center"/>
              <w:rPr>
                <w:sz w:val="22"/>
                <w:lang w:eastAsia="nb-NO"/>
              </w:rPr>
            </w:pPr>
            <w:r w:rsidRPr="002D7BA5">
              <w:rPr>
                <w:rFonts w:cs="Calibri"/>
                <w:color w:val="000000"/>
                <w:sz w:val="22"/>
              </w:rPr>
              <w:t>140</w:t>
            </w:r>
            <w:r w:rsidR="0042387D">
              <w:rPr>
                <w:rFonts w:cs="Calibri"/>
                <w:color w:val="000000"/>
                <w:sz w:val="22"/>
              </w:rPr>
              <w:t>0</w:t>
            </w:r>
          </w:p>
        </w:tc>
      </w:tr>
      <w:tr w:rsidR="00B159CA" w:rsidRPr="00226592" w14:paraId="1F07ED75" w14:textId="77777777" w:rsidTr="00800BF9">
        <w:trPr>
          <w:trHeight w:hRule="exact" w:val="284"/>
          <w:jc w:val="center"/>
        </w:trPr>
        <w:tc>
          <w:tcPr>
            <w:tcW w:w="2246" w:type="dxa"/>
            <w:shd w:val="clear" w:color="auto" w:fill="auto"/>
            <w:noWrap/>
            <w:hideMark/>
          </w:tcPr>
          <w:p w14:paraId="6AB46351" w14:textId="181428F4" w:rsidR="00B159CA" w:rsidRPr="002D7BA5" w:rsidRDefault="00B159CA" w:rsidP="00800BF9">
            <w:pPr>
              <w:jc w:val="center"/>
              <w:rPr>
                <w:sz w:val="22"/>
                <w:lang w:eastAsia="nb-NO"/>
              </w:rPr>
            </w:pPr>
            <w:r w:rsidRPr="002D7BA5">
              <w:rPr>
                <w:sz w:val="22"/>
                <w:lang w:eastAsia="nb-NO"/>
              </w:rPr>
              <w:t>Gender (</w:t>
            </w:r>
            <w:r w:rsidR="00294B93">
              <w:rPr>
                <w:sz w:val="22"/>
                <w:lang w:eastAsia="nb-NO"/>
              </w:rPr>
              <w:t>Women</w:t>
            </w:r>
            <w:r w:rsidRPr="002D7BA5">
              <w:rPr>
                <w:sz w:val="22"/>
                <w:lang w:eastAsia="nb-NO"/>
              </w:rPr>
              <w:t>=1)</w:t>
            </w:r>
          </w:p>
        </w:tc>
        <w:tc>
          <w:tcPr>
            <w:tcW w:w="797" w:type="dxa"/>
            <w:shd w:val="clear" w:color="auto" w:fill="auto"/>
            <w:noWrap/>
            <w:vAlign w:val="bottom"/>
            <w:hideMark/>
          </w:tcPr>
          <w:p w14:paraId="2553061A" w14:textId="77777777" w:rsidR="00B159CA" w:rsidRPr="002D7BA5" w:rsidRDefault="00B159CA" w:rsidP="00800BF9">
            <w:pPr>
              <w:jc w:val="center"/>
              <w:rPr>
                <w:sz w:val="22"/>
                <w:lang w:eastAsia="nb-NO"/>
              </w:rPr>
            </w:pPr>
            <w:r w:rsidRPr="002D7BA5">
              <w:rPr>
                <w:rFonts w:cs="Calibri"/>
                <w:color w:val="000000"/>
                <w:sz w:val="22"/>
              </w:rPr>
              <w:t>0.21</w:t>
            </w:r>
          </w:p>
        </w:tc>
        <w:tc>
          <w:tcPr>
            <w:tcW w:w="797" w:type="dxa"/>
            <w:shd w:val="clear" w:color="auto" w:fill="auto"/>
            <w:noWrap/>
            <w:vAlign w:val="bottom"/>
            <w:hideMark/>
          </w:tcPr>
          <w:p w14:paraId="7D1DC798" w14:textId="77777777" w:rsidR="00B159CA" w:rsidRPr="002D7BA5" w:rsidRDefault="00B159CA" w:rsidP="00800BF9">
            <w:pPr>
              <w:jc w:val="center"/>
              <w:rPr>
                <w:sz w:val="22"/>
                <w:lang w:eastAsia="nb-NO"/>
              </w:rPr>
            </w:pPr>
            <w:r w:rsidRPr="002D7BA5">
              <w:rPr>
                <w:rFonts w:cs="Calibri"/>
                <w:color w:val="000000"/>
                <w:sz w:val="22"/>
              </w:rPr>
              <w:t>0.40</w:t>
            </w:r>
          </w:p>
        </w:tc>
        <w:tc>
          <w:tcPr>
            <w:tcW w:w="798" w:type="dxa"/>
            <w:shd w:val="clear" w:color="auto" w:fill="auto"/>
            <w:noWrap/>
            <w:vAlign w:val="bottom"/>
            <w:hideMark/>
          </w:tcPr>
          <w:p w14:paraId="7A7EFC3D" w14:textId="77777777" w:rsidR="00B159CA" w:rsidRPr="002D7BA5" w:rsidRDefault="00B159CA" w:rsidP="00800BF9">
            <w:pPr>
              <w:jc w:val="center"/>
              <w:rPr>
                <w:sz w:val="22"/>
                <w:lang w:eastAsia="nb-NO"/>
              </w:rPr>
            </w:pPr>
            <w:r w:rsidRPr="002D7BA5">
              <w:rPr>
                <w:rFonts w:cs="Calibri"/>
                <w:color w:val="000000"/>
                <w:sz w:val="22"/>
              </w:rPr>
              <w:t>0</w:t>
            </w:r>
          </w:p>
        </w:tc>
        <w:tc>
          <w:tcPr>
            <w:tcW w:w="886" w:type="dxa"/>
            <w:shd w:val="clear" w:color="auto" w:fill="auto"/>
            <w:noWrap/>
            <w:vAlign w:val="bottom"/>
            <w:hideMark/>
          </w:tcPr>
          <w:p w14:paraId="749FB142" w14:textId="77777777" w:rsidR="00B159CA" w:rsidRPr="002D7BA5" w:rsidRDefault="00B159CA" w:rsidP="00800BF9">
            <w:pPr>
              <w:jc w:val="center"/>
              <w:rPr>
                <w:sz w:val="22"/>
                <w:lang w:eastAsia="nb-NO"/>
              </w:rPr>
            </w:pPr>
            <w:r w:rsidRPr="002D7BA5">
              <w:rPr>
                <w:rFonts w:cs="Calibri"/>
                <w:color w:val="000000"/>
                <w:sz w:val="22"/>
              </w:rPr>
              <w:t>1</w:t>
            </w:r>
          </w:p>
        </w:tc>
        <w:tc>
          <w:tcPr>
            <w:tcW w:w="236" w:type="dxa"/>
            <w:shd w:val="clear" w:color="auto" w:fill="auto"/>
            <w:noWrap/>
            <w:vAlign w:val="bottom"/>
            <w:hideMark/>
          </w:tcPr>
          <w:p w14:paraId="2D602FFB" w14:textId="77777777" w:rsidR="00B159CA" w:rsidRPr="002D7BA5" w:rsidRDefault="00B159CA" w:rsidP="00800BF9">
            <w:pPr>
              <w:jc w:val="center"/>
              <w:rPr>
                <w:sz w:val="22"/>
                <w:lang w:eastAsia="nb-NO"/>
              </w:rPr>
            </w:pPr>
          </w:p>
        </w:tc>
        <w:tc>
          <w:tcPr>
            <w:tcW w:w="1039" w:type="dxa"/>
            <w:shd w:val="clear" w:color="auto" w:fill="auto"/>
            <w:noWrap/>
            <w:vAlign w:val="bottom"/>
            <w:hideMark/>
          </w:tcPr>
          <w:p w14:paraId="5E1D8587" w14:textId="3F4DC427" w:rsidR="00B159CA" w:rsidRPr="002D7BA5" w:rsidRDefault="00B159CA" w:rsidP="00800BF9">
            <w:pPr>
              <w:jc w:val="center"/>
              <w:rPr>
                <w:sz w:val="22"/>
                <w:lang w:eastAsia="nb-NO"/>
              </w:rPr>
            </w:pPr>
            <w:r w:rsidRPr="002D7BA5">
              <w:rPr>
                <w:rFonts w:cs="Calibri"/>
                <w:color w:val="000000"/>
                <w:sz w:val="22"/>
              </w:rPr>
              <w:t>0.3</w:t>
            </w:r>
            <w:r w:rsidR="0042387D">
              <w:rPr>
                <w:rFonts w:cs="Calibri"/>
                <w:color w:val="000000"/>
                <w:sz w:val="22"/>
              </w:rPr>
              <w:t>8</w:t>
            </w:r>
          </w:p>
        </w:tc>
        <w:tc>
          <w:tcPr>
            <w:tcW w:w="851" w:type="dxa"/>
            <w:shd w:val="clear" w:color="auto" w:fill="auto"/>
            <w:noWrap/>
            <w:vAlign w:val="bottom"/>
            <w:hideMark/>
          </w:tcPr>
          <w:p w14:paraId="2D98619D" w14:textId="695994A9" w:rsidR="00B159CA" w:rsidRPr="002D7BA5" w:rsidRDefault="00B159CA" w:rsidP="00800BF9">
            <w:pPr>
              <w:jc w:val="center"/>
              <w:rPr>
                <w:sz w:val="22"/>
                <w:lang w:eastAsia="nb-NO"/>
              </w:rPr>
            </w:pPr>
            <w:r w:rsidRPr="002D7BA5">
              <w:rPr>
                <w:rFonts w:cs="Calibri"/>
                <w:color w:val="000000"/>
                <w:sz w:val="22"/>
              </w:rPr>
              <w:t>0.4</w:t>
            </w:r>
            <w:r w:rsidR="00AB35E7">
              <w:rPr>
                <w:rFonts w:cs="Calibri"/>
                <w:color w:val="000000"/>
                <w:sz w:val="22"/>
              </w:rPr>
              <w:t>8</w:t>
            </w:r>
          </w:p>
        </w:tc>
        <w:tc>
          <w:tcPr>
            <w:tcW w:w="850" w:type="dxa"/>
            <w:shd w:val="clear" w:color="auto" w:fill="auto"/>
            <w:noWrap/>
            <w:vAlign w:val="bottom"/>
            <w:hideMark/>
          </w:tcPr>
          <w:p w14:paraId="49E58825" w14:textId="77777777" w:rsidR="00B159CA" w:rsidRPr="002D7BA5" w:rsidRDefault="00B159CA" w:rsidP="00800BF9">
            <w:pPr>
              <w:jc w:val="center"/>
              <w:rPr>
                <w:sz w:val="22"/>
                <w:lang w:eastAsia="nb-NO"/>
              </w:rPr>
            </w:pPr>
            <w:r w:rsidRPr="002D7BA5">
              <w:rPr>
                <w:rFonts w:cs="Calibri"/>
                <w:color w:val="000000"/>
                <w:sz w:val="22"/>
              </w:rPr>
              <w:t>0</w:t>
            </w:r>
          </w:p>
        </w:tc>
        <w:tc>
          <w:tcPr>
            <w:tcW w:w="999" w:type="dxa"/>
            <w:shd w:val="clear" w:color="auto" w:fill="auto"/>
            <w:noWrap/>
            <w:vAlign w:val="bottom"/>
            <w:hideMark/>
          </w:tcPr>
          <w:p w14:paraId="05A4D18E" w14:textId="77777777" w:rsidR="00B159CA" w:rsidRPr="002D7BA5" w:rsidRDefault="00B159CA" w:rsidP="00800BF9">
            <w:pPr>
              <w:jc w:val="center"/>
              <w:rPr>
                <w:sz w:val="22"/>
                <w:lang w:eastAsia="nb-NO"/>
              </w:rPr>
            </w:pPr>
            <w:r w:rsidRPr="002D7BA5">
              <w:rPr>
                <w:rFonts w:cs="Calibri"/>
                <w:color w:val="000000"/>
                <w:sz w:val="22"/>
              </w:rPr>
              <w:t>1</w:t>
            </w:r>
          </w:p>
        </w:tc>
      </w:tr>
      <w:tr w:rsidR="00B159CA" w:rsidRPr="00226592" w14:paraId="39B83448" w14:textId="77777777" w:rsidTr="00800BF9">
        <w:trPr>
          <w:trHeight w:hRule="exact" w:val="284"/>
          <w:jc w:val="center"/>
        </w:trPr>
        <w:tc>
          <w:tcPr>
            <w:tcW w:w="2246" w:type="dxa"/>
            <w:shd w:val="clear" w:color="auto" w:fill="auto"/>
            <w:noWrap/>
            <w:hideMark/>
          </w:tcPr>
          <w:p w14:paraId="0E2D762D" w14:textId="77777777" w:rsidR="00B159CA" w:rsidRPr="002D7BA5" w:rsidRDefault="00B159CA" w:rsidP="00800BF9">
            <w:pPr>
              <w:jc w:val="center"/>
              <w:rPr>
                <w:sz w:val="22"/>
                <w:lang w:eastAsia="nb-NO"/>
              </w:rPr>
            </w:pPr>
            <w:r w:rsidRPr="002D7BA5">
              <w:rPr>
                <w:sz w:val="22"/>
                <w:lang w:eastAsia="nb-NO"/>
              </w:rPr>
              <w:t>Age</w:t>
            </w:r>
          </w:p>
        </w:tc>
        <w:tc>
          <w:tcPr>
            <w:tcW w:w="797" w:type="dxa"/>
            <w:shd w:val="clear" w:color="auto" w:fill="auto"/>
            <w:noWrap/>
            <w:vAlign w:val="bottom"/>
            <w:hideMark/>
          </w:tcPr>
          <w:p w14:paraId="011B5991" w14:textId="3EC0975F" w:rsidR="00B159CA" w:rsidRPr="002D7BA5" w:rsidRDefault="00B159CA" w:rsidP="00800BF9">
            <w:pPr>
              <w:jc w:val="center"/>
              <w:rPr>
                <w:sz w:val="22"/>
                <w:lang w:eastAsia="nb-NO"/>
              </w:rPr>
            </w:pPr>
            <w:r w:rsidRPr="002D7BA5">
              <w:rPr>
                <w:rFonts w:cs="Calibri"/>
                <w:color w:val="000000"/>
                <w:sz w:val="22"/>
              </w:rPr>
              <w:t>52.3</w:t>
            </w:r>
            <w:r w:rsidR="0042387D">
              <w:rPr>
                <w:rFonts w:cs="Calibri"/>
                <w:color w:val="000000"/>
                <w:sz w:val="22"/>
              </w:rPr>
              <w:t>5</w:t>
            </w:r>
          </w:p>
        </w:tc>
        <w:tc>
          <w:tcPr>
            <w:tcW w:w="797" w:type="dxa"/>
            <w:shd w:val="clear" w:color="auto" w:fill="auto"/>
            <w:noWrap/>
            <w:vAlign w:val="bottom"/>
            <w:hideMark/>
          </w:tcPr>
          <w:p w14:paraId="1147D284" w14:textId="165A01B5" w:rsidR="00B159CA" w:rsidRPr="002D7BA5" w:rsidRDefault="00B159CA" w:rsidP="00800BF9">
            <w:pPr>
              <w:jc w:val="center"/>
              <w:rPr>
                <w:sz w:val="22"/>
                <w:lang w:eastAsia="nb-NO"/>
              </w:rPr>
            </w:pPr>
            <w:r w:rsidRPr="002D7BA5">
              <w:rPr>
                <w:rFonts w:cs="Calibri"/>
                <w:color w:val="000000"/>
                <w:sz w:val="22"/>
              </w:rPr>
              <w:t>10.0</w:t>
            </w:r>
            <w:r w:rsidR="0042387D">
              <w:rPr>
                <w:rFonts w:cs="Calibri"/>
                <w:color w:val="000000"/>
                <w:sz w:val="22"/>
              </w:rPr>
              <w:t>2</w:t>
            </w:r>
          </w:p>
        </w:tc>
        <w:tc>
          <w:tcPr>
            <w:tcW w:w="798" w:type="dxa"/>
            <w:shd w:val="clear" w:color="auto" w:fill="auto"/>
            <w:noWrap/>
            <w:vAlign w:val="bottom"/>
            <w:hideMark/>
          </w:tcPr>
          <w:p w14:paraId="0B63C655" w14:textId="77777777" w:rsidR="00B159CA" w:rsidRPr="002D7BA5" w:rsidRDefault="00B159CA" w:rsidP="00800BF9">
            <w:pPr>
              <w:jc w:val="center"/>
              <w:rPr>
                <w:sz w:val="22"/>
                <w:lang w:eastAsia="nb-NO"/>
              </w:rPr>
            </w:pPr>
            <w:r w:rsidRPr="002D7BA5">
              <w:rPr>
                <w:rFonts w:cs="Calibri"/>
                <w:color w:val="000000"/>
                <w:sz w:val="22"/>
              </w:rPr>
              <w:t>17</w:t>
            </w:r>
          </w:p>
        </w:tc>
        <w:tc>
          <w:tcPr>
            <w:tcW w:w="886" w:type="dxa"/>
            <w:shd w:val="clear" w:color="auto" w:fill="auto"/>
            <w:noWrap/>
            <w:vAlign w:val="bottom"/>
            <w:hideMark/>
          </w:tcPr>
          <w:p w14:paraId="0DBC6896" w14:textId="77777777" w:rsidR="00B159CA" w:rsidRPr="002D7BA5" w:rsidRDefault="00B159CA" w:rsidP="00800BF9">
            <w:pPr>
              <w:jc w:val="center"/>
              <w:rPr>
                <w:sz w:val="22"/>
                <w:lang w:eastAsia="nb-NO"/>
              </w:rPr>
            </w:pPr>
            <w:r w:rsidRPr="002D7BA5">
              <w:rPr>
                <w:rFonts w:cs="Calibri"/>
                <w:color w:val="000000"/>
                <w:sz w:val="22"/>
              </w:rPr>
              <w:t>86</w:t>
            </w:r>
          </w:p>
        </w:tc>
        <w:tc>
          <w:tcPr>
            <w:tcW w:w="236" w:type="dxa"/>
            <w:shd w:val="clear" w:color="auto" w:fill="auto"/>
            <w:noWrap/>
            <w:vAlign w:val="bottom"/>
            <w:hideMark/>
          </w:tcPr>
          <w:p w14:paraId="1004F915" w14:textId="77777777" w:rsidR="00B159CA" w:rsidRPr="002D7BA5" w:rsidRDefault="00B159CA" w:rsidP="00800BF9">
            <w:pPr>
              <w:jc w:val="center"/>
              <w:rPr>
                <w:sz w:val="22"/>
                <w:lang w:eastAsia="nb-NO"/>
              </w:rPr>
            </w:pPr>
          </w:p>
        </w:tc>
        <w:tc>
          <w:tcPr>
            <w:tcW w:w="1039" w:type="dxa"/>
            <w:shd w:val="clear" w:color="auto" w:fill="auto"/>
            <w:noWrap/>
            <w:vAlign w:val="bottom"/>
            <w:hideMark/>
          </w:tcPr>
          <w:p w14:paraId="29D44766" w14:textId="561B8988" w:rsidR="00B159CA" w:rsidRPr="002D7BA5" w:rsidRDefault="00B159CA" w:rsidP="00800BF9">
            <w:pPr>
              <w:jc w:val="center"/>
              <w:rPr>
                <w:sz w:val="22"/>
                <w:lang w:eastAsia="nb-NO"/>
              </w:rPr>
            </w:pPr>
            <w:r w:rsidRPr="002D7BA5">
              <w:rPr>
                <w:rFonts w:cs="Calibri"/>
                <w:color w:val="000000"/>
                <w:sz w:val="22"/>
              </w:rPr>
              <w:t>48.</w:t>
            </w:r>
            <w:r w:rsidR="0042387D">
              <w:rPr>
                <w:rFonts w:cs="Calibri"/>
                <w:color w:val="000000"/>
                <w:sz w:val="22"/>
              </w:rPr>
              <w:t>77</w:t>
            </w:r>
          </w:p>
        </w:tc>
        <w:tc>
          <w:tcPr>
            <w:tcW w:w="851" w:type="dxa"/>
            <w:shd w:val="clear" w:color="auto" w:fill="auto"/>
            <w:noWrap/>
            <w:vAlign w:val="bottom"/>
            <w:hideMark/>
          </w:tcPr>
          <w:p w14:paraId="4FC3EF0E" w14:textId="52784BD7" w:rsidR="00B159CA" w:rsidRPr="002D7BA5" w:rsidRDefault="00B159CA" w:rsidP="00800BF9">
            <w:pPr>
              <w:jc w:val="center"/>
              <w:rPr>
                <w:sz w:val="22"/>
                <w:lang w:eastAsia="nb-NO"/>
              </w:rPr>
            </w:pPr>
            <w:r w:rsidRPr="002D7BA5">
              <w:rPr>
                <w:rFonts w:cs="Calibri"/>
                <w:color w:val="000000"/>
                <w:sz w:val="22"/>
              </w:rPr>
              <w:t>10.</w:t>
            </w:r>
            <w:r w:rsidR="0042387D">
              <w:rPr>
                <w:rFonts w:cs="Calibri"/>
                <w:color w:val="000000"/>
                <w:sz w:val="22"/>
              </w:rPr>
              <w:t>34</w:t>
            </w:r>
          </w:p>
        </w:tc>
        <w:tc>
          <w:tcPr>
            <w:tcW w:w="850" w:type="dxa"/>
            <w:shd w:val="clear" w:color="auto" w:fill="auto"/>
            <w:noWrap/>
            <w:vAlign w:val="bottom"/>
            <w:hideMark/>
          </w:tcPr>
          <w:p w14:paraId="2AB6C9DC" w14:textId="77777777" w:rsidR="00B159CA" w:rsidRPr="002D7BA5" w:rsidRDefault="00B159CA" w:rsidP="00800BF9">
            <w:pPr>
              <w:jc w:val="center"/>
              <w:rPr>
                <w:sz w:val="22"/>
                <w:lang w:eastAsia="nb-NO"/>
              </w:rPr>
            </w:pPr>
            <w:r w:rsidRPr="002D7BA5">
              <w:rPr>
                <w:rFonts w:cs="Calibri"/>
                <w:color w:val="000000"/>
                <w:sz w:val="22"/>
              </w:rPr>
              <w:t>21</w:t>
            </w:r>
          </w:p>
        </w:tc>
        <w:tc>
          <w:tcPr>
            <w:tcW w:w="999" w:type="dxa"/>
            <w:shd w:val="clear" w:color="auto" w:fill="auto"/>
            <w:noWrap/>
            <w:vAlign w:val="bottom"/>
            <w:hideMark/>
          </w:tcPr>
          <w:p w14:paraId="416ACFF1" w14:textId="77777777" w:rsidR="00B159CA" w:rsidRPr="002D7BA5" w:rsidRDefault="00B159CA" w:rsidP="00800BF9">
            <w:pPr>
              <w:jc w:val="center"/>
              <w:rPr>
                <w:sz w:val="22"/>
                <w:lang w:eastAsia="nb-NO"/>
              </w:rPr>
            </w:pPr>
            <w:r w:rsidRPr="002D7BA5">
              <w:rPr>
                <w:rFonts w:cs="Calibri"/>
                <w:color w:val="000000"/>
                <w:sz w:val="22"/>
              </w:rPr>
              <w:t>75</w:t>
            </w:r>
          </w:p>
        </w:tc>
      </w:tr>
      <w:tr w:rsidR="00B159CA" w:rsidRPr="00226592" w14:paraId="335F0DAF" w14:textId="77777777" w:rsidTr="00800BF9">
        <w:trPr>
          <w:trHeight w:hRule="exact" w:val="284"/>
          <w:jc w:val="center"/>
        </w:trPr>
        <w:tc>
          <w:tcPr>
            <w:tcW w:w="2246" w:type="dxa"/>
            <w:shd w:val="clear" w:color="auto" w:fill="auto"/>
            <w:noWrap/>
            <w:hideMark/>
          </w:tcPr>
          <w:p w14:paraId="6ABA7EED" w14:textId="77777777" w:rsidR="00B159CA" w:rsidRPr="002D7BA5" w:rsidRDefault="00B159CA" w:rsidP="00800BF9">
            <w:pPr>
              <w:jc w:val="center"/>
              <w:rPr>
                <w:sz w:val="22"/>
                <w:lang w:eastAsia="nb-NO"/>
              </w:rPr>
            </w:pPr>
            <w:r w:rsidRPr="002D7BA5">
              <w:rPr>
                <w:sz w:val="22"/>
                <w:lang w:eastAsia="nb-NO"/>
              </w:rPr>
              <w:t>Electoral safety</w:t>
            </w:r>
          </w:p>
        </w:tc>
        <w:tc>
          <w:tcPr>
            <w:tcW w:w="797" w:type="dxa"/>
            <w:shd w:val="clear" w:color="auto" w:fill="auto"/>
            <w:noWrap/>
            <w:vAlign w:val="bottom"/>
            <w:hideMark/>
          </w:tcPr>
          <w:p w14:paraId="0FA442F6" w14:textId="0C384217" w:rsidR="00B159CA" w:rsidRPr="002D7BA5" w:rsidRDefault="00B159CA" w:rsidP="00800BF9">
            <w:pPr>
              <w:jc w:val="center"/>
              <w:rPr>
                <w:sz w:val="22"/>
                <w:lang w:eastAsia="nb-NO"/>
              </w:rPr>
            </w:pPr>
            <w:r w:rsidRPr="002D7BA5">
              <w:rPr>
                <w:rFonts w:cs="Calibri"/>
                <w:color w:val="000000"/>
                <w:sz w:val="22"/>
              </w:rPr>
              <w:t>825</w:t>
            </w:r>
            <w:r w:rsidR="0042387D">
              <w:rPr>
                <w:rFonts w:cs="Calibri"/>
                <w:color w:val="000000"/>
                <w:sz w:val="22"/>
              </w:rPr>
              <w:t>6</w:t>
            </w:r>
          </w:p>
        </w:tc>
        <w:tc>
          <w:tcPr>
            <w:tcW w:w="797" w:type="dxa"/>
            <w:shd w:val="clear" w:color="auto" w:fill="auto"/>
            <w:noWrap/>
            <w:vAlign w:val="bottom"/>
            <w:hideMark/>
          </w:tcPr>
          <w:p w14:paraId="2BA98A52" w14:textId="619C481F" w:rsidR="00B159CA" w:rsidRPr="002D7BA5" w:rsidRDefault="0042387D" w:rsidP="00800BF9">
            <w:pPr>
              <w:jc w:val="center"/>
              <w:rPr>
                <w:sz w:val="22"/>
                <w:lang w:eastAsia="nb-NO"/>
              </w:rPr>
            </w:pPr>
            <w:r>
              <w:rPr>
                <w:rFonts w:cs="Calibri"/>
                <w:color w:val="000000"/>
                <w:sz w:val="22"/>
              </w:rPr>
              <w:t>5321</w:t>
            </w:r>
          </w:p>
        </w:tc>
        <w:tc>
          <w:tcPr>
            <w:tcW w:w="798" w:type="dxa"/>
            <w:shd w:val="clear" w:color="auto" w:fill="auto"/>
            <w:noWrap/>
            <w:vAlign w:val="bottom"/>
            <w:hideMark/>
          </w:tcPr>
          <w:p w14:paraId="222C330C" w14:textId="77777777" w:rsidR="00B159CA" w:rsidRPr="002D7BA5" w:rsidRDefault="00B159CA" w:rsidP="00800BF9">
            <w:pPr>
              <w:jc w:val="center"/>
              <w:rPr>
                <w:sz w:val="22"/>
                <w:lang w:eastAsia="nb-NO"/>
              </w:rPr>
            </w:pPr>
            <w:r w:rsidRPr="002D7BA5">
              <w:rPr>
                <w:rFonts w:cs="Calibri"/>
                <w:color w:val="000000"/>
                <w:sz w:val="22"/>
              </w:rPr>
              <w:t>0</w:t>
            </w:r>
          </w:p>
        </w:tc>
        <w:tc>
          <w:tcPr>
            <w:tcW w:w="886" w:type="dxa"/>
            <w:shd w:val="clear" w:color="auto" w:fill="auto"/>
            <w:noWrap/>
            <w:vAlign w:val="bottom"/>
            <w:hideMark/>
          </w:tcPr>
          <w:p w14:paraId="14AF233C" w14:textId="77777777" w:rsidR="00B159CA" w:rsidRPr="002D7BA5" w:rsidRDefault="00B159CA" w:rsidP="00800BF9">
            <w:pPr>
              <w:jc w:val="center"/>
              <w:rPr>
                <w:sz w:val="22"/>
                <w:lang w:eastAsia="nb-NO"/>
              </w:rPr>
            </w:pPr>
            <w:r w:rsidRPr="002D7BA5">
              <w:rPr>
                <w:rFonts w:cs="Calibri"/>
                <w:color w:val="000000"/>
                <w:sz w:val="22"/>
              </w:rPr>
              <w:t>69249</w:t>
            </w:r>
          </w:p>
        </w:tc>
        <w:tc>
          <w:tcPr>
            <w:tcW w:w="236" w:type="dxa"/>
            <w:shd w:val="clear" w:color="auto" w:fill="auto"/>
            <w:noWrap/>
            <w:vAlign w:val="bottom"/>
            <w:hideMark/>
          </w:tcPr>
          <w:p w14:paraId="1DE78067" w14:textId="77777777" w:rsidR="00B159CA" w:rsidRPr="002D7BA5" w:rsidRDefault="00B159CA" w:rsidP="00800BF9">
            <w:pPr>
              <w:jc w:val="center"/>
              <w:rPr>
                <w:sz w:val="22"/>
                <w:lang w:eastAsia="nb-NO"/>
              </w:rPr>
            </w:pPr>
          </w:p>
        </w:tc>
        <w:tc>
          <w:tcPr>
            <w:tcW w:w="1039" w:type="dxa"/>
            <w:shd w:val="clear" w:color="auto" w:fill="auto"/>
            <w:noWrap/>
            <w:vAlign w:val="bottom"/>
            <w:hideMark/>
          </w:tcPr>
          <w:p w14:paraId="5535AD75" w14:textId="30541913" w:rsidR="00B159CA" w:rsidRPr="002D7BA5" w:rsidRDefault="006E3526" w:rsidP="00800BF9">
            <w:pPr>
              <w:jc w:val="center"/>
              <w:rPr>
                <w:sz w:val="22"/>
                <w:lang w:eastAsia="nb-NO"/>
              </w:rPr>
            </w:pPr>
            <w:r>
              <w:rPr>
                <w:rFonts w:cs="Calibri"/>
                <w:color w:val="000000"/>
                <w:sz w:val="22"/>
              </w:rPr>
              <w:t>-</w:t>
            </w:r>
            <w:r w:rsidR="00B159CA" w:rsidRPr="002D7BA5">
              <w:rPr>
                <w:rFonts w:cs="Calibri"/>
                <w:color w:val="000000"/>
                <w:sz w:val="22"/>
              </w:rPr>
              <w:t>0.76</w:t>
            </w:r>
          </w:p>
        </w:tc>
        <w:tc>
          <w:tcPr>
            <w:tcW w:w="851" w:type="dxa"/>
            <w:shd w:val="clear" w:color="auto" w:fill="auto"/>
            <w:noWrap/>
            <w:vAlign w:val="bottom"/>
            <w:hideMark/>
          </w:tcPr>
          <w:p w14:paraId="074C4AA2" w14:textId="77777777" w:rsidR="00B159CA" w:rsidRPr="002D7BA5" w:rsidRDefault="00B159CA" w:rsidP="00800BF9">
            <w:pPr>
              <w:jc w:val="center"/>
              <w:rPr>
                <w:sz w:val="22"/>
                <w:lang w:eastAsia="nb-NO"/>
              </w:rPr>
            </w:pPr>
            <w:r w:rsidRPr="002D7BA5">
              <w:rPr>
                <w:rFonts w:cs="Calibri"/>
                <w:color w:val="000000"/>
                <w:sz w:val="22"/>
              </w:rPr>
              <w:t>0.32</w:t>
            </w:r>
          </w:p>
        </w:tc>
        <w:tc>
          <w:tcPr>
            <w:tcW w:w="850" w:type="dxa"/>
            <w:shd w:val="clear" w:color="auto" w:fill="auto"/>
            <w:noWrap/>
            <w:vAlign w:val="bottom"/>
            <w:hideMark/>
          </w:tcPr>
          <w:p w14:paraId="14D7D643" w14:textId="5B3438B3" w:rsidR="00B159CA" w:rsidRPr="002D7BA5" w:rsidRDefault="006E3526" w:rsidP="00800BF9">
            <w:pPr>
              <w:jc w:val="center"/>
              <w:rPr>
                <w:sz w:val="22"/>
                <w:lang w:eastAsia="nb-NO"/>
              </w:rPr>
            </w:pPr>
            <w:r>
              <w:rPr>
                <w:rFonts w:cs="Calibri"/>
                <w:color w:val="000000"/>
                <w:sz w:val="22"/>
              </w:rPr>
              <w:t>-</w:t>
            </w:r>
            <w:r w:rsidR="0042387D">
              <w:rPr>
                <w:rFonts w:cs="Calibri"/>
                <w:color w:val="000000"/>
                <w:sz w:val="22"/>
              </w:rPr>
              <w:t>1</w:t>
            </w:r>
          </w:p>
        </w:tc>
        <w:tc>
          <w:tcPr>
            <w:tcW w:w="999" w:type="dxa"/>
            <w:shd w:val="clear" w:color="auto" w:fill="auto"/>
            <w:noWrap/>
            <w:vAlign w:val="bottom"/>
            <w:hideMark/>
          </w:tcPr>
          <w:p w14:paraId="37437EAA" w14:textId="4CCB1214" w:rsidR="00B159CA" w:rsidRPr="002D7BA5" w:rsidRDefault="006E3526" w:rsidP="00800BF9">
            <w:pPr>
              <w:jc w:val="center"/>
              <w:rPr>
                <w:sz w:val="22"/>
                <w:lang w:eastAsia="nb-NO"/>
              </w:rPr>
            </w:pPr>
            <w:r>
              <w:rPr>
                <w:rFonts w:cs="Calibri"/>
                <w:color w:val="000000"/>
                <w:sz w:val="22"/>
              </w:rPr>
              <w:t>-</w:t>
            </w:r>
            <w:r w:rsidR="0042387D" w:rsidRPr="002D7BA5">
              <w:rPr>
                <w:rFonts w:cs="Calibri"/>
                <w:color w:val="000000"/>
                <w:sz w:val="22"/>
              </w:rPr>
              <w:t>0.0</w:t>
            </w:r>
            <w:r w:rsidR="0042387D">
              <w:rPr>
                <w:rFonts w:cs="Calibri"/>
                <w:color w:val="000000"/>
                <w:sz w:val="22"/>
              </w:rPr>
              <w:t>6</w:t>
            </w:r>
          </w:p>
        </w:tc>
      </w:tr>
      <w:tr w:rsidR="00B159CA" w:rsidRPr="00226592" w14:paraId="695ABCF0" w14:textId="77777777" w:rsidTr="00800BF9">
        <w:trPr>
          <w:trHeight w:hRule="exact" w:val="284"/>
          <w:jc w:val="center"/>
        </w:trPr>
        <w:tc>
          <w:tcPr>
            <w:tcW w:w="2246" w:type="dxa"/>
            <w:shd w:val="clear" w:color="auto" w:fill="auto"/>
            <w:noWrap/>
            <w:hideMark/>
          </w:tcPr>
          <w:p w14:paraId="609CC8D1" w14:textId="77777777" w:rsidR="00B159CA" w:rsidRPr="002D7BA5" w:rsidRDefault="00B159CA" w:rsidP="00800BF9">
            <w:pPr>
              <w:jc w:val="center"/>
              <w:rPr>
                <w:sz w:val="22"/>
                <w:lang w:eastAsia="nb-NO"/>
              </w:rPr>
            </w:pPr>
            <w:r w:rsidRPr="002D7BA5">
              <w:rPr>
                <w:sz w:val="22"/>
                <w:lang w:eastAsia="nb-NO"/>
              </w:rPr>
              <w:t>Legislative speeches</w:t>
            </w:r>
          </w:p>
        </w:tc>
        <w:tc>
          <w:tcPr>
            <w:tcW w:w="797" w:type="dxa"/>
            <w:shd w:val="clear" w:color="auto" w:fill="auto"/>
            <w:noWrap/>
            <w:vAlign w:val="bottom"/>
            <w:hideMark/>
          </w:tcPr>
          <w:p w14:paraId="79D0D662" w14:textId="35916444" w:rsidR="00B159CA" w:rsidRPr="002D7BA5" w:rsidRDefault="00B159CA" w:rsidP="00800BF9">
            <w:pPr>
              <w:jc w:val="center"/>
              <w:rPr>
                <w:sz w:val="22"/>
                <w:lang w:eastAsia="nb-NO"/>
              </w:rPr>
            </w:pPr>
            <w:r w:rsidRPr="002D7BA5">
              <w:rPr>
                <w:rFonts w:cs="Calibri"/>
                <w:color w:val="000000"/>
                <w:sz w:val="22"/>
              </w:rPr>
              <w:t>20.</w:t>
            </w:r>
            <w:r w:rsidR="0042387D">
              <w:rPr>
                <w:rFonts w:cs="Calibri"/>
                <w:color w:val="000000"/>
                <w:sz w:val="22"/>
              </w:rPr>
              <w:t>75</w:t>
            </w:r>
          </w:p>
        </w:tc>
        <w:tc>
          <w:tcPr>
            <w:tcW w:w="797" w:type="dxa"/>
            <w:shd w:val="clear" w:color="auto" w:fill="auto"/>
            <w:noWrap/>
            <w:vAlign w:val="bottom"/>
            <w:hideMark/>
          </w:tcPr>
          <w:p w14:paraId="5BBD7359" w14:textId="7D66F3CE" w:rsidR="00B159CA" w:rsidRPr="002D7BA5" w:rsidRDefault="00B159CA" w:rsidP="00800BF9">
            <w:pPr>
              <w:jc w:val="center"/>
              <w:rPr>
                <w:sz w:val="22"/>
                <w:lang w:eastAsia="nb-NO"/>
              </w:rPr>
            </w:pPr>
            <w:r w:rsidRPr="002D7BA5">
              <w:rPr>
                <w:rFonts w:cs="Calibri"/>
                <w:color w:val="000000"/>
                <w:sz w:val="22"/>
              </w:rPr>
              <w:t>26.</w:t>
            </w:r>
            <w:r w:rsidR="0042387D">
              <w:rPr>
                <w:rFonts w:cs="Calibri"/>
                <w:color w:val="000000"/>
                <w:sz w:val="22"/>
              </w:rPr>
              <w:t>05</w:t>
            </w:r>
          </w:p>
        </w:tc>
        <w:tc>
          <w:tcPr>
            <w:tcW w:w="798" w:type="dxa"/>
            <w:shd w:val="clear" w:color="auto" w:fill="auto"/>
            <w:noWrap/>
            <w:vAlign w:val="bottom"/>
            <w:hideMark/>
          </w:tcPr>
          <w:p w14:paraId="0DFF0004" w14:textId="77777777" w:rsidR="00B159CA" w:rsidRPr="002D7BA5" w:rsidRDefault="00B159CA" w:rsidP="00800BF9">
            <w:pPr>
              <w:jc w:val="center"/>
              <w:rPr>
                <w:sz w:val="22"/>
                <w:lang w:eastAsia="nb-NO"/>
              </w:rPr>
            </w:pPr>
            <w:r w:rsidRPr="002D7BA5">
              <w:rPr>
                <w:rFonts w:cs="Calibri"/>
                <w:color w:val="000000"/>
                <w:sz w:val="22"/>
              </w:rPr>
              <w:t>0</w:t>
            </w:r>
          </w:p>
        </w:tc>
        <w:tc>
          <w:tcPr>
            <w:tcW w:w="886" w:type="dxa"/>
            <w:shd w:val="clear" w:color="auto" w:fill="auto"/>
            <w:noWrap/>
            <w:vAlign w:val="bottom"/>
            <w:hideMark/>
          </w:tcPr>
          <w:p w14:paraId="0AB05566" w14:textId="77777777" w:rsidR="00B159CA" w:rsidRPr="002D7BA5" w:rsidRDefault="00B159CA" w:rsidP="00800BF9">
            <w:pPr>
              <w:jc w:val="center"/>
              <w:rPr>
                <w:sz w:val="22"/>
                <w:lang w:eastAsia="nb-NO"/>
              </w:rPr>
            </w:pPr>
            <w:r w:rsidRPr="002D7BA5">
              <w:rPr>
                <w:rFonts w:cs="Calibri"/>
                <w:color w:val="000000"/>
                <w:sz w:val="22"/>
              </w:rPr>
              <w:t>569</w:t>
            </w:r>
          </w:p>
        </w:tc>
        <w:tc>
          <w:tcPr>
            <w:tcW w:w="236" w:type="dxa"/>
            <w:shd w:val="clear" w:color="auto" w:fill="auto"/>
            <w:noWrap/>
            <w:vAlign w:val="bottom"/>
            <w:hideMark/>
          </w:tcPr>
          <w:p w14:paraId="29C8E985" w14:textId="77777777" w:rsidR="00B159CA" w:rsidRPr="002D7BA5" w:rsidRDefault="00B159CA" w:rsidP="00800BF9">
            <w:pPr>
              <w:jc w:val="center"/>
              <w:rPr>
                <w:sz w:val="22"/>
                <w:lang w:eastAsia="nb-NO"/>
              </w:rPr>
            </w:pPr>
          </w:p>
        </w:tc>
        <w:tc>
          <w:tcPr>
            <w:tcW w:w="1039" w:type="dxa"/>
            <w:shd w:val="clear" w:color="auto" w:fill="auto"/>
            <w:noWrap/>
            <w:vAlign w:val="bottom"/>
            <w:hideMark/>
          </w:tcPr>
          <w:p w14:paraId="1BB36763" w14:textId="13632151" w:rsidR="00B159CA" w:rsidRPr="002D7BA5" w:rsidRDefault="00B159CA" w:rsidP="00800BF9">
            <w:pPr>
              <w:jc w:val="center"/>
              <w:rPr>
                <w:sz w:val="22"/>
                <w:lang w:eastAsia="nb-NO"/>
              </w:rPr>
            </w:pPr>
            <w:r w:rsidRPr="002D7BA5">
              <w:rPr>
                <w:rFonts w:cs="Calibri"/>
                <w:color w:val="000000"/>
                <w:sz w:val="22"/>
              </w:rPr>
              <w:t>1</w:t>
            </w:r>
            <w:r w:rsidR="00335099">
              <w:rPr>
                <w:rFonts w:cs="Calibri"/>
                <w:color w:val="000000"/>
                <w:sz w:val="22"/>
              </w:rPr>
              <w:t>3.</w:t>
            </w:r>
            <w:r w:rsidR="00F50353">
              <w:rPr>
                <w:rFonts w:cs="Calibri"/>
                <w:color w:val="000000"/>
                <w:sz w:val="22"/>
              </w:rPr>
              <w:t>57</w:t>
            </w:r>
          </w:p>
        </w:tc>
        <w:tc>
          <w:tcPr>
            <w:tcW w:w="851" w:type="dxa"/>
            <w:shd w:val="clear" w:color="auto" w:fill="auto"/>
            <w:noWrap/>
            <w:vAlign w:val="bottom"/>
            <w:hideMark/>
          </w:tcPr>
          <w:p w14:paraId="4C921329" w14:textId="02CE5487" w:rsidR="00B159CA" w:rsidRPr="002D7BA5" w:rsidRDefault="00B159CA" w:rsidP="00800BF9">
            <w:pPr>
              <w:jc w:val="center"/>
              <w:rPr>
                <w:sz w:val="22"/>
                <w:lang w:eastAsia="nb-NO"/>
              </w:rPr>
            </w:pPr>
            <w:r w:rsidRPr="002D7BA5">
              <w:rPr>
                <w:rFonts w:cs="Calibri"/>
                <w:color w:val="000000"/>
                <w:sz w:val="22"/>
              </w:rPr>
              <w:t>12.</w:t>
            </w:r>
            <w:r w:rsidR="00335099">
              <w:rPr>
                <w:rFonts w:cs="Calibri"/>
                <w:color w:val="000000"/>
                <w:sz w:val="22"/>
              </w:rPr>
              <w:t>77</w:t>
            </w:r>
          </w:p>
        </w:tc>
        <w:tc>
          <w:tcPr>
            <w:tcW w:w="850" w:type="dxa"/>
            <w:shd w:val="clear" w:color="auto" w:fill="auto"/>
            <w:noWrap/>
            <w:vAlign w:val="bottom"/>
            <w:hideMark/>
          </w:tcPr>
          <w:p w14:paraId="1AF5EFB4" w14:textId="77777777" w:rsidR="00B159CA" w:rsidRPr="002D7BA5" w:rsidRDefault="00B159CA" w:rsidP="00800BF9">
            <w:pPr>
              <w:jc w:val="center"/>
              <w:rPr>
                <w:sz w:val="22"/>
                <w:lang w:eastAsia="nb-NO"/>
              </w:rPr>
            </w:pPr>
            <w:r w:rsidRPr="002D7BA5">
              <w:rPr>
                <w:rFonts w:cs="Calibri"/>
                <w:color w:val="000000"/>
                <w:sz w:val="22"/>
              </w:rPr>
              <w:t>0</w:t>
            </w:r>
          </w:p>
        </w:tc>
        <w:tc>
          <w:tcPr>
            <w:tcW w:w="999" w:type="dxa"/>
            <w:shd w:val="clear" w:color="auto" w:fill="auto"/>
            <w:noWrap/>
            <w:vAlign w:val="bottom"/>
            <w:hideMark/>
          </w:tcPr>
          <w:p w14:paraId="67F97DC4" w14:textId="77777777" w:rsidR="00B159CA" w:rsidRPr="002D7BA5" w:rsidRDefault="00B159CA" w:rsidP="00800BF9">
            <w:pPr>
              <w:jc w:val="center"/>
              <w:rPr>
                <w:sz w:val="22"/>
                <w:lang w:eastAsia="nb-NO"/>
              </w:rPr>
            </w:pPr>
            <w:r w:rsidRPr="002D7BA5">
              <w:rPr>
                <w:rFonts w:cs="Calibri"/>
                <w:color w:val="000000"/>
                <w:sz w:val="22"/>
              </w:rPr>
              <w:t>158</w:t>
            </w:r>
          </w:p>
        </w:tc>
      </w:tr>
      <w:tr w:rsidR="00B159CA" w:rsidRPr="00226592" w14:paraId="1549A124" w14:textId="77777777" w:rsidTr="00800BF9">
        <w:trPr>
          <w:trHeight w:hRule="exact" w:val="284"/>
          <w:jc w:val="center"/>
        </w:trPr>
        <w:tc>
          <w:tcPr>
            <w:tcW w:w="2246" w:type="dxa"/>
            <w:shd w:val="clear" w:color="auto" w:fill="auto"/>
            <w:noWrap/>
            <w:hideMark/>
          </w:tcPr>
          <w:p w14:paraId="590F433D" w14:textId="77777777" w:rsidR="00B159CA" w:rsidRPr="002D7BA5" w:rsidRDefault="00B159CA" w:rsidP="00800BF9">
            <w:pPr>
              <w:jc w:val="center"/>
              <w:rPr>
                <w:sz w:val="22"/>
                <w:lang w:eastAsia="nb-NO"/>
              </w:rPr>
            </w:pPr>
            <w:r w:rsidRPr="002D7BA5">
              <w:rPr>
                <w:sz w:val="22"/>
                <w:lang w:eastAsia="nb-NO"/>
              </w:rPr>
              <w:t>Legislative experience</w:t>
            </w:r>
          </w:p>
        </w:tc>
        <w:tc>
          <w:tcPr>
            <w:tcW w:w="797" w:type="dxa"/>
            <w:shd w:val="clear" w:color="auto" w:fill="auto"/>
            <w:noWrap/>
            <w:vAlign w:val="bottom"/>
            <w:hideMark/>
          </w:tcPr>
          <w:p w14:paraId="39936542" w14:textId="4034AC50" w:rsidR="00B159CA" w:rsidRPr="002D7BA5" w:rsidRDefault="00B159CA" w:rsidP="00800BF9">
            <w:pPr>
              <w:jc w:val="center"/>
              <w:rPr>
                <w:sz w:val="22"/>
                <w:lang w:eastAsia="nb-NO"/>
              </w:rPr>
            </w:pPr>
            <w:r w:rsidRPr="002D7BA5">
              <w:rPr>
                <w:rFonts w:cs="Calibri"/>
                <w:color w:val="000000"/>
                <w:sz w:val="22"/>
              </w:rPr>
              <w:t>11.1</w:t>
            </w:r>
            <w:r w:rsidR="0042387D">
              <w:rPr>
                <w:rFonts w:cs="Calibri"/>
                <w:color w:val="000000"/>
                <w:sz w:val="22"/>
              </w:rPr>
              <w:t>5</w:t>
            </w:r>
          </w:p>
        </w:tc>
        <w:tc>
          <w:tcPr>
            <w:tcW w:w="797" w:type="dxa"/>
            <w:shd w:val="clear" w:color="auto" w:fill="auto"/>
            <w:noWrap/>
            <w:vAlign w:val="bottom"/>
            <w:hideMark/>
          </w:tcPr>
          <w:p w14:paraId="66A0769B" w14:textId="77777777" w:rsidR="00B159CA" w:rsidRPr="002D7BA5" w:rsidRDefault="00B159CA" w:rsidP="00800BF9">
            <w:pPr>
              <w:jc w:val="center"/>
              <w:rPr>
                <w:sz w:val="22"/>
                <w:lang w:eastAsia="nb-NO"/>
              </w:rPr>
            </w:pPr>
            <w:r w:rsidRPr="002D7BA5">
              <w:rPr>
                <w:rFonts w:cs="Calibri"/>
                <w:color w:val="000000"/>
                <w:sz w:val="22"/>
              </w:rPr>
              <w:t>8.91</w:t>
            </w:r>
          </w:p>
        </w:tc>
        <w:tc>
          <w:tcPr>
            <w:tcW w:w="798" w:type="dxa"/>
            <w:shd w:val="clear" w:color="auto" w:fill="auto"/>
            <w:noWrap/>
            <w:vAlign w:val="bottom"/>
            <w:hideMark/>
          </w:tcPr>
          <w:p w14:paraId="34F30C26" w14:textId="77777777" w:rsidR="00B159CA" w:rsidRPr="002D7BA5" w:rsidRDefault="00B159CA" w:rsidP="00800BF9">
            <w:pPr>
              <w:jc w:val="center"/>
              <w:rPr>
                <w:sz w:val="22"/>
                <w:lang w:eastAsia="nb-NO"/>
              </w:rPr>
            </w:pPr>
            <w:r w:rsidRPr="002D7BA5">
              <w:rPr>
                <w:rFonts w:cs="Calibri"/>
                <w:color w:val="000000"/>
                <w:sz w:val="22"/>
              </w:rPr>
              <w:t>0</w:t>
            </w:r>
          </w:p>
        </w:tc>
        <w:tc>
          <w:tcPr>
            <w:tcW w:w="886" w:type="dxa"/>
            <w:shd w:val="clear" w:color="auto" w:fill="auto"/>
            <w:noWrap/>
            <w:vAlign w:val="bottom"/>
            <w:hideMark/>
          </w:tcPr>
          <w:p w14:paraId="6B25E099" w14:textId="77777777" w:rsidR="00B159CA" w:rsidRPr="002D7BA5" w:rsidRDefault="00B159CA" w:rsidP="00800BF9">
            <w:pPr>
              <w:jc w:val="center"/>
              <w:rPr>
                <w:sz w:val="22"/>
                <w:lang w:eastAsia="nb-NO"/>
              </w:rPr>
            </w:pPr>
            <w:r w:rsidRPr="002D7BA5">
              <w:rPr>
                <w:rFonts w:cs="Calibri"/>
                <w:color w:val="000000"/>
                <w:sz w:val="22"/>
              </w:rPr>
              <w:t>56</w:t>
            </w:r>
          </w:p>
        </w:tc>
        <w:tc>
          <w:tcPr>
            <w:tcW w:w="236" w:type="dxa"/>
            <w:shd w:val="clear" w:color="auto" w:fill="auto"/>
            <w:noWrap/>
            <w:vAlign w:val="bottom"/>
            <w:hideMark/>
          </w:tcPr>
          <w:p w14:paraId="272642C6" w14:textId="77777777" w:rsidR="00B159CA" w:rsidRPr="002D7BA5" w:rsidRDefault="00B159CA" w:rsidP="00800BF9">
            <w:pPr>
              <w:jc w:val="center"/>
              <w:rPr>
                <w:sz w:val="22"/>
                <w:lang w:eastAsia="nb-NO"/>
              </w:rPr>
            </w:pPr>
          </w:p>
        </w:tc>
        <w:tc>
          <w:tcPr>
            <w:tcW w:w="1039" w:type="dxa"/>
            <w:shd w:val="clear" w:color="auto" w:fill="auto"/>
            <w:noWrap/>
            <w:vAlign w:val="bottom"/>
            <w:hideMark/>
          </w:tcPr>
          <w:p w14:paraId="01DC5CB5" w14:textId="6D11E3CF" w:rsidR="00B159CA" w:rsidRPr="002D7BA5" w:rsidRDefault="00B159CA" w:rsidP="00800BF9">
            <w:pPr>
              <w:jc w:val="center"/>
              <w:rPr>
                <w:sz w:val="22"/>
                <w:lang w:eastAsia="nb-NO"/>
              </w:rPr>
            </w:pPr>
            <w:r w:rsidRPr="002D7BA5">
              <w:rPr>
                <w:rFonts w:cs="Calibri"/>
                <w:color w:val="000000"/>
                <w:sz w:val="22"/>
              </w:rPr>
              <w:t>7.</w:t>
            </w:r>
            <w:r w:rsidR="00335099">
              <w:rPr>
                <w:rFonts w:cs="Calibri"/>
                <w:color w:val="000000"/>
                <w:sz w:val="22"/>
              </w:rPr>
              <w:t>01</w:t>
            </w:r>
          </w:p>
        </w:tc>
        <w:tc>
          <w:tcPr>
            <w:tcW w:w="851" w:type="dxa"/>
            <w:shd w:val="clear" w:color="auto" w:fill="auto"/>
            <w:noWrap/>
            <w:vAlign w:val="bottom"/>
            <w:hideMark/>
          </w:tcPr>
          <w:p w14:paraId="7DDD36C2" w14:textId="4A65FDC3" w:rsidR="00B159CA" w:rsidRPr="002D7BA5" w:rsidRDefault="00B159CA" w:rsidP="00800BF9">
            <w:pPr>
              <w:jc w:val="center"/>
              <w:rPr>
                <w:sz w:val="22"/>
                <w:lang w:eastAsia="nb-NO"/>
              </w:rPr>
            </w:pPr>
            <w:r w:rsidRPr="002D7BA5">
              <w:rPr>
                <w:rFonts w:cs="Calibri"/>
                <w:color w:val="000000"/>
                <w:sz w:val="22"/>
              </w:rPr>
              <w:t>5.</w:t>
            </w:r>
            <w:r w:rsidR="00335099">
              <w:rPr>
                <w:rFonts w:cs="Calibri"/>
                <w:color w:val="000000"/>
                <w:sz w:val="22"/>
              </w:rPr>
              <w:t>49</w:t>
            </w:r>
          </w:p>
        </w:tc>
        <w:tc>
          <w:tcPr>
            <w:tcW w:w="850" w:type="dxa"/>
            <w:shd w:val="clear" w:color="auto" w:fill="auto"/>
            <w:noWrap/>
            <w:vAlign w:val="bottom"/>
            <w:hideMark/>
          </w:tcPr>
          <w:p w14:paraId="2A8ABAB9" w14:textId="77777777" w:rsidR="00B159CA" w:rsidRPr="002D7BA5" w:rsidRDefault="00B159CA" w:rsidP="00800BF9">
            <w:pPr>
              <w:jc w:val="center"/>
              <w:rPr>
                <w:sz w:val="22"/>
                <w:lang w:eastAsia="nb-NO"/>
              </w:rPr>
            </w:pPr>
            <w:r w:rsidRPr="002D7BA5">
              <w:rPr>
                <w:rFonts w:cs="Calibri"/>
                <w:color w:val="000000"/>
                <w:sz w:val="22"/>
              </w:rPr>
              <w:t>0</w:t>
            </w:r>
          </w:p>
        </w:tc>
        <w:tc>
          <w:tcPr>
            <w:tcW w:w="999" w:type="dxa"/>
            <w:shd w:val="clear" w:color="auto" w:fill="auto"/>
            <w:noWrap/>
            <w:vAlign w:val="bottom"/>
            <w:hideMark/>
          </w:tcPr>
          <w:p w14:paraId="272A1A8F" w14:textId="77777777" w:rsidR="00B159CA" w:rsidRPr="002D7BA5" w:rsidRDefault="00B159CA" w:rsidP="00800BF9">
            <w:pPr>
              <w:jc w:val="center"/>
              <w:rPr>
                <w:sz w:val="22"/>
                <w:lang w:eastAsia="nb-NO"/>
              </w:rPr>
            </w:pPr>
            <w:r w:rsidRPr="002D7BA5">
              <w:rPr>
                <w:rFonts w:cs="Calibri"/>
                <w:color w:val="000000"/>
                <w:sz w:val="22"/>
              </w:rPr>
              <w:t>32</w:t>
            </w:r>
          </w:p>
        </w:tc>
      </w:tr>
      <w:tr w:rsidR="00B159CA" w:rsidRPr="00226592" w14:paraId="45509A5E" w14:textId="77777777" w:rsidTr="00800BF9">
        <w:trPr>
          <w:trHeight w:hRule="exact" w:val="284"/>
          <w:jc w:val="center"/>
        </w:trPr>
        <w:tc>
          <w:tcPr>
            <w:tcW w:w="2246" w:type="dxa"/>
            <w:shd w:val="clear" w:color="auto" w:fill="auto"/>
            <w:noWrap/>
            <w:hideMark/>
          </w:tcPr>
          <w:p w14:paraId="44B7969A" w14:textId="77777777" w:rsidR="00B159CA" w:rsidRPr="002D7BA5" w:rsidRDefault="00B159CA" w:rsidP="00800BF9">
            <w:pPr>
              <w:jc w:val="center"/>
              <w:rPr>
                <w:sz w:val="22"/>
                <w:lang w:eastAsia="nb-NO"/>
              </w:rPr>
            </w:pPr>
            <w:r w:rsidRPr="002D7BA5">
              <w:rPr>
                <w:sz w:val="22"/>
                <w:lang w:eastAsia="nb-NO"/>
              </w:rPr>
              <w:t>Party size (seat</w:t>
            </w:r>
            <w:r>
              <w:rPr>
                <w:sz w:val="22"/>
                <w:lang w:eastAsia="nb-NO"/>
              </w:rPr>
              <w:t xml:space="preserve"> share)</w:t>
            </w:r>
          </w:p>
        </w:tc>
        <w:tc>
          <w:tcPr>
            <w:tcW w:w="797" w:type="dxa"/>
            <w:shd w:val="clear" w:color="auto" w:fill="auto"/>
            <w:noWrap/>
            <w:vAlign w:val="bottom"/>
            <w:hideMark/>
          </w:tcPr>
          <w:p w14:paraId="52197872" w14:textId="42D1BF48" w:rsidR="00B159CA" w:rsidRPr="002D7BA5" w:rsidRDefault="00B159CA" w:rsidP="00800BF9">
            <w:pPr>
              <w:jc w:val="center"/>
              <w:rPr>
                <w:sz w:val="22"/>
                <w:lang w:eastAsia="nb-NO"/>
              </w:rPr>
            </w:pPr>
            <w:r w:rsidRPr="002D7BA5">
              <w:rPr>
                <w:rFonts w:cs="Calibri"/>
                <w:color w:val="000000"/>
                <w:sz w:val="22"/>
              </w:rPr>
              <w:t>42.7</w:t>
            </w:r>
            <w:r w:rsidR="0042387D">
              <w:rPr>
                <w:rFonts w:cs="Calibri"/>
                <w:color w:val="000000"/>
                <w:sz w:val="22"/>
              </w:rPr>
              <w:t>7</w:t>
            </w:r>
          </w:p>
        </w:tc>
        <w:tc>
          <w:tcPr>
            <w:tcW w:w="797" w:type="dxa"/>
            <w:shd w:val="clear" w:color="auto" w:fill="auto"/>
            <w:noWrap/>
            <w:vAlign w:val="bottom"/>
            <w:hideMark/>
          </w:tcPr>
          <w:p w14:paraId="362E99D6" w14:textId="647FD8FA" w:rsidR="00B159CA" w:rsidRPr="002D7BA5" w:rsidRDefault="00B159CA" w:rsidP="00800BF9">
            <w:pPr>
              <w:jc w:val="center"/>
              <w:rPr>
                <w:sz w:val="22"/>
                <w:lang w:eastAsia="nb-NO"/>
              </w:rPr>
            </w:pPr>
            <w:r w:rsidRPr="002D7BA5">
              <w:rPr>
                <w:rFonts w:cs="Calibri"/>
                <w:color w:val="000000"/>
                <w:sz w:val="22"/>
              </w:rPr>
              <w:t>17.</w:t>
            </w:r>
            <w:r w:rsidR="0042387D">
              <w:rPr>
                <w:rFonts w:cs="Calibri"/>
                <w:color w:val="000000"/>
                <w:sz w:val="22"/>
              </w:rPr>
              <w:t>16</w:t>
            </w:r>
          </w:p>
        </w:tc>
        <w:tc>
          <w:tcPr>
            <w:tcW w:w="798" w:type="dxa"/>
            <w:shd w:val="clear" w:color="auto" w:fill="auto"/>
            <w:noWrap/>
            <w:vAlign w:val="bottom"/>
            <w:hideMark/>
          </w:tcPr>
          <w:p w14:paraId="34D07A37" w14:textId="712C5098" w:rsidR="00B159CA" w:rsidRPr="002D7BA5" w:rsidRDefault="00B159CA" w:rsidP="00800BF9">
            <w:pPr>
              <w:jc w:val="center"/>
              <w:rPr>
                <w:sz w:val="22"/>
                <w:lang w:eastAsia="nb-NO"/>
              </w:rPr>
            </w:pPr>
            <w:r w:rsidRPr="002D7BA5">
              <w:rPr>
                <w:rFonts w:cs="Calibri"/>
                <w:color w:val="000000"/>
                <w:sz w:val="22"/>
              </w:rPr>
              <w:t>0</w:t>
            </w:r>
            <w:r w:rsidR="0042387D">
              <w:rPr>
                <w:rFonts w:cs="Calibri"/>
                <w:color w:val="000000"/>
                <w:sz w:val="22"/>
              </w:rPr>
              <w:t>.15</w:t>
            </w:r>
          </w:p>
        </w:tc>
        <w:tc>
          <w:tcPr>
            <w:tcW w:w="886" w:type="dxa"/>
            <w:shd w:val="clear" w:color="auto" w:fill="auto"/>
            <w:noWrap/>
            <w:vAlign w:val="bottom"/>
            <w:hideMark/>
          </w:tcPr>
          <w:p w14:paraId="3CED50CB" w14:textId="77777777" w:rsidR="00B159CA" w:rsidRPr="002D7BA5" w:rsidRDefault="00B159CA" w:rsidP="00800BF9">
            <w:pPr>
              <w:jc w:val="center"/>
              <w:rPr>
                <w:sz w:val="22"/>
                <w:lang w:eastAsia="nb-NO"/>
              </w:rPr>
            </w:pPr>
            <w:r w:rsidRPr="002D7BA5">
              <w:rPr>
                <w:rFonts w:cs="Calibri"/>
                <w:color w:val="000000"/>
                <w:sz w:val="22"/>
              </w:rPr>
              <w:t>63.58</w:t>
            </w:r>
          </w:p>
        </w:tc>
        <w:tc>
          <w:tcPr>
            <w:tcW w:w="236" w:type="dxa"/>
            <w:shd w:val="clear" w:color="auto" w:fill="auto"/>
            <w:noWrap/>
            <w:vAlign w:val="bottom"/>
            <w:hideMark/>
          </w:tcPr>
          <w:p w14:paraId="77415A27" w14:textId="77777777" w:rsidR="00B159CA" w:rsidRPr="002D7BA5" w:rsidRDefault="00B159CA" w:rsidP="00800BF9">
            <w:pPr>
              <w:jc w:val="center"/>
              <w:rPr>
                <w:sz w:val="22"/>
                <w:lang w:eastAsia="nb-NO"/>
              </w:rPr>
            </w:pPr>
          </w:p>
        </w:tc>
        <w:tc>
          <w:tcPr>
            <w:tcW w:w="1039" w:type="dxa"/>
            <w:shd w:val="clear" w:color="auto" w:fill="auto"/>
            <w:noWrap/>
            <w:vAlign w:val="bottom"/>
            <w:hideMark/>
          </w:tcPr>
          <w:p w14:paraId="212C8547" w14:textId="2D920F68" w:rsidR="00B159CA" w:rsidRPr="002D7BA5" w:rsidRDefault="00B159CA" w:rsidP="00800BF9">
            <w:pPr>
              <w:jc w:val="center"/>
              <w:rPr>
                <w:sz w:val="22"/>
                <w:lang w:eastAsia="nb-NO"/>
              </w:rPr>
            </w:pPr>
            <w:r w:rsidRPr="002D7BA5">
              <w:rPr>
                <w:rFonts w:cs="Calibri"/>
                <w:color w:val="000000"/>
                <w:sz w:val="22"/>
              </w:rPr>
              <w:t>22.2</w:t>
            </w:r>
            <w:r w:rsidR="00F50353">
              <w:rPr>
                <w:rFonts w:cs="Calibri"/>
                <w:color w:val="000000"/>
                <w:sz w:val="22"/>
              </w:rPr>
              <w:t>7</w:t>
            </w:r>
          </w:p>
        </w:tc>
        <w:tc>
          <w:tcPr>
            <w:tcW w:w="851" w:type="dxa"/>
            <w:shd w:val="clear" w:color="auto" w:fill="auto"/>
            <w:noWrap/>
            <w:vAlign w:val="bottom"/>
            <w:hideMark/>
          </w:tcPr>
          <w:p w14:paraId="4401B90D" w14:textId="777AC48C" w:rsidR="00B159CA" w:rsidRPr="002D7BA5" w:rsidRDefault="00B159CA" w:rsidP="00800BF9">
            <w:pPr>
              <w:jc w:val="center"/>
              <w:rPr>
                <w:sz w:val="22"/>
                <w:lang w:eastAsia="nb-NO"/>
              </w:rPr>
            </w:pPr>
            <w:r w:rsidRPr="002D7BA5">
              <w:rPr>
                <w:rFonts w:cs="Calibri"/>
                <w:color w:val="000000"/>
                <w:sz w:val="22"/>
              </w:rPr>
              <w:t>1</w:t>
            </w:r>
            <w:r w:rsidR="00AB35E7">
              <w:rPr>
                <w:rFonts w:cs="Calibri"/>
                <w:color w:val="000000"/>
                <w:sz w:val="22"/>
              </w:rPr>
              <w:t>0</w:t>
            </w:r>
            <w:r w:rsidRPr="002D7BA5">
              <w:rPr>
                <w:rFonts w:cs="Calibri"/>
                <w:color w:val="000000"/>
                <w:sz w:val="22"/>
              </w:rPr>
              <w:t>.</w:t>
            </w:r>
            <w:r w:rsidR="00AB35E7">
              <w:rPr>
                <w:rFonts w:cs="Calibri"/>
                <w:color w:val="000000"/>
                <w:sz w:val="22"/>
              </w:rPr>
              <w:t>9</w:t>
            </w:r>
            <w:r w:rsidR="00F50353">
              <w:rPr>
                <w:rFonts w:cs="Calibri"/>
                <w:color w:val="000000"/>
                <w:sz w:val="22"/>
              </w:rPr>
              <w:t>7</w:t>
            </w:r>
          </w:p>
        </w:tc>
        <w:tc>
          <w:tcPr>
            <w:tcW w:w="850" w:type="dxa"/>
            <w:shd w:val="clear" w:color="auto" w:fill="auto"/>
            <w:noWrap/>
            <w:vAlign w:val="bottom"/>
            <w:hideMark/>
          </w:tcPr>
          <w:p w14:paraId="112513C6" w14:textId="1B0C3F2A" w:rsidR="00B159CA" w:rsidRPr="002D7BA5" w:rsidRDefault="00B159CA" w:rsidP="00800BF9">
            <w:pPr>
              <w:jc w:val="center"/>
              <w:rPr>
                <w:sz w:val="22"/>
                <w:lang w:eastAsia="nb-NO"/>
              </w:rPr>
            </w:pPr>
            <w:r w:rsidRPr="002D7BA5">
              <w:rPr>
                <w:rFonts w:cs="Calibri"/>
                <w:color w:val="000000"/>
                <w:sz w:val="22"/>
              </w:rPr>
              <w:t>0.59</w:t>
            </w:r>
          </w:p>
        </w:tc>
        <w:tc>
          <w:tcPr>
            <w:tcW w:w="999" w:type="dxa"/>
            <w:shd w:val="clear" w:color="auto" w:fill="auto"/>
            <w:noWrap/>
            <w:vAlign w:val="bottom"/>
            <w:hideMark/>
          </w:tcPr>
          <w:p w14:paraId="5674438F" w14:textId="77777777" w:rsidR="00B159CA" w:rsidRPr="002D7BA5" w:rsidRDefault="00B159CA" w:rsidP="00800BF9">
            <w:pPr>
              <w:jc w:val="center"/>
              <w:rPr>
                <w:sz w:val="22"/>
                <w:lang w:eastAsia="nb-NO"/>
              </w:rPr>
            </w:pPr>
            <w:r w:rsidRPr="002D7BA5">
              <w:rPr>
                <w:rFonts w:cs="Calibri"/>
                <w:color w:val="000000"/>
                <w:sz w:val="22"/>
              </w:rPr>
              <w:t>39.39</w:t>
            </w:r>
          </w:p>
        </w:tc>
      </w:tr>
      <w:tr w:rsidR="00B159CA" w:rsidRPr="00226592" w14:paraId="7361A6D3" w14:textId="77777777" w:rsidTr="00800BF9">
        <w:trPr>
          <w:trHeight w:hRule="exact" w:val="284"/>
          <w:jc w:val="center"/>
        </w:trPr>
        <w:tc>
          <w:tcPr>
            <w:tcW w:w="2246" w:type="dxa"/>
            <w:shd w:val="clear" w:color="auto" w:fill="auto"/>
            <w:noWrap/>
            <w:hideMark/>
          </w:tcPr>
          <w:p w14:paraId="403EE4AF" w14:textId="77777777" w:rsidR="00B159CA" w:rsidRPr="002D7BA5" w:rsidRDefault="00B159CA" w:rsidP="00800BF9">
            <w:pPr>
              <w:jc w:val="center"/>
              <w:rPr>
                <w:sz w:val="22"/>
                <w:lang w:eastAsia="nb-NO"/>
              </w:rPr>
            </w:pPr>
            <w:r>
              <w:rPr>
                <w:sz w:val="22"/>
                <w:lang w:eastAsia="nb-NO"/>
              </w:rPr>
              <w:t>P</w:t>
            </w:r>
            <w:r w:rsidRPr="002D7BA5">
              <w:rPr>
                <w:sz w:val="22"/>
                <w:lang w:eastAsia="nb-NO"/>
              </w:rPr>
              <w:t>arty</w:t>
            </w:r>
            <w:r>
              <w:rPr>
                <w:sz w:val="22"/>
                <w:lang w:eastAsia="nb-NO"/>
              </w:rPr>
              <w:t xml:space="preserve"> in cabinet</w:t>
            </w:r>
          </w:p>
        </w:tc>
        <w:tc>
          <w:tcPr>
            <w:tcW w:w="797" w:type="dxa"/>
            <w:shd w:val="clear" w:color="auto" w:fill="auto"/>
            <w:noWrap/>
            <w:vAlign w:val="bottom"/>
            <w:hideMark/>
          </w:tcPr>
          <w:p w14:paraId="47D7F3ED" w14:textId="77777777" w:rsidR="00B159CA" w:rsidRPr="002D7BA5" w:rsidRDefault="00B159CA" w:rsidP="00800BF9">
            <w:pPr>
              <w:jc w:val="center"/>
              <w:rPr>
                <w:sz w:val="22"/>
                <w:lang w:eastAsia="nb-NO"/>
              </w:rPr>
            </w:pPr>
            <w:r w:rsidRPr="002D7BA5">
              <w:rPr>
                <w:rFonts w:cs="Calibri"/>
                <w:color w:val="000000"/>
                <w:sz w:val="22"/>
              </w:rPr>
              <w:t>0.58</w:t>
            </w:r>
          </w:p>
        </w:tc>
        <w:tc>
          <w:tcPr>
            <w:tcW w:w="797" w:type="dxa"/>
            <w:shd w:val="clear" w:color="auto" w:fill="auto"/>
            <w:noWrap/>
            <w:vAlign w:val="bottom"/>
            <w:hideMark/>
          </w:tcPr>
          <w:p w14:paraId="42B5A995" w14:textId="77777777" w:rsidR="00B159CA" w:rsidRPr="002D7BA5" w:rsidRDefault="00B159CA" w:rsidP="00800BF9">
            <w:pPr>
              <w:jc w:val="center"/>
              <w:rPr>
                <w:sz w:val="22"/>
                <w:lang w:eastAsia="nb-NO"/>
              </w:rPr>
            </w:pPr>
            <w:r w:rsidRPr="002D7BA5">
              <w:rPr>
                <w:rFonts w:cs="Calibri"/>
                <w:color w:val="000000"/>
                <w:sz w:val="22"/>
              </w:rPr>
              <w:t>0.49</w:t>
            </w:r>
          </w:p>
        </w:tc>
        <w:tc>
          <w:tcPr>
            <w:tcW w:w="798" w:type="dxa"/>
            <w:shd w:val="clear" w:color="auto" w:fill="auto"/>
            <w:noWrap/>
            <w:vAlign w:val="bottom"/>
            <w:hideMark/>
          </w:tcPr>
          <w:p w14:paraId="4E3794D7" w14:textId="77777777" w:rsidR="00B159CA" w:rsidRPr="002D7BA5" w:rsidRDefault="00B159CA" w:rsidP="00800BF9">
            <w:pPr>
              <w:jc w:val="center"/>
              <w:rPr>
                <w:sz w:val="22"/>
                <w:lang w:eastAsia="nb-NO"/>
              </w:rPr>
            </w:pPr>
            <w:r w:rsidRPr="002D7BA5">
              <w:rPr>
                <w:rFonts w:cs="Calibri"/>
                <w:color w:val="000000"/>
                <w:sz w:val="22"/>
              </w:rPr>
              <w:t>0</w:t>
            </w:r>
          </w:p>
        </w:tc>
        <w:tc>
          <w:tcPr>
            <w:tcW w:w="886" w:type="dxa"/>
            <w:shd w:val="clear" w:color="auto" w:fill="auto"/>
            <w:noWrap/>
            <w:vAlign w:val="bottom"/>
            <w:hideMark/>
          </w:tcPr>
          <w:p w14:paraId="4555E288" w14:textId="77777777" w:rsidR="00B159CA" w:rsidRPr="002D7BA5" w:rsidRDefault="00B159CA" w:rsidP="00800BF9">
            <w:pPr>
              <w:jc w:val="center"/>
              <w:rPr>
                <w:sz w:val="22"/>
                <w:lang w:eastAsia="nb-NO"/>
              </w:rPr>
            </w:pPr>
            <w:r w:rsidRPr="002D7BA5">
              <w:rPr>
                <w:rFonts w:cs="Calibri"/>
                <w:color w:val="000000"/>
                <w:sz w:val="22"/>
              </w:rPr>
              <w:t>1</w:t>
            </w:r>
          </w:p>
        </w:tc>
        <w:tc>
          <w:tcPr>
            <w:tcW w:w="236" w:type="dxa"/>
            <w:shd w:val="clear" w:color="auto" w:fill="auto"/>
            <w:noWrap/>
            <w:vAlign w:val="bottom"/>
            <w:hideMark/>
          </w:tcPr>
          <w:p w14:paraId="0AE060DD" w14:textId="77777777" w:rsidR="00B159CA" w:rsidRPr="002D7BA5" w:rsidRDefault="00B159CA" w:rsidP="00800BF9">
            <w:pPr>
              <w:jc w:val="center"/>
              <w:rPr>
                <w:sz w:val="22"/>
                <w:lang w:eastAsia="nb-NO"/>
              </w:rPr>
            </w:pPr>
          </w:p>
        </w:tc>
        <w:tc>
          <w:tcPr>
            <w:tcW w:w="1039" w:type="dxa"/>
            <w:shd w:val="clear" w:color="auto" w:fill="auto"/>
            <w:noWrap/>
            <w:vAlign w:val="bottom"/>
            <w:hideMark/>
          </w:tcPr>
          <w:p w14:paraId="5CF0AF83" w14:textId="374378DD" w:rsidR="00B159CA" w:rsidRPr="002D7BA5" w:rsidRDefault="00B159CA" w:rsidP="00800BF9">
            <w:pPr>
              <w:jc w:val="center"/>
              <w:rPr>
                <w:sz w:val="22"/>
                <w:lang w:eastAsia="nb-NO"/>
              </w:rPr>
            </w:pPr>
            <w:r w:rsidRPr="002D7BA5">
              <w:rPr>
                <w:rFonts w:cs="Calibri"/>
                <w:color w:val="000000"/>
                <w:sz w:val="22"/>
              </w:rPr>
              <w:t>0.4</w:t>
            </w:r>
            <w:r w:rsidR="00AB35E7">
              <w:rPr>
                <w:rFonts w:cs="Calibri"/>
                <w:color w:val="000000"/>
                <w:sz w:val="22"/>
              </w:rPr>
              <w:t>4</w:t>
            </w:r>
          </w:p>
        </w:tc>
        <w:tc>
          <w:tcPr>
            <w:tcW w:w="851" w:type="dxa"/>
            <w:shd w:val="clear" w:color="auto" w:fill="auto"/>
            <w:noWrap/>
            <w:vAlign w:val="bottom"/>
            <w:hideMark/>
          </w:tcPr>
          <w:p w14:paraId="188A1B65" w14:textId="77777777" w:rsidR="00B159CA" w:rsidRPr="002D7BA5" w:rsidRDefault="00B159CA" w:rsidP="00800BF9">
            <w:pPr>
              <w:jc w:val="center"/>
              <w:rPr>
                <w:sz w:val="22"/>
                <w:lang w:eastAsia="nb-NO"/>
              </w:rPr>
            </w:pPr>
            <w:r w:rsidRPr="002D7BA5">
              <w:rPr>
                <w:rFonts w:cs="Calibri"/>
                <w:color w:val="000000"/>
                <w:sz w:val="22"/>
              </w:rPr>
              <w:t>0.50</w:t>
            </w:r>
          </w:p>
        </w:tc>
        <w:tc>
          <w:tcPr>
            <w:tcW w:w="850" w:type="dxa"/>
            <w:shd w:val="clear" w:color="auto" w:fill="auto"/>
            <w:noWrap/>
            <w:vAlign w:val="bottom"/>
            <w:hideMark/>
          </w:tcPr>
          <w:p w14:paraId="0549AD43" w14:textId="77777777" w:rsidR="00B159CA" w:rsidRPr="002D7BA5" w:rsidRDefault="00B159CA" w:rsidP="00800BF9">
            <w:pPr>
              <w:jc w:val="center"/>
              <w:rPr>
                <w:sz w:val="22"/>
                <w:lang w:eastAsia="nb-NO"/>
              </w:rPr>
            </w:pPr>
            <w:r w:rsidRPr="002D7BA5">
              <w:rPr>
                <w:rFonts w:cs="Calibri"/>
                <w:color w:val="000000"/>
                <w:sz w:val="22"/>
              </w:rPr>
              <w:t>0</w:t>
            </w:r>
          </w:p>
        </w:tc>
        <w:tc>
          <w:tcPr>
            <w:tcW w:w="999" w:type="dxa"/>
            <w:shd w:val="clear" w:color="auto" w:fill="auto"/>
            <w:noWrap/>
            <w:vAlign w:val="bottom"/>
            <w:hideMark/>
          </w:tcPr>
          <w:p w14:paraId="7688A653" w14:textId="77777777" w:rsidR="00B159CA" w:rsidRPr="002D7BA5" w:rsidRDefault="00B159CA" w:rsidP="00800BF9">
            <w:pPr>
              <w:jc w:val="center"/>
              <w:rPr>
                <w:sz w:val="22"/>
                <w:lang w:eastAsia="nb-NO"/>
              </w:rPr>
            </w:pPr>
            <w:r w:rsidRPr="002D7BA5">
              <w:rPr>
                <w:rFonts w:cs="Calibri"/>
                <w:color w:val="000000"/>
                <w:sz w:val="22"/>
              </w:rPr>
              <w:t>1</w:t>
            </w:r>
          </w:p>
        </w:tc>
      </w:tr>
      <w:tr w:rsidR="00B159CA" w:rsidRPr="00226592" w14:paraId="15E2526D" w14:textId="77777777" w:rsidTr="00800BF9">
        <w:trPr>
          <w:trHeight w:hRule="exact" w:val="284"/>
          <w:jc w:val="center"/>
        </w:trPr>
        <w:tc>
          <w:tcPr>
            <w:tcW w:w="2246" w:type="dxa"/>
            <w:shd w:val="clear" w:color="auto" w:fill="auto"/>
            <w:noWrap/>
            <w:hideMark/>
          </w:tcPr>
          <w:p w14:paraId="0449E36B" w14:textId="77777777" w:rsidR="00B159CA" w:rsidRPr="002D7BA5" w:rsidRDefault="00B159CA" w:rsidP="00800BF9">
            <w:pPr>
              <w:jc w:val="center"/>
              <w:rPr>
                <w:sz w:val="22"/>
                <w:lang w:eastAsia="nb-NO"/>
              </w:rPr>
            </w:pPr>
            <w:r>
              <w:rPr>
                <w:sz w:val="22"/>
                <w:lang w:eastAsia="nb-NO"/>
              </w:rPr>
              <w:t xml:space="preserve">Party </w:t>
            </w:r>
            <w:r w:rsidRPr="002D7BA5">
              <w:rPr>
                <w:sz w:val="22"/>
                <w:lang w:eastAsia="nb-NO"/>
              </w:rPr>
              <w:t xml:space="preserve">L-R </w:t>
            </w:r>
            <w:r>
              <w:rPr>
                <w:sz w:val="22"/>
                <w:lang w:eastAsia="nb-NO"/>
              </w:rPr>
              <w:t>e</w:t>
            </w:r>
            <w:r w:rsidRPr="002D7BA5">
              <w:rPr>
                <w:sz w:val="22"/>
                <w:lang w:eastAsia="nb-NO"/>
              </w:rPr>
              <w:t>xtremity</w:t>
            </w:r>
          </w:p>
        </w:tc>
        <w:tc>
          <w:tcPr>
            <w:tcW w:w="797" w:type="dxa"/>
            <w:shd w:val="clear" w:color="auto" w:fill="auto"/>
            <w:noWrap/>
            <w:vAlign w:val="bottom"/>
            <w:hideMark/>
          </w:tcPr>
          <w:p w14:paraId="21A62F9A" w14:textId="08C64477" w:rsidR="00B159CA" w:rsidRPr="002D7BA5" w:rsidRDefault="00B159CA" w:rsidP="00800BF9">
            <w:pPr>
              <w:jc w:val="center"/>
              <w:rPr>
                <w:sz w:val="22"/>
                <w:lang w:eastAsia="nb-NO"/>
              </w:rPr>
            </w:pPr>
            <w:r w:rsidRPr="002D7BA5">
              <w:rPr>
                <w:rFonts w:cs="Calibri"/>
                <w:color w:val="000000"/>
                <w:sz w:val="22"/>
              </w:rPr>
              <w:t>1.3</w:t>
            </w:r>
            <w:r w:rsidR="0042387D">
              <w:rPr>
                <w:rFonts w:cs="Calibri"/>
                <w:color w:val="000000"/>
                <w:sz w:val="22"/>
              </w:rPr>
              <w:t>1</w:t>
            </w:r>
          </w:p>
        </w:tc>
        <w:tc>
          <w:tcPr>
            <w:tcW w:w="797" w:type="dxa"/>
            <w:shd w:val="clear" w:color="auto" w:fill="auto"/>
            <w:noWrap/>
            <w:vAlign w:val="bottom"/>
            <w:hideMark/>
          </w:tcPr>
          <w:p w14:paraId="7F7CF577" w14:textId="77777777" w:rsidR="00B159CA" w:rsidRPr="002D7BA5" w:rsidRDefault="00B159CA" w:rsidP="00800BF9">
            <w:pPr>
              <w:jc w:val="center"/>
              <w:rPr>
                <w:sz w:val="22"/>
                <w:lang w:eastAsia="nb-NO"/>
              </w:rPr>
            </w:pPr>
            <w:r w:rsidRPr="002D7BA5">
              <w:rPr>
                <w:rFonts w:cs="Calibri"/>
                <w:color w:val="000000"/>
                <w:sz w:val="22"/>
              </w:rPr>
              <w:t>0.85</w:t>
            </w:r>
          </w:p>
        </w:tc>
        <w:tc>
          <w:tcPr>
            <w:tcW w:w="798" w:type="dxa"/>
            <w:shd w:val="clear" w:color="auto" w:fill="auto"/>
            <w:noWrap/>
            <w:vAlign w:val="bottom"/>
            <w:hideMark/>
          </w:tcPr>
          <w:p w14:paraId="77E1E437" w14:textId="77777777" w:rsidR="00B159CA" w:rsidRPr="002D7BA5" w:rsidRDefault="00B159CA" w:rsidP="00800BF9">
            <w:pPr>
              <w:jc w:val="center"/>
              <w:rPr>
                <w:sz w:val="22"/>
                <w:lang w:eastAsia="nb-NO"/>
              </w:rPr>
            </w:pPr>
            <w:r w:rsidRPr="002D7BA5">
              <w:rPr>
                <w:rFonts w:cs="Calibri"/>
                <w:color w:val="000000"/>
                <w:sz w:val="22"/>
              </w:rPr>
              <w:t>0.64</w:t>
            </w:r>
          </w:p>
        </w:tc>
        <w:tc>
          <w:tcPr>
            <w:tcW w:w="886" w:type="dxa"/>
            <w:shd w:val="clear" w:color="auto" w:fill="auto"/>
            <w:noWrap/>
            <w:vAlign w:val="bottom"/>
            <w:hideMark/>
          </w:tcPr>
          <w:p w14:paraId="2FFD1A47" w14:textId="04F565D0" w:rsidR="00B159CA" w:rsidRPr="002D7BA5" w:rsidRDefault="0042387D" w:rsidP="00800BF9">
            <w:pPr>
              <w:jc w:val="center"/>
              <w:rPr>
                <w:sz w:val="22"/>
                <w:lang w:eastAsia="nb-NO"/>
              </w:rPr>
            </w:pPr>
            <w:r>
              <w:rPr>
                <w:rFonts w:cs="Calibri"/>
                <w:color w:val="000000"/>
                <w:sz w:val="22"/>
              </w:rPr>
              <w:t>3</w:t>
            </w:r>
            <w:r w:rsidR="00B159CA" w:rsidRPr="002D7BA5">
              <w:rPr>
                <w:rFonts w:cs="Calibri"/>
                <w:color w:val="000000"/>
                <w:sz w:val="22"/>
              </w:rPr>
              <w:t>.</w:t>
            </w:r>
            <w:r>
              <w:rPr>
                <w:rFonts w:cs="Calibri"/>
                <w:color w:val="000000"/>
                <w:sz w:val="22"/>
              </w:rPr>
              <w:t>3</w:t>
            </w:r>
          </w:p>
        </w:tc>
        <w:tc>
          <w:tcPr>
            <w:tcW w:w="236" w:type="dxa"/>
            <w:shd w:val="clear" w:color="auto" w:fill="auto"/>
            <w:noWrap/>
            <w:vAlign w:val="bottom"/>
            <w:hideMark/>
          </w:tcPr>
          <w:p w14:paraId="1BE5D8DB" w14:textId="77777777" w:rsidR="00B159CA" w:rsidRPr="002D7BA5" w:rsidRDefault="00B159CA" w:rsidP="00800BF9">
            <w:pPr>
              <w:jc w:val="center"/>
              <w:rPr>
                <w:sz w:val="22"/>
                <w:lang w:eastAsia="nb-NO"/>
              </w:rPr>
            </w:pPr>
          </w:p>
        </w:tc>
        <w:tc>
          <w:tcPr>
            <w:tcW w:w="1039" w:type="dxa"/>
            <w:shd w:val="clear" w:color="auto" w:fill="auto"/>
            <w:noWrap/>
            <w:vAlign w:val="bottom"/>
            <w:hideMark/>
          </w:tcPr>
          <w:p w14:paraId="5BBD12D6" w14:textId="0F086B40" w:rsidR="00B159CA" w:rsidRPr="002D7BA5" w:rsidRDefault="00B159CA" w:rsidP="00800BF9">
            <w:pPr>
              <w:jc w:val="center"/>
              <w:rPr>
                <w:sz w:val="22"/>
                <w:lang w:eastAsia="nb-NO"/>
              </w:rPr>
            </w:pPr>
            <w:r w:rsidRPr="002D7BA5">
              <w:rPr>
                <w:rFonts w:cs="Calibri"/>
                <w:color w:val="000000"/>
                <w:sz w:val="22"/>
              </w:rPr>
              <w:t>2.2</w:t>
            </w:r>
            <w:r w:rsidR="00335099">
              <w:rPr>
                <w:rFonts w:cs="Calibri"/>
                <w:color w:val="000000"/>
                <w:sz w:val="22"/>
              </w:rPr>
              <w:t>6</w:t>
            </w:r>
          </w:p>
        </w:tc>
        <w:tc>
          <w:tcPr>
            <w:tcW w:w="851" w:type="dxa"/>
            <w:shd w:val="clear" w:color="auto" w:fill="auto"/>
            <w:noWrap/>
            <w:vAlign w:val="bottom"/>
            <w:hideMark/>
          </w:tcPr>
          <w:p w14:paraId="7F888E4E" w14:textId="77777777" w:rsidR="00B159CA" w:rsidRPr="002D7BA5" w:rsidRDefault="00B159CA" w:rsidP="00800BF9">
            <w:pPr>
              <w:jc w:val="center"/>
              <w:rPr>
                <w:sz w:val="22"/>
                <w:lang w:eastAsia="nb-NO"/>
              </w:rPr>
            </w:pPr>
            <w:r w:rsidRPr="002D7BA5">
              <w:rPr>
                <w:rFonts w:cs="Calibri"/>
                <w:color w:val="000000"/>
                <w:sz w:val="22"/>
              </w:rPr>
              <w:t>1.14</w:t>
            </w:r>
          </w:p>
        </w:tc>
        <w:tc>
          <w:tcPr>
            <w:tcW w:w="850" w:type="dxa"/>
            <w:shd w:val="clear" w:color="auto" w:fill="auto"/>
            <w:noWrap/>
            <w:vAlign w:val="bottom"/>
            <w:hideMark/>
          </w:tcPr>
          <w:p w14:paraId="34C83C20" w14:textId="77777777" w:rsidR="00B159CA" w:rsidRPr="002D7BA5" w:rsidRDefault="00B159CA" w:rsidP="00800BF9">
            <w:pPr>
              <w:jc w:val="center"/>
              <w:rPr>
                <w:sz w:val="22"/>
                <w:lang w:eastAsia="nb-NO"/>
              </w:rPr>
            </w:pPr>
            <w:r w:rsidRPr="002D7BA5">
              <w:rPr>
                <w:rFonts w:cs="Calibri"/>
                <w:color w:val="000000"/>
                <w:sz w:val="22"/>
              </w:rPr>
              <w:t>0.15</w:t>
            </w:r>
          </w:p>
        </w:tc>
        <w:tc>
          <w:tcPr>
            <w:tcW w:w="999" w:type="dxa"/>
            <w:shd w:val="clear" w:color="auto" w:fill="auto"/>
            <w:noWrap/>
            <w:vAlign w:val="bottom"/>
            <w:hideMark/>
          </w:tcPr>
          <w:p w14:paraId="00B75FC9" w14:textId="77777777" w:rsidR="00B159CA" w:rsidRPr="002D7BA5" w:rsidRDefault="00B159CA" w:rsidP="00800BF9">
            <w:pPr>
              <w:jc w:val="center"/>
              <w:rPr>
                <w:sz w:val="22"/>
                <w:lang w:eastAsia="nb-NO"/>
              </w:rPr>
            </w:pPr>
            <w:r w:rsidRPr="002D7BA5">
              <w:rPr>
                <w:rFonts w:cs="Calibri"/>
                <w:color w:val="000000"/>
                <w:sz w:val="22"/>
              </w:rPr>
              <w:t>3.76</w:t>
            </w:r>
          </w:p>
        </w:tc>
      </w:tr>
      <w:tr w:rsidR="00B159CA" w:rsidRPr="00226592" w14:paraId="6B3C9A1D" w14:textId="77777777" w:rsidTr="00800BF9">
        <w:trPr>
          <w:trHeight w:hRule="exact" w:val="284"/>
          <w:jc w:val="center"/>
        </w:trPr>
        <w:tc>
          <w:tcPr>
            <w:tcW w:w="2246" w:type="dxa"/>
            <w:shd w:val="clear" w:color="auto" w:fill="auto"/>
            <w:noWrap/>
            <w:hideMark/>
          </w:tcPr>
          <w:p w14:paraId="2680E01D" w14:textId="77777777" w:rsidR="00B159CA" w:rsidRPr="002D7BA5" w:rsidRDefault="00B159CA" w:rsidP="000B062A">
            <w:pPr>
              <w:rPr>
                <w:sz w:val="22"/>
                <w:lang w:eastAsia="nb-NO"/>
              </w:rPr>
            </w:pPr>
            <w:r>
              <w:rPr>
                <w:sz w:val="22"/>
                <w:lang w:eastAsia="nb-NO"/>
              </w:rPr>
              <w:t>C</w:t>
            </w:r>
            <w:r w:rsidRPr="002D7BA5">
              <w:rPr>
                <w:sz w:val="22"/>
                <w:lang w:eastAsia="nb-NO"/>
              </w:rPr>
              <w:t>abinet</w:t>
            </w:r>
            <w:r>
              <w:rPr>
                <w:sz w:val="22"/>
                <w:lang w:eastAsia="nb-NO"/>
              </w:rPr>
              <w:t xml:space="preserve"> size (seat share)</w:t>
            </w:r>
          </w:p>
        </w:tc>
        <w:tc>
          <w:tcPr>
            <w:tcW w:w="797" w:type="dxa"/>
            <w:shd w:val="clear" w:color="auto" w:fill="auto"/>
            <w:noWrap/>
            <w:vAlign w:val="bottom"/>
            <w:hideMark/>
          </w:tcPr>
          <w:p w14:paraId="39228693" w14:textId="67F9A571" w:rsidR="00B159CA" w:rsidRPr="002D7BA5" w:rsidRDefault="00B159CA" w:rsidP="00800BF9">
            <w:pPr>
              <w:jc w:val="center"/>
              <w:rPr>
                <w:sz w:val="22"/>
                <w:lang w:eastAsia="nb-NO"/>
              </w:rPr>
            </w:pPr>
            <w:r w:rsidRPr="002D7BA5">
              <w:rPr>
                <w:rFonts w:cs="Calibri"/>
                <w:color w:val="000000"/>
                <w:sz w:val="22"/>
              </w:rPr>
              <w:t>57.9</w:t>
            </w:r>
            <w:r w:rsidR="0042387D">
              <w:rPr>
                <w:rFonts w:cs="Calibri"/>
                <w:color w:val="000000"/>
                <w:sz w:val="22"/>
              </w:rPr>
              <w:t>9</w:t>
            </w:r>
          </w:p>
        </w:tc>
        <w:tc>
          <w:tcPr>
            <w:tcW w:w="797" w:type="dxa"/>
            <w:shd w:val="clear" w:color="auto" w:fill="auto"/>
            <w:noWrap/>
            <w:vAlign w:val="bottom"/>
            <w:hideMark/>
          </w:tcPr>
          <w:p w14:paraId="7C9182EA" w14:textId="6B62010D" w:rsidR="00B159CA" w:rsidRPr="002D7BA5" w:rsidRDefault="00B159CA" w:rsidP="00800BF9">
            <w:pPr>
              <w:jc w:val="center"/>
              <w:rPr>
                <w:sz w:val="22"/>
                <w:lang w:eastAsia="nb-NO"/>
              </w:rPr>
            </w:pPr>
            <w:r w:rsidRPr="002D7BA5">
              <w:rPr>
                <w:rFonts w:cs="Calibri"/>
                <w:color w:val="000000"/>
                <w:sz w:val="22"/>
              </w:rPr>
              <w:t>3.</w:t>
            </w:r>
            <w:r w:rsidR="0042387D">
              <w:rPr>
                <w:rFonts w:cs="Calibri"/>
                <w:color w:val="000000"/>
                <w:sz w:val="22"/>
              </w:rPr>
              <w:t>52</w:t>
            </w:r>
          </w:p>
        </w:tc>
        <w:tc>
          <w:tcPr>
            <w:tcW w:w="798" w:type="dxa"/>
            <w:shd w:val="clear" w:color="auto" w:fill="auto"/>
            <w:noWrap/>
            <w:vAlign w:val="bottom"/>
            <w:hideMark/>
          </w:tcPr>
          <w:p w14:paraId="75583481" w14:textId="77777777" w:rsidR="00B159CA" w:rsidRPr="002D7BA5" w:rsidRDefault="00B159CA" w:rsidP="00800BF9">
            <w:pPr>
              <w:jc w:val="center"/>
              <w:rPr>
                <w:sz w:val="22"/>
                <w:lang w:eastAsia="nb-NO"/>
              </w:rPr>
            </w:pPr>
            <w:r w:rsidRPr="002D7BA5">
              <w:rPr>
                <w:rFonts w:cs="Calibri"/>
                <w:color w:val="000000"/>
                <w:sz w:val="22"/>
              </w:rPr>
              <w:t>54.95</w:t>
            </w:r>
          </w:p>
        </w:tc>
        <w:tc>
          <w:tcPr>
            <w:tcW w:w="886" w:type="dxa"/>
            <w:shd w:val="clear" w:color="auto" w:fill="auto"/>
            <w:noWrap/>
            <w:vAlign w:val="bottom"/>
            <w:hideMark/>
          </w:tcPr>
          <w:p w14:paraId="53E32F79" w14:textId="77777777" w:rsidR="00B159CA" w:rsidRPr="002D7BA5" w:rsidRDefault="00B159CA" w:rsidP="00800BF9">
            <w:pPr>
              <w:jc w:val="center"/>
              <w:rPr>
                <w:sz w:val="22"/>
                <w:lang w:eastAsia="nb-NO"/>
              </w:rPr>
            </w:pPr>
            <w:r w:rsidRPr="002D7BA5">
              <w:rPr>
                <w:rFonts w:cs="Calibri"/>
                <w:color w:val="000000"/>
                <w:sz w:val="22"/>
              </w:rPr>
              <w:t>63.58</w:t>
            </w:r>
          </w:p>
        </w:tc>
        <w:tc>
          <w:tcPr>
            <w:tcW w:w="236" w:type="dxa"/>
            <w:shd w:val="clear" w:color="auto" w:fill="auto"/>
            <w:noWrap/>
            <w:vAlign w:val="bottom"/>
            <w:hideMark/>
          </w:tcPr>
          <w:p w14:paraId="4DA1237A" w14:textId="77777777" w:rsidR="00B159CA" w:rsidRPr="002D7BA5" w:rsidRDefault="00B159CA" w:rsidP="00800BF9">
            <w:pPr>
              <w:jc w:val="center"/>
              <w:rPr>
                <w:sz w:val="22"/>
                <w:lang w:eastAsia="nb-NO"/>
              </w:rPr>
            </w:pPr>
          </w:p>
        </w:tc>
        <w:tc>
          <w:tcPr>
            <w:tcW w:w="1039" w:type="dxa"/>
            <w:shd w:val="clear" w:color="auto" w:fill="auto"/>
            <w:noWrap/>
            <w:vAlign w:val="bottom"/>
            <w:hideMark/>
          </w:tcPr>
          <w:p w14:paraId="39DAD617" w14:textId="15C49859" w:rsidR="00B159CA" w:rsidRPr="002D7BA5" w:rsidRDefault="00B159CA" w:rsidP="00800BF9">
            <w:pPr>
              <w:jc w:val="center"/>
              <w:rPr>
                <w:sz w:val="22"/>
                <w:lang w:eastAsia="nb-NO"/>
              </w:rPr>
            </w:pPr>
            <w:r w:rsidRPr="002D7BA5">
              <w:rPr>
                <w:rFonts w:cs="Calibri"/>
                <w:color w:val="000000"/>
                <w:sz w:val="22"/>
              </w:rPr>
              <w:t>45.</w:t>
            </w:r>
            <w:r w:rsidR="00F50353">
              <w:rPr>
                <w:rFonts w:cs="Calibri"/>
                <w:color w:val="000000"/>
                <w:sz w:val="22"/>
              </w:rPr>
              <w:t>33</w:t>
            </w:r>
          </w:p>
        </w:tc>
        <w:tc>
          <w:tcPr>
            <w:tcW w:w="851" w:type="dxa"/>
            <w:shd w:val="clear" w:color="auto" w:fill="auto"/>
            <w:noWrap/>
            <w:vAlign w:val="bottom"/>
            <w:hideMark/>
          </w:tcPr>
          <w:p w14:paraId="1B53F0DF" w14:textId="2369A742" w:rsidR="00B159CA" w:rsidRPr="002D7BA5" w:rsidRDefault="00335099" w:rsidP="00800BF9">
            <w:pPr>
              <w:jc w:val="center"/>
              <w:rPr>
                <w:sz w:val="22"/>
                <w:lang w:eastAsia="nb-NO"/>
              </w:rPr>
            </w:pPr>
            <w:r>
              <w:rPr>
                <w:rFonts w:cs="Calibri"/>
                <w:color w:val="000000"/>
                <w:sz w:val="22"/>
              </w:rPr>
              <w:t>6</w:t>
            </w:r>
            <w:r w:rsidR="00B159CA" w:rsidRPr="002D7BA5">
              <w:rPr>
                <w:rFonts w:cs="Calibri"/>
                <w:color w:val="000000"/>
                <w:sz w:val="22"/>
              </w:rPr>
              <w:t>.</w:t>
            </w:r>
            <w:r w:rsidR="00F50353">
              <w:rPr>
                <w:rFonts w:cs="Calibri"/>
                <w:color w:val="000000"/>
                <w:sz w:val="22"/>
              </w:rPr>
              <w:t>50</w:t>
            </w:r>
          </w:p>
        </w:tc>
        <w:tc>
          <w:tcPr>
            <w:tcW w:w="850" w:type="dxa"/>
            <w:shd w:val="clear" w:color="auto" w:fill="auto"/>
            <w:noWrap/>
            <w:vAlign w:val="bottom"/>
            <w:hideMark/>
          </w:tcPr>
          <w:p w14:paraId="7E4C5D8B" w14:textId="44C6DE7A" w:rsidR="00B159CA" w:rsidRPr="002D7BA5" w:rsidRDefault="003C7E5A" w:rsidP="00800BF9">
            <w:pPr>
              <w:jc w:val="center"/>
              <w:rPr>
                <w:sz w:val="22"/>
                <w:lang w:eastAsia="nb-NO"/>
              </w:rPr>
            </w:pPr>
            <w:r>
              <w:rPr>
                <w:rFonts w:cs="Calibri"/>
                <w:color w:val="000000"/>
                <w:sz w:val="22"/>
              </w:rPr>
              <w:t>25</w:t>
            </w:r>
            <w:r w:rsidR="00B159CA" w:rsidRPr="002D7BA5">
              <w:rPr>
                <w:rFonts w:cs="Calibri"/>
                <w:color w:val="000000"/>
                <w:sz w:val="22"/>
              </w:rPr>
              <w:t>.</w:t>
            </w:r>
            <w:r>
              <w:rPr>
                <w:rFonts w:cs="Calibri"/>
                <w:color w:val="000000"/>
                <w:sz w:val="22"/>
              </w:rPr>
              <w:t>45</w:t>
            </w:r>
          </w:p>
        </w:tc>
        <w:tc>
          <w:tcPr>
            <w:tcW w:w="999" w:type="dxa"/>
            <w:shd w:val="clear" w:color="auto" w:fill="auto"/>
            <w:noWrap/>
            <w:vAlign w:val="bottom"/>
            <w:hideMark/>
          </w:tcPr>
          <w:p w14:paraId="52ADA916" w14:textId="77777777" w:rsidR="00B159CA" w:rsidRPr="002D7BA5" w:rsidRDefault="00B159CA" w:rsidP="00800BF9">
            <w:pPr>
              <w:jc w:val="center"/>
              <w:rPr>
                <w:sz w:val="22"/>
                <w:lang w:eastAsia="nb-NO"/>
              </w:rPr>
            </w:pPr>
            <w:r w:rsidRPr="002D7BA5">
              <w:rPr>
                <w:rFonts w:cs="Calibri"/>
                <w:color w:val="000000"/>
                <w:sz w:val="22"/>
              </w:rPr>
              <w:t>51.48</w:t>
            </w:r>
          </w:p>
        </w:tc>
      </w:tr>
      <w:tr w:rsidR="00B159CA" w:rsidRPr="00226592" w14:paraId="633CC8CF" w14:textId="77777777" w:rsidTr="00800BF9">
        <w:trPr>
          <w:trHeight w:hRule="exact" w:val="284"/>
          <w:jc w:val="center"/>
        </w:trPr>
        <w:tc>
          <w:tcPr>
            <w:tcW w:w="2246" w:type="dxa"/>
            <w:shd w:val="clear" w:color="auto" w:fill="auto"/>
            <w:noWrap/>
          </w:tcPr>
          <w:p w14:paraId="0EF144AC" w14:textId="77777777" w:rsidR="00B159CA" w:rsidRPr="00226592" w:rsidRDefault="00B159CA" w:rsidP="00800BF9">
            <w:pPr>
              <w:jc w:val="center"/>
              <w:rPr>
                <w:sz w:val="22"/>
                <w:lang w:eastAsia="nb-NO"/>
              </w:rPr>
            </w:pPr>
            <w:r>
              <w:rPr>
                <w:sz w:val="22"/>
                <w:lang w:eastAsia="nb-NO"/>
              </w:rPr>
              <w:t>Cabinet color (right=1)</w:t>
            </w:r>
          </w:p>
        </w:tc>
        <w:tc>
          <w:tcPr>
            <w:tcW w:w="797" w:type="dxa"/>
            <w:shd w:val="clear" w:color="auto" w:fill="auto"/>
            <w:noWrap/>
            <w:vAlign w:val="bottom"/>
          </w:tcPr>
          <w:p w14:paraId="58E430F5" w14:textId="103D143A" w:rsidR="00B159CA" w:rsidRPr="00B96E8D" w:rsidRDefault="00B159CA" w:rsidP="00800BF9">
            <w:pPr>
              <w:jc w:val="center"/>
              <w:rPr>
                <w:sz w:val="22"/>
                <w:lang w:eastAsia="nb-NO"/>
              </w:rPr>
            </w:pPr>
            <w:r w:rsidRPr="002D7BA5">
              <w:rPr>
                <w:rFonts w:cs="Calibri"/>
                <w:color w:val="000000"/>
                <w:sz w:val="22"/>
              </w:rPr>
              <w:t>0.3</w:t>
            </w:r>
            <w:r w:rsidR="0042387D">
              <w:rPr>
                <w:rFonts w:cs="Calibri"/>
                <w:color w:val="000000"/>
                <w:sz w:val="22"/>
              </w:rPr>
              <w:t>2</w:t>
            </w:r>
          </w:p>
        </w:tc>
        <w:tc>
          <w:tcPr>
            <w:tcW w:w="797" w:type="dxa"/>
            <w:shd w:val="clear" w:color="auto" w:fill="auto"/>
            <w:noWrap/>
            <w:vAlign w:val="bottom"/>
          </w:tcPr>
          <w:p w14:paraId="453702DE" w14:textId="77777777" w:rsidR="00B159CA" w:rsidRPr="00B96E8D" w:rsidRDefault="00B159CA" w:rsidP="00800BF9">
            <w:pPr>
              <w:jc w:val="center"/>
              <w:rPr>
                <w:sz w:val="22"/>
                <w:lang w:eastAsia="nb-NO"/>
              </w:rPr>
            </w:pPr>
            <w:r w:rsidRPr="002D7BA5">
              <w:rPr>
                <w:rFonts w:cs="Calibri"/>
                <w:color w:val="000000"/>
                <w:sz w:val="22"/>
              </w:rPr>
              <w:t>0.47</w:t>
            </w:r>
          </w:p>
        </w:tc>
        <w:tc>
          <w:tcPr>
            <w:tcW w:w="798" w:type="dxa"/>
            <w:shd w:val="clear" w:color="auto" w:fill="auto"/>
            <w:noWrap/>
            <w:vAlign w:val="bottom"/>
          </w:tcPr>
          <w:p w14:paraId="6A75CCA6" w14:textId="77777777" w:rsidR="00B159CA" w:rsidRPr="00B96E8D" w:rsidRDefault="00B159CA" w:rsidP="00800BF9">
            <w:pPr>
              <w:jc w:val="center"/>
              <w:rPr>
                <w:sz w:val="22"/>
                <w:lang w:eastAsia="nb-NO"/>
              </w:rPr>
            </w:pPr>
            <w:r w:rsidRPr="002D7BA5">
              <w:rPr>
                <w:rFonts w:cs="Calibri"/>
                <w:color w:val="000000"/>
                <w:sz w:val="22"/>
              </w:rPr>
              <w:t>0</w:t>
            </w:r>
          </w:p>
        </w:tc>
        <w:tc>
          <w:tcPr>
            <w:tcW w:w="886" w:type="dxa"/>
            <w:shd w:val="clear" w:color="auto" w:fill="auto"/>
            <w:noWrap/>
            <w:vAlign w:val="bottom"/>
          </w:tcPr>
          <w:p w14:paraId="4438D984" w14:textId="77777777" w:rsidR="00B159CA" w:rsidRPr="00B96E8D" w:rsidRDefault="00B159CA" w:rsidP="00800BF9">
            <w:pPr>
              <w:jc w:val="center"/>
              <w:rPr>
                <w:sz w:val="22"/>
                <w:lang w:eastAsia="nb-NO"/>
              </w:rPr>
            </w:pPr>
            <w:r w:rsidRPr="002D7BA5">
              <w:rPr>
                <w:rFonts w:cs="Calibri"/>
                <w:color w:val="000000"/>
                <w:sz w:val="22"/>
              </w:rPr>
              <w:t>1</w:t>
            </w:r>
          </w:p>
        </w:tc>
        <w:tc>
          <w:tcPr>
            <w:tcW w:w="236" w:type="dxa"/>
            <w:shd w:val="clear" w:color="auto" w:fill="auto"/>
            <w:noWrap/>
            <w:vAlign w:val="bottom"/>
          </w:tcPr>
          <w:p w14:paraId="53FD754B" w14:textId="77777777" w:rsidR="00B159CA" w:rsidRPr="00B96E8D" w:rsidRDefault="00B159CA" w:rsidP="00800BF9">
            <w:pPr>
              <w:jc w:val="center"/>
              <w:rPr>
                <w:sz w:val="22"/>
                <w:lang w:eastAsia="nb-NO"/>
              </w:rPr>
            </w:pPr>
          </w:p>
        </w:tc>
        <w:tc>
          <w:tcPr>
            <w:tcW w:w="1039" w:type="dxa"/>
            <w:shd w:val="clear" w:color="auto" w:fill="auto"/>
            <w:noWrap/>
            <w:vAlign w:val="bottom"/>
          </w:tcPr>
          <w:p w14:paraId="3D899E01" w14:textId="0856201F" w:rsidR="00B159CA" w:rsidRPr="00B96E8D" w:rsidRDefault="00B159CA" w:rsidP="00800BF9">
            <w:pPr>
              <w:jc w:val="center"/>
              <w:rPr>
                <w:sz w:val="22"/>
                <w:lang w:eastAsia="nb-NO"/>
              </w:rPr>
            </w:pPr>
            <w:r w:rsidRPr="002D7BA5">
              <w:rPr>
                <w:rFonts w:cs="Calibri"/>
                <w:color w:val="000000"/>
                <w:sz w:val="22"/>
              </w:rPr>
              <w:t>0.4</w:t>
            </w:r>
            <w:r w:rsidR="003C7E5A">
              <w:rPr>
                <w:rFonts w:cs="Calibri"/>
                <w:color w:val="000000"/>
                <w:sz w:val="22"/>
              </w:rPr>
              <w:t>2</w:t>
            </w:r>
          </w:p>
        </w:tc>
        <w:tc>
          <w:tcPr>
            <w:tcW w:w="851" w:type="dxa"/>
            <w:shd w:val="clear" w:color="auto" w:fill="auto"/>
            <w:noWrap/>
            <w:vAlign w:val="bottom"/>
          </w:tcPr>
          <w:p w14:paraId="637F6B72" w14:textId="48B71EBE" w:rsidR="00B159CA" w:rsidRPr="00B96E8D" w:rsidRDefault="00B159CA" w:rsidP="00800BF9">
            <w:pPr>
              <w:jc w:val="center"/>
              <w:rPr>
                <w:sz w:val="22"/>
                <w:lang w:eastAsia="nb-NO"/>
              </w:rPr>
            </w:pPr>
            <w:r w:rsidRPr="002D7BA5">
              <w:rPr>
                <w:rFonts w:cs="Calibri"/>
                <w:color w:val="000000"/>
                <w:sz w:val="22"/>
              </w:rPr>
              <w:t>0.</w:t>
            </w:r>
            <w:r w:rsidR="003C7E5A">
              <w:rPr>
                <w:rFonts w:cs="Calibri"/>
                <w:color w:val="000000"/>
                <w:sz w:val="22"/>
              </w:rPr>
              <w:t>49</w:t>
            </w:r>
          </w:p>
        </w:tc>
        <w:tc>
          <w:tcPr>
            <w:tcW w:w="850" w:type="dxa"/>
            <w:shd w:val="clear" w:color="auto" w:fill="auto"/>
            <w:noWrap/>
            <w:vAlign w:val="bottom"/>
          </w:tcPr>
          <w:p w14:paraId="2A49E183" w14:textId="77777777" w:rsidR="00B159CA" w:rsidRPr="00B96E8D" w:rsidRDefault="00B159CA" w:rsidP="00800BF9">
            <w:pPr>
              <w:jc w:val="center"/>
              <w:rPr>
                <w:sz w:val="22"/>
                <w:lang w:eastAsia="nb-NO"/>
              </w:rPr>
            </w:pPr>
            <w:r w:rsidRPr="002D7BA5">
              <w:rPr>
                <w:rFonts w:cs="Calibri"/>
                <w:color w:val="000000"/>
                <w:sz w:val="22"/>
              </w:rPr>
              <w:t>0</w:t>
            </w:r>
          </w:p>
        </w:tc>
        <w:tc>
          <w:tcPr>
            <w:tcW w:w="999" w:type="dxa"/>
            <w:shd w:val="clear" w:color="auto" w:fill="auto"/>
            <w:noWrap/>
            <w:vAlign w:val="bottom"/>
          </w:tcPr>
          <w:p w14:paraId="6F5D240C" w14:textId="77777777" w:rsidR="00B159CA" w:rsidRPr="00B96E8D" w:rsidRDefault="00B159CA" w:rsidP="00800BF9">
            <w:pPr>
              <w:jc w:val="center"/>
              <w:rPr>
                <w:sz w:val="22"/>
                <w:lang w:eastAsia="nb-NO"/>
              </w:rPr>
            </w:pPr>
            <w:r w:rsidRPr="002D7BA5">
              <w:rPr>
                <w:rFonts w:cs="Calibri"/>
                <w:color w:val="000000"/>
                <w:sz w:val="22"/>
              </w:rPr>
              <w:t>1</w:t>
            </w:r>
          </w:p>
        </w:tc>
      </w:tr>
      <w:tr w:rsidR="00B159CA" w:rsidRPr="00226592" w14:paraId="491B242B" w14:textId="77777777" w:rsidTr="00800BF9">
        <w:trPr>
          <w:trHeight w:hRule="exact" w:val="284"/>
          <w:jc w:val="center"/>
        </w:trPr>
        <w:tc>
          <w:tcPr>
            <w:tcW w:w="2246" w:type="dxa"/>
            <w:shd w:val="clear" w:color="auto" w:fill="auto"/>
            <w:noWrap/>
            <w:hideMark/>
          </w:tcPr>
          <w:p w14:paraId="2DF08F22" w14:textId="77777777" w:rsidR="00B159CA" w:rsidRPr="002D7BA5" w:rsidRDefault="00B159CA" w:rsidP="00800BF9">
            <w:pPr>
              <w:jc w:val="center"/>
              <w:rPr>
                <w:sz w:val="22"/>
                <w:lang w:eastAsia="nb-NO"/>
              </w:rPr>
            </w:pPr>
            <w:r>
              <w:rPr>
                <w:sz w:val="22"/>
                <w:lang w:eastAsia="nb-NO"/>
              </w:rPr>
              <w:t>District</w:t>
            </w:r>
            <w:r w:rsidRPr="002D7BA5">
              <w:rPr>
                <w:sz w:val="22"/>
                <w:lang w:eastAsia="nb-NO"/>
              </w:rPr>
              <w:t xml:space="preserve"> size</w:t>
            </w:r>
            <w:r>
              <w:rPr>
                <w:sz w:val="22"/>
                <w:lang w:eastAsia="nb-NO"/>
              </w:rPr>
              <w:t xml:space="preserve"> (pop.)</w:t>
            </w:r>
          </w:p>
        </w:tc>
        <w:tc>
          <w:tcPr>
            <w:tcW w:w="797" w:type="dxa"/>
            <w:shd w:val="clear" w:color="auto" w:fill="auto"/>
            <w:noWrap/>
            <w:vAlign w:val="bottom"/>
            <w:hideMark/>
          </w:tcPr>
          <w:p w14:paraId="00AFCE57" w14:textId="13DF31EC" w:rsidR="00B159CA" w:rsidRPr="002D7BA5" w:rsidRDefault="00B159CA" w:rsidP="00800BF9">
            <w:pPr>
              <w:jc w:val="center"/>
              <w:rPr>
                <w:sz w:val="22"/>
                <w:lang w:eastAsia="nb-NO"/>
              </w:rPr>
            </w:pPr>
            <w:r w:rsidRPr="002D7BA5">
              <w:rPr>
                <w:rFonts w:cs="Calibri"/>
                <w:color w:val="000000"/>
                <w:sz w:val="22"/>
              </w:rPr>
              <w:t>692</w:t>
            </w:r>
            <w:r w:rsidR="0042387D">
              <w:rPr>
                <w:rFonts w:cs="Calibri"/>
                <w:color w:val="000000"/>
                <w:sz w:val="22"/>
              </w:rPr>
              <w:t>05</w:t>
            </w:r>
          </w:p>
        </w:tc>
        <w:tc>
          <w:tcPr>
            <w:tcW w:w="797" w:type="dxa"/>
            <w:shd w:val="clear" w:color="auto" w:fill="auto"/>
            <w:noWrap/>
            <w:vAlign w:val="bottom"/>
            <w:hideMark/>
          </w:tcPr>
          <w:p w14:paraId="738BA1EA" w14:textId="5ACD2DEB" w:rsidR="00B159CA" w:rsidRPr="002D7BA5" w:rsidRDefault="00B159CA" w:rsidP="00800BF9">
            <w:pPr>
              <w:jc w:val="center"/>
              <w:rPr>
                <w:sz w:val="22"/>
                <w:lang w:eastAsia="nb-NO"/>
              </w:rPr>
            </w:pPr>
            <w:r w:rsidRPr="002D7BA5">
              <w:rPr>
                <w:rFonts w:cs="Calibri"/>
                <w:color w:val="000000"/>
                <w:sz w:val="22"/>
              </w:rPr>
              <w:t>79</w:t>
            </w:r>
            <w:r w:rsidR="0042387D">
              <w:rPr>
                <w:rFonts w:cs="Calibri"/>
                <w:color w:val="000000"/>
                <w:sz w:val="22"/>
              </w:rPr>
              <w:t>76</w:t>
            </w:r>
          </w:p>
        </w:tc>
        <w:tc>
          <w:tcPr>
            <w:tcW w:w="798" w:type="dxa"/>
            <w:shd w:val="clear" w:color="auto" w:fill="auto"/>
            <w:noWrap/>
            <w:vAlign w:val="bottom"/>
            <w:hideMark/>
          </w:tcPr>
          <w:p w14:paraId="4ECF84B2" w14:textId="77777777" w:rsidR="00B159CA" w:rsidRPr="002D7BA5" w:rsidRDefault="00B159CA" w:rsidP="00800BF9">
            <w:pPr>
              <w:jc w:val="center"/>
              <w:rPr>
                <w:sz w:val="22"/>
                <w:lang w:eastAsia="nb-NO"/>
              </w:rPr>
            </w:pPr>
            <w:r w:rsidRPr="002D7BA5">
              <w:rPr>
                <w:rFonts w:cs="Calibri"/>
                <w:color w:val="000000"/>
                <w:sz w:val="22"/>
              </w:rPr>
              <w:t>21576</w:t>
            </w:r>
          </w:p>
        </w:tc>
        <w:tc>
          <w:tcPr>
            <w:tcW w:w="886" w:type="dxa"/>
            <w:shd w:val="clear" w:color="auto" w:fill="auto"/>
            <w:noWrap/>
            <w:vAlign w:val="bottom"/>
            <w:hideMark/>
          </w:tcPr>
          <w:p w14:paraId="0A227B42" w14:textId="77777777" w:rsidR="00B159CA" w:rsidRPr="002D7BA5" w:rsidRDefault="00B159CA" w:rsidP="00800BF9">
            <w:pPr>
              <w:jc w:val="center"/>
              <w:rPr>
                <w:sz w:val="22"/>
                <w:lang w:eastAsia="nb-NO"/>
              </w:rPr>
            </w:pPr>
            <w:r w:rsidRPr="002D7BA5">
              <w:rPr>
                <w:rFonts w:cs="Calibri"/>
                <w:color w:val="000000"/>
                <w:sz w:val="22"/>
              </w:rPr>
              <w:t>109902</w:t>
            </w:r>
          </w:p>
        </w:tc>
        <w:tc>
          <w:tcPr>
            <w:tcW w:w="236" w:type="dxa"/>
            <w:shd w:val="clear" w:color="auto" w:fill="auto"/>
            <w:noWrap/>
            <w:vAlign w:val="bottom"/>
            <w:hideMark/>
          </w:tcPr>
          <w:p w14:paraId="67DF373D" w14:textId="77777777" w:rsidR="00B159CA" w:rsidRPr="002D7BA5" w:rsidRDefault="00B159CA" w:rsidP="00800BF9">
            <w:pPr>
              <w:jc w:val="center"/>
              <w:rPr>
                <w:sz w:val="22"/>
                <w:lang w:eastAsia="nb-NO"/>
              </w:rPr>
            </w:pPr>
          </w:p>
        </w:tc>
        <w:tc>
          <w:tcPr>
            <w:tcW w:w="1039" w:type="dxa"/>
            <w:shd w:val="clear" w:color="auto" w:fill="auto"/>
            <w:noWrap/>
            <w:vAlign w:val="bottom"/>
            <w:hideMark/>
          </w:tcPr>
          <w:p w14:paraId="79571C10" w14:textId="34C72607" w:rsidR="00B159CA" w:rsidRPr="002D7BA5" w:rsidRDefault="00B159CA" w:rsidP="00800BF9">
            <w:pPr>
              <w:jc w:val="center"/>
              <w:rPr>
                <w:sz w:val="22"/>
                <w:lang w:eastAsia="nb-NO"/>
              </w:rPr>
            </w:pPr>
            <w:r w:rsidRPr="002D7BA5">
              <w:rPr>
                <w:rFonts w:cs="Calibri"/>
                <w:color w:val="000000"/>
                <w:sz w:val="22"/>
              </w:rPr>
              <w:t>21</w:t>
            </w:r>
            <w:r w:rsidR="003C7E5A">
              <w:rPr>
                <w:rFonts w:cs="Calibri"/>
                <w:color w:val="000000"/>
                <w:sz w:val="22"/>
              </w:rPr>
              <w:t>62</w:t>
            </w:r>
            <w:r w:rsidR="00F50353">
              <w:rPr>
                <w:rFonts w:cs="Calibri"/>
                <w:color w:val="000000"/>
                <w:sz w:val="22"/>
              </w:rPr>
              <w:t>31</w:t>
            </w:r>
          </w:p>
        </w:tc>
        <w:tc>
          <w:tcPr>
            <w:tcW w:w="851" w:type="dxa"/>
            <w:shd w:val="clear" w:color="auto" w:fill="auto"/>
            <w:noWrap/>
            <w:vAlign w:val="bottom"/>
            <w:hideMark/>
          </w:tcPr>
          <w:p w14:paraId="1DDC8A26" w14:textId="3138F2AD" w:rsidR="00B159CA" w:rsidRPr="002D7BA5" w:rsidRDefault="00B159CA" w:rsidP="00800BF9">
            <w:pPr>
              <w:jc w:val="center"/>
              <w:rPr>
                <w:sz w:val="22"/>
                <w:lang w:eastAsia="nb-NO"/>
              </w:rPr>
            </w:pPr>
            <w:r w:rsidRPr="002D7BA5">
              <w:rPr>
                <w:rFonts w:cs="Calibri"/>
                <w:color w:val="000000"/>
                <w:sz w:val="22"/>
              </w:rPr>
              <w:t>10</w:t>
            </w:r>
            <w:r w:rsidR="003C7E5A">
              <w:rPr>
                <w:rFonts w:cs="Calibri"/>
                <w:color w:val="000000"/>
                <w:sz w:val="22"/>
              </w:rPr>
              <w:t>3</w:t>
            </w:r>
            <w:r w:rsidR="00F50353">
              <w:rPr>
                <w:rFonts w:cs="Calibri"/>
                <w:color w:val="000000"/>
                <w:sz w:val="22"/>
              </w:rPr>
              <w:t>311</w:t>
            </w:r>
          </w:p>
        </w:tc>
        <w:tc>
          <w:tcPr>
            <w:tcW w:w="850" w:type="dxa"/>
            <w:shd w:val="clear" w:color="auto" w:fill="auto"/>
            <w:noWrap/>
            <w:vAlign w:val="bottom"/>
            <w:hideMark/>
          </w:tcPr>
          <w:p w14:paraId="30ACA2DB" w14:textId="77777777" w:rsidR="00B159CA" w:rsidRPr="002D7BA5" w:rsidRDefault="00B159CA" w:rsidP="00800BF9">
            <w:pPr>
              <w:jc w:val="center"/>
              <w:rPr>
                <w:sz w:val="22"/>
                <w:lang w:eastAsia="nb-NO"/>
              </w:rPr>
            </w:pPr>
            <w:r w:rsidRPr="002D7BA5">
              <w:rPr>
                <w:rFonts w:cs="Calibri"/>
                <w:color w:val="000000"/>
                <w:sz w:val="22"/>
              </w:rPr>
              <w:t>52900</w:t>
            </w:r>
          </w:p>
        </w:tc>
        <w:tc>
          <w:tcPr>
            <w:tcW w:w="999" w:type="dxa"/>
            <w:shd w:val="clear" w:color="auto" w:fill="auto"/>
            <w:noWrap/>
            <w:vAlign w:val="bottom"/>
            <w:hideMark/>
          </w:tcPr>
          <w:p w14:paraId="69F0773C" w14:textId="77777777" w:rsidR="00B159CA" w:rsidRPr="002D7BA5" w:rsidRDefault="00B159CA" w:rsidP="00800BF9">
            <w:pPr>
              <w:jc w:val="center"/>
              <w:rPr>
                <w:sz w:val="22"/>
                <w:lang w:eastAsia="nb-NO"/>
              </w:rPr>
            </w:pPr>
            <w:r w:rsidRPr="002D7BA5">
              <w:rPr>
                <w:rFonts w:cs="Calibri"/>
                <w:color w:val="000000"/>
                <w:sz w:val="22"/>
              </w:rPr>
              <w:t>435146</w:t>
            </w:r>
          </w:p>
        </w:tc>
      </w:tr>
      <w:tr w:rsidR="00F50353" w:rsidRPr="00226592" w14:paraId="2BB2F4BD" w14:textId="77777777" w:rsidTr="00800BF9">
        <w:trPr>
          <w:trHeight w:hRule="exact" w:val="284"/>
          <w:jc w:val="center"/>
        </w:trPr>
        <w:tc>
          <w:tcPr>
            <w:tcW w:w="2246" w:type="dxa"/>
            <w:shd w:val="clear" w:color="auto" w:fill="auto"/>
            <w:noWrap/>
          </w:tcPr>
          <w:p w14:paraId="67E0B074" w14:textId="09B9C638" w:rsidR="00F50353" w:rsidRDefault="00F50353" w:rsidP="00800BF9">
            <w:pPr>
              <w:jc w:val="center"/>
              <w:rPr>
                <w:sz w:val="22"/>
                <w:lang w:eastAsia="nb-NO"/>
              </w:rPr>
            </w:pPr>
            <w:r>
              <w:rPr>
                <w:sz w:val="22"/>
                <w:lang w:eastAsia="nb-NO"/>
              </w:rPr>
              <w:t>District size (in seats)</w:t>
            </w:r>
          </w:p>
        </w:tc>
        <w:tc>
          <w:tcPr>
            <w:tcW w:w="797" w:type="dxa"/>
            <w:shd w:val="clear" w:color="auto" w:fill="auto"/>
            <w:noWrap/>
            <w:vAlign w:val="bottom"/>
          </w:tcPr>
          <w:p w14:paraId="31DE30C7" w14:textId="77777777" w:rsidR="00F50353" w:rsidRPr="002D7BA5" w:rsidRDefault="00F50353" w:rsidP="00800BF9">
            <w:pPr>
              <w:jc w:val="center"/>
              <w:rPr>
                <w:rFonts w:cs="Calibri"/>
                <w:color w:val="000000"/>
                <w:sz w:val="22"/>
              </w:rPr>
            </w:pPr>
          </w:p>
        </w:tc>
        <w:tc>
          <w:tcPr>
            <w:tcW w:w="797" w:type="dxa"/>
            <w:shd w:val="clear" w:color="auto" w:fill="auto"/>
            <w:noWrap/>
            <w:vAlign w:val="bottom"/>
          </w:tcPr>
          <w:p w14:paraId="34020594" w14:textId="77777777" w:rsidR="00F50353" w:rsidRPr="002D7BA5" w:rsidRDefault="00F50353" w:rsidP="00800BF9">
            <w:pPr>
              <w:jc w:val="center"/>
              <w:rPr>
                <w:rFonts w:cs="Calibri"/>
                <w:color w:val="000000"/>
                <w:sz w:val="22"/>
              </w:rPr>
            </w:pPr>
          </w:p>
        </w:tc>
        <w:tc>
          <w:tcPr>
            <w:tcW w:w="798" w:type="dxa"/>
            <w:shd w:val="clear" w:color="auto" w:fill="auto"/>
            <w:noWrap/>
            <w:vAlign w:val="bottom"/>
          </w:tcPr>
          <w:p w14:paraId="4C9CDCF3" w14:textId="77777777" w:rsidR="00F50353" w:rsidRPr="002D7BA5" w:rsidRDefault="00F50353" w:rsidP="00800BF9">
            <w:pPr>
              <w:jc w:val="center"/>
              <w:rPr>
                <w:rFonts w:cs="Calibri"/>
                <w:color w:val="000000"/>
                <w:sz w:val="22"/>
              </w:rPr>
            </w:pPr>
          </w:p>
        </w:tc>
        <w:tc>
          <w:tcPr>
            <w:tcW w:w="886" w:type="dxa"/>
            <w:shd w:val="clear" w:color="auto" w:fill="auto"/>
            <w:noWrap/>
            <w:vAlign w:val="bottom"/>
          </w:tcPr>
          <w:p w14:paraId="38D53C7B" w14:textId="77777777" w:rsidR="00F50353" w:rsidRPr="002D7BA5" w:rsidRDefault="00F50353" w:rsidP="00800BF9">
            <w:pPr>
              <w:jc w:val="center"/>
              <w:rPr>
                <w:rFonts w:cs="Calibri"/>
                <w:color w:val="000000"/>
                <w:sz w:val="22"/>
              </w:rPr>
            </w:pPr>
          </w:p>
        </w:tc>
        <w:tc>
          <w:tcPr>
            <w:tcW w:w="236" w:type="dxa"/>
            <w:shd w:val="clear" w:color="auto" w:fill="auto"/>
            <w:noWrap/>
            <w:vAlign w:val="bottom"/>
          </w:tcPr>
          <w:p w14:paraId="677E0B3B" w14:textId="77777777" w:rsidR="00F50353" w:rsidRPr="002D7BA5" w:rsidRDefault="00F50353" w:rsidP="00800BF9">
            <w:pPr>
              <w:jc w:val="center"/>
              <w:rPr>
                <w:sz w:val="22"/>
                <w:lang w:eastAsia="nb-NO"/>
              </w:rPr>
            </w:pPr>
          </w:p>
        </w:tc>
        <w:tc>
          <w:tcPr>
            <w:tcW w:w="1039" w:type="dxa"/>
            <w:shd w:val="clear" w:color="auto" w:fill="auto"/>
            <w:noWrap/>
            <w:vAlign w:val="bottom"/>
          </w:tcPr>
          <w:p w14:paraId="6981BA63" w14:textId="4406229F" w:rsidR="00F50353" w:rsidRPr="002D7BA5" w:rsidRDefault="00F50353" w:rsidP="00800BF9">
            <w:pPr>
              <w:jc w:val="center"/>
              <w:rPr>
                <w:rFonts w:cs="Calibri"/>
                <w:color w:val="000000"/>
                <w:sz w:val="22"/>
              </w:rPr>
            </w:pPr>
            <w:r>
              <w:rPr>
                <w:rFonts w:cs="Calibri"/>
                <w:color w:val="000000"/>
                <w:sz w:val="22"/>
              </w:rPr>
              <w:t>10.25</w:t>
            </w:r>
          </w:p>
        </w:tc>
        <w:tc>
          <w:tcPr>
            <w:tcW w:w="851" w:type="dxa"/>
            <w:shd w:val="clear" w:color="auto" w:fill="auto"/>
            <w:noWrap/>
            <w:vAlign w:val="bottom"/>
          </w:tcPr>
          <w:p w14:paraId="30D84DA5" w14:textId="065138E5" w:rsidR="00F50353" w:rsidRPr="002D7BA5" w:rsidRDefault="00F50353" w:rsidP="00800BF9">
            <w:pPr>
              <w:jc w:val="center"/>
              <w:rPr>
                <w:rFonts w:cs="Calibri"/>
                <w:color w:val="000000"/>
                <w:sz w:val="22"/>
              </w:rPr>
            </w:pPr>
            <w:r>
              <w:rPr>
                <w:rFonts w:cs="Calibri"/>
                <w:color w:val="000000"/>
                <w:sz w:val="22"/>
              </w:rPr>
              <w:t>4.09</w:t>
            </w:r>
          </w:p>
        </w:tc>
        <w:tc>
          <w:tcPr>
            <w:tcW w:w="850" w:type="dxa"/>
            <w:shd w:val="clear" w:color="auto" w:fill="auto"/>
            <w:noWrap/>
            <w:vAlign w:val="bottom"/>
          </w:tcPr>
          <w:p w14:paraId="75277912" w14:textId="75004C8E" w:rsidR="00F50353" w:rsidRPr="002D7BA5" w:rsidRDefault="00F50353" w:rsidP="00800BF9">
            <w:pPr>
              <w:jc w:val="center"/>
              <w:rPr>
                <w:rFonts w:cs="Calibri"/>
                <w:color w:val="000000"/>
                <w:sz w:val="22"/>
              </w:rPr>
            </w:pPr>
            <w:r>
              <w:rPr>
                <w:rFonts w:cs="Calibri"/>
                <w:color w:val="000000"/>
                <w:sz w:val="22"/>
              </w:rPr>
              <w:t>4</w:t>
            </w:r>
          </w:p>
        </w:tc>
        <w:tc>
          <w:tcPr>
            <w:tcW w:w="999" w:type="dxa"/>
            <w:shd w:val="clear" w:color="auto" w:fill="auto"/>
            <w:noWrap/>
            <w:vAlign w:val="bottom"/>
          </w:tcPr>
          <w:p w14:paraId="065CA858" w14:textId="54F99FB8" w:rsidR="00F50353" w:rsidRPr="002D7BA5" w:rsidRDefault="00F50353" w:rsidP="00800BF9">
            <w:pPr>
              <w:jc w:val="center"/>
              <w:rPr>
                <w:rFonts w:cs="Calibri"/>
                <w:color w:val="000000"/>
                <w:sz w:val="22"/>
              </w:rPr>
            </w:pPr>
            <w:r>
              <w:rPr>
                <w:rFonts w:cs="Calibri"/>
                <w:color w:val="000000"/>
                <w:sz w:val="22"/>
              </w:rPr>
              <w:t>19</w:t>
            </w:r>
          </w:p>
        </w:tc>
      </w:tr>
      <w:tr w:rsidR="00B159CA" w:rsidRPr="00226592" w14:paraId="268E024E" w14:textId="77777777" w:rsidTr="00800BF9">
        <w:trPr>
          <w:trHeight w:hRule="exact" w:val="284"/>
          <w:jc w:val="center"/>
        </w:trPr>
        <w:tc>
          <w:tcPr>
            <w:tcW w:w="2246" w:type="dxa"/>
            <w:shd w:val="clear" w:color="auto" w:fill="auto"/>
            <w:noWrap/>
            <w:hideMark/>
          </w:tcPr>
          <w:p w14:paraId="31476AA0" w14:textId="77777777" w:rsidR="00B159CA" w:rsidRPr="002D7BA5" w:rsidRDefault="00B159CA" w:rsidP="00800BF9">
            <w:pPr>
              <w:jc w:val="center"/>
              <w:rPr>
                <w:sz w:val="22"/>
                <w:lang w:eastAsia="nb-NO"/>
              </w:rPr>
            </w:pPr>
            <w:r w:rsidRPr="002D7BA5">
              <w:rPr>
                <w:sz w:val="22"/>
                <w:lang w:eastAsia="nb-NO"/>
              </w:rPr>
              <w:t>Distance to capital</w:t>
            </w:r>
          </w:p>
        </w:tc>
        <w:tc>
          <w:tcPr>
            <w:tcW w:w="797" w:type="dxa"/>
            <w:shd w:val="clear" w:color="auto" w:fill="auto"/>
            <w:noWrap/>
            <w:vAlign w:val="bottom"/>
            <w:hideMark/>
          </w:tcPr>
          <w:p w14:paraId="1BD25046" w14:textId="77777777" w:rsidR="00B159CA" w:rsidRPr="002D7BA5" w:rsidRDefault="00B159CA" w:rsidP="00800BF9">
            <w:pPr>
              <w:jc w:val="center"/>
              <w:rPr>
                <w:sz w:val="22"/>
                <w:lang w:eastAsia="nb-NO"/>
              </w:rPr>
            </w:pPr>
            <w:r w:rsidRPr="002D7BA5">
              <w:rPr>
                <w:rFonts w:cs="Calibri"/>
                <w:color w:val="000000"/>
                <w:sz w:val="22"/>
              </w:rPr>
              <w:t>0.37</w:t>
            </w:r>
          </w:p>
        </w:tc>
        <w:tc>
          <w:tcPr>
            <w:tcW w:w="797" w:type="dxa"/>
            <w:shd w:val="clear" w:color="auto" w:fill="auto"/>
            <w:noWrap/>
            <w:vAlign w:val="bottom"/>
            <w:hideMark/>
          </w:tcPr>
          <w:p w14:paraId="6E5E403B" w14:textId="77777777" w:rsidR="00B159CA" w:rsidRPr="002D7BA5" w:rsidRDefault="00B159CA" w:rsidP="00800BF9">
            <w:pPr>
              <w:jc w:val="center"/>
              <w:rPr>
                <w:sz w:val="22"/>
                <w:lang w:eastAsia="nb-NO"/>
              </w:rPr>
            </w:pPr>
            <w:r w:rsidRPr="002D7BA5">
              <w:rPr>
                <w:rFonts w:cs="Calibri"/>
                <w:color w:val="000000"/>
                <w:sz w:val="22"/>
              </w:rPr>
              <w:t>0.25</w:t>
            </w:r>
          </w:p>
        </w:tc>
        <w:tc>
          <w:tcPr>
            <w:tcW w:w="798" w:type="dxa"/>
            <w:shd w:val="clear" w:color="auto" w:fill="auto"/>
            <w:noWrap/>
            <w:vAlign w:val="bottom"/>
            <w:hideMark/>
          </w:tcPr>
          <w:p w14:paraId="30D2F71E" w14:textId="77777777" w:rsidR="00B159CA" w:rsidRPr="002D7BA5" w:rsidRDefault="00B159CA" w:rsidP="00800BF9">
            <w:pPr>
              <w:jc w:val="center"/>
              <w:rPr>
                <w:sz w:val="22"/>
                <w:lang w:eastAsia="nb-NO"/>
              </w:rPr>
            </w:pPr>
            <w:r w:rsidRPr="002D7BA5">
              <w:rPr>
                <w:rFonts w:cs="Calibri"/>
                <w:color w:val="000000"/>
                <w:sz w:val="22"/>
              </w:rPr>
              <w:t>0</w:t>
            </w:r>
          </w:p>
        </w:tc>
        <w:tc>
          <w:tcPr>
            <w:tcW w:w="886" w:type="dxa"/>
            <w:shd w:val="clear" w:color="auto" w:fill="auto"/>
            <w:noWrap/>
            <w:vAlign w:val="bottom"/>
            <w:hideMark/>
          </w:tcPr>
          <w:p w14:paraId="285F1217" w14:textId="77777777" w:rsidR="00B159CA" w:rsidRPr="002D7BA5" w:rsidRDefault="00B159CA" w:rsidP="00800BF9">
            <w:pPr>
              <w:jc w:val="center"/>
              <w:rPr>
                <w:sz w:val="22"/>
                <w:lang w:eastAsia="nb-NO"/>
              </w:rPr>
            </w:pPr>
            <w:r w:rsidRPr="002D7BA5">
              <w:rPr>
                <w:rFonts w:cs="Calibri"/>
                <w:color w:val="000000"/>
                <w:sz w:val="22"/>
              </w:rPr>
              <w:t>1</w:t>
            </w:r>
          </w:p>
        </w:tc>
        <w:tc>
          <w:tcPr>
            <w:tcW w:w="236" w:type="dxa"/>
            <w:shd w:val="clear" w:color="auto" w:fill="auto"/>
            <w:noWrap/>
            <w:vAlign w:val="bottom"/>
            <w:hideMark/>
          </w:tcPr>
          <w:p w14:paraId="6245CE2D" w14:textId="77777777" w:rsidR="00B159CA" w:rsidRPr="002D7BA5" w:rsidRDefault="00B159CA" w:rsidP="00800BF9">
            <w:pPr>
              <w:jc w:val="center"/>
              <w:rPr>
                <w:sz w:val="22"/>
                <w:lang w:eastAsia="nb-NO"/>
              </w:rPr>
            </w:pPr>
          </w:p>
        </w:tc>
        <w:tc>
          <w:tcPr>
            <w:tcW w:w="1039" w:type="dxa"/>
            <w:shd w:val="clear" w:color="auto" w:fill="auto"/>
            <w:noWrap/>
            <w:vAlign w:val="bottom"/>
            <w:hideMark/>
          </w:tcPr>
          <w:p w14:paraId="2B037BAD" w14:textId="25F0EDD7" w:rsidR="00B159CA" w:rsidRPr="002D7BA5" w:rsidRDefault="00B159CA" w:rsidP="00800BF9">
            <w:pPr>
              <w:jc w:val="center"/>
              <w:rPr>
                <w:sz w:val="22"/>
                <w:lang w:eastAsia="nb-NO"/>
              </w:rPr>
            </w:pPr>
            <w:r w:rsidRPr="002D7BA5">
              <w:rPr>
                <w:rFonts w:cs="Calibri"/>
                <w:color w:val="000000"/>
                <w:sz w:val="22"/>
              </w:rPr>
              <w:t>0.2</w:t>
            </w:r>
            <w:r w:rsidR="00AB35E7">
              <w:rPr>
                <w:rFonts w:cs="Calibri"/>
                <w:color w:val="000000"/>
                <w:sz w:val="22"/>
              </w:rPr>
              <w:t>3</w:t>
            </w:r>
          </w:p>
        </w:tc>
        <w:tc>
          <w:tcPr>
            <w:tcW w:w="851" w:type="dxa"/>
            <w:shd w:val="clear" w:color="auto" w:fill="auto"/>
            <w:noWrap/>
            <w:vAlign w:val="bottom"/>
            <w:hideMark/>
          </w:tcPr>
          <w:p w14:paraId="3FAC61D5" w14:textId="64A9F592" w:rsidR="00B159CA" w:rsidRPr="002D7BA5" w:rsidRDefault="00B159CA" w:rsidP="00800BF9">
            <w:pPr>
              <w:jc w:val="center"/>
              <w:rPr>
                <w:sz w:val="22"/>
                <w:lang w:eastAsia="nb-NO"/>
              </w:rPr>
            </w:pPr>
            <w:r w:rsidRPr="002D7BA5">
              <w:rPr>
                <w:rFonts w:cs="Calibri"/>
                <w:color w:val="000000"/>
                <w:sz w:val="22"/>
              </w:rPr>
              <w:t>0.2</w:t>
            </w:r>
            <w:r w:rsidR="003C7E5A">
              <w:rPr>
                <w:rFonts w:cs="Calibri"/>
                <w:color w:val="000000"/>
                <w:sz w:val="22"/>
              </w:rPr>
              <w:t>5</w:t>
            </w:r>
          </w:p>
        </w:tc>
        <w:tc>
          <w:tcPr>
            <w:tcW w:w="850" w:type="dxa"/>
            <w:shd w:val="clear" w:color="auto" w:fill="auto"/>
            <w:noWrap/>
            <w:vAlign w:val="bottom"/>
            <w:hideMark/>
          </w:tcPr>
          <w:p w14:paraId="5331F4E1" w14:textId="77777777" w:rsidR="00B159CA" w:rsidRPr="002D7BA5" w:rsidRDefault="00B159CA" w:rsidP="00800BF9">
            <w:pPr>
              <w:jc w:val="center"/>
              <w:rPr>
                <w:sz w:val="22"/>
                <w:lang w:eastAsia="nb-NO"/>
              </w:rPr>
            </w:pPr>
            <w:r w:rsidRPr="002D7BA5">
              <w:rPr>
                <w:rFonts w:cs="Calibri"/>
                <w:color w:val="000000"/>
                <w:sz w:val="22"/>
              </w:rPr>
              <w:t>0</w:t>
            </w:r>
          </w:p>
        </w:tc>
        <w:tc>
          <w:tcPr>
            <w:tcW w:w="999" w:type="dxa"/>
            <w:shd w:val="clear" w:color="auto" w:fill="auto"/>
            <w:noWrap/>
            <w:vAlign w:val="bottom"/>
            <w:hideMark/>
          </w:tcPr>
          <w:p w14:paraId="3E8C4709" w14:textId="77777777" w:rsidR="00B159CA" w:rsidRPr="002D7BA5" w:rsidRDefault="00B159CA" w:rsidP="00800BF9">
            <w:pPr>
              <w:jc w:val="center"/>
              <w:rPr>
                <w:sz w:val="22"/>
                <w:lang w:eastAsia="nb-NO"/>
              </w:rPr>
            </w:pPr>
            <w:r w:rsidRPr="002D7BA5">
              <w:rPr>
                <w:rFonts w:cs="Calibri"/>
                <w:color w:val="000000"/>
                <w:sz w:val="22"/>
              </w:rPr>
              <w:t>1</w:t>
            </w:r>
          </w:p>
        </w:tc>
      </w:tr>
      <w:tr w:rsidR="00B159CA" w:rsidRPr="00226592" w14:paraId="6C411A0E" w14:textId="77777777" w:rsidTr="00800BF9">
        <w:trPr>
          <w:trHeight w:hRule="exact" w:val="284"/>
          <w:jc w:val="center"/>
        </w:trPr>
        <w:tc>
          <w:tcPr>
            <w:tcW w:w="2246" w:type="dxa"/>
            <w:shd w:val="clear" w:color="auto" w:fill="auto"/>
            <w:noWrap/>
            <w:hideMark/>
          </w:tcPr>
          <w:p w14:paraId="30FB429A" w14:textId="77777777" w:rsidR="00B159CA" w:rsidRPr="002D7BA5" w:rsidRDefault="00B159CA" w:rsidP="00800BF9">
            <w:pPr>
              <w:jc w:val="center"/>
              <w:rPr>
                <w:sz w:val="22"/>
                <w:lang w:eastAsia="nb-NO"/>
              </w:rPr>
            </w:pPr>
            <w:r w:rsidRPr="002D7BA5">
              <w:rPr>
                <w:sz w:val="22"/>
                <w:lang w:eastAsia="nb-NO"/>
              </w:rPr>
              <w:t>Turnout</w:t>
            </w:r>
          </w:p>
        </w:tc>
        <w:tc>
          <w:tcPr>
            <w:tcW w:w="797" w:type="dxa"/>
            <w:shd w:val="clear" w:color="auto" w:fill="auto"/>
            <w:noWrap/>
            <w:vAlign w:val="bottom"/>
            <w:hideMark/>
          </w:tcPr>
          <w:p w14:paraId="3236E6BD" w14:textId="5C0EDE62" w:rsidR="00B159CA" w:rsidRPr="002D7BA5" w:rsidRDefault="00B159CA" w:rsidP="00800BF9">
            <w:pPr>
              <w:jc w:val="center"/>
              <w:rPr>
                <w:sz w:val="22"/>
                <w:lang w:eastAsia="nb-NO"/>
              </w:rPr>
            </w:pPr>
            <w:r w:rsidRPr="002D7BA5">
              <w:rPr>
                <w:rFonts w:cs="Calibri"/>
                <w:color w:val="000000"/>
                <w:sz w:val="22"/>
              </w:rPr>
              <w:t>62.</w:t>
            </w:r>
            <w:r w:rsidR="0042387D">
              <w:rPr>
                <w:rFonts w:cs="Calibri"/>
                <w:color w:val="000000"/>
                <w:sz w:val="22"/>
              </w:rPr>
              <w:t>81</w:t>
            </w:r>
          </w:p>
        </w:tc>
        <w:tc>
          <w:tcPr>
            <w:tcW w:w="797" w:type="dxa"/>
            <w:shd w:val="clear" w:color="auto" w:fill="auto"/>
            <w:noWrap/>
            <w:vAlign w:val="bottom"/>
            <w:hideMark/>
          </w:tcPr>
          <w:p w14:paraId="7F3E9D80" w14:textId="02F7681B" w:rsidR="00B159CA" w:rsidRPr="002D7BA5" w:rsidRDefault="00B159CA" w:rsidP="00800BF9">
            <w:pPr>
              <w:jc w:val="center"/>
              <w:rPr>
                <w:sz w:val="22"/>
                <w:lang w:eastAsia="nb-NO"/>
              </w:rPr>
            </w:pPr>
            <w:r w:rsidRPr="002D7BA5">
              <w:rPr>
                <w:rFonts w:cs="Calibri"/>
                <w:color w:val="000000"/>
                <w:sz w:val="22"/>
              </w:rPr>
              <w:t>6.</w:t>
            </w:r>
            <w:r w:rsidR="0042387D">
              <w:rPr>
                <w:rFonts w:cs="Calibri"/>
                <w:color w:val="000000"/>
                <w:sz w:val="22"/>
              </w:rPr>
              <w:t>94</w:t>
            </w:r>
          </w:p>
        </w:tc>
        <w:tc>
          <w:tcPr>
            <w:tcW w:w="798" w:type="dxa"/>
            <w:shd w:val="clear" w:color="auto" w:fill="auto"/>
            <w:noWrap/>
            <w:vAlign w:val="bottom"/>
            <w:hideMark/>
          </w:tcPr>
          <w:p w14:paraId="202D2439" w14:textId="77777777" w:rsidR="00B159CA" w:rsidRPr="002D7BA5" w:rsidRDefault="00B159CA" w:rsidP="00800BF9">
            <w:pPr>
              <w:jc w:val="center"/>
              <w:rPr>
                <w:sz w:val="22"/>
                <w:lang w:eastAsia="nb-NO"/>
              </w:rPr>
            </w:pPr>
            <w:r w:rsidRPr="002D7BA5">
              <w:rPr>
                <w:rFonts w:cs="Calibri"/>
                <w:color w:val="000000"/>
                <w:sz w:val="22"/>
              </w:rPr>
              <w:t>34.08</w:t>
            </w:r>
          </w:p>
        </w:tc>
        <w:tc>
          <w:tcPr>
            <w:tcW w:w="886" w:type="dxa"/>
            <w:shd w:val="clear" w:color="auto" w:fill="auto"/>
            <w:noWrap/>
            <w:vAlign w:val="bottom"/>
            <w:hideMark/>
          </w:tcPr>
          <w:p w14:paraId="7ED367C2" w14:textId="77777777" w:rsidR="00B159CA" w:rsidRPr="002D7BA5" w:rsidRDefault="00B159CA" w:rsidP="00800BF9">
            <w:pPr>
              <w:jc w:val="center"/>
              <w:rPr>
                <w:sz w:val="22"/>
                <w:lang w:eastAsia="nb-NO"/>
              </w:rPr>
            </w:pPr>
            <w:r w:rsidRPr="002D7BA5">
              <w:rPr>
                <w:rFonts w:cs="Calibri"/>
                <w:color w:val="000000"/>
                <w:sz w:val="22"/>
              </w:rPr>
              <w:t>82.24</w:t>
            </w:r>
          </w:p>
        </w:tc>
        <w:tc>
          <w:tcPr>
            <w:tcW w:w="236" w:type="dxa"/>
            <w:shd w:val="clear" w:color="auto" w:fill="auto"/>
            <w:noWrap/>
            <w:vAlign w:val="bottom"/>
            <w:hideMark/>
          </w:tcPr>
          <w:p w14:paraId="0F408181" w14:textId="77777777" w:rsidR="00B159CA" w:rsidRPr="002D7BA5" w:rsidRDefault="00B159CA" w:rsidP="00800BF9">
            <w:pPr>
              <w:jc w:val="center"/>
              <w:rPr>
                <w:sz w:val="22"/>
                <w:lang w:eastAsia="nb-NO"/>
              </w:rPr>
            </w:pPr>
          </w:p>
        </w:tc>
        <w:tc>
          <w:tcPr>
            <w:tcW w:w="1039" w:type="dxa"/>
            <w:shd w:val="clear" w:color="auto" w:fill="auto"/>
            <w:noWrap/>
            <w:vAlign w:val="bottom"/>
            <w:hideMark/>
          </w:tcPr>
          <w:p w14:paraId="38B4E770" w14:textId="2D10CBC9" w:rsidR="00B159CA" w:rsidRPr="002D7BA5" w:rsidRDefault="00B159CA" w:rsidP="00800BF9">
            <w:pPr>
              <w:jc w:val="center"/>
              <w:rPr>
                <w:sz w:val="22"/>
                <w:lang w:eastAsia="nb-NO"/>
              </w:rPr>
            </w:pPr>
            <w:r w:rsidRPr="002D7BA5">
              <w:rPr>
                <w:rFonts w:cs="Calibri"/>
                <w:color w:val="000000"/>
                <w:sz w:val="22"/>
              </w:rPr>
              <w:t>76.</w:t>
            </w:r>
            <w:r w:rsidR="003C7E5A">
              <w:rPr>
                <w:rFonts w:cs="Calibri"/>
                <w:color w:val="000000"/>
                <w:sz w:val="22"/>
              </w:rPr>
              <w:t>58</w:t>
            </w:r>
          </w:p>
        </w:tc>
        <w:tc>
          <w:tcPr>
            <w:tcW w:w="851" w:type="dxa"/>
            <w:shd w:val="clear" w:color="auto" w:fill="auto"/>
            <w:noWrap/>
            <w:vAlign w:val="bottom"/>
            <w:hideMark/>
          </w:tcPr>
          <w:p w14:paraId="0F1F88A9" w14:textId="4D01B8B3" w:rsidR="00B159CA" w:rsidRPr="002D7BA5" w:rsidRDefault="00B159CA" w:rsidP="00800BF9">
            <w:pPr>
              <w:jc w:val="center"/>
              <w:rPr>
                <w:sz w:val="22"/>
                <w:lang w:eastAsia="nb-NO"/>
              </w:rPr>
            </w:pPr>
            <w:r w:rsidRPr="002D7BA5">
              <w:rPr>
                <w:rFonts w:cs="Calibri"/>
                <w:color w:val="000000"/>
                <w:sz w:val="22"/>
              </w:rPr>
              <w:t>2.</w:t>
            </w:r>
            <w:r w:rsidR="003C7E5A">
              <w:rPr>
                <w:rFonts w:cs="Calibri"/>
                <w:color w:val="000000"/>
                <w:sz w:val="22"/>
              </w:rPr>
              <w:t>46</w:t>
            </w:r>
          </w:p>
        </w:tc>
        <w:tc>
          <w:tcPr>
            <w:tcW w:w="850" w:type="dxa"/>
            <w:shd w:val="clear" w:color="auto" w:fill="auto"/>
            <w:noWrap/>
            <w:vAlign w:val="bottom"/>
            <w:hideMark/>
          </w:tcPr>
          <w:p w14:paraId="47CA6E1F" w14:textId="561783E4" w:rsidR="00B159CA" w:rsidRPr="002D7BA5" w:rsidRDefault="00B159CA" w:rsidP="00800BF9">
            <w:pPr>
              <w:jc w:val="center"/>
              <w:rPr>
                <w:sz w:val="22"/>
                <w:lang w:eastAsia="nb-NO"/>
              </w:rPr>
            </w:pPr>
            <w:r w:rsidRPr="002D7BA5">
              <w:rPr>
                <w:rFonts w:cs="Calibri"/>
                <w:color w:val="000000"/>
                <w:sz w:val="22"/>
              </w:rPr>
              <w:t>69.4</w:t>
            </w:r>
          </w:p>
        </w:tc>
        <w:tc>
          <w:tcPr>
            <w:tcW w:w="999" w:type="dxa"/>
            <w:shd w:val="clear" w:color="auto" w:fill="auto"/>
            <w:noWrap/>
            <w:vAlign w:val="bottom"/>
            <w:hideMark/>
          </w:tcPr>
          <w:p w14:paraId="3BEF73FA" w14:textId="5F2BAC00" w:rsidR="00B159CA" w:rsidRPr="002D7BA5" w:rsidRDefault="00B159CA" w:rsidP="00800BF9">
            <w:pPr>
              <w:jc w:val="center"/>
              <w:rPr>
                <w:sz w:val="22"/>
                <w:lang w:eastAsia="nb-NO"/>
              </w:rPr>
            </w:pPr>
            <w:r w:rsidRPr="002D7BA5">
              <w:rPr>
                <w:rFonts w:cs="Calibri"/>
                <w:color w:val="000000"/>
                <w:sz w:val="22"/>
              </w:rPr>
              <w:t>82.0</w:t>
            </w:r>
          </w:p>
        </w:tc>
      </w:tr>
    </w:tbl>
    <w:p w14:paraId="0AF9EBF9" w14:textId="77777777" w:rsidR="00B159CA" w:rsidRDefault="00B159CA" w:rsidP="00800BF9">
      <w:pPr>
        <w:widowControl/>
        <w:autoSpaceDE/>
        <w:autoSpaceDN/>
        <w:spacing w:after="0" w:line="240" w:lineRule="auto"/>
        <w:jc w:val="center"/>
      </w:pPr>
      <w:r>
        <w:br w:type="page"/>
      </w:r>
    </w:p>
    <w:p w14:paraId="245DF2BA" w14:textId="57D69B32" w:rsidR="002546BE" w:rsidRDefault="002546BE" w:rsidP="00800BF9">
      <w:pPr>
        <w:spacing w:after="0" w:line="240" w:lineRule="auto"/>
        <w:jc w:val="center"/>
      </w:pPr>
      <w:r>
        <w:lastRenderedPageBreak/>
        <w:t>Table A</w:t>
      </w:r>
      <w:r w:rsidR="00973DF3">
        <w:t>2</w:t>
      </w:r>
      <w:r>
        <w:t>. Testing additional observable implications of the theoretical argument about electoral systems.</w:t>
      </w:r>
      <w:r w:rsidR="00D25DF9">
        <w:t xml:space="preserve"> Dependent variable: quarterly news visibility.</w:t>
      </w:r>
    </w:p>
    <w:tbl>
      <w:tblPr>
        <w:tblStyle w:val="Tabelltemaer"/>
        <w:tblW w:w="6942" w:type="dxa"/>
        <w:jc w:val="center"/>
        <w:tblLayout w:type="fixed"/>
        <w:tblLook w:val="04A0" w:firstRow="1" w:lastRow="0" w:firstColumn="1" w:lastColumn="0" w:noHBand="0" w:noVBand="1"/>
      </w:tblPr>
      <w:tblGrid>
        <w:gridCol w:w="1838"/>
        <w:gridCol w:w="2552"/>
        <w:gridCol w:w="2552"/>
      </w:tblGrid>
      <w:tr w:rsidR="00DC6B03" w:rsidRPr="006B7FB1" w14:paraId="55FA74EF" w14:textId="77777777" w:rsidTr="00800BF9">
        <w:trPr>
          <w:trHeight w:hRule="exact" w:val="255"/>
          <w:jc w:val="center"/>
        </w:trPr>
        <w:tc>
          <w:tcPr>
            <w:tcW w:w="1838" w:type="dxa"/>
            <w:noWrap/>
            <w:hideMark/>
          </w:tcPr>
          <w:p w14:paraId="43359506" w14:textId="77777777" w:rsidR="00DC6B03" w:rsidRPr="006B7FB1" w:rsidRDefault="00DC6B03" w:rsidP="00800BF9">
            <w:pPr>
              <w:widowControl/>
              <w:autoSpaceDE/>
              <w:autoSpaceDN/>
              <w:spacing w:after="0" w:line="240" w:lineRule="auto"/>
              <w:jc w:val="center"/>
              <w:rPr>
                <w:rFonts w:eastAsia="Times New Roman" w:cs="Calibri"/>
                <w:sz w:val="20"/>
                <w:szCs w:val="20"/>
                <w:lang w:eastAsia="nb-NO"/>
              </w:rPr>
            </w:pPr>
          </w:p>
        </w:tc>
        <w:tc>
          <w:tcPr>
            <w:tcW w:w="2552" w:type="dxa"/>
            <w:noWrap/>
            <w:hideMark/>
          </w:tcPr>
          <w:p w14:paraId="781DF44E" w14:textId="5E9F3F56" w:rsidR="00DC6B03" w:rsidRPr="006B7FB1" w:rsidRDefault="00DC6B03" w:rsidP="00800BF9">
            <w:pPr>
              <w:widowControl/>
              <w:autoSpaceDE/>
              <w:autoSpaceDN/>
              <w:spacing w:after="0" w:line="240" w:lineRule="auto"/>
              <w:jc w:val="center"/>
              <w:rPr>
                <w:rFonts w:eastAsia="Times New Roman" w:cs="Calibri"/>
                <w:sz w:val="20"/>
                <w:szCs w:val="20"/>
                <w:lang w:eastAsia="nb-NO"/>
              </w:rPr>
            </w:pPr>
            <w:r w:rsidRPr="006B7FB1">
              <w:rPr>
                <w:rFonts w:eastAsia="Times New Roman" w:cs="Calibri"/>
                <w:sz w:val="20"/>
                <w:szCs w:val="20"/>
                <w:lang w:eastAsia="nb-NO"/>
              </w:rPr>
              <w:t>UK: Fem X Distance to capital</w:t>
            </w:r>
          </w:p>
        </w:tc>
        <w:tc>
          <w:tcPr>
            <w:tcW w:w="2552" w:type="dxa"/>
            <w:noWrap/>
          </w:tcPr>
          <w:p w14:paraId="30324DCC" w14:textId="3F4ADDF5" w:rsidR="00DC6B03" w:rsidRPr="006B7FB1" w:rsidRDefault="00DC6B03" w:rsidP="00800BF9">
            <w:pPr>
              <w:widowControl/>
              <w:autoSpaceDE/>
              <w:autoSpaceDN/>
              <w:spacing w:after="0" w:line="240" w:lineRule="auto"/>
              <w:jc w:val="center"/>
              <w:rPr>
                <w:rFonts w:eastAsia="Times New Roman" w:cs="Calibri"/>
                <w:sz w:val="20"/>
                <w:szCs w:val="20"/>
                <w:lang w:eastAsia="nb-NO"/>
              </w:rPr>
            </w:pPr>
            <w:r w:rsidRPr="006B7FB1">
              <w:rPr>
                <w:rFonts w:eastAsia="Times New Roman" w:cs="Calibri"/>
                <w:sz w:val="20"/>
                <w:szCs w:val="20"/>
                <w:lang w:eastAsia="nb-NO"/>
              </w:rPr>
              <w:t>Norway: Fem X District size (seats)</w:t>
            </w:r>
          </w:p>
        </w:tc>
      </w:tr>
      <w:tr w:rsidR="0064449A" w:rsidRPr="006B7FB1" w14:paraId="09674256" w14:textId="77777777" w:rsidTr="00800BF9">
        <w:trPr>
          <w:trHeight w:hRule="exact" w:val="255"/>
          <w:jc w:val="center"/>
        </w:trPr>
        <w:tc>
          <w:tcPr>
            <w:tcW w:w="1838" w:type="dxa"/>
            <w:vMerge w:val="restart"/>
            <w:noWrap/>
            <w:hideMark/>
          </w:tcPr>
          <w:p w14:paraId="0464E9F1" w14:textId="044C5C73"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roofErr w:type="spellStart"/>
            <w:r w:rsidRPr="006B7FB1">
              <w:rPr>
                <w:rFonts w:eastAsia="Times New Roman" w:cs="Calibri"/>
                <w:sz w:val="20"/>
                <w:szCs w:val="20"/>
                <w:lang w:val="nb-NO" w:eastAsia="nb-NO"/>
              </w:rPr>
              <w:t>Women</w:t>
            </w:r>
            <w:proofErr w:type="spellEnd"/>
          </w:p>
        </w:tc>
        <w:tc>
          <w:tcPr>
            <w:tcW w:w="2552" w:type="dxa"/>
            <w:noWrap/>
            <w:vAlign w:val="bottom"/>
          </w:tcPr>
          <w:p w14:paraId="0482E28E" w14:textId="700C2AD0"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0.333**</w:t>
            </w:r>
          </w:p>
        </w:tc>
        <w:tc>
          <w:tcPr>
            <w:tcW w:w="2552" w:type="dxa"/>
            <w:noWrap/>
            <w:vAlign w:val="bottom"/>
          </w:tcPr>
          <w:p w14:paraId="2C3A1EBB" w14:textId="50132D62"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-0.458</w:t>
            </w:r>
          </w:p>
        </w:tc>
      </w:tr>
      <w:tr w:rsidR="0064449A" w:rsidRPr="006B7FB1" w14:paraId="49B74F68" w14:textId="77777777" w:rsidTr="00800BF9">
        <w:trPr>
          <w:trHeight w:hRule="exact" w:val="255"/>
          <w:jc w:val="center"/>
        </w:trPr>
        <w:tc>
          <w:tcPr>
            <w:tcW w:w="1838" w:type="dxa"/>
            <w:vMerge/>
            <w:noWrap/>
            <w:hideMark/>
          </w:tcPr>
          <w:p w14:paraId="59688F11"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5300EBBF" w14:textId="283412C3"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(0.152)</w:t>
            </w:r>
          </w:p>
        </w:tc>
        <w:tc>
          <w:tcPr>
            <w:tcW w:w="2552" w:type="dxa"/>
            <w:noWrap/>
            <w:vAlign w:val="bottom"/>
          </w:tcPr>
          <w:p w14:paraId="6560EABB" w14:textId="2719BE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(0.304)</w:t>
            </w:r>
          </w:p>
        </w:tc>
      </w:tr>
      <w:tr w:rsidR="0064449A" w:rsidRPr="006B7FB1" w14:paraId="1A2F68F8" w14:textId="77777777" w:rsidTr="00800BF9">
        <w:trPr>
          <w:trHeight w:hRule="exact" w:val="255"/>
          <w:jc w:val="center"/>
        </w:trPr>
        <w:tc>
          <w:tcPr>
            <w:tcW w:w="1838" w:type="dxa"/>
            <w:vMerge w:val="restart"/>
            <w:noWrap/>
            <w:hideMark/>
          </w:tcPr>
          <w:p w14:paraId="186E26D2"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B7FB1">
              <w:rPr>
                <w:rFonts w:eastAsia="Times New Roman" w:cs="Calibri"/>
                <w:sz w:val="20"/>
                <w:szCs w:val="20"/>
                <w:lang w:val="nb-NO" w:eastAsia="nb-NO"/>
              </w:rPr>
              <w:t>Age</w:t>
            </w:r>
          </w:p>
        </w:tc>
        <w:tc>
          <w:tcPr>
            <w:tcW w:w="2552" w:type="dxa"/>
            <w:noWrap/>
            <w:vAlign w:val="bottom"/>
          </w:tcPr>
          <w:p w14:paraId="62E54897" w14:textId="75783593"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0.179***</w:t>
            </w:r>
          </w:p>
        </w:tc>
        <w:tc>
          <w:tcPr>
            <w:tcW w:w="2552" w:type="dxa"/>
            <w:noWrap/>
            <w:vAlign w:val="bottom"/>
          </w:tcPr>
          <w:p w14:paraId="111EAC10" w14:textId="305BA931"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0.077***</w:t>
            </w:r>
          </w:p>
        </w:tc>
      </w:tr>
      <w:tr w:rsidR="0064449A" w:rsidRPr="006B7FB1" w14:paraId="0ED37B1A" w14:textId="77777777" w:rsidTr="00800BF9">
        <w:trPr>
          <w:trHeight w:hRule="exact" w:val="255"/>
          <w:jc w:val="center"/>
        </w:trPr>
        <w:tc>
          <w:tcPr>
            <w:tcW w:w="1838" w:type="dxa"/>
            <w:vMerge/>
            <w:noWrap/>
            <w:hideMark/>
          </w:tcPr>
          <w:p w14:paraId="27DAA26D"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571DF719" w14:textId="2C55798D"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(0.012)</w:t>
            </w:r>
          </w:p>
        </w:tc>
        <w:tc>
          <w:tcPr>
            <w:tcW w:w="2552" w:type="dxa"/>
            <w:noWrap/>
            <w:vAlign w:val="bottom"/>
          </w:tcPr>
          <w:p w14:paraId="339D5EF0" w14:textId="31B5CC03"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(0.024)</w:t>
            </w:r>
          </w:p>
        </w:tc>
      </w:tr>
      <w:tr w:rsidR="0064449A" w:rsidRPr="006B7FB1" w14:paraId="4F760A04" w14:textId="77777777" w:rsidTr="00800BF9">
        <w:trPr>
          <w:trHeight w:hRule="exact" w:val="255"/>
          <w:jc w:val="center"/>
        </w:trPr>
        <w:tc>
          <w:tcPr>
            <w:tcW w:w="1838" w:type="dxa"/>
            <w:vMerge w:val="restart"/>
            <w:noWrap/>
            <w:hideMark/>
          </w:tcPr>
          <w:p w14:paraId="62264D04"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B7FB1">
              <w:rPr>
                <w:rFonts w:eastAsia="Times New Roman" w:cs="Calibri"/>
                <w:sz w:val="20"/>
                <w:szCs w:val="20"/>
                <w:lang w:val="nb-NO" w:eastAsia="nb-NO"/>
              </w:rPr>
              <w:t>Age</w:t>
            </w:r>
            <w:r w:rsidRPr="006B7FB1">
              <w:rPr>
                <w:rFonts w:eastAsia="Times New Roman" w:cs="Calibri"/>
                <w:sz w:val="20"/>
                <w:szCs w:val="20"/>
                <w:vertAlign w:val="superscript"/>
                <w:lang w:val="nb-NO" w:eastAsia="nb-NO"/>
              </w:rPr>
              <w:t>2</w:t>
            </w:r>
          </w:p>
        </w:tc>
        <w:tc>
          <w:tcPr>
            <w:tcW w:w="2552" w:type="dxa"/>
            <w:noWrap/>
            <w:vAlign w:val="bottom"/>
          </w:tcPr>
          <w:p w14:paraId="38C461BD" w14:textId="5A3374D1"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-0.002***</w:t>
            </w:r>
          </w:p>
        </w:tc>
        <w:tc>
          <w:tcPr>
            <w:tcW w:w="2552" w:type="dxa"/>
            <w:noWrap/>
            <w:vAlign w:val="bottom"/>
          </w:tcPr>
          <w:p w14:paraId="60E65112" w14:textId="62BECE1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-0.001***</w:t>
            </w:r>
          </w:p>
        </w:tc>
      </w:tr>
      <w:tr w:rsidR="0064449A" w:rsidRPr="006B7FB1" w14:paraId="2C6FC930" w14:textId="77777777" w:rsidTr="00800BF9">
        <w:trPr>
          <w:trHeight w:hRule="exact" w:val="255"/>
          <w:jc w:val="center"/>
        </w:trPr>
        <w:tc>
          <w:tcPr>
            <w:tcW w:w="1838" w:type="dxa"/>
            <w:vMerge/>
            <w:noWrap/>
            <w:hideMark/>
          </w:tcPr>
          <w:p w14:paraId="7E6B2912"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3932D70C" w14:textId="75E84169"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(0.000)</w:t>
            </w:r>
          </w:p>
        </w:tc>
        <w:tc>
          <w:tcPr>
            <w:tcW w:w="2552" w:type="dxa"/>
            <w:noWrap/>
            <w:vAlign w:val="bottom"/>
          </w:tcPr>
          <w:p w14:paraId="6E70B369" w14:textId="40C5145C"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(0.000)</w:t>
            </w:r>
          </w:p>
        </w:tc>
      </w:tr>
      <w:tr w:rsidR="0064449A" w:rsidRPr="006B7FB1" w14:paraId="197CE5EB" w14:textId="77777777" w:rsidTr="00800BF9">
        <w:trPr>
          <w:trHeight w:hRule="exact" w:val="255"/>
          <w:jc w:val="center"/>
        </w:trPr>
        <w:tc>
          <w:tcPr>
            <w:tcW w:w="1838" w:type="dxa"/>
            <w:vMerge w:val="restart"/>
            <w:noWrap/>
            <w:hideMark/>
          </w:tcPr>
          <w:p w14:paraId="5785F41A" w14:textId="26393251" w:rsidR="0064449A" w:rsidRPr="006B7FB1" w:rsidRDefault="0064449A" w:rsidP="0064449A">
            <w:pPr>
              <w:widowControl/>
              <w:autoSpaceDE/>
              <w:autoSpaceDN/>
              <w:spacing w:after="0" w:line="240" w:lineRule="auto"/>
              <w:jc w:val="center"/>
              <w:rPr>
                <w:rFonts w:eastAsia="Times New Roman" w:cs="Calibri"/>
                <w:sz w:val="20"/>
                <w:szCs w:val="20"/>
                <w:lang w:eastAsia="nb-NO"/>
              </w:rPr>
            </w:pPr>
            <w:r w:rsidRPr="006B7FB1">
              <w:rPr>
                <w:rFonts w:eastAsia="Times New Roman" w:cs="Calibri"/>
                <w:sz w:val="20"/>
                <w:szCs w:val="20"/>
                <w:lang w:eastAsia="nb-NO"/>
              </w:rPr>
              <w:t>Electoral safety Note 1</w:t>
            </w:r>
          </w:p>
        </w:tc>
        <w:tc>
          <w:tcPr>
            <w:tcW w:w="2552" w:type="dxa"/>
            <w:noWrap/>
            <w:vAlign w:val="bottom"/>
          </w:tcPr>
          <w:p w14:paraId="18A938BC" w14:textId="2B9F87BC"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0.000***</w:t>
            </w:r>
          </w:p>
        </w:tc>
        <w:tc>
          <w:tcPr>
            <w:tcW w:w="2552" w:type="dxa"/>
            <w:noWrap/>
            <w:vAlign w:val="bottom"/>
          </w:tcPr>
          <w:p w14:paraId="2EF238C0" w14:textId="4AFDD49C"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0.310***</w:t>
            </w:r>
          </w:p>
        </w:tc>
      </w:tr>
      <w:tr w:rsidR="0064449A" w:rsidRPr="006B7FB1" w14:paraId="6DFC9351" w14:textId="77777777" w:rsidTr="00800BF9">
        <w:trPr>
          <w:trHeight w:hRule="exact" w:val="255"/>
          <w:jc w:val="center"/>
        </w:trPr>
        <w:tc>
          <w:tcPr>
            <w:tcW w:w="1838" w:type="dxa"/>
            <w:vMerge/>
            <w:noWrap/>
            <w:hideMark/>
          </w:tcPr>
          <w:p w14:paraId="678D151A" w14:textId="77777777" w:rsidR="0064449A" w:rsidRPr="006B7FB1" w:rsidRDefault="0064449A" w:rsidP="0064449A">
            <w:pPr>
              <w:widowControl/>
              <w:autoSpaceDE/>
              <w:autoSpaceDN/>
              <w:spacing w:after="0" w:line="240" w:lineRule="auto"/>
              <w:jc w:val="center"/>
              <w:rPr>
                <w:rFonts w:eastAsia="Times New Roman" w:cs="Calibri"/>
                <w:sz w:val="20"/>
                <w:szCs w:val="20"/>
                <w:lang w:eastAsia="nb-NO"/>
              </w:rPr>
            </w:pPr>
          </w:p>
        </w:tc>
        <w:tc>
          <w:tcPr>
            <w:tcW w:w="2552" w:type="dxa"/>
            <w:noWrap/>
            <w:vAlign w:val="bottom"/>
          </w:tcPr>
          <w:p w14:paraId="10546519" w14:textId="49E322B4"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(0.000)</w:t>
            </w:r>
          </w:p>
        </w:tc>
        <w:tc>
          <w:tcPr>
            <w:tcW w:w="2552" w:type="dxa"/>
            <w:noWrap/>
            <w:vAlign w:val="bottom"/>
          </w:tcPr>
          <w:p w14:paraId="10B71C98" w14:textId="7254ED5B"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(0.085)</w:t>
            </w:r>
          </w:p>
        </w:tc>
      </w:tr>
      <w:tr w:rsidR="0064449A" w:rsidRPr="006B7FB1" w14:paraId="51D13C88" w14:textId="77777777" w:rsidTr="00800BF9">
        <w:trPr>
          <w:trHeight w:hRule="exact" w:val="255"/>
          <w:jc w:val="center"/>
        </w:trPr>
        <w:tc>
          <w:tcPr>
            <w:tcW w:w="1838" w:type="dxa"/>
            <w:vMerge w:val="restart"/>
            <w:noWrap/>
            <w:hideMark/>
          </w:tcPr>
          <w:p w14:paraId="0DAC828A"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B7FB1">
              <w:rPr>
                <w:rFonts w:eastAsia="Times New Roman" w:cs="Calibri"/>
                <w:sz w:val="20"/>
                <w:szCs w:val="20"/>
                <w:lang w:val="nb-NO" w:eastAsia="nb-NO"/>
              </w:rPr>
              <w:t xml:space="preserve">Legislative </w:t>
            </w:r>
            <w:proofErr w:type="spellStart"/>
            <w:r w:rsidRPr="006B7FB1">
              <w:rPr>
                <w:rFonts w:eastAsia="Times New Roman" w:cs="Calibri"/>
                <w:sz w:val="20"/>
                <w:szCs w:val="20"/>
                <w:lang w:val="nb-NO" w:eastAsia="nb-NO"/>
              </w:rPr>
              <w:t>speeches</w:t>
            </w:r>
            <w:proofErr w:type="spellEnd"/>
          </w:p>
        </w:tc>
        <w:tc>
          <w:tcPr>
            <w:tcW w:w="2552" w:type="dxa"/>
            <w:noWrap/>
            <w:vAlign w:val="bottom"/>
          </w:tcPr>
          <w:p w14:paraId="021375F8" w14:textId="2EC8F443"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0.010***</w:t>
            </w:r>
          </w:p>
        </w:tc>
        <w:tc>
          <w:tcPr>
            <w:tcW w:w="2552" w:type="dxa"/>
            <w:noWrap/>
            <w:vAlign w:val="bottom"/>
          </w:tcPr>
          <w:p w14:paraId="3FA14CBD" w14:textId="7C0E3F8B"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0.014***</w:t>
            </w:r>
          </w:p>
        </w:tc>
      </w:tr>
      <w:tr w:rsidR="0064449A" w:rsidRPr="006B7FB1" w14:paraId="1C9939DB" w14:textId="77777777" w:rsidTr="00800BF9">
        <w:trPr>
          <w:trHeight w:hRule="exact" w:val="255"/>
          <w:jc w:val="center"/>
        </w:trPr>
        <w:tc>
          <w:tcPr>
            <w:tcW w:w="1838" w:type="dxa"/>
            <w:vMerge/>
            <w:noWrap/>
            <w:hideMark/>
          </w:tcPr>
          <w:p w14:paraId="630C0C7D"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45E1B4AF" w14:textId="685CE29E"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(0.000)</w:t>
            </w:r>
          </w:p>
        </w:tc>
        <w:tc>
          <w:tcPr>
            <w:tcW w:w="2552" w:type="dxa"/>
            <w:noWrap/>
            <w:vAlign w:val="bottom"/>
          </w:tcPr>
          <w:p w14:paraId="7EDD8605" w14:textId="083D2F88"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(0.002)</w:t>
            </w:r>
          </w:p>
        </w:tc>
      </w:tr>
      <w:tr w:rsidR="0064449A" w:rsidRPr="006B7FB1" w14:paraId="77C618D1" w14:textId="77777777" w:rsidTr="00800BF9">
        <w:trPr>
          <w:trHeight w:hRule="exact" w:val="255"/>
          <w:jc w:val="center"/>
        </w:trPr>
        <w:tc>
          <w:tcPr>
            <w:tcW w:w="1838" w:type="dxa"/>
            <w:vMerge w:val="restart"/>
            <w:noWrap/>
            <w:hideMark/>
          </w:tcPr>
          <w:p w14:paraId="3D4D5815"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B7FB1">
              <w:rPr>
                <w:rFonts w:eastAsia="Times New Roman" w:cs="Calibri"/>
                <w:sz w:val="20"/>
                <w:szCs w:val="20"/>
                <w:lang w:val="nb-NO" w:eastAsia="nb-NO"/>
              </w:rPr>
              <w:t xml:space="preserve">Legislative </w:t>
            </w:r>
            <w:proofErr w:type="spellStart"/>
            <w:r w:rsidRPr="006B7FB1">
              <w:rPr>
                <w:rFonts w:eastAsia="Times New Roman" w:cs="Calibri"/>
                <w:sz w:val="20"/>
                <w:szCs w:val="20"/>
                <w:lang w:val="nb-NO" w:eastAsia="nb-NO"/>
              </w:rPr>
              <w:t>experience</w:t>
            </w:r>
            <w:proofErr w:type="spellEnd"/>
          </w:p>
        </w:tc>
        <w:tc>
          <w:tcPr>
            <w:tcW w:w="2552" w:type="dxa"/>
            <w:noWrap/>
            <w:vAlign w:val="bottom"/>
          </w:tcPr>
          <w:p w14:paraId="3152A119" w14:textId="11F69126"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0.071***</w:t>
            </w:r>
          </w:p>
        </w:tc>
        <w:tc>
          <w:tcPr>
            <w:tcW w:w="2552" w:type="dxa"/>
            <w:noWrap/>
            <w:vAlign w:val="bottom"/>
          </w:tcPr>
          <w:p w14:paraId="49FB0716" w14:textId="01B35FF1"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0.095***</w:t>
            </w:r>
          </w:p>
        </w:tc>
      </w:tr>
      <w:tr w:rsidR="0064449A" w:rsidRPr="006B7FB1" w14:paraId="37E6A09D" w14:textId="77777777" w:rsidTr="00800BF9">
        <w:trPr>
          <w:trHeight w:hRule="exact" w:val="255"/>
          <w:jc w:val="center"/>
        </w:trPr>
        <w:tc>
          <w:tcPr>
            <w:tcW w:w="1838" w:type="dxa"/>
            <w:vMerge/>
            <w:noWrap/>
            <w:hideMark/>
          </w:tcPr>
          <w:p w14:paraId="05B30111"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123E90C2" w14:textId="5BFCA26B"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(0.005)</w:t>
            </w:r>
          </w:p>
        </w:tc>
        <w:tc>
          <w:tcPr>
            <w:tcW w:w="2552" w:type="dxa"/>
            <w:noWrap/>
            <w:vAlign w:val="bottom"/>
          </w:tcPr>
          <w:p w14:paraId="0544217F" w14:textId="5B15CD8B"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(0.009)</w:t>
            </w:r>
          </w:p>
        </w:tc>
      </w:tr>
      <w:tr w:rsidR="0064449A" w:rsidRPr="006B7FB1" w14:paraId="0618AFBF" w14:textId="77777777" w:rsidTr="00800BF9">
        <w:trPr>
          <w:trHeight w:hRule="exact" w:val="255"/>
          <w:jc w:val="center"/>
        </w:trPr>
        <w:tc>
          <w:tcPr>
            <w:tcW w:w="1838" w:type="dxa"/>
            <w:vMerge w:val="restart"/>
            <w:noWrap/>
            <w:hideMark/>
          </w:tcPr>
          <w:p w14:paraId="25AC8898"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B7FB1">
              <w:rPr>
                <w:rFonts w:eastAsia="Times New Roman" w:cs="Calibri"/>
                <w:sz w:val="20"/>
                <w:szCs w:val="20"/>
                <w:lang w:eastAsia="nb-NO"/>
              </w:rPr>
              <w:t>Party size (seat share)</w:t>
            </w:r>
          </w:p>
        </w:tc>
        <w:tc>
          <w:tcPr>
            <w:tcW w:w="2552" w:type="dxa"/>
            <w:noWrap/>
            <w:vAlign w:val="bottom"/>
          </w:tcPr>
          <w:p w14:paraId="2ADFB77D" w14:textId="0891FE09"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-0.010***</w:t>
            </w:r>
          </w:p>
        </w:tc>
        <w:tc>
          <w:tcPr>
            <w:tcW w:w="2552" w:type="dxa"/>
            <w:noWrap/>
            <w:vAlign w:val="bottom"/>
          </w:tcPr>
          <w:p w14:paraId="638F04DC" w14:textId="094C4569"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-0.028***</w:t>
            </w:r>
          </w:p>
        </w:tc>
      </w:tr>
      <w:tr w:rsidR="0064449A" w:rsidRPr="006B7FB1" w14:paraId="052CCA5B" w14:textId="77777777" w:rsidTr="00800BF9">
        <w:trPr>
          <w:trHeight w:hRule="exact" w:val="255"/>
          <w:jc w:val="center"/>
        </w:trPr>
        <w:tc>
          <w:tcPr>
            <w:tcW w:w="1838" w:type="dxa"/>
            <w:vMerge/>
            <w:noWrap/>
            <w:hideMark/>
          </w:tcPr>
          <w:p w14:paraId="7C1AEE07"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693E54BA" w14:textId="415F011C"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(0.002)</w:t>
            </w:r>
          </w:p>
        </w:tc>
        <w:tc>
          <w:tcPr>
            <w:tcW w:w="2552" w:type="dxa"/>
            <w:noWrap/>
            <w:vAlign w:val="bottom"/>
          </w:tcPr>
          <w:p w14:paraId="17456473" w14:textId="2E38EB51"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(0.004)</w:t>
            </w:r>
          </w:p>
        </w:tc>
      </w:tr>
      <w:tr w:rsidR="0064449A" w:rsidRPr="006B7FB1" w14:paraId="21F7B5C4" w14:textId="77777777" w:rsidTr="00800BF9">
        <w:trPr>
          <w:trHeight w:hRule="exact" w:val="255"/>
          <w:jc w:val="center"/>
        </w:trPr>
        <w:tc>
          <w:tcPr>
            <w:tcW w:w="1838" w:type="dxa"/>
            <w:vMerge w:val="restart"/>
            <w:noWrap/>
            <w:hideMark/>
          </w:tcPr>
          <w:p w14:paraId="225BB04B"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B7FB1">
              <w:rPr>
                <w:rFonts w:eastAsia="Times New Roman" w:cs="Calibri"/>
                <w:sz w:val="20"/>
                <w:szCs w:val="20"/>
                <w:lang w:eastAsia="nb-NO"/>
              </w:rPr>
              <w:t>Party in cabinet</w:t>
            </w:r>
          </w:p>
        </w:tc>
        <w:tc>
          <w:tcPr>
            <w:tcW w:w="2552" w:type="dxa"/>
            <w:noWrap/>
            <w:vAlign w:val="bottom"/>
          </w:tcPr>
          <w:p w14:paraId="000B1579" w14:textId="49C69DF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0.293***</w:t>
            </w:r>
          </w:p>
        </w:tc>
        <w:tc>
          <w:tcPr>
            <w:tcW w:w="2552" w:type="dxa"/>
            <w:noWrap/>
            <w:vAlign w:val="bottom"/>
          </w:tcPr>
          <w:p w14:paraId="444367F9" w14:textId="17E4DE50"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0.043</w:t>
            </w:r>
          </w:p>
        </w:tc>
      </w:tr>
      <w:tr w:rsidR="0064449A" w:rsidRPr="006B7FB1" w14:paraId="08B4455E" w14:textId="77777777" w:rsidTr="00800BF9">
        <w:trPr>
          <w:trHeight w:hRule="exact" w:val="255"/>
          <w:jc w:val="center"/>
        </w:trPr>
        <w:tc>
          <w:tcPr>
            <w:tcW w:w="1838" w:type="dxa"/>
            <w:vMerge/>
            <w:noWrap/>
            <w:hideMark/>
          </w:tcPr>
          <w:p w14:paraId="3704F519"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0C64B1BB" w14:textId="7C332262"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(0.037)</w:t>
            </w:r>
          </w:p>
        </w:tc>
        <w:tc>
          <w:tcPr>
            <w:tcW w:w="2552" w:type="dxa"/>
            <w:noWrap/>
            <w:vAlign w:val="bottom"/>
          </w:tcPr>
          <w:p w14:paraId="0E030870" w14:textId="33B0275C"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(0.040)</w:t>
            </w:r>
          </w:p>
        </w:tc>
      </w:tr>
      <w:tr w:rsidR="0064449A" w:rsidRPr="006B7FB1" w14:paraId="4EA7A113" w14:textId="77777777" w:rsidTr="00800BF9">
        <w:trPr>
          <w:trHeight w:hRule="exact" w:val="255"/>
          <w:jc w:val="center"/>
        </w:trPr>
        <w:tc>
          <w:tcPr>
            <w:tcW w:w="1838" w:type="dxa"/>
            <w:vMerge w:val="restart"/>
            <w:noWrap/>
            <w:hideMark/>
          </w:tcPr>
          <w:p w14:paraId="06D5D921"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B7FB1">
              <w:rPr>
                <w:rFonts w:eastAsia="Times New Roman" w:cs="Calibri"/>
                <w:sz w:val="20"/>
                <w:szCs w:val="20"/>
                <w:lang w:eastAsia="nb-NO"/>
              </w:rPr>
              <w:t>Party L-R extremity</w:t>
            </w:r>
          </w:p>
        </w:tc>
        <w:tc>
          <w:tcPr>
            <w:tcW w:w="2552" w:type="dxa"/>
            <w:noWrap/>
            <w:vAlign w:val="bottom"/>
          </w:tcPr>
          <w:p w14:paraId="36050EB0" w14:textId="1F583CD2"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0.061</w:t>
            </w:r>
          </w:p>
        </w:tc>
        <w:tc>
          <w:tcPr>
            <w:tcW w:w="2552" w:type="dxa"/>
            <w:noWrap/>
            <w:vAlign w:val="bottom"/>
          </w:tcPr>
          <w:p w14:paraId="7B113CAB" w14:textId="104CE7CC"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0.025</w:t>
            </w:r>
          </w:p>
        </w:tc>
      </w:tr>
      <w:tr w:rsidR="0064449A" w:rsidRPr="006B7FB1" w14:paraId="7AF8B248" w14:textId="77777777" w:rsidTr="00800BF9">
        <w:trPr>
          <w:trHeight w:hRule="exact" w:val="255"/>
          <w:jc w:val="center"/>
        </w:trPr>
        <w:tc>
          <w:tcPr>
            <w:tcW w:w="1838" w:type="dxa"/>
            <w:vMerge/>
            <w:noWrap/>
            <w:hideMark/>
          </w:tcPr>
          <w:p w14:paraId="0FDB3EA8"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28AA9F4C" w14:textId="521F9B00"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(0.048)</w:t>
            </w:r>
          </w:p>
        </w:tc>
        <w:tc>
          <w:tcPr>
            <w:tcW w:w="2552" w:type="dxa"/>
            <w:noWrap/>
            <w:vAlign w:val="bottom"/>
          </w:tcPr>
          <w:p w14:paraId="34ADF2AA" w14:textId="4C70103A"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(0.052)</w:t>
            </w:r>
          </w:p>
        </w:tc>
      </w:tr>
      <w:tr w:rsidR="0064449A" w:rsidRPr="006B7FB1" w14:paraId="4E9CBDBB" w14:textId="77777777" w:rsidTr="00800BF9">
        <w:trPr>
          <w:trHeight w:hRule="exact" w:val="255"/>
          <w:jc w:val="center"/>
        </w:trPr>
        <w:tc>
          <w:tcPr>
            <w:tcW w:w="1838" w:type="dxa"/>
            <w:vMerge w:val="restart"/>
            <w:noWrap/>
          </w:tcPr>
          <w:p w14:paraId="31DC708A"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B7FB1">
              <w:rPr>
                <w:rFonts w:eastAsia="Times New Roman" w:cs="Calibri"/>
                <w:sz w:val="20"/>
                <w:szCs w:val="20"/>
                <w:lang w:eastAsia="nb-NO"/>
              </w:rPr>
              <w:t>Cabinet color</w:t>
            </w:r>
          </w:p>
        </w:tc>
        <w:tc>
          <w:tcPr>
            <w:tcW w:w="2552" w:type="dxa"/>
            <w:noWrap/>
            <w:vAlign w:val="bottom"/>
          </w:tcPr>
          <w:p w14:paraId="6270BCAF" w14:textId="5290C23B"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0.049***</w:t>
            </w:r>
          </w:p>
        </w:tc>
        <w:tc>
          <w:tcPr>
            <w:tcW w:w="2552" w:type="dxa"/>
            <w:noWrap/>
            <w:vAlign w:val="bottom"/>
          </w:tcPr>
          <w:p w14:paraId="1A036735" w14:textId="1E2EE1EE"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-0.017**</w:t>
            </w:r>
          </w:p>
        </w:tc>
      </w:tr>
      <w:tr w:rsidR="0064449A" w:rsidRPr="006B7FB1" w14:paraId="7BD54B4D" w14:textId="77777777" w:rsidTr="00800BF9">
        <w:trPr>
          <w:trHeight w:hRule="exact" w:val="255"/>
          <w:jc w:val="center"/>
        </w:trPr>
        <w:tc>
          <w:tcPr>
            <w:tcW w:w="1838" w:type="dxa"/>
            <w:vMerge/>
            <w:noWrap/>
          </w:tcPr>
          <w:p w14:paraId="6E277DC1"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1A24507C" w14:textId="5A8CF78D"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(0.009)</w:t>
            </w:r>
          </w:p>
        </w:tc>
        <w:tc>
          <w:tcPr>
            <w:tcW w:w="2552" w:type="dxa"/>
            <w:noWrap/>
            <w:vAlign w:val="bottom"/>
          </w:tcPr>
          <w:p w14:paraId="7E30699A" w14:textId="7980C9A4"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(0.007)</w:t>
            </w:r>
          </w:p>
        </w:tc>
      </w:tr>
      <w:tr w:rsidR="0064449A" w:rsidRPr="006B7FB1" w14:paraId="4BE159A6" w14:textId="77777777" w:rsidTr="00800BF9">
        <w:trPr>
          <w:trHeight w:hRule="exact" w:val="255"/>
          <w:jc w:val="center"/>
        </w:trPr>
        <w:tc>
          <w:tcPr>
            <w:tcW w:w="1838" w:type="dxa"/>
            <w:vMerge w:val="restart"/>
            <w:noWrap/>
            <w:hideMark/>
          </w:tcPr>
          <w:p w14:paraId="40B6D431"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roofErr w:type="spellStart"/>
            <w:r w:rsidRPr="006B7FB1">
              <w:rPr>
                <w:rFonts w:eastAsia="Times New Roman" w:cs="Calibri"/>
                <w:sz w:val="20"/>
                <w:szCs w:val="20"/>
                <w:lang w:val="nb-NO" w:eastAsia="nb-NO"/>
              </w:rPr>
              <w:t>Seat</w:t>
            </w:r>
            <w:proofErr w:type="spellEnd"/>
            <w:r w:rsidRPr="006B7FB1">
              <w:rPr>
                <w:rFonts w:eastAsia="Times New Roman" w:cs="Calibri"/>
                <w:sz w:val="20"/>
                <w:szCs w:val="20"/>
                <w:lang w:val="nb-NO" w:eastAsia="nb-NO"/>
              </w:rPr>
              <w:t xml:space="preserve"> </w:t>
            </w:r>
            <w:proofErr w:type="spellStart"/>
            <w:r w:rsidRPr="006B7FB1">
              <w:rPr>
                <w:rFonts w:eastAsia="Times New Roman" w:cs="Calibri"/>
                <w:sz w:val="20"/>
                <w:szCs w:val="20"/>
                <w:lang w:val="nb-NO" w:eastAsia="nb-NO"/>
              </w:rPr>
              <w:t>share</w:t>
            </w:r>
            <w:proofErr w:type="spellEnd"/>
            <w:r w:rsidRPr="006B7FB1">
              <w:rPr>
                <w:rFonts w:eastAsia="Times New Roman" w:cs="Calibri"/>
                <w:sz w:val="20"/>
                <w:szCs w:val="20"/>
                <w:lang w:val="nb-NO" w:eastAsia="nb-NO"/>
              </w:rPr>
              <w:t xml:space="preserve">, </w:t>
            </w:r>
            <w:proofErr w:type="spellStart"/>
            <w:r w:rsidRPr="006B7FB1">
              <w:rPr>
                <w:rFonts w:eastAsia="Times New Roman" w:cs="Calibri"/>
                <w:sz w:val="20"/>
                <w:szCs w:val="20"/>
                <w:lang w:val="nb-NO" w:eastAsia="nb-NO"/>
              </w:rPr>
              <w:t>cabinet</w:t>
            </w:r>
            <w:proofErr w:type="spellEnd"/>
          </w:p>
        </w:tc>
        <w:tc>
          <w:tcPr>
            <w:tcW w:w="2552" w:type="dxa"/>
            <w:noWrap/>
            <w:vAlign w:val="bottom"/>
          </w:tcPr>
          <w:p w14:paraId="63E647DF" w14:textId="7AB35E98"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-0.436***</w:t>
            </w:r>
          </w:p>
        </w:tc>
        <w:tc>
          <w:tcPr>
            <w:tcW w:w="2552" w:type="dxa"/>
            <w:noWrap/>
            <w:vAlign w:val="bottom"/>
          </w:tcPr>
          <w:p w14:paraId="14603312" w14:textId="29829532"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-0.097</w:t>
            </w:r>
          </w:p>
        </w:tc>
      </w:tr>
      <w:tr w:rsidR="0064449A" w:rsidRPr="006B7FB1" w14:paraId="6F2C9181" w14:textId="77777777" w:rsidTr="00800BF9">
        <w:trPr>
          <w:trHeight w:hRule="exact" w:val="255"/>
          <w:jc w:val="center"/>
        </w:trPr>
        <w:tc>
          <w:tcPr>
            <w:tcW w:w="1838" w:type="dxa"/>
            <w:vMerge/>
            <w:noWrap/>
            <w:hideMark/>
          </w:tcPr>
          <w:p w14:paraId="1F391A29"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51D98FDA" w14:textId="1F0C23EE"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(0.092)</w:t>
            </w:r>
          </w:p>
        </w:tc>
        <w:tc>
          <w:tcPr>
            <w:tcW w:w="2552" w:type="dxa"/>
            <w:noWrap/>
            <w:vAlign w:val="bottom"/>
          </w:tcPr>
          <w:p w14:paraId="22707D22" w14:textId="1CF1ECBC"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(0.072)</w:t>
            </w:r>
          </w:p>
        </w:tc>
      </w:tr>
      <w:tr w:rsidR="0064449A" w:rsidRPr="006B7FB1" w14:paraId="46DEC435" w14:textId="77777777" w:rsidTr="00800BF9">
        <w:trPr>
          <w:trHeight w:hRule="exact" w:val="255"/>
          <w:jc w:val="center"/>
        </w:trPr>
        <w:tc>
          <w:tcPr>
            <w:tcW w:w="1838" w:type="dxa"/>
            <w:vMerge w:val="restart"/>
            <w:noWrap/>
            <w:hideMark/>
          </w:tcPr>
          <w:p w14:paraId="1BD6E991" w14:textId="1580C780" w:rsidR="0064449A" w:rsidRPr="006B7FB1" w:rsidRDefault="0064449A" w:rsidP="0064449A">
            <w:pPr>
              <w:widowControl/>
              <w:autoSpaceDE/>
              <w:autoSpaceDN/>
              <w:spacing w:after="0" w:line="240" w:lineRule="auto"/>
              <w:jc w:val="center"/>
              <w:rPr>
                <w:rFonts w:eastAsia="Times New Roman" w:cs="Calibri"/>
                <w:sz w:val="20"/>
                <w:szCs w:val="20"/>
                <w:lang w:eastAsia="nb-NO"/>
              </w:rPr>
            </w:pPr>
            <w:r w:rsidRPr="006B7FB1">
              <w:rPr>
                <w:rFonts w:eastAsia="Times New Roman" w:cs="Calibri"/>
                <w:sz w:val="20"/>
                <w:szCs w:val="20"/>
                <w:lang w:eastAsia="nb-NO"/>
              </w:rPr>
              <w:t>District size (</w:t>
            </w:r>
            <w:r w:rsidRPr="006B7FB1">
              <w:rPr>
                <w:rFonts w:eastAsia="Times New Roman" w:cs="Calibri"/>
                <w:i/>
                <w:iCs/>
                <w:sz w:val="20"/>
                <w:szCs w:val="20"/>
                <w:lang w:eastAsia="nb-NO"/>
              </w:rPr>
              <w:t>UK: population, NO: seats</w:t>
            </w:r>
            <w:r w:rsidRPr="006B7FB1">
              <w:rPr>
                <w:rFonts w:eastAsia="Times New Roman" w:cs="Calibri"/>
                <w:sz w:val="20"/>
                <w:szCs w:val="20"/>
                <w:lang w:eastAsia="nb-NO"/>
              </w:rPr>
              <w:t>)</w:t>
            </w:r>
          </w:p>
        </w:tc>
        <w:tc>
          <w:tcPr>
            <w:tcW w:w="2552" w:type="dxa"/>
            <w:noWrap/>
            <w:vAlign w:val="bottom"/>
          </w:tcPr>
          <w:p w14:paraId="71E976F9" w14:textId="729C747D"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-0.000</w:t>
            </w:r>
          </w:p>
        </w:tc>
        <w:tc>
          <w:tcPr>
            <w:tcW w:w="2552" w:type="dxa"/>
            <w:noWrap/>
            <w:vAlign w:val="bottom"/>
          </w:tcPr>
          <w:p w14:paraId="24861BA1" w14:textId="3344DA1A"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0.063***</w:t>
            </w:r>
          </w:p>
        </w:tc>
      </w:tr>
      <w:tr w:rsidR="0064449A" w:rsidRPr="006B7FB1" w14:paraId="730A0163" w14:textId="77777777" w:rsidTr="00800BF9">
        <w:trPr>
          <w:trHeight w:hRule="exact" w:val="255"/>
          <w:jc w:val="center"/>
        </w:trPr>
        <w:tc>
          <w:tcPr>
            <w:tcW w:w="1838" w:type="dxa"/>
            <w:vMerge/>
            <w:noWrap/>
            <w:hideMark/>
          </w:tcPr>
          <w:p w14:paraId="6B1A0349" w14:textId="77777777" w:rsidR="0064449A" w:rsidRPr="006B7FB1" w:rsidRDefault="0064449A" w:rsidP="0064449A">
            <w:pPr>
              <w:widowControl/>
              <w:autoSpaceDE/>
              <w:autoSpaceDN/>
              <w:spacing w:after="0" w:line="240" w:lineRule="auto"/>
              <w:jc w:val="center"/>
              <w:rPr>
                <w:rFonts w:eastAsia="Times New Roman" w:cs="Calibri"/>
                <w:sz w:val="20"/>
                <w:szCs w:val="20"/>
                <w:lang w:eastAsia="nb-NO"/>
              </w:rPr>
            </w:pPr>
          </w:p>
        </w:tc>
        <w:tc>
          <w:tcPr>
            <w:tcW w:w="2552" w:type="dxa"/>
            <w:noWrap/>
            <w:vAlign w:val="bottom"/>
          </w:tcPr>
          <w:p w14:paraId="08E1B8C0" w14:textId="242181E4"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(0.000)</w:t>
            </w:r>
          </w:p>
        </w:tc>
        <w:tc>
          <w:tcPr>
            <w:tcW w:w="2552" w:type="dxa"/>
            <w:noWrap/>
            <w:vAlign w:val="bottom"/>
          </w:tcPr>
          <w:p w14:paraId="5679422A" w14:textId="4A33EA48"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(0.017)</w:t>
            </w:r>
          </w:p>
        </w:tc>
      </w:tr>
      <w:tr w:rsidR="0064449A" w:rsidRPr="006B7FB1" w14:paraId="55BA33E8" w14:textId="77777777" w:rsidTr="00800BF9">
        <w:trPr>
          <w:trHeight w:hRule="exact" w:val="255"/>
          <w:jc w:val="center"/>
        </w:trPr>
        <w:tc>
          <w:tcPr>
            <w:tcW w:w="1838" w:type="dxa"/>
            <w:vMerge w:val="restart"/>
            <w:noWrap/>
            <w:hideMark/>
          </w:tcPr>
          <w:p w14:paraId="61E428FA"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roofErr w:type="spellStart"/>
            <w:r w:rsidRPr="006B7FB1">
              <w:rPr>
                <w:rFonts w:eastAsia="Times New Roman" w:cs="Calibri"/>
                <w:sz w:val="20"/>
                <w:szCs w:val="20"/>
                <w:lang w:val="nb-NO" w:eastAsia="nb-NO"/>
              </w:rPr>
              <w:t>Distance</w:t>
            </w:r>
            <w:proofErr w:type="spellEnd"/>
            <w:r w:rsidRPr="006B7FB1">
              <w:rPr>
                <w:rFonts w:eastAsia="Times New Roman" w:cs="Calibri"/>
                <w:sz w:val="20"/>
                <w:szCs w:val="20"/>
                <w:lang w:val="nb-NO" w:eastAsia="nb-NO"/>
              </w:rPr>
              <w:t xml:space="preserve"> to </w:t>
            </w:r>
            <w:proofErr w:type="spellStart"/>
            <w:r w:rsidRPr="006B7FB1">
              <w:rPr>
                <w:rFonts w:eastAsia="Times New Roman" w:cs="Calibri"/>
                <w:sz w:val="20"/>
                <w:szCs w:val="20"/>
                <w:lang w:val="nb-NO" w:eastAsia="nb-NO"/>
              </w:rPr>
              <w:t>capital</w:t>
            </w:r>
            <w:proofErr w:type="spellEnd"/>
          </w:p>
        </w:tc>
        <w:tc>
          <w:tcPr>
            <w:tcW w:w="2552" w:type="dxa"/>
            <w:noWrap/>
            <w:vAlign w:val="bottom"/>
          </w:tcPr>
          <w:p w14:paraId="1A771761" w14:textId="23D01EAB"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-0.200</w:t>
            </w:r>
          </w:p>
        </w:tc>
        <w:tc>
          <w:tcPr>
            <w:tcW w:w="2552" w:type="dxa"/>
            <w:noWrap/>
            <w:vAlign w:val="bottom"/>
          </w:tcPr>
          <w:p w14:paraId="65C8A1C1" w14:textId="53E03B59"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-0.571**</w:t>
            </w:r>
          </w:p>
        </w:tc>
      </w:tr>
      <w:tr w:rsidR="0064449A" w:rsidRPr="006B7FB1" w14:paraId="5973DF6C" w14:textId="77777777" w:rsidTr="00800BF9">
        <w:trPr>
          <w:trHeight w:hRule="exact" w:val="255"/>
          <w:jc w:val="center"/>
        </w:trPr>
        <w:tc>
          <w:tcPr>
            <w:tcW w:w="1838" w:type="dxa"/>
            <w:vMerge/>
            <w:noWrap/>
            <w:hideMark/>
          </w:tcPr>
          <w:p w14:paraId="63662558"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6263D2E2" w14:textId="467BD3CF"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(0.158)</w:t>
            </w:r>
          </w:p>
        </w:tc>
        <w:tc>
          <w:tcPr>
            <w:tcW w:w="2552" w:type="dxa"/>
            <w:noWrap/>
            <w:vAlign w:val="bottom"/>
          </w:tcPr>
          <w:p w14:paraId="2A9E1DD1" w14:textId="2C209EEB"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(0.253)</w:t>
            </w:r>
          </w:p>
        </w:tc>
      </w:tr>
      <w:tr w:rsidR="0064449A" w:rsidRPr="006B7FB1" w14:paraId="2C611591" w14:textId="77777777" w:rsidTr="00800BF9">
        <w:trPr>
          <w:trHeight w:hRule="exact" w:val="255"/>
          <w:jc w:val="center"/>
        </w:trPr>
        <w:tc>
          <w:tcPr>
            <w:tcW w:w="1838" w:type="dxa"/>
            <w:vMerge w:val="restart"/>
            <w:noWrap/>
            <w:hideMark/>
          </w:tcPr>
          <w:p w14:paraId="4D4F18BC"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roofErr w:type="spellStart"/>
            <w:r w:rsidRPr="006B7FB1">
              <w:rPr>
                <w:rFonts w:eastAsia="Times New Roman" w:cs="Calibri"/>
                <w:sz w:val="20"/>
                <w:szCs w:val="20"/>
                <w:lang w:val="nb-NO" w:eastAsia="nb-NO"/>
              </w:rPr>
              <w:t>Turnout</w:t>
            </w:r>
            <w:proofErr w:type="spellEnd"/>
          </w:p>
        </w:tc>
        <w:tc>
          <w:tcPr>
            <w:tcW w:w="2552" w:type="dxa"/>
            <w:noWrap/>
            <w:vAlign w:val="bottom"/>
          </w:tcPr>
          <w:p w14:paraId="1277F651" w14:textId="38679A68"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0.003</w:t>
            </w:r>
          </w:p>
        </w:tc>
        <w:tc>
          <w:tcPr>
            <w:tcW w:w="2552" w:type="dxa"/>
            <w:noWrap/>
            <w:vAlign w:val="bottom"/>
          </w:tcPr>
          <w:p w14:paraId="1F314264" w14:textId="554E0CDA"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0.003</w:t>
            </w:r>
          </w:p>
        </w:tc>
      </w:tr>
      <w:tr w:rsidR="0064449A" w:rsidRPr="006B7FB1" w14:paraId="0F408550" w14:textId="77777777" w:rsidTr="00800BF9">
        <w:trPr>
          <w:trHeight w:hRule="exact" w:val="255"/>
          <w:jc w:val="center"/>
        </w:trPr>
        <w:tc>
          <w:tcPr>
            <w:tcW w:w="1838" w:type="dxa"/>
            <w:vMerge/>
            <w:noWrap/>
            <w:hideMark/>
          </w:tcPr>
          <w:p w14:paraId="2385209D"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64AC9E04" w14:textId="4AC658F0"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(0.003)</w:t>
            </w:r>
          </w:p>
        </w:tc>
        <w:tc>
          <w:tcPr>
            <w:tcW w:w="2552" w:type="dxa"/>
            <w:noWrap/>
            <w:vAlign w:val="bottom"/>
          </w:tcPr>
          <w:p w14:paraId="4D36FE9B" w14:textId="0A8B004D"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(0.014)</w:t>
            </w:r>
          </w:p>
        </w:tc>
      </w:tr>
      <w:tr w:rsidR="0064449A" w:rsidRPr="006B7FB1" w14:paraId="49AABBE9" w14:textId="77777777" w:rsidTr="00800BF9">
        <w:trPr>
          <w:trHeight w:hRule="exact" w:val="255"/>
          <w:jc w:val="center"/>
        </w:trPr>
        <w:tc>
          <w:tcPr>
            <w:tcW w:w="1838" w:type="dxa"/>
            <w:vMerge w:val="restart"/>
            <w:noWrap/>
            <w:hideMark/>
          </w:tcPr>
          <w:p w14:paraId="3947170B"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B7FB1">
              <w:rPr>
                <w:rFonts w:eastAsia="Times New Roman" w:cs="Calibri"/>
                <w:sz w:val="20"/>
                <w:szCs w:val="20"/>
                <w:lang w:val="nb-NO" w:eastAsia="nb-NO"/>
              </w:rPr>
              <w:t xml:space="preserve">Time </w:t>
            </w:r>
            <w:proofErr w:type="spellStart"/>
            <w:r w:rsidRPr="006B7FB1">
              <w:rPr>
                <w:rFonts w:eastAsia="Times New Roman" w:cs="Calibri"/>
                <w:sz w:val="20"/>
                <w:szCs w:val="20"/>
                <w:lang w:val="nb-NO" w:eastAsia="nb-NO"/>
              </w:rPr>
              <w:t>counter</w:t>
            </w:r>
            <w:proofErr w:type="spellEnd"/>
          </w:p>
        </w:tc>
        <w:tc>
          <w:tcPr>
            <w:tcW w:w="2552" w:type="dxa"/>
            <w:noWrap/>
            <w:vAlign w:val="bottom"/>
          </w:tcPr>
          <w:p w14:paraId="339E5AD9" w14:textId="7206377B"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0.022***</w:t>
            </w:r>
          </w:p>
        </w:tc>
        <w:tc>
          <w:tcPr>
            <w:tcW w:w="2552" w:type="dxa"/>
            <w:noWrap/>
            <w:vAlign w:val="bottom"/>
          </w:tcPr>
          <w:p w14:paraId="5D0FFD7D" w14:textId="4589C54D"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-0.010***</w:t>
            </w:r>
          </w:p>
        </w:tc>
      </w:tr>
      <w:tr w:rsidR="0064449A" w:rsidRPr="006B7FB1" w14:paraId="22AC4815" w14:textId="77777777" w:rsidTr="00800BF9">
        <w:trPr>
          <w:trHeight w:hRule="exact" w:val="255"/>
          <w:jc w:val="center"/>
        </w:trPr>
        <w:tc>
          <w:tcPr>
            <w:tcW w:w="1838" w:type="dxa"/>
            <w:vMerge/>
            <w:noWrap/>
            <w:hideMark/>
          </w:tcPr>
          <w:p w14:paraId="35F7BB0D"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6C1ECC30" w14:textId="59C17EFA"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(0.004)</w:t>
            </w:r>
          </w:p>
        </w:tc>
        <w:tc>
          <w:tcPr>
            <w:tcW w:w="2552" w:type="dxa"/>
            <w:noWrap/>
            <w:vAlign w:val="bottom"/>
          </w:tcPr>
          <w:p w14:paraId="748C41A6" w14:textId="4D3E750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(0.002)</w:t>
            </w:r>
          </w:p>
        </w:tc>
      </w:tr>
      <w:tr w:rsidR="0064449A" w:rsidRPr="006B7FB1" w14:paraId="01E5A5F1" w14:textId="77777777" w:rsidTr="00800BF9">
        <w:trPr>
          <w:trHeight w:hRule="exact" w:val="255"/>
          <w:jc w:val="center"/>
        </w:trPr>
        <w:tc>
          <w:tcPr>
            <w:tcW w:w="1838" w:type="dxa"/>
            <w:vMerge w:val="restart"/>
            <w:noWrap/>
            <w:hideMark/>
          </w:tcPr>
          <w:p w14:paraId="4656091F"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roofErr w:type="spellStart"/>
            <w:r w:rsidRPr="006B7FB1">
              <w:rPr>
                <w:rFonts w:eastAsia="Times New Roman" w:cs="Calibri"/>
                <w:sz w:val="20"/>
                <w:szCs w:val="20"/>
                <w:lang w:val="nb-NO" w:eastAsia="nb-NO"/>
              </w:rPr>
              <w:t>Election</w:t>
            </w:r>
            <w:proofErr w:type="spellEnd"/>
            <w:r w:rsidRPr="006B7FB1">
              <w:rPr>
                <w:rFonts w:eastAsia="Times New Roman" w:cs="Calibri"/>
                <w:sz w:val="20"/>
                <w:szCs w:val="20"/>
                <w:lang w:val="nb-NO" w:eastAsia="nb-NO"/>
              </w:rPr>
              <w:t xml:space="preserve"> </w:t>
            </w:r>
            <w:proofErr w:type="spellStart"/>
            <w:r w:rsidRPr="006B7FB1">
              <w:rPr>
                <w:rFonts w:eastAsia="Times New Roman" w:cs="Calibri"/>
                <w:sz w:val="20"/>
                <w:szCs w:val="20"/>
                <w:lang w:val="nb-NO" w:eastAsia="nb-NO"/>
              </w:rPr>
              <w:t>period</w:t>
            </w:r>
            <w:proofErr w:type="spellEnd"/>
          </w:p>
        </w:tc>
        <w:tc>
          <w:tcPr>
            <w:tcW w:w="2552" w:type="dxa"/>
            <w:noWrap/>
            <w:vAlign w:val="bottom"/>
          </w:tcPr>
          <w:p w14:paraId="7FBF9C5F" w14:textId="0B46FCD5"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0.326***</w:t>
            </w:r>
          </w:p>
        </w:tc>
        <w:tc>
          <w:tcPr>
            <w:tcW w:w="2552" w:type="dxa"/>
            <w:noWrap/>
            <w:vAlign w:val="bottom"/>
          </w:tcPr>
          <w:p w14:paraId="74DEDED2" w14:textId="5F23764D"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-0.128**</w:t>
            </w:r>
          </w:p>
        </w:tc>
      </w:tr>
      <w:tr w:rsidR="0064449A" w:rsidRPr="006B7FB1" w14:paraId="3DF6A587" w14:textId="77777777" w:rsidTr="00800BF9">
        <w:trPr>
          <w:trHeight w:hRule="exact" w:val="255"/>
          <w:jc w:val="center"/>
        </w:trPr>
        <w:tc>
          <w:tcPr>
            <w:tcW w:w="1838" w:type="dxa"/>
            <w:vMerge/>
            <w:noWrap/>
            <w:hideMark/>
          </w:tcPr>
          <w:p w14:paraId="621BAE2B"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1B34895A" w14:textId="7DA6CF1C"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(0.032)</w:t>
            </w:r>
          </w:p>
        </w:tc>
        <w:tc>
          <w:tcPr>
            <w:tcW w:w="2552" w:type="dxa"/>
            <w:noWrap/>
            <w:vAlign w:val="bottom"/>
          </w:tcPr>
          <w:p w14:paraId="4985F04D" w14:textId="3C21F62D"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(0.056)</w:t>
            </w:r>
          </w:p>
        </w:tc>
      </w:tr>
      <w:tr w:rsidR="0064449A" w:rsidRPr="006B7FB1" w14:paraId="12DCBC3E" w14:textId="77777777" w:rsidTr="00800BF9">
        <w:trPr>
          <w:trHeight w:hRule="exact" w:val="255"/>
          <w:jc w:val="center"/>
        </w:trPr>
        <w:tc>
          <w:tcPr>
            <w:tcW w:w="1838" w:type="dxa"/>
            <w:vMerge w:val="restart"/>
            <w:noWrap/>
            <w:hideMark/>
          </w:tcPr>
          <w:p w14:paraId="3A390848"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roofErr w:type="spellStart"/>
            <w:r w:rsidRPr="006B7FB1">
              <w:rPr>
                <w:rFonts w:eastAsia="Times New Roman" w:cs="Calibri"/>
                <w:sz w:val="20"/>
                <w:szCs w:val="20"/>
                <w:lang w:val="nb-NO" w:eastAsia="nb-NO"/>
              </w:rPr>
              <w:t>Months</w:t>
            </w:r>
            <w:proofErr w:type="spellEnd"/>
            <w:r w:rsidRPr="006B7FB1">
              <w:rPr>
                <w:rFonts w:eastAsia="Times New Roman" w:cs="Calibri"/>
                <w:sz w:val="20"/>
                <w:szCs w:val="20"/>
                <w:lang w:val="nb-NO" w:eastAsia="nb-NO"/>
              </w:rPr>
              <w:t xml:space="preserve"> </w:t>
            </w:r>
            <w:proofErr w:type="spellStart"/>
            <w:r w:rsidRPr="006B7FB1">
              <w:rPr>
                <w:rFonts w:eastAsia="Times New Roman" w:cs="Calibri"/>
                <w:sz w:val="20"/>
                <w:szCs w:val="20"/>
                <w:lang w:val="nb-NO" w:eastAsia="nb-NO"/>
              </w:rPr>
              <w:t>since</w:t>
            </w:r>
            <w:proofErr w:type="spellEnd"/>
            <w:r w:rsidRPr="006B7FB1">
              <w:rPr>
                <w:rFonts w:eastAsia="Times New Roman" w:cs="Calibri"/>
                <w:sz w:val="20"/>
                <w:szCs w:val="20"/>
                <w:lang w:val="nb-NO" w:eastAsia="nb-NO"/>
              </w:rPr>
              <w:t xml:space="preserve"> </w:t>
            </w:r>
            <w:proofErr w:type="spellStart"/>
            <w:r w:rsidRPr="006B7FB1">
              <w:rPr>
                <w:rFonts w:eastAsia="Times New Roman" w:cs="Calibri"/>
                <w:sz w:val="20"/>
                <w:szCs w:val="20"/>
                <w:lang w:val="nb-NO" w:eastAsia="nb-NO"/>
              </w:rPr>
              <w:t>prev</w:t>
            </w:r>
            <w:proofErr w:type="spellEnd"/>
            <w:r w:rsidRPr="006B7FB1">
              <w:rPr>
                <w:rFonts w:eastAsia="Times New Roman" w:cs="Calibri"/>
                <w:sz w:val="20"/>
                <w:szCs w:val="20"/>
                <w:lang w:val="nb-NO" w:eastAsia="nb-NO"/>
              </w:rPr>
              <w:t xml:space="preserve"> </w:t>
            </w:r>
            <w:proofErr w:type="spellStart"/>
            <w:r w:rsidRPr="006B7FB1">
              <w:rPr>
                <w:rFonts w:eastAsia="Times New Roman" w:cs="Calibri"/>
                <w:sz w:val="20"/>
                <w:szCs w:val="20"/>
                <w:lang w:val="nb-NO" w:eastAsia="nb-NO"/>
              </w:rPr>
              <w:t>election</w:t>
            </w:r>
            <w:proofErr w:type="spellEnd"/>
          </w:p>
        </w:tc>
        <w:tc>
          <w:tcPr>
            <w:tcW w:w="2552" w:type="dxa"/>
            <w:noWrap/>
            <w:vAlign w:val="bottom"/>
          </w:tcPr>
          <w:p w14:paraId="3C5D41D2" w14:textId="2C94866A"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-0.003***</w:t>
            </w:r>
          </w:p>
        </w:tc>
        <w:tc>
          <w:tcPr>
            <w:tcW w:w="2552" w:type="dxa"/>
            <w:noWrap/>
            <w:vAlign w:val="bottom"/>
          </w:tcPr>
          <w:p w14:paraId="60B2EF80" w14:textId="56829218"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-0.003**</w:t>
            </w:r>
          </w:p>
        </w:tc>
      </w:tr>
      <w:tr w:rsidR="0064449A" w:rsidRPr="006B7FB1" w14:paraId="53A07D3E" w14:textId="77777777" w:rsidTr="00800BF9">
        <w:trPr>
          <w:trHeight w:hRule="exact" w:val="255"/>
          <w:jc w:val="center"/>
        </w:trPr>
        <w:tc>
          <w:tcPr>
            <w:tcW w:w="1838" w:type="dxa"/>
            <w:vMerge/>
            <w:noWrap/>
            <w:hideMark/>
          </w:tcPr>
          <w:p w14:paraId="392E4042"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1E0CE117" w14:textId="22FFB87C"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(0.001)</w:t>
            </w:r>
          </w:p>
        </w:tc>
        <w:tc>
          <w:tcPr>
            <w:tcW w:w="2552" w:type="dxa"/>
            <w:noWrap/>
            <w:vAlign w:val="bottom"/>
          </w:tcPr>
          <w:p w14:paraId="6F23F33D" w14:textId="2851C068"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(0.001)</w:t>
            </w:r>
          </w:p>
        </w:tc>
      </w:tr>
      <w:tr w:rsidR="0064449A" w:rsidRPr="006B7FB1" w14:paraId="149A7A43" w14:textId="77777777" w:rsidTr="00800BF9">
        <w:trPr>
          <w:trHeight w:hRule="exact" w:val="255"/>
          <w:jc w:val="center"/>
        </w:trPr>
        <w:tc>
          <w:tcPr>
            <w:tcW w:w="1838" w:type="dxa"/>
            <w:vMerge w:val="restart"/>
            <w:noWrap/>
          </w:tcPr>
          <w:p w14:paraId="4EF18E09"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B7FB1">
              <w:rPr>
                <w:rFonts w:eastAsia="Times New Roman" w:cs="Calibri"/>
                <w:sz w:val="20"/>
                <w:szCs w:val="20"/>
                <w:lang w:val="nb-NO" w:eastAsia="nb-NO"/>
              </w:rPr>
              <w:t xml:space="preserve">Committee </w:t>
            </w:r>
            <w:proofErr w:type="spellStart"/>
            <w:r w:rsidRPr="006B7FB1">
              <w:rPr>
                <w:rFonts w:eastAsia="Times New Roman" w:cs="Calibri"/>
                <w:sz w:val="20"/>
                <w:szCs w:val="20"/>
                <w:lang w:val="nb-NO" w:eastAsia="nb-NO"/>
              </w:rPr>
              <w:t>leadership</w:t>
            </w:r>
            <w:proofErr w:type="spellEnd"/>
          </w:p>
        </w:tc>
        <w:tc>
          <w:tcPr>
            <w:tcW w:w="2552" w:type="dxa"/>
            <w:noWrap/>
            <w:vAlign w:val="bottom"/>
          </w:tcPr>
          <w:p w14:paraId="50B6ECE9"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14AB783F" w14:textId="6A67F78B"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0.334***</w:t>
            </w:r>
          </w:p>
        </w:tc>
      </w:tr>
      <w:tr w:rsidR="0064449A" w:rsidRPr="006B7FB1" w14:paraId="598074A5" w14:textId="77777777" w:rsidTr="00800BF9">
        <w:trPr>
          <w:trHeight w:hRule="exact" w:val="255"/>
          <w:jc w:val="center"/>
        </w:trPr>
        <w:tc>
          <w:tcPr>
            <w:tcW w:w="1838" w:type="dxa"/>
            <w:vMerge/>
            <w:noWrap/>
          </w:tcPr>
          <w:p w14:paraId="055127B9"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26D43818"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3678C35E" w14:textId="0E817EC2"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(0.046)</w:t>
            </w:r>
          </w:p>
        </w:tc>
      </w:tr>
      <w:tr w:rsidR="0064449A" w:rsidRPr="006B7FB1" w14:paraId="34CBA3C4" w14:textId="77777777" w:rsidTr="00800BF9">
        <w:trPr>
          <w:trHeight w:hRule="exact" w:val="255"/>
          <w:jc w:val="center"/>
        </w:trPr>
        <w:tc>
          <w:tcPr>
            <w:tcW w:w="1838" w:type="dxa"/>
            <w:vMerge w:val="restart"/>
            <w:noWrap/>
          </w:tcPr>
          <w:p w14:paraId="3007D4EE" w14:textId="064110EE"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B7FB1">
              <w:rPr>
                <w:rFonts w:eastAsia="Times New Roman" w:cs="Calibri"/>
                <w:sz w:val="20"/>
                <w:szCs w:val="20"/>
                <w:lang w:val="nb-NO" w:eastAsia="nb-NO"/>
              </w:rPr>
              <w:t>Committee, «hard»</w:t>
            </w:r>
          </w:p>
        </w:tc>
        <w:tc>
          <w:tcPr>
            <w:tcW w:w="2552" w:type="dxa"/>
            <w:noWrap/>
            <w:vAlign w:val="bottom"/>
          </w:tcPr>
          <w:p w14:paraId="55C9685F" w14:textId="7D5350AD"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2AB5F162" w14:textId="2EC644DD"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-0.323***</w:t>
            </w:r>
          </w:p>
        </w:tc>
      </w:tr>
      <w:tr w:rsidR="0064449A" w:rsidRPr="006B7FB1" w14:paraId="1D7D8BD4" w14:textId="77777777" w:rsidTr="00800BF9">
        <w:trPr>
          <w:trHeight w:hRule="exact" w:val="255"/>
          <w:jc w:val="center"/>
        </w:trPr>
        <w:tc>
          <w:tcPr>
            <w:tcW w:w="1838" w:type="dxa"/>
            <w:vMerge/>
            <w:noWrap/>
          </w:tcPr>
          <w:p w14:paraId="035676DD"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47A74890" w14:textId="004B006D"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77978643" w14:textId="1FBF83FA"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(0.058)</w:t>
            </w:r>
          </w:p>
        </w:tc>
      </w:tr>
      <w:tr w:rsidR="0064449A" w:rsidRPr="006B7FB1" w14:paraId="3492F651" w14:textId="77777777" w:rsidTr="00800BF9">
        <w:trPr>
          <w:trHeight w:hRule="exact" w:val="255"/>
          <w:jc w:val="center"/>
        </w:trPr>
        <w:tc>
          <w:tcPr>
            <w:tcW w:w="1838" w:type="dxa"/>
            <w:vMerge w:val="restart"/>
            <w:noWrap/>
            <w:hideMark/>
          </w:tcPr>
          <w:p w14:paraId="070F0C02" w14:textId="3ED4B52C" w:rsidR="0064449A" w:rsidRPr="006B7FB1" w:rsidRDefault="0064449A" w:rsidP="0064449A">
            <w:pPr>
              <w:widowControl/>
              <w:autoSpaceDE/>
              <w:autoSpaceDN/>
              <w:spacing w:after="0" w:line="240" w:lineRule="auto"/>
              <w:jc w:val="center"/>
              <w:rPr>
                <w:rFonts w:eastAsia="Times New Roman" w:cs="Calibri"/>
                <w:sz w:val="20"/>
                <w:szCs w:val="20"/>
                <w:lang w:eastAsia="nb-NO"/>
              </w:rPr>
            </w:pPr>
            <w:r w:rsidRPr="006B7FB1">
              <w:rPr>
                <w:rFonts w:eastAsia="Times New Roman" w:cs="Calibri"/>
                <w:sz w:val="20"/>
                <w:szCs w:val="20"/>
                <w:lang w:eastAsia="nb-NO"/>
              </w:rPr>
              <w:t>Fem X Distance to capital</w:t>
            </w:r>
          </w:p>
        </w:tc>
        <w:tc>
          <w:tcPr>
            <w:tcW w:w="2552" w:type="dxa"/>
            <w:noWrap/>
            <w:vAlign w:val="bottom"/>
          </w:tcPr>
          <w:p w14:paraId="7588BEEF" w14:textId="7F26354F"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-0.941***</w:t>
            </w:r>
          </w:p>
        </w:tc>
        <w:tc>
          <w:tcPr>
            <w:tcW w:w="2552" w:type="dxa"/>
            <w:noWrap/>
            <w:vAlign w:val="bottom"/>
          </w:tcPr>
          <w:p w14:paraId="1A11C69F"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
        </w:tc>
      </w:tr>
      <w:tr w:rsidR="0064449A" w:rsidRPr="006B7FB1" w14:paraId="11EDBBFF" w14:textId="77777777" w:rsidTr="00800BF9">
        <w:trPr>
          <w:trHeight w:hRule="exact" w:val="255"/>
          <w:jc w:val="center"/>
        </w:trPr>
        <w:tc>
          <w:tcPr>
            <w:tcW w:w="1838" w:type="dxa"/>
            <w:vMerge/>
            <w:noWrap/>
            <w:hideMark/>
          </w:tcPr>
          <w:p w14:paraId="05004A56" w14:textId="77777777" w:rsidR="0064449A" w:rsidRPr="006B7FB1" w:rsidRDefault="0064449A" w:rsidP="0064449A">
            <w:pPr>
              <w:widowControl/>
              <w:autoSpaceDE/>
              <w:autoSpaceDN/>
              <w:spacing w:after="0" w:line="240" w:lineRule="auto"/>
              <w:jc w:val="center"/>
              <w:rPr>
                <w:rFonts w:eastAsia="Times New Roman" w:cs="Times New Roman"/>
                <w:sz w:val="20"/>
                <w:szCs w:val="20"/>
                <w:lang w:val="nb-NO" w:eastAsia="nb-NO"/>
              </w:rPr>
            </w:pPr>
          </w:p>
        </w:tc>
        <w:tc>
          <w:tcPr>
            <w:tcW w:w="2552" w:type="dxa"/>
            <w:noWrap/>
            <w:vAlign w:val="bottom"/>
          </w:tcPr>
          <w:p w14:paraId="180FEDFA" w14:textId="37AC8F94"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(0.324)</w:t>
            </w:r>
          </w:p>
        </w:tc>
        <w:tc>
          <w:tcPr>
            <w:tcW w:w="2552" w:type="dxa"/>
            <w:noWrap/>
            <w:vAlign w:val="bottom"/>
          </w:tcPr>
          <w:p w14:paraId="3629562E"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
        </w:tc>
      </w:tr>
      <w:tr w:rsidR="0064449A" w:rsidRPr="006B7FB1" w14:paraId="4CC323F7" w14:textId="77777777" w:rsidTr="00800BF9">
        <w:trPr>
          <w:trHeight w:hRule="exact" w:val="255"/>
          <w:jc w:val="center"/>
        </w:trPr>
        <w:tc>
          <w:tcPr>
            <w:tcW w:w="1838" w:type="dxa"/>
            <w:vMerge w:val="restart"/>
            <w:noWrap/>
          </w:tcPr>
          <w:p w14:paraId="35330E25" w14:textId="5A10271A" w:rsidR="0064449A" w:rsidRPr="006B7FB1" w:rsidRDefault="0064449A" w:rsidP="0064449A">
            <w:pPr>
              <w:widowControl/>
              <w:autoSpaceDE/>
              <w:autoSpaceDN/>
              <w:spacing w:after="0" w:line="240" w:lineRule="auto"/>
              <w:jc w:val="center"/>
              <w:rPr>
                <w:rFonts w:eastAsia="Times New Roman" w:cs="Times New Roman"/>
                <w:sz w:val="20"/>
                <w:szCs w:val="20"/>
                <w:lang w:eastAsia="nb-NO"/>
              </w:rPr>
            </w:pPr>
            <w:r w:rsidRPr="006B7FB1">
              <w:rPr>
                <w:rFonts w:eastAsia="Times New Roman" w:cs="Calibri"/>
                <w:sz w:val="20"/>
                <w:szCs w:val="20"/>
                <w:lang w:eastAsia="nb-NO"/>
              </w:rPr>
              <w:t>Fem X District size in seats</w:t>
            </w:r>
          </w:p>
        </w:tc>
        <w:tc>
          <w:tcPr>
            <w:tcW w:w="2552" w:type="dxa"/>
            <w:noWrap/>
            <w:vAlign w:val="bottom"/>
          </w:tcPr>
          <w:p w14:paraId="14C5C41B" w14:textId="29744A24" w:rsidR="0064449A" w:rsidRPr="00114B14" w:rsidRDefault="0064449A" w:rsidP="0064449A">
            <w:pPr>
              <w:widowControl/>
              <w:autoSpaceDE/>
              <w:autoSpaceDN/>
              <w:spacing w:after="0" w:line="240" w:lineRule="auto"/>
              <w:jc w:val="center"/>
              <w:rPr>
                <w:rFonts w:eastAsia="Times New Roman" w:cs="Calibri"/>
                <w:sz w:val="20"/>
                <w:szCs w:val="20"/>
                <w:lang w:eastAsia="nb-NO"/>
              </w:rPr>
            </w:pPr>
          </w:p>
        </w:tc>
        <w:tc>
          <w:tcPr>
            <w:tcW w:w="2552" w:type="dxa"/>
            <w:noWrap/>
            <w:vAlign w:val="bottom"/>
          </w:tcPr>
          <w:p w14:paraId="020102BA" w14:textId="786C8D2A"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-0.002</w:t>
            </w:r>
          </w:p>
        </w:tc>
      </w:tr>
      <w:tr w:rsidR="0064449A" w:rsidRPr="006B7FB1" w14:paraId="499D6182" w14:textId="77777777" w:rsidTr="00800BF9">
        <w:trPr>
          <w:trHeight w:hRule="exact" w:val="255"/>
          <w:jc w:val="center"/>
        </w:trPr>
        <w:tc>
          <w:tcPr>
            <w:tcW w:w="1838" w:type="dxa"/>
            <w:vMerge/>
            <w:noWrap/>
          </w:tcPr>
          <w:p w14:paraId="012BD24F" w14:textId="77777777" w:rsidR="0064449A" w:rsidRPr="006B7FB1" w:rsidRDefault="0064449A" w:rsidP="0064449A">
            <w:pPr>
              <w:widowControl/>
              <w:autoSpaceDE/>
              <w:autoSpaceDN/>
              <w:spacing w:after="0" w:line="240" w:lineRule="auto"/>
              <w:jc w:val="center"/>
              <w:rPr>
                <w:rFonts w:eastAsia="Times New Roman" w:cs="Times New Roman"/>
                <w:sz w:val="20"/>
                <w:szCs w:val="20"/>
                <w:lang w:val="nb-NO" w:eastAsia="nb-NO"/>
              </w:rPr>
            </w:pPr>
          </w:p>
        </w:tc>
        <w:tc>
          <w:tcPr>
            <w:tcW w:w="2552" w:type="dxa"/>
            <w:noWrap/>
            <w:vAlign w:val="bottom"/>
          </w:tcPr>
          <w:p w14:paraId="0A1CB455" w14:textId="425F2FC5"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0A3ED3E4" w14:textId="32B8F310"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(0.027)</w:t>
            </w:r>
          </w:p>
        </w:tc>
      </w:tr>
      <w:tr w:rsidR="0064449A" w:rsidRPr="006B7FB1" w14:paraId="2C0AAF2F" w14:textId="77777777" w:rsidTr="00800BF9">
        <w:trPr>
          <w:trHeight w:hRule="exact" w:val="255"/>
          <w:jc w:val="center"/>
        </w:trPr>
        <w:tc>
          <w:tcPr>
            <w:tcW w:w="1838" w:type="dxa"/>
            <w:vMerge w:val="restart"/>
            <w:noWrap/>
            <w:hideMark/>
          </w:tcPr>
          <w:p w14:paraId="6851DF41" w14:textId="08722F01"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roofErr w:type="spellStart"/>
            <w:r w:rsidRPr="006B7FB1">
              <w:rPr>
                <w:rFonts w:eastAsia="Times New Roman" w:cs="Calibri"/>
                <w:sz w:val="20"/>
                <w:szCs w:val="20"/>
                <w:lang w:val="nb-NO" w:eastAsia="nb-NO"/>
              </w:rPr>
              <w:t>Constant</w:t>
            </w:r>
            <w:proofErr w:type="spellEnd"/>
          </w:p>
        </w:tc>
        <w:tc>
          <w:tcPr>
            <w:tcW w:w="2552" w:type="dxa"/>
            <w:noWrap/>
            <w:vAlign w:val="bottom"/>
          </w:tcPr>
          <w:p w14:paraId="0B9358AE" w14:textId="5DFB0E19"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-9.691***</w:t>
            </w:r>
          </w:p>
        </w:tc>
        <w:tc>
          <w:tcPr>
            <w:tcW w:w="2552" w:type="dxa"/>
            <w:noWrap/>
            <w:vAlign w:val="bottom"/>
          </w:tcPr>
          <w:p w14:paraId="2EBDD1CB" w14:textId="7EBF486F"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3.603***</w:t>
            </w:r>
          </w:p>
        </w:tc>
      </w:tr>
      <w:tr w:rsidR="0064449A" w:rsidRPr="006B7FB1" w14:paraId="4BFD178F" w14:textId="77777777" w:rsidTr="00800BF9">
        <w:trPr>
          <w:trHeight w:hRule="exact" w:val="255"/>
          <w:jc w:val="center"/>
        </w:trPr>
        <w:tc>
          <w:tcPr>
            <w:tcW w:w="1838" w:type="dxa"/>
            <w:vMerge/>
            <w:noWrap/>
            <w:hideMark/>
          </w:tcPr>
          <w:p w14:paraId="30EF58BF"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648B6315" w14:textId="4EDB33B4"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(1.285)</w:t>
            </w:r>
          </w:p>
        </w:tc>
        <w:tc>
          <w:tcPr>
            <w:tcW w:w="2552" w:type="dxa"/>
            <w:noWrap/>
            <w:vAlign w:val="bottom"/>
          </w:tcPr>
          <w:p w14:paraId="52650ED2" w14:textId="2F142A6C"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(1.283)</w:t>
            </w:r>
          </w:p>
        </w:tc>
      </w:tr>
      <w:tr w:rsidR="0064449A" w:rsidRPr="006B7FB1" w14:paraId="1526C231" w14:textId="77777777" w:rsidTr="00800BF9">
        <w:trPr>
          <w:trHeight w:hRule="exact" w:val="255"/>
          <w:jc w:val="center"/>
        </w:trPr>
        <w:tc>
          <w:tcPr>
            <w:tcW w:w="1838" w:type="dxa"/>
            <w:vMerge w:val="restart"/>
            <w:noWrap/>
            <w:hideMark/>
          </w:tcPr>
          <w:p w14:paraId="477D9DD8" w14:textId="1F81E101"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B7FB1">
              <w:rPr>
                <w:rFonts w:eastAsia="Times New Roman" w:cs="Calibri"/>
                <w:sz w:val="20"/>
                <w:szCs w:val="20"/>
                <w:lang w:val="nb-NO" w:eastAsia="nb-NO"/>
              </w:rPr>
              <w:t>Ln Alpha</w:t>
            </w:r>
          </w:p>
        </w:tc>
        <w:tc>
          <w:tcPr>
            <w:tcW w:w="2552" w:type="dxa"/>
            <w:noWrap/>
            <w:vAlign w:val="bottom"/>
          </w:tcPr>
          <w:p w14:paraId="313732B1" w14:textId="748980E8"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0.166***</w:t>
            </w:r>
          </w:p>
        </w:tc>
        <w:tc>
          <w:tcPr>
            <w:tcW w:w="2552" w:type="dxa"/>
            <w:noWrap/>
            <w:vAlign w:val="bottom"/>
          </w:tcPr>
          <w:p w14:paraId="2DA08C2A" w14:textId="14D3888F"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0.054**</w:t>
            </w:r>
          </w:p>
        </w:tc>
      </w:tr>
      <w:tr w:rsidR="0064449A" w:rsidRPr="006B7FB1" w14:paraId="7BC287E2" w14:textId="77777777" w:rsidTr="00800BF9">
        <w:trPr>
          <w:trHeight w:hRule="exact" w:val="255"/>
          <w:jc w:val="center"/>
        </w:trPr>
        <w:tc>
          <w:tcPr>
            <w:tcW w:w="1838" w:type="dxa"/>
            <w:vMerge/>
            <w:noWrap/>
            <w:hideMark/>
          </w:tcPr>
          <w:p w14:paraId="0AF483C9"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2F21CF1B" w14:textId="07ACEC54"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(0.010)</w:t>
            </w:r>
          </w:p>
        </w:tc>
        <w:tc>
          <w:tcPr>
            <w:tcW w:w="2552" w:type="dxa"/>
            <w:noWrap/>
            <w:vAlign w:val="bottom"/>
          </w:tcPr>
          <w:p w14:paraId="3F13065E" w14:textId="7BD774CF"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(0.022)</w:t>
            </w:r>
          </w:p>
        </w:tc>
      </w:tr>
      <w:tr w:rsidR="0064449A" w:rsidRPr="006B7FB1" w14:paraId="1A970840" w14:textId="77777777" w:rsidTr="00800BF9">
        <w:trPr>
          <w:trHeight w:hRule="exact" w:val="255"/>
          <w:jc w:val="center"/>
        </w:trPr>
        <w:tc>
          <w:tcPr>
            <w:tcW w:w="1838" w:type="dxa"/>
            <w:vMerge w:val="restart"/>
            <w:noWrap/>
            <w:hideMark/>
          </w:tcPr>
          <w:p w14:paraId="70E3F55D" w14:textId="5FE75B63"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B7FB1">
              <w:rPr>
                <w:rFonts w:eastAsia="Times New Roman" w:cs="Calibri"/>
                <w:sz w:val="20"/>
                <w:szCs w:val="20"/>
                <w:lang w:val="nb-NO" w:eastAsia="nb-NO"/>
              </w:rPr>
              <w:t xml:space="preserve">MP var </w:t>
            </w:r>
            <w:proofErr w:type="spellStart"/>
            <w:r w:rsidRPr="006B7FB1">
              <w:rPr>
                <w:rFonts w:eastAsia="Times New Roman" w:cs="Calibri"/>
                <w:sz w:val="20"/>
                <w:szCs w:val="20"/>
                <w:lang w:val="nb-NO" w:eastAsia="nb-NO"/>
              </w:rPr>
              <w:t>const</w:t>
            </w:r>
            <w:proofErr w:type="spellEnd"/>
          </w:p>
        </w:tc>
        <w:tc>
          <w:tcPr>
            <w:tcW w:w="2552" w:type="dxa"/>
            <w:noWrap/>
            <w:vAlign w:val="bottom"/>
          </w:tcPr>
          <w:p w14:paraId="2D7FE997" w14:textId="5B69C8F4"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1.430***</w:t>
            </w:r>
          </w:p>
        </w:tc>
        <w:tc>
          <w:tcPr>
            <w:tcW w:w="2552" w:type="dxa"/>
            <w:noWrap/>
            <w:vAlign w:val="bottom"/>
          </w:tcPr>
          <w:p w14:paraId="1F310AB8" w14:textId="6C02C222"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1.256***</w:t>
            </w:r>
          </w:p>
        </w:tc>
      </w:tr>
      <w:tr w:rsidR="0064449A" w:rsidRPr="006B7FB1" w14:paraId="6BF48BFA" w14:textId="77777777" w:rsidTr="00800BF9">
        <w:trPr>
          <w:trHeight w:hRule="exact" w:val="255"/>
          <w:jc w:val="center"/>
        </w:trPr>
        <w:tc>
          <w:tcPr>
            <w:tcW w:w="1838" w:type="dxa"/>
            <w:vMerge/>
            <w:noWrap/>
            <w:hideMark/>
          </w:tcPr>
          <w:p w14:paraId="2F24314E"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5E3FD6FD" w14:textId="333F1F10"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(0.067)</w:t>
            </w:r>
          </w:p>
        </w:tc>
        <w:tc>
          <w:tcPr>
            <w:tcW w:w="2552" w:type="dxa"/>
            <w:noWrap/>
            <w:vAlign w:val="bottom"/>
          </w:tcPr>
          <w:p w14:paraId="52279561" w14:textId="2AF7ACC8"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(0.101)</w:t>
            </w:r>
          </w:p>
        </w:tc>
      </w:tr>
      <w:tr w:rsidR="0064449A" w:rsidRPr="006B7FB1" w14:paraId="2301EF99" w14:textId="77777777" w:rsidTr="00800BF9">
        <w:trPr>
          <w:trHeight w:hRule="exact" w:val="255"/>
          <w:jc w:val="center"/>
        </w:trPr>
        <w:tc>
          <w:tcPr>
            <w:tcW w:w="1838" w:type="dxa"/>
            <w:noWrap/>
            <w:hideMark/>
          </w:tcPr>
          <w:p w14:paraId="1FAAD97A" w14:textId="1C1742EE"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B7FB1">
              <w:rPr>
                <w:rFonts w:eastAsia="Times New Roman" w:cs="Calibri"/>
                <w:sz w:val="20"/>
                <w:szCs w:val="20"/>
                <w:lang w:val="nb-NO" w:eastAsia="nb-NO"/>
              </w:rPr>
              <w:t>N</w:t>
            </w:r>
          </w:p>
        </w:tc>
        <w:tc>
          <w:tcPr>
            <w:tcW w:w="2552" w:type="dxa"/>
            <w:noWrap/>
            <w:vAlign w:val="bottom"/>
          </w:tcPr>
          <w:p w14:paraId="78664CFB" w14:textId="3BABB995"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36025</w:t>
            </w:r>
          </w:p>
        </w:tc>
        <w:tc>
          <w:tcPr>
            <w:tcW w:w="2552" w:type="dxa"/>
            <w:noWrap/>
            <w:vAlign w:val="bottom"/>
          </w:tcPr>
          <w:p w14:paraId="07A43066" w14:textId="5644AA75"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7469</w:t>
            </w:r>
          </w:p>
        </w:tc>
      </w:tr>
      <w:tr w:rsidR="0064449A" w:rsidRPr="006B7FB1" w14:paraId="0AF3C2C4" w14:textId="77777777" w:rsidTr="00800BF9">
        <w:trPr>
          <w:trHeight w:hRule="exact" w:val="255"/>
          <w:jc w:val="center"/>
        </w:trPr>
        <w:tc>
          <w:tcPr>
            <w:tcW w:w="1838" w:type="dxa"/>
            <w:noWrap/>
            <w:hideMark/>
          </w:tcPr>
          <w:p w14:paraId="1C518418"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B7FB1">
              <w:rPr>
                <w:rFonts w:eastAsia="Times New Roman" w:cs="Calibri"/>
                <w:sz w:val="20"/>
                <w:szCs w:val="20"/>
                <w:lang w:val="nb-NO" w:eastAsia="nb-NO"/>
              </w:rPr>
              <w:t xml:space="preserve">No. </w:t>
            </w:r>
            <w:proofErr w:type="spellStart"/>
            <w:r w:rsidRPr="006B7FB1">
              <w:rPr>
                <w:rFonts w:eastAsia="Times New Roman" w:cs="Calibri"/>
                <w:sz w:val="20"/>
                <w:szCs w:val="20"/>
                <w:lang w:val="nb-NO" w:eastAsia="nb-NO"/>
              </w:rPr>
              <w:t>of</w:t>
            </w:r>
            <w:proofErr w:type="spellEnd"/>
            <w:r w:rsidRPr="006B7FB1">
              <w:rPr>
                <w:rFonts w:eastAsia="Times New Roman" w:cs="Calibri"/>
                <w:sz w:val="20"/>
                <w:szCs w:val="20"/>
                <w:lang w:val="nb-NO" w:eastAsia="nb-NO"/>
              </w:rPr>
              <w:t xml:space="preserve"> </w:t>
            </w:r>
            <w:proofErr w:type="spellStart"/>
            <w:r w:rsidRPr="006B7FB1">
              <w:rPr>
                <w:rFonts w:eastAsia="Times New Roman" w:cs="Calibri"/>
                <w:sz w:val="20"/>
                <w:szCs w:val="20"/>
                <w:lang w:val="nb-NO" w:eastAsia="nb-NO"/>
              </w:rPr>
              <w:t>groups</w:t>
            </w:r>
            <w:proofErr w:type="spellEnd"/>
          </w:p>
        </w:tc>
        <w:tc>
          <w:tcPr>
            <w:tcW w:w="2552" w:type="dxa"/>
            <w:noWrap/>
            <w:vAlign w:val="bottom"/>
          </w:tcPr>
          <w:p w14:paraId="45854441" w14:textId="3C1DCA00"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1065</w:t>
            </w:r>
          </w:p>
        </w:tc>
        <w:tc>
          <w:tcPr>
            <w:tcW w:w="2552" w:type="dxa"/>
            <w:noWrap/>
            <w:vAlign w:val="bottom"/>
          </w:tcPr>
          <w:p w14:paraId="2498435D" w14:textId="406AE391"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406</w:t>
            </w:r>
          </w:p>
        </w:tc>
      </w:tr>
      <w:tr w:rsidR="0064449A" w:rsidRPr="006B7FB1" w14:paraId="182FF411" w14:textId="77777777" w:rsidTr="00800BF9">
        <w:trPr>
          <w:trHeight w:hRule="exact" w:val="255"/>
          <w:jc w:val="center"/>
        </w:trPr>
        <w:tc>
          <w:tcPr>
            <w:tcW w:w="1838" w:type="dxa"/>
            <w:noWrap/>
            <w:hideMark/>
          </w:tcPr>
          <w:p w14:paraId="44837EF8" w14:textId="7777777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B7FB1">
              <w:rPr>
                <w:rFonts w:eastAsia="Times New Roman" w:cs="Calibri"/>
                <w:sz w:val="20"/>
                <w:szCs w:val="20"/>
                <w:lang w:val="nb-NO" w:eastAsia="nb-NO"/>
              </w:rPr>
              <w:t xml:space="preserve">Log </w:t>
            </w:r>
            <w:proofErr w:type="spellStart"/>
            <w:r w:rsidRPr="006B7FB1">
              <w:rPr>
                <w:rFonts w:eastAsia="Times New Roman" w:cs="Calibri"/>
                <w:sz w:val="20"/>
                <w:szCs w:val="20"/>
                <w:lang w:val="nb-NO" w:eastAsia="nb-NO"/>
              </w:rPr>
              <w:t>likelihood</w:t>
            </w:r>
            <w:proofErr w:type="spellEnd"/>
          </w:p>
        </w:tc>
        <w:tc>
          <w:tcPr>
            <w:tcW w:w="2552" w:type="dxa"/>
            <w:noWrap/>
            <w:vAlign w:val="bottom"/>
          </w:tcPr>
          <w:p w14:paraId="499E50A8" w14:textId="754DC00D"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-97358</w:t>
            </w:r>
          </w:p>
        </w:tc>
        <w:tc>
          <w:tcPr>
            <w:tcW w:w="2552" w:type="dxa"/>
            <w:noWrap/>
            <w:vAlign w:val="bottom"/>
          </w:tcPr>
          <w:p w14:paraId="59891FB6" w14:textId="65E91BC7" w:rsidR="0064449A" w:rsidRPr="006B7FB1" w:rsidRDefault="0064449A" w:rsidP="0064449A">
            <w:pPr>
              <w:widowControl/>
              <w:autoSpaceDE/>
              <w:autoSpaceDN/>
              <w:spacing w:after="0" w:line="240" w:lineRule="auto"/>
              <w:jc w:val="center"/>
              <w:rPr>
                <w:rFonts w:eastAsia="Times New Roman" w:cs="Calibri"/>
                <w:sz w:val="20"/>
                <w:szCs w:val="20"/>
                <w:lang w:val="nb-NO" w:eastAsia="nb-NO"/>
              </w:rPr>
            </w:pPr>
            <w:r w:rsidRPr="0064449A">
              <w:rPr>
                <w:rFonts w:eastAsia="Times New Roman" w:cs="Calibri"/>
                <w:sz w:val="20"/>
                <w:szCs w:val="20"/>
                <w:lang w:val="nb-NO" w:eastAsia="nb-NO"/>
              </w:rPr>
              <w:t>-23492</w:t>
            </w:r>
          </w:p>
        </w:tc>
      </w:tr>
    </w:tbl>
    <w:p w14:paraId="02B2DDF6" w14:textId="0BF633A1" w:rsidR="002546BE" w:rsidRDefault="002546BE" w:rsidP="00800BF9">
      <w:pPr>
        <w:spacing w:after="0" w:line="240" w:lineRule="auto"/>
        <w:jc w:val="center"/>
        <w:sectPr w:rsidR="002546BE" w:rsidSect="00674288">
          <w:pgSz w:w="12240" w:h="15840"/>
          <w:pgMar w:top="720" w:right="720" w:bottom="720" w:left="720" w:header="720" w:footer="720" w:gutter="0"/>
          <w:cols w:space="720"/>
          <w:docGrid w:linePitch="360"/>
        </w:sectPr>
      </w:pPr>
      <w:r w:rsidRPr="002D7BA5">
        <w:rPr>
          <w:rFonts w:eastAsia="Times New Roman" w:cs="Calibri"/>
          <w:sz w:val="20"/>
          <w:szCs w:val="20"/>
          <w:lang w:eastAsia="nb-NO"/>
        </w:rPr>
        <w:t>Standard errors in parentheses. *** p&lt;0.01, ** p&lt;0.05, * p&lt;0.1 Note 1: UK – Margin of votes. NO – List position</w:t>
      </w:r>
      <w:r>
        <w:rPr>
          <w:rFonts w:eastAsia="Times New Roman" w:cs="Calibri"/>
          <w:sz w:val="20"/>
          <w:szCs w:val="20"/>
          <w:lang w:eastAsia="nb-NO"/>
        </w:rPr>
        <w:t xml:space="preserve"> (inver</w:t>
      </w:r>
      <w:r w:rsidR="00C96328">
        <w:rPr>
          <w:rFonts w:eastAsia="Times New Roman" w:cs="Calibri"/>
          <w:sz w:val="20"/>
          <w:szCs w:val="20"/>
          <w:lang w:eastAsia="nb-NO"/>
        </w:rPr>
        <w:t>t</w:t>
      </w:r>
      <w:r>
        <w:rPr>
          <w:rFonts w:eastAsia="Times New Roman" w:cs="Calibri"/>
          <w:sz w:val="20"/>
          <w:szCs w:val="20"/>
          <w:lang w:eastAsia="nb-NO"/>
        </w:rPr>
        <w:t>ed)</w:t>
      </w:r>
      <w:r w:rsidRPr="002D7BA5">
        <w:rPr>
          <w:rFonts w:eastAsia="Times New Roman" w:cs="Calibri"/>
          <w:sz w:val="20"/>
          <w:szCs w:val="20"/>
          <w:lang w:eastAsia="nb-NO"/>
        </w:rPr>
        <w:t>.</w:t>
      </w:r>
    </w:p>
    <w:p w14:paraId="759CCC33" w14:textId="5759FD07" w:rsidR="00CC2A7B" w:rsidRPr="00634C64" w:rsidRDefault="00CC2A7B" w:rsidP="00CC2A7B">
      <w:pPr>
        <w:pStyle w:val="Figur"/>
        <w:rPr>
          <w:i w:val="0"/>
          <w:iCs w:val="0"/>
        </w:rPr>
      </w:pPr>
      <w:r w:rsidRPr="00634C64">
        <w:rPr>
          <w:i w:val="0"/>
          <w:iCs w:val="0"/>
        </w:rPr>
        <w:lastRenderedPageBreak/>
        <w:t>Table A3. Marginal effect of district size by gender, Norway. Based on Norwegian interaction model reported in Table A2. All covariates held constant at their mean.</w:t>
      </w:r>
    </w:p>
    <w:tbl>
      <w:tblPr>
        <w:tblStyle w:val="Tabellrutenett"/>
        <w:tblW w:w="6032" w:type="dxa"/>
        <w:jc w:val="center"/>
        <w:tblLook w:val="04A0" w:firstRow="1" w:lastRow="0" w:firstColumn="1" w:lastColumn="0" w:noHBand="0" w:noVBand="1"/>
      </w:tblPr>
      <w:tblGrid>
        <w:gridCol w:w="1840"/>
        <w:gridCol w:w="2096"/>
        <w:gridCol w:w="2096"/>
      </w:tblGrid>
      <w:tr w:rsidR="00CC2A7B" w:rsidRPr="006310FD" w14:paraId="663FCBE1" w14:textId="77777777" w:rsidTr="008544A9">
        <w:trPr>
          <w:trHeight w:hRule="exact" w:val="284"/>
          <w:jc w:val="center"/>
        </w:trPr>
        <w:tc>
          <w:tcPr>
            <w:tcW w:w="1840" w:type="dxa"/>
            <w:noWrap/>
            <w:hideMark/>
          </w:tcPr>
          <w:p w14:paraId="1B52B69E" w14:textId="77777777" w:rsidR="00CC2A7B" w:rsidRPr="006310FD" w:rsidRDefault="00CC2A7B" w:rsidP="008544A9">
            <w:pPr>
              <w:jc w:val="center"/>
              <w:rPr>
                <w:lang w:eastAsia="nb-NO"/>
              </w:rPr>
            </w:pPr>
          </w:p>
        </w:tc>
        <w:tc>
          <w:tcPr>
            <w:tcW w:w="2096" w:type="dxa"/>
            <w:noWrap/>
            <w:hideMark/>
          </w:tcPr>
          <w:p w14:paraId="4F348910" w14:textId="77777777" w:rsidR="00CC2A7B" w:rsidRPr="006310FD" w:rsidRDefault="00CC2A7B" w:rsidP="008544A9">
            <w:pPr>
              <w:jc w:val="center"/>
              <w:rPr>
                <w:lang w:val="nb-NO" w:eastAsia="nb-NO"/>
              </w:rPr>
            </w:pPr>
            <w:r>
              <w:rPr>
                <w:lang w:val="nb-NO" w:eastAsia="nb-NO"/>
              </w:rPr>
              <w:t xml:space="preserve">Marginal </w:t>
            </w:r>
            <w:proofErr w:type="spellStart"/>
            <w:r>
              <w:rPr>
                <w:lang w:val="nb-NO" w:eastAsia="nb-NO"/>
              </w:rPr>
              <w:t>effect</w:t>
            </w:r>
            <w:proofErr w:type="spellEnd"/>
          </w:p>
        </w:tc>
        <w:tc>
          <w:tcPr>
            <w:tcW w:w="2096" w:type="dxa"/>
          </w:tcPr>
          <w:p w14:paraId="2D7B1776" w14:textId="77777777" w:rsidR="00CC2A7B" w:rsidRDefault="00CC2A7B" w:rsidP="008544A9">
            <w:pPr>
              <w:jc w:val="center"/>
              <w:rPr>
                <w:lang w:val="nb-NO" w:eastAsia="nb-NO"/>
              </w:rPr>
            </w:pPr>
            <w:proofErr w:type="spellStart"/>
            <w:r>
              <w:rPr>
                <w:lang w:val="nb-NO" w:eastAsia="nb-NO"/>
              </w:rPr>
              <w:t>Std</w:t>
            </w:r>
            <w:proofErr w:type="spellEnd"/>
            <w:r>
              <w:rPr>
                <w:lang w:val="nb-NO" w:eastAsia="nb-NO"/>
              </w:rPr>
              <w:t xml:space="preserve">. </w:t>
            </w:r>
            <w:proofErr w:type="spellStart"/>
            <w:r>
              <w:rPr>
                <w:lang w:val="nb-NO" w:eastAsia="nb-NO"/>
              </w:rPr>
              <w:t>error</w:t>
            </w:r>
            <w:proofErr w:type="spellEnd"/>
          </w:p>
        </w:tc>
      </w:tr>
      <w:tr w:rsidR="00CC2A7B" w:rsidRPr="006310FD" w14:paraId="5C6F8120" w14:textId="77777777" w:rsidTr="008544A9">
        <w:trPr>
          <w:trHeight w:hRule="exact" w:val="284"/>
          <w:jc w:val="center"/>
        </w:trPr>
        <w:tc>
          <w:tcPr>
            <w:tcW w:w="1840" w:type="dxa"/>
            <w:noWrap/>
            <w:hideMark/>
          </w:tcPr>
          <w:p w14:paraId="387D518D" w14:textId="77777777" w:rsidR="00CC2A7B" w:rsidRPr="006310FD" w:rsidRDefault="00CC2A7B" w:rsidP="008544A9">
            <w:pPr>
              <w:jc w:val="center"/>
              <w:rPr>
                <w:lang w:val="nb-NO" w:eastAsia="nb-NO"/>
              </w:rPr>
            </w:pPr>
            <w:r>
              <w:rPr>
                <w:lang w:val="nb-NO" w:eastAsia="nb-NO"/>
              </w:rPr>
              <w:t>Men</w:t>
            </w:r>
          </w:p>
        </w:tc>
        <w:tc>
          <w:tcPr>
            <w:tcW w:w="2096" w:type="dxa"/>
            <w:noWrap/>
            <w:hideMark/>
          </w:tcPr>
          <w:p w14:paraId="3AAE6DC2" w14:textId="5159ED90" w:rsidR="00CC2A7B" w:rsidRPr="006310FD" w:rsidRDefault="00CC2A7B" w:rsidP="008544A9">
            <w:pPr>
              <w:jc w:val="center"/>
              <w:rPr>
                <w:lang w:val="nb-NO" w:eastAsia="nb-NO"/>
              </w:rPr>
            </w:pPr>
            <w:r w:rsidRPr="006310FD">
              <w:rPr>
                <w:lang w:val="nb-NO" w:eastAsia="nb-NO"/>
              </w:rPr>
              <w:t>1.</w:t>
            </w:r>
            <w:r w:rsidR="002D116F">
              <w:rPr>
                <w:lang w:val="nb-NO" w:eastAsia="nb-NO"/>
              </w:rPr>
              <w:t>3</w:t>
            </w:r>
            <w:r w:rsidR="00BA2F64">
              <w:rPr>
                <w:lang w:val="nb-NO" w:eastAsia="nb-NO"/>
              </w:rPr>
              <w:t>7</w:t>
            </w:r>
            <w:r>
              <w:rPr>
                <w:lang w:val="nb-NO" w:eastAsia="nb-NO"/>
              </w:rPr>
              <w:t>***</w:t>
            </w:r>
          </w:p>
        </w:tc>
        <w:tc>
          <w:tcPr>
            <w:tcW w:w="2096" w:type="dxa"/>
          </w:tcPr>
          <w:p w14:paraId="50B575A8" w14:textId="27D347FB" w:rsidR="00CC2A7B" w:rsidRPr="006310FD" w:rsidRDefault="00CC2A7B" w:rsidP="008544A9">
            <w:pPr>
              <w:jc w:val="center"/>
              <w:rPr>
                <w:lang w:val="nb-NO" w:eastAsia="nb-NO"/>
              </w:rPr>
            </w:pPr>
            <w:r>
              <w:rPr>
                <w:lang w:val="nb-NO" w:eastAsia="nb-NO"/>
              </w:rPr>
              <w:t>0.4</w:t>
            </w:r>
            <w:r w:rsidR="00BA2F64">
              <w:rPr>
                <w:lang w:val="nb-NO" w:eastAsia="nb-NO"/>
              </w:rPr>
              <w:t>3</w:t>
            </w:r>
          </w:p>
        </w:tc>
      </w:tr>
      <w:tr w:rsidR="00CC2A7B" w:rsidRPr="006310FD" w14:paraId="75E13D8B" w14:textId="77777777" w:rsidTr="008544A9">
        <w:trPr>
          <w:trHeight w:hRule="exact" w:val="284"/>
          <w:jc w:val="center"/>
        </w:trPr>
        <w:tc>
          <w:tcPr>
            <w:tcW w:w="1840" w:type="dxa"/>
            <w:noWrap/>
            <w:hideMark/>
          </w:tcPr>
          <w:p w14:paraId="3CB99353" w14:textId="77777777" w:rsidR="00CC2A7B" w:rsidRPr="006310FD" w:rsidRDefault="00CC2A7B" w:rsidP="008544A9">
            <w:pPr>
              <w:jc w:val="center"/>
              <w:rPr>
                <w:lang w:val="nb-NO" w:eastAsia="nb-NO"/>
              </w:rPr>
            </w:pPr>
            <w:proofErr w:type="spellStart"/>
            <w:r>
              <w:rPr>
                <w:lang w:val="nb-NO" w:eastAsia="nb-NO"/>
              </w:rPr>
              <w:t>Women</w:t>
            </w:r>
            <w:proofErr w:type="spellEnd"/>
          </w:p>
        </w:tc>
        <w:tc>
          <w:tcPr>
            <w:tcW w:w="2096" w:type="dxa"/>
            <w:noWrap/>
            <w:hideMark/>
          </w:tcPr>
          <w:p w14:paraId="3655A3CE" w14:textId="32B4105B" w:rsidR="00CC2A7B" w:rsidRPr="006310FD" w:rsidRDefault="00CC2A7B" w:rsidP="008544A9">
            <w:pPr>
              <w:jc w:val="center"/>
              <w:rPr>
                <w:lang w:val="nb-NO" w:eastAsia="nb-NO"/>
              </w:rPr>
            </w:pPr>
            <w:r>
              <w:rPr>
                <w:lang w:val="nb-NO" w:eastAsia="nb-NO"/>
              </w:rPr>
              <w:t>0</w:t>
            </w:r>
            <w:r w:rsidRPr="006310FD">
              <w:rPr>
                <w:lang w:val="nb-NO" w:eastAsia="nb-NO"/>
              </w:rPr>
              <w:t>.</w:t>
            </w:r>
            <w:r w:rsidR="002D116F">
              <w:rPr>
                <w:lang w:val="nb-NO" w:eastAsia="nb-NO"/>
              </w:rPr>
              <w:t>8</w:t>
            </w:r>
            <w:r w:rsidR="00BA2F64">
              <w:rPr>
                <w:lang w:val="nb-NO" w:eastAsia="nb-NO"/>
              </w:rPr>
              <w:t>3</w:t>
            </w:r>
            <w:r>
              <w:rPr>
                <w:lang w:val="nb-NO" w:eastAsia="nb-NO"/>
              </w:rPr>
              <w:t>**</w:t>
            </w:r>
          </w:p>
        </w:tc>
        <w:tc>
          <w:tcPr>
            <w:tcW w:w="2096" w:type="dxa"/>
          </w:tcPr>
          <w:p w14:paraId="0E79E8B6" w14:textId="77777777" w:rsidR="00CC2A7B" w:rsidRDefault="00CC2A7B" w:rsidP="008544A9">
            <w:pPr>
              <w:jc w:val="center"/>
              <w:rPr>
                <w:lang w:val="nb-NO" w:eastAsia="nb-NO"/>
              </w:rPr>
            </w:pPr>
            <w:r>
              <w:rPr>
                <w:lang w:val="nb-NO" w:eastAsia="nb-NO"/>
              </w:rPr>
              <w:t>0.33</w:t>
            </w:r>
          </w:p>
        </w:tc>
      </w:tr>
      <w:tr w:rsidR="00CC2A7B" w:rsidRPr="006310FD" w14:paraId="57B195DD" w14:textId="77777777" w:rsidTr="008544A9">
        <w:trPr>
          <w:trHeight w:hRule="exact" w:val="284"/>
          <w:jc w:val="center"/>
        </w:trPr>
        <w:tc>
          <w:tcPr>
            <w:tcW w:w="1840" w:type="dxa"/>
            <w:noWrap/>
          </w:tcPr>
          <w:p w14:paraId="5D02FCDF" w14:textId="77777777" w:rsidR="00CC2A7B" w:rsidRDefault="00CC2A7B" w:rsidP="008544A9">
            <w:pPr>
              <w:jc w:val="center"/>
              <w:rPr>
                <w:lang w:eastAsia="nb-NO"/>
              </w:rPr>
            </w:pPr>
            <w:r>
              <w:rPr>
                <w:lang w:eastAsia="nb-NO"/>
              </w:rPr>
              <w:t>Ratio</w:t>
            </w:r>
          </w:p>
        </w:tc>
        <w:tc>
          <w:tcPr>
            <w:tcW w:w="2096" w:type="dxa"/>
            <w:noWrap/>
          </w:tcPr>
          <w:p w14:paraId="56ABEF1F" w14:textId="1A3E780E" w:rsidR="00CC2A7B" w:rsidRDefault="00CC2A7B" w:rsidP="008544A9">
            <w:pPr>
              <w:jc w:val="center"/>
              <w:rPr>
                <w:lang w:eastAsia="nb-NO"/>
              </w:rPr>
            </w:pPr>
            <w:r>
              <w:rPr>
                <w:lang w:eastAsia="nb-NO"/>
              </w:rPr>
              <w:t>1.</w:t>
            </w:r>
            <w:r w:rsidR="002D116F">
              <w:rPr>
                <w:lang w:eastAsia="nb-NO"/>
              </w:rPr>
              <w:t>65</w:t>
            </w:r>
          </w:p>
        </w:tc>
        <w:tc>
          <w:tcPr>
            <w:tcW w:w="2096" w:type="dxa"/>
          </w:tcPr>
          <w:p w14:paraId="1D01589F" w14:textId="77777777" w:rsidR="00CC2A7B" w:rsidRDefault="00CC2A7B" w:rsidP="008544A9">
            <w:pPr>
              <w:jc w:val="center"/>
              <w:rPr>
                <w:lang w:eastAsia="nb-NO"/>
              </w:rPr>
            </w:pPr>
          </w:p>
        </w:tc>
      </w:tr>
    </w:tbl>
    <w:p w14:paraId="52CF31C6" w14:textId="77777777" w:rsidR="00CC2A7B" w:rsidRPr="00BB2B50" w:rsidRDefault="00CC2A7B" w:rsidP="00CC2A7B">
      <w:pPr>
        <w:jc w:val="center"/>
      </w:pPr>
      <w:r w:rsidRPr="00BB2B50">
        <w:rPr>
          <w:rFonts w:eastAsia="Times New Roman" w:cs="Calibri"/>
          <w:sz w:val="20"/>
          <w:szCs w:val="20"/>
          <w:lang w:eastAsia="nb-NO"/>
        </w:rPr>
        <w:t>*** p&lt;0.01, ** p&lt;0.05, * p&lt;0.1</w:t>
      </w:r>
    </w:p>
    <w:p w14:paraId="45913910" w14:textId="77777777" w:rsidR="00634C64" w:rsidRDefault="00634C64">
      <w:pPr>
        <w:widowControl/>
        <w:autoSpaceDE/>
        <w:autoSpaceDN/>
        <w:spacing w:after="0" w:line="240" w:lineRule="auto"/>
        <w:jc w:val="left"/>
      </w:pPr>
      <w:r>
        <w:br w:type="page"/>
      </w:r>
    </w:p>
    <w:p w14:paraId="5FBC2EC2" w14:textId="6F46F7A5" w:rsidR="00625AD6" w:rsidRDefault="00625AD6" w:rsidP="00625AD6">
      <w:pPr>
        <w:spacing w:after="0" w:line="240" w:lineRule="auto"/>
        <w:jc w:val="center"/>
      </w:pPr>
      <w:r>
        <w:lastRenderedPageBreak/>
        <w:t>Table A4. Retesting interaction model of Norwegian data in Table A2 after excluding influential observations. Dependent variable: quarterly news visibility.</w:t>
      </w:r>
    </w:p>
    <w:tbl>
      <w:tblPr>
        <w:tblStyle w:val="Tabelltemaer"/>
        <w:tblW w:w="4390" w:type="dxa"/>
        <w:jc w:val="center"/>
        <w:tblLayout w:type="fixed"/>
        <w:tblLook w:val="04A0" w:firstRow="1" w:lastRow="0" w:firstColumn="1" w:lastColumn="0" w:noHBand="0" w:noVBand="1"/>
      </w:tblPr>
      <w:tblGrid>
        <w:gridCol w:w="1838"/>
        <w:gridCol w:w="2552"/>
      </w:tblGrid>
      <w:tr w:rsidR="00634C64" w:rsidRPr="004F04F9" w14:paraId="17CA2738" w14:textId="77777777" w:rsidTr="00634C64">
        <w:trPr>
          <w:trHeight w:hRule="exact" w:val="255"/>
          <w:jc w:val="center"/>
        </w:trPr>
        <w:tc>
          <w:tcPr>
            <w:tcW w:w="1838" w:type="dxa"/>
            <w:noWrap/>
            <w:hideMark/>
          </w:tcPr>
          <w:p w14:paraId="15084583" w14:textId="77777777" w:rsidR="00634C64" w:rsidRPr="004F04F9" w:rsidRDefault="00634C64" w:rsidP="008544A9">
            <w:pPr>
              <w:widowControl/>
              <w:autoSpaceDE/>
              <w:autoSpaceDN/>
              <w:spacing w:after="0" w:line="240" w:lineRule="auto"/>
              <w:jc w:val="center"/>
              <w:rPr>
                <w:rFonts w:eastAsia="Times New Roman" w:cs="Calibri"/>
                <w:sz w:val="20"/>
                <w:szCs w:val="20"/>
                <w:lang w:eastAsia="nb-NO"/>
              </w:rPr>
            </w:pPr>
          </w:p>
        </w:tc>
        <w:tc>
          <w:tcPr>
            <w:tcW w:w="2552" w:type="dxa"/>
            <w:noWrap/>
          </w:tcPr>
          <w:p w14:paraId="5AA219F1" w14:textId="77777777" w:rsidR="00634C64" w:rsidRPr="004F04F9" w:rsidRDefault="00634C64" w:rsidP="008544A9">
            <w:pPr>
              <w:widowControl/>
              <w:autoSpaceDE/>
              <w:autoSpaceDN/>
              <w:spacing w:after="0" w:line="240" w:lineRule="auto"/>
              <w:jc w:val="center"/>
              <w:rPr>
                <w:rFonts w:eastAsia="Times New Roman" w:cs="Calibri"/>
                <w:sz w:val="20"/>
                <w:szCs w:val="20"/>
                <w:lang w:eastAsia="nb-NO"/>
              </w:rPr>
            </w:pPr>
            <w:r w:rsidRPr="004F04F9">
              <w:rPr>
                <w:rFonts w:eastAsia="Times New Roman" w:cs="Calibri"/>
                <w:sz w:val="20"/>
                <w:szCs w:val="20"/>
                <w:lang w:eastAsia="nb-NO"/>
              </w:rPr>
              <w:t>Norway: Fem X District size (seats)</w:t>
            </w:r>
          </w:p>
        </w:tc>
      </w:tr>
      <w:tr w:rsidR="00114B14" w:rsidRPr="004F04F9" w14:paraId="3AB1D671" w14:textId="77777777" w:rsidTr="00634C64">
        <w:trPr>
          <w:trHeight w:hRule="exact" w:val="255"/>
          <w:jc w:val="center"/>
        </w:trPr>
        <w:tc>
          <w:tcPr>
            <w:tcW w:w="1838" w:type="dxa"/>
            <w:vMerge w:val="restart"/>
            <w:noWrap/>
            <w:hideMark/>
          </w:tcPr>
          <w:p w14:paraId="414F3BB4"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proofErr w:type="spellStart"/>
            <w:r w:rsidRPr="004F04F9">
              <w:rPr>
                <w:rFonts w:eastAsia="Times New Roman" w:cs="Calibri"/>
                <w:sz w:val="20"/>
                <w:szCs w:val="20"/>
                <w:lang w:val="nb-NO" w:eastAsia="nb-NO"/>
              </w:rPr>
              <w:t>Women</w:t>
            </w:r>
            <w:proofErr w:type="spellEnd"/>
          </w:p>
        </w:tc>
        <w:tc>
          <w:tcPr>
            <w:tcW w:w="2552" w:type="dxa"/>
            <w:noWrap/>
            <w:vAlign w:val="bottom"/>
          </w:tcPr>
          <w:p w14:paraId="29F1C225" w14:textId="1E3C697E"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-0.420</w:t>
            </w:r>
          </w:p>
        </w:tc>
      </w:tr>
      <w:tr w:rsidR="00114B14" w:rsidRPr="004F04F9" w14:paraId="5B3E4AF0" w14:textId="77777777" w:rsidTr="00634C64">
        <w:trPr>
          <w:trHeight w:hRule="exact" w:val="255"/>
          <w:jc w:val="center"/>
        </w:trPr>
        <w:tc>
          <w:tcPr>
            <w:tcW w:w="1838" w:type="dxa"/>
            <w:vMerge/>
            <w:noWrap/>
            <w:hideMark/>
          </w:tcPr>
          <w:p w14:paraId="537C6E16"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5541E014" w14:textId="53D4B898"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(0.352)</w:t>
            </w:r>
          </w:p>
        </w:tc>
      </w:tr>
      <w:tr w:rsidR="00114B14" w:rsidRPr="004F04F9" w14:paraId="0985E470" w14:textId="77777777" w:rsidTr="00634C64">
        <w:trPr>
          <w:trHeight w:hRule="exact" w:val="255"/>
          <w:jc w:val="center"/>
        </w:trPr>
        <w:tc>
          <w:tcPr>
            <w:tcW w:w="1838" w:type="dxa"/>
            <w:vMerge w:val="restart"/>
            <w:noWrap/>
            <w:hideMark/>
          </w:tcPr>
          <w:p w14:paraId="7FCDB3B3"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val="nb-NO" w:eastAsia="nb-NO"/>
              </w:rPr>
              <w:t>Age</w:t>
            </w:r>
          </w:p>
        </w:tc>
        <w:tc>
          <w:tcPr>
            <w:tcW w:w="2552" w:type="dxa"/>
            <w:noWrap/>
            <w:vAlign w:val="bottom"/>
          </w:tcPr>
          <w:p w14:paraId="21350177" w14:textId="6713827F"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0.037</w:t>
            </w:r>
          </w:p>
        </w:tc>
      </w:tr>
      <w:tr w:rsidR="00114B14" w:rsidRPr="004F04F9" w14:paraId="5E825D31" w14:textId="77777777" w:rsidTr="00634C64">
        <w:trPr>
          <w:trHeight w:hRule="exact" w:val="255"/>
          <w:jc w:val="center"/>
        </w:trPr>
        <w:tc>
          <w:tcPr>
            <w:tcW w:w="1838" w:type="dxa"/>
            <w:vMerge/>
            <w:noWrap/>
            <w:hideMark/>
          </w:tcPr>
          <w:p w14:paraId="7099449F"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395DCCB0" w14:textId="0A1B1693"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(0.027)</w:t>
            </w:r>
          </w:p>
        </w:tc>
      </w:tr>
      <w:tr w:rsidR="00114B14" w:rsidRPr="004F04F9" w14:paraId="0DD2B0B2" w14:textId="77777777" w:rsidTr="00634C64">
        <w:trPr>
          <w:trHeight w:hRule="exact" w:val="255"/>
          <w:jc w:val="center"/>
        </w:trPr>
        <w:tc>
          <w:tcPr>
            <w:tcW w:w="1838" w:type="dxa"/>
            <w:vMerge w:val="restart"/>
            <w:noWrap/>
            <w:hideMark/>
          </w:tcPr>
          <w:p w14:paraId="4A3E1829"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val="nb-NO" w:eastAsia="nb-NO"/>
              </w:rPr>
              <w:t>Age</w:t>
            </w:r>
            <w:r w:rsidRPr="004F04F9">
              <w:rPr>
                <w:rFonts w:eastAsia="Times New Roman" w:cs="Calibri"/>
                <w:sz w:val="20"/>
                <w:szCs w:val="20"/>
                <w:vertAlign w:val="superscript"/>
                <w:lang w:val="nb-NO" w:eastAsia="nb-NO"/>
              </w:rPr>
              <w:t>2</w:t>
            </w:r>
          </w:p>
        </w:tc>
        <w:tc>
          <w:tcPr>
            <w:tcW w:w="2552" w:type="dxa"/>
            <w:noWrap/>
            <w:vAlign w:val="bottom"/>
          </w:tcPr>
          <w:p w14:paraId="4F44648F" w14:textId="77465D45"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-0.001***</w:t>
            </w:r>
          </w:p>
        </w:tc>
      </w:tr>
      <w:tr w:rsidR="00114B14" w:rsidRPr="004F04F9" w14:paraId="2D7E7C90" w14:textId="77777777" w:rsidTr="00634C64">
        <w:trPr>
          <w:trHeight w:hRule="exact" w:val="255"/>
          <w:jc w:val="center"/>
        </w:trPr>
        <w:tc>
          <w:tcPr>
            <w:tcW w:w="1838" w:type="dxa"/>
            <w:vMerge/>
            <w:noWrap/>
            <w:hideMark/>
          </w:tcPr>
          <w:p w14:paraId="66D161F8"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1CA97F1F" w14:textId="62CEA68E"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(0.000)</w:t>
            </w:r>
          </w:p>
        </w:tc>
      </w:tr>
      <w:tr w:rsidR="00114B14" w:rsidRPr="004F04F9" w14:paraId="7F69A00E" w14:textId="77777777" w:rsidTr="00634C64">
        <w:trPr>
          <w:trHeight w:hRule="exact" w:val="255"/>
          <w:jc w:val="center"/>
        </w:trPr>
        <w:tc>
          <w:tcPr>
            <w:tcW w:w="1838" w:type="dxa"/>
            <w:vMerge w:val="restart"/>
            <w:noWrap/>
            <w:hideMark/>
          </w:tcPr>
          <w:p w14:paraId="687D71E8" w14:textId="09BA69DD" w:rsidR="00114B14" w:rsidRPr="004F04F9" w:rsidRDefault="00114B14" w:rsidP="00114B14">
            <w:pPr>
              <w:widowControl/>
              <w:autoSpaceDE/>
              <w:autoSpaceDN/>
              <w:spacing w:after="0" w:line="240" w:lineRule="auto"/>
              <w:jc w:val="center"/>
              <w:rPr>
                <w:rFonts w:eastAsia="Times New Roman" w:cs="Calibri"/>
                <w:sz w:val="20"/>
                <w:szCs w:val="20"/>
                <w:lang w:eastAsia="nb-NO"/>
              </w:rPr>
            </w:pPr>
            <w:r w:rsidRPr="004F04F9">
              <w:rPr>
                <w:rFonts w:eastAsia="Times New Roman" w:cs="Calibri"/>
                <w:sz w:val="20"/>
                <w:szCs w:val="20"/>
                <w:lang w:eastAsia="nb-NO"/>
              </w:rPr>
              <w:t>Electoral safety</w:t>
            </w:r>
          </w:p>
        </w:tc>
        <w:tc>
          <w:tcPr>
            <w:tcW w:w="2552" w:type="dxa"/>
            <w:noWrap/>
            <w:vAlign w:val="bottom"/>
          </w:tcPr>
          <w:p w14:paraId="075FC087" w14:textId="0B422035"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0.258***</w:t>
            </w:r>
          </w:p>
        </w:tc>
      </w:tr>
      <w:tr w:rsidR="00114B14" w:rsidRPr="004F04F9" w14:paraId="24F757F5" w14:textId="77777777" w:rsidTr="00634C64">
        <w:trPr>
          <w:trHeight w:hRule="exact" w:val="255"/>
          <w:jc w:val="center"/>
        </w:trPr>
        <w:tc>
          <w:tcPr>
            <w:tcW w:w="1838" w:type="dxa"/>
            <w:vMerge/>
            <w:noWrap/>
            <w:hideMark/>
          </w:tcPr>
          <w:p w14:paraId="122E2EF4" w14:textId="77777777" w:rsidR="00114B14" w:rsidRPr="004F04F9" w:rsidRDefault="00114B14" w:rsidP="00114B14">
            <w:pPr>
              <w:widowControl/>
              <w:autoSpaceDE/>
              <w:autoSpaceDN/>
              <w:spacing w:after="0" w:line="240" w:lineRule="auto"/>
              <w:jc w:val="center"/>
              <w:rPr>
                <w:rFonts w:eastAsia="Times New Roman" w:cs="Calibri"/>
                <w:sz w:val="20"/>
                <w:szCs w:val="20"/>
                <w:lang w:eastAsia="nb-NO"/>
              </w:rPr>
            </w:pPr>
          </w:p>
        </w:tc>
        <w:tc>
          <w:tcPr>
            <w:tcW w:w="2552" w:type="dxa"/>
            <w:noWrap/>
            <w:vAlign w:val="bottom"/>
          </w:tcPr>
          <w:p w14:paraId="7AAEF4EE" w14:textId="09243BC6"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(0.091)</w:t>
            </w:r>
          </w:p>
        </w:tc>
      </w:tr>
      <w:tr w:rsidR="00114B14" w:rsidRPr="004F04F9" w14:paraId="22568F72" w14:textId="77777777" w:rsidTr="00634C64">
        <w:trPr>
          <w:trHeight w:hRule="exact" w:val="255"/>
          <w:jc w:val="center"/>
        </w:trPr>
        <w:tc>
          <w:tcPr>
            <w:tcW w:w="1838" w:type="dxa"/>
            <w:vMerge w:val="restart"/>
            <w:noWrap/>
            <w:hideMark/>
          </w:tcPr>
          <w:p w14:paraId="3FF61178"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val="nb-NO" w:eastAsia="nb-NO"/>
              </w:rPr>
              <w:t xml:space="preserve">Legislative </w:t>
            </w:r>
            <w:proofErr w:type="spellStart"/>
            <w:r w:rsidRPr="004F04F9">
              <w:rPr>
                <w:rFonts w:eastAsia="Times New Roman" w:cs="Calibri"/>
                <w:sz w:val="20"/>
                <w:szCs w:val="20"/>
                <w:lang w:val="nb-NO" w:eastAsia="nb-NO"/>
              </w:rPr>
              <w:t>speeches</w:t>
            </w:r>
            <w:proofErr w:type="spellEnd"/>
          </w:p>
        </w:tc>
        <w:tc>
          <w:tcPr>
            <w:tcW w:w="2552" w:type="dxa"/>
            <w:noWrap/>
            <w:vAlign w:val="bottom"/>
          </w:tcPr>
          <w:p w14:paraId="19D1D7F5" w14:textId="380098E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0.016***</w:t>
            </w:r>
          </w:p>
        </w:tc>
      </w:tr>
      <w:tr w:rsidR="00114B14" w:rsidRPr="004F04F9" w14:paraId="5F216902" w14:textId="77777777" w:rsidTr="00634C64">
        <w:trPr>
          <w:trHeight w:hRule="exact" w:val="255"/>
          <w:jc w:val="center"/>
        </w:trPr>
        <w:tc>
          <w:tcPr>
            <w:tcW w:w="1838" w:type="dxa"/>
            <w:vMerge/>
            <w:noWrap/>
            <w:hideMark/>
          </w:tcPr>
          <w:p w14:paraId="6DC9E027"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192C9A1F" w14:textId="54B95A11"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(0.002)</w:t>
            </w:r>
          </w:p>
        </w:tc>
      </w:tr>
      <w:tr w:rsidR="00114B14" w:rsidRPr="004F04F9" w14:paraId="13883F13" w14:textId="77777777" w:rsidTr="00634C64">
        <w:trPr>
          <w:trHeight w:hRule="exact" w:val="255"/>
          <w:jc w:val="center"/>
        </w:trPr>
        <w:tc>
          <w:tcPr>
            <w:tcW w:w="1838" w:type="dxa"/>
            <w:vMerge w:val="restart"/>
            <w:noWrap/>
            <w:hideMark/>
          </w:tcPr>
          <w:p w14:paraId="1FC65216"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val="nb-NO" w:eastAsia="nb-NO"/>
              </w:rPr>
              <w:t xml:space="preserve">Legislative </w:t>
            </w:r>
            <w:proofErr w:type="spellStart"/>
            <w:r w:rsidRPr="004F04F9">
              <w:rPr>
                <w:rFonts w:eastAsia="Times New Roman" w:cs="Calibri"/>
                <w:sz w:val="20"/>
                <w:szCs w:val="20"/>
                <w:lang w:val="nb-NO" w:eastAsia="nb-NO"/>
              </w:rPr>
              <w:t>experience</w:t>
            </w:r>
            <w:proofErr w:type="spellEnd"/>
          </w:p>
        </w:tc>
        <w:tc>
          <w:tcPr>
            <w:tcW w:w="2552" w:type="dxa"/>
            <w:noWrap/>
            <w:vAlign w:val="bottom"/>
          </w:tcPr>
          <w:p w14:paraId="5E6CEB35" w14:textId="3BB7A3A5"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0.096***</w:t>
            </w:r>
          </w:p>
        </w:tc>
      </w:tr>
      <w:tr w:rsidR="00114B14" w:rsidRPr="004F04F9" w14:paraId="2A5CC37C" w14:textId="77777777" w:rsidTr="00634C64">
        <w:trPr>
          <w:trHeight w:hRule="exact" w:val="255"/>
          <w:jc w:val="center"/>
        </w:trPr>
        <w:tc>
          <w:tcPr>
            <w:tcW w:w="1838" w:type="dxa"/>
            <w:vMerge/>
            <w:noWrap/>
            <w:hideMark/>
          </w:tcPr>
          <w:p w14:paraId="6CE8882D"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05F886EC" w14:textId="1BD092DF"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(0.010)</w:t>
            </w:r>
          </w:p>
        </w:tc>
      </w:tr>
      <w:tr w:rsidR="00114B14" w:rsidRPr="004F04F9" w14:paraId="128B17D2" w14:textId="77777777" w:rsidTr="00634C64">
        <w:trPr>
          <w:trHeight w:hRule="exact" w:val="255"/>
          <w:jc w:val="center"/>
        </w:trPr>
        <w:tc>
          <w:tcPr>
            <w:tcW w:w="1838" w:type="dxa"/>
            <w:vMerge w:val="restart"/>
            <w:noWrap/>
            <w:hideMark/>
          </w:tcPr>
          <w:p w14:paraId="43C424EB"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eastAsia="nb-NO"/>
              </w:rPr>
              <w:t>Party size (seat share)</w:t>
            </w:r>
          </w:p>
        </w:tc>
        <w:tc>
          <w:tcPr>
            <w:tcW w:w="2552" w:type="dxa"/>
            <w:noWrap/>
            <w:vAlign w:val="bottom"/>
          </w:tcPr>
          <w:p w14:paraId="7CDF0336" w14:textId="13E11516"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-0.023***</w:t>
            </w:r>
          </w:p>
        </w:tc>
      </w:tr>
      <w:tr w:rsidR="00114B14" w:rsidRPr="004F04F9" w14:paraId="442F7FAE" w14:textId="77777777" w:rsidTr="00634C64">
        <w:trPr>
          <w:trHeight w:hRule="exact" w:val="255"/>
          <w:jc w:val="center"/>
        </w:trPr>
        <w:tc>
          <w:tcPr>
            <w:tcW w:w="1838" w:type="dxa"/>
            <w:vMerge/>
            <w:noWrap/>
            <w:hideMark/>
          </w:tcPr>
          <w:p w14:paraId="7D1D87A9"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6A0B079A" w14:textId="42F1AE0B"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(0.004)</w:t>
            </w:r>
          </w:p>
        </w:tc>
      </w:tr>
      <w:tr w:rsidR="00114B14" w:rsidRPr="004F04F9" w14:paraId="1C1F0F9E" w14:textId="77777777" w:rsidTr="00634C64">
        <w:trPr>
          <w:trHeight w:hRule="exact" w:val="255"/>
          <w:jc w:val="center"/>
        </w:trPr>
        <w:tc>
          <w:tcPr>
            <w:tcW w:w="1838" w:type="dxa"/>
            <w:vMerge w:val="restart"/>
            <w:noWrap/>
            <w:hideMark/>
          </w:tcPr>
          <w:p w14:paraId="6D41FCCA"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eastAsia="nb-NO"/>
              </w:rPr>
              <w:t>Party in cabinet</w:t>
            </w:r>
          </w:p>
        </w:tc>
        <w:tc>
          <w:tcPr>
            <w:tcW w:w="2552" w:type="dxa"/>
            <w:noWrap/>
            <w:vAlign w:val="bottom"/>
          </w:tcPr>
          <w:p w14:paraId="6A8F7241" w14:textId="63663CBA"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0.059</w:t>
            </w:r>
          </w:p>
        </w:tc>
      </w:tr>
      <w:tr w:rsidR="00114B14" w:rsidRPr="004F04F9" w14:paraId="3C7EEAE2" w14:textId="77777777" w:rsidTr="00634C64">
        <w:trPr>
          <w:trHeight w:hRule="exact" w:val="255"/>
          <w:jc w:val="center"/>
        </w:trPr>
        <w:tc>
          <w:tcPr>
            <w:tcW w:w="1838" w:type="dxa"/>
            <w:vMerge/>
            <w:noWrap/>
            <w:hideMark/>
          </w:tcPr>
          <w:p w14:paraId="6EA6D85E"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2DDE1957" w14:textId="4EFD12A9"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(0.045)</w:t>
            </w:r>
          </w:p>
        </w:tc>
      </w:tr>
      <w:tr w:rsidR="00114B14" w:rsidRPr="004F04F9" w14:paraId="617ABBFA" w14:textId="77777777" w:rsidTr="00634C64">
        <w:trPr>
          <w:trHeight w:hRule="exact" w:val="255"/>
          <w:jc w:val="center"/>
        </w:trPr>
        <w:tc>
          <w:tcPr>
            <w:tcW w:w="1838" w:type="dxa"/>
            <w:vMerge w:val="restart"/>
            <w:noWrap/>
            <w:hideMark/>
          </w:tcPr>
          <w:p w14:paraId="6C05B67E"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eastAsia="nb-NO"/>
              </w:rPr>
              <w:t>Party L-R extremity</w:t>
            </w:r>
          </w:p>
        </w:tc>
        <w:tc>
          <w:tcPr>
            <w:tcW w:w="2552" w:type="dxa"/>
            <w:noWrap/>
            <w:vAlign w:val="bottom"/>
          </w:tcPr>
          <w:p w14:paraId="7FC2711F" w14:textId="6AFE51B5"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0.021</w:t>
            </w:r>
          </w:p>
        </w:tc>
      </w:tr>
      <w:tr w:rsidR="00114B14" w:rsidRPr="004F04F9" w14:paraId="16115B1F" w14:textId="77777777" w:rsidTr="00634C64">
        <w:trPr>
          <w:trHeight w:hRule="exact" w:val="255"/>
          <w:jc w:val="center"/>
        </w:trPr>
        <w:tc>
          <w:tcPr>
            <w:tcW w:w="1838" w:type="dxa"/>
            <w:vMerge/>
            <w:noWrap/>
            <w:hideMark/>
          </w:tcPr>
          <w:p w14:paraId="3C8A60A1"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447D4D75" w14:textId="1FDF247F"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(0.057)</w:t>
            </w:r>
          </w:p>
        </w:tc>
      </w:tr>
      <w:tr w:rsidR="00114B14" w:rsidRPr="004F04F9" w14:paraId="635DC36F" w14:textId="77777777" w:rsidTr="00634C64">
        <w:trPr>
          <w:trHeight w:hRule="exact" w:val="255"/>
          <w:jc w:val="center"/>
        </w:trPr>
        <w:tc>
          <w:tcPr>
            <w:tcW w:w="1838" w:type="dxa"/>
            <w:vMerge w:val="restart"/>
            <w:noWrap/>
          </w:tcPr>
          <w:p w14:paraId="32E17108"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eastAsia="nb-NO"/>
              </w:rPr>
              <w:t>Cabinet color</w:t>
            </w:r>
          </w:p>
        </w:tc>
        <w:tc>
          <w:tcPr>
            <w:tcW w:w="2552" w:type="dxa"/>
            <w:noWrap/>
            <w:vAlign w:val="bottom"/>
          </w:tcPr>
          <w:p w14:paraId="3383D3B6" w14:textId="4AF26EAE"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-0.019**</w:t>
            </w:r>
          </w:p>
        </w:tc>
      </w:tr>
      <w:tr w:rsidR="00114B14" w:rsidRPr="004F04F9" w14:paraId="1488C561" w14:textId="77777777" w:rsidTr="00634C64">
        <w:trPr>
          <w:trHeight w:hRule="exact" w:val="255"/>
          <w:jc w:val="center"/>
        </w:trPr>
        <w:tc>
          <w:tcPr>
            <w:tcW w:w="1838" w:type="dxa"/>
            <w:vMerge/>
            <w:noWrap/>
          </w:tcPr>
          <w:p w14:paraId="1F1F5CC2"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675DCCDA" w14:textId="2792BD01"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(0.008)</w:t>
            </w:r>
          </w:p>
        </w:tc>
      </w:tr>
      <w:tr w:rsidR="00114B14" w:rsidRPr="004F04F9" w14:paraId="69026C02" w14:textId="77777777" w:rsidTr="00634C64">
        <w:trPr>
          <w:trHeight w:hRule="exact" w:val="255"/>
          <w:jc w:val="center"/>
        </w:trPr>
        <w:tc>
          <w:tcPr>
            <w:tcW w:w="1838" w:type="dxa"/>
            <w:vMerge w:val="restart"/>
            <w:noWrap/>
            <w:hideMark/>
          </w:tcPr>
          <w:p w14:paraId="5E08C938"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proofErr w:type="spellStart"/>
            <w:r w:rsidRPr="004F04F9">
              <w:rPr>
                <w:rFonts w:eastAsia="Times New Roman" w:cs="Calibri"/>
                <w:sz w:val="20"/>
                <w:szCs w:val="20"/>
                <w:lang w:val="nb-NO" w:eastAsia="nb-NO"/>
              </w:rPr>
              <w:t>Seat</w:t>
            </w:r>
            <w:proofErr w:type="spellEnd"/>
            <w:r w:rsidRPr="004F04F9">
              <w:rPr>
                <w:rFonts w:eastAsia="Times New Roman" w:cs="Calibri"/>
                <w:sz w:val="20"/>
                <w:szCs w:val="20"/>
                <w:lang w:val="nb-NO" w:eastAsia="nb-NO"/>
              </w:rPr>
              <w:t xml:space="preserve"> </w:t>
            </w:r>
            <w:proofErr w:type="spellStart"/>
            <w:r w:rsidRPr="004F04F9">
              <w:rPr>
                <w:rFonts w:eastAsia="Times New Roman" w:cs="Calibri"/>
                <w:sz w:val="20"/>
                <w:szCs w:val="20"/>
                <w:lang w:val="nb-NO" w:eastAsia="nb-NO"/>
              </w:rPr>
              <w:t>share</w:t>
            </w:r>
            <w:proofErr w:type="spellEnd"/>
            <w:r w:rsidRPr="004F04F9">
              <w:rPr>
                <w:rFonts w:eastAsia="Times New Roman" w:cs="Calibri"/>
                <w:sz w:val="20"/>
                <w:szCs w:val="20"/>
                <w:lang w:val="nb-NO" w:eastAsia="nb-NO"/>
              </w:rPr>
              <w:t xml:space="preserve">, </w:t>
            </w:r>
            <w:proofErr w:type="spellStart"/>
            <w:r w:rsidRPr="004F04F9">
              <w:rPr>
                <w:rFonts w:eastAsia="Times New Roman" w:cs="Calibri"/>
                <w:sz w:val="20"/>
                <w:szCs w:val="20"/>
                <w:lang w:val="nb-NO" w:eastAsia="nb-NO"/>
              </w:rPr>
              <w:t>cabinet</w:t>
            </w:r>
            <w:proofErr w:type="spellEnd"/>
          </w:p>
        </w:tc>
        <w:tc>
          <w:tcPr>
            <w:tcW w:w="2552" w:type="dxa"/>
            <w:noWrap/>
            <w:vAlign w:val="bottom"/>
          </w:tcPr>
          <w:p w14:paraId="60A65B1E" w14:textId="46147281"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-0.066</w:t>
            </w:r>
          </w:p>
        </w:tc>
      </w:tr>
      <w:tr w:rsidR="00114B14" w:rsidRPr="004F04F9" w14:paraId="5AF7FF08" w14:textId="77777777" w:rsidTr="00634C64">
        <w:trPr>
          <w:trHeight w:hRule="exact" w:val="255"/>
          <w:jc w:val="center"/>
        </w:trPr>
        <w:tc>
          <w:tcPr>
            <w:tcW w:w="1838" w:type="dxa"/>
            <w:vMerge/>
            <w:noWrap/>
            <w:hideMark/>
          </w:tcPr>
          <w:p w14:paraId="1CF667F6"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5D09C5D9" w14:textId="693D1F0D"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(0.080)</w:t>
            </w:r>
          </w:p>
        </w:tc>
      </w:tr>
      <w:tr w:rsidR="00114B14" w:rsidRPr="004F04F9" w14:paraId="607F6481" w14:textId="77777777" w:rsidTr="00634C64">
        <w:trPr>
          <w:trHeight w:hRule="exact" w:val="255"/>
          <w:jc w:val="center"/>
        </w:trPr>
        <w:tc>
          <w:tcPr>
            <w:tcW w:w="1838" w:type="dxa"/>
            <w:vMerge w:val="restart"/>
            <w:noWrap/>
            <w:hideMark/>
          </w:tcPr>
          <w:p w14:paraId="76FFB0A4" w14:textId="5ADABBBA" w:rsidR="00114B14" w:rsidRPr="004F04F9" w:rsidRDefault="00114B14" w:rsidP="00114B14">
            <w:pPr>
              <w:widowControl/>
              <w:autoSpaceDE/>
              <w:autoSpaceDN/>
              <w:spacing w:after="0" w:line="240" w:lineRule="auto"/>
              <w:jc w:val="center"/>
              <w:rPr>
                <w:rFonts w:eastAsia="Times New Roman" w:cs="Calibri"/>
                <w:sz w:val="20"/>
                <w:szCs w:val="20"/>
                <w:lang w:eastAsia="nb-NO"/>
              </w:rPr>
            </w:pPr>
            <w:r w:rsidRPr="004F04F9">
              <w:rPr>
                <w:rFonts w:eastAsia="Times New Roman" w:cs="Calibri"/>
                <w:sz w:val="20"/>
                <w:szCs w:val="20"/>
                <w:lang w:eastAsia="nb-NO"/>
              </w:rPr>
              <w:t>District size</w:t>
            </w:r>
          </w:p>
        </w:tc>
        <w:tc>
          <w:tcPr>
            <w:tcW w:w="2552" w:type="dxa"/>
            <w:noWrap/>
            <w:vAlign w:val="bottom"/>
          </w:tcPr>
          <w:p w14:paraId="0F2383AE" w14:textId="07738D68"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-0.225</w:t>
            </w:r>
          </w:p>
        </w:tc>
      </w:tr>
      <w:tr w:rsidR="00114B14" w:rsidRPr="004F04F9" w14:paraId="102E29F8" w14:textId="77777777" w:rsidTr="00634C64">
        <w:trPr>
          <w:trHeight w:hRule="exact" w:val="255"/>
          <w:jc w:val="center"/>
        </w:trPr>
        <w:tc>
          <w:tcPr>
            <w:tcW w:w="1838" w:type="dxa"/>
            <w:vMerge/>
            <w:noWrap/>
            <w:hideMark/>
          </w:tcPr>
          <w:p w14:paraId="123F8ED8" w14:textId="77777777" w:rsidR="00114B14" w:rsidRPr="004F04F9" w:rsidRDefault="00114B14" w:rsidP="00114B14">
            <w:pPr>
              <w:widowControl/>
              <w:autoSpaceDE/>
              <w:autoSpaceDN/>
              <w:spacing w:after="0" w:line="240" w:lineRule="auto"/>
              <w:jc w:val="center"/>
              <w:rPr>
                <w:rFonts w:eastAsia="Times New Roman" w:cs="Calibri"/>
                <w:sz w:val="20"/>
                <w:szCs w:val="20"/>
                <w:lang w:eastAsia="nb-NO"/>
              </w:rPr>
            </w:pPr>
          </w:p>
        </w:tc>
        <w:tc>
          <w:tcPr>
            <w:tcW w:w="2552" w:type="dxa"/>
            <w:noWrap/>
            <w:vAlign w:val="bottom"/>
          </w:tcPr>
          <w:p w14:paraId="5E0C127D" w14:textId="01CC9DC0"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(0.258)</w:t>
            </w:r>
          </w:p>
        </w:tc>
      </w:tr>
      <w:tr w:rsidR="00114B14" w:rsidRPr="004F04F9" w14:paraId="2066DFB7" w14:textId="77777777" w:rsidTr="00634C64">
        <w:trPr>
          <w:trHeight w:hRule="exact" w:val="255"/>
          <w:jc w:val="center"/>
        </w:trPr>
        <w:tc>
          <w:tcPr>
            <w:tcW w:w="1838" w:type="dxa"/>
            <w:vMerge w:val="restart"/>
            <w:noWrap/>
            <w:hideMark/>
          </w:tcPr>
          <w:p w14:paraId="560CB96D"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proofErr w:type="spellStart"/>
            <w:r w:rsidRPr="004F04F9">
              <w:rPr>
                <w:rFonts w:eastAsia="Times New Roman" w:cs="Calibri"/>
                <w:sz w:val="20"/>
                <w:szCs w:val="20"/>
                <w:lang w:val="nb-NO" w:eastAsia="nb-NO"/>
              </w:rPr>
              <w:t>Distance</w:t>
            </w:r>
            <w:proofErr w:type="spellEnd"/>
            <w:r w:rsidRPr="004F04F9">
              <w:rPr>
                <w:rFonts w:eastAsia="Times New Roman" w:cs="Calibri"/>
                <w:sz w:val="20"/>
                <w:szCs w:val="20"/>
                <w:lang w:val="nb-NO" w:eastAsia="nb-NO"/>
              </w:rPr>
              <w:t xml:space="preserve"> to </w:t>
            </w:r>
            <w:proofErr w:type="spellStart"/>
            <w:r w:rsidRPr="004F04F9">
              <w:rPr>
                <w:rFonts w:eastAsia="Times New Roman" w:cs="Calibri"/>
                <w:sz w:val="20"/>
                <w:szCs w:val="20"/>
                <w:lang w:val="nb-NO" w:eastAsia="nb-NO"/>
              </w:rPr>
              <w:t>capital</w:t>
            </w:r>
            <w:proofErr w:type="spellEnd"/>
          </w:p>
        </w:tc>
        <w:tc>
          <w:tcPr>
            <w:tcW w:w="2552" w:type="dxa"/>
            <w:noWrap/>
            <w:vAlign w:val="bottom"/>
          </w:tcPr>
          <w:p w14:paraId="48DEA4D8" w14:textId="3BF210A9"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0.021</w:t>
            </w:r>
          </w:p>
        </w:tc>
      </w:tr>
      <w:tr w:rsidR="00114B14" w:rsidRPr="004F04F9" w14:paraId="3E8EC8C4" w14:textId="77777777" w:rsidTr="00634C64">
        <w:trPr>
          <w:trHeight w:hRule="exact" w:val="255"/>
          <w:jc w:val="center"/>
        </w:trPr>
        <w:tc>
          <w:tcPr>
            <w:tcW w:w="1838" w:type="dxa"/>
            <w:vMerge/>
            <w:noWrap/>
            <w:hideMark/>
          </w:tcPr>
          <w:p w14:paraId="25A142E1"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371F15A9" w14:textId="5A414FCD"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(0.016)</w:t>
            </w:r>
          </w:p>
        </w:tc>
      </w:tr>
      <w:tr w:rsidR="00114B14" w:rsidRPr="004F04F9" w14:paraId="498767D2" w14:textId="77777777" w:rsidTr="00634C64">
        <w:trPr>
          <w:trHeight w:hRule="exact" w:val="255"/>
          <w:jc w:val="center"/>
        </w:trPr>
        <w:tc>
          <w:tcPr>
            <w:tcW w:w="1838" w:type="dxa"/>
            <w:vMerge w:val="restart"/>
            <w:noWrap/>
            <w:hideMark/>
          </w:tcPr>
          <w:p w14:paraId="06B8CEEA"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proofErr w:type="spellStart"/>
            <w:r w:rsidRPr="004F04F9">
              <w:rPr>
                <w:rFonts w:eastAsia="Times New Roman" w:cs="Calibri"/>
                <w:sz w:val="20"/>
                <w:szCs w:val="20"/>
                <w:lang w:val="nb-NO" w:eastAsia="nb-NO"/>
              </w:rPr>
              <w:t>Turnout</w:t>
            </w:r>
            <w:proofErr w:type="spellEnd"/>
          </w:p>
        </w:tc>
        <w:tc>
          <w:tcPr>
            <w:tcW w:w="2552" w:type="dxa"/>
            <w:noWrap/>
            <w:vAlign w:val="bottom"/>
          </w:tcPr>
          <w:p w14:paraId="7AC743F8" w14:textId="7BBF0B5B"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-0.011***</w:t>
            </w:r>
          </w:p>
        </w:tc>
      </w:tr>
      <w:tr w:rsidR="00114B14" w:rsidRPr="004F04F9" w14:paraId="5228B87D" w14:textId="77777777" w:rsidTr="00634C64">
        <w:trPr>
          <w:trHeight w:hRule="exact" w:val="255"/>
          <w:jc w:val="center"/>
        </w:trPr>
        <w:tc>
          <w:tcPr>
            <w:tcW w:w="1838" w:type="dxa"/>
            <w:vMerge/>
            <w:noWrap/>
            <w:hideMark/>
          </w:tcPr>
          <w:p w14:paraId="6AA6BE53"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51660709" w14:textId="4E1AF86F"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(0.003)</w:t>
            </w:r>
          </w:p>
        </w:tc>
      </w:tr>
      <w:tr w:rsidR="00114B14" w:rsidRPr="004F04F9" w14:paraId="187B6EA1" w14:textId="77777777" w:rsidTr="00634C64">
        <w:trPr>
          <w:trHeight w:hRule="exact" w:val="255"/>
          <w:jc w:val="center"/>
        </w:trPr>
        <w:tc>
          <w:tcPr>
            <w:tcW w:w="1838" w:type="dxa"/>
            <w:vMerge w:val="restart"/>
            <w:noWrap/>
            <w:hideMark/>
          </w:tcPr>
          <w:p w14:paraId="7F3A738A"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val="nb-NO" w:eastAsia="nb-NO"/>
              </w:rPr>
              <w:t xml:space="preserve">Time </w:t>
            </w:r>
            <w:proofErr w:type="spellStart"/>
            <w:r w:rsidRPr="004F04F9">
              <w:rPr>
                <w:rFonts w:eastAsia="Times New Roman" w:cs="Calibri"/>
                <w:sz w:val="20"/>
                <w:szCs w:val="20"/>
                <w:lang w:val="nb-NO" w:eastAsia="nb-NO"/>
              </w:rPr>
              <w:t>counter</w:t>
            </w:r>
            <w:proofErr w:type="spellEnd"/>
          </w:p>
        </w:tc>
        <w:tc>
          <w:tcPr>
            <w:tcW w:w="2552" w:type="dxa"/>
            <w:noWrap/>
            <w:vAlign w:val="bottom"/>
          </w:tcPr>
          <w:p w14:paraId="4F375317" w14:textId="186D6CD5"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-0.117*</w:t>
            </w:r>
          </w:p>
        </w:tc>
      </w:tr>
      <w:tr w:rsidR="00114B14" w:rsidRPr="004F04F9" w14:paraId="5BFF1608" w14:textId="77777777" w:rsidTr="00634C64">
        <w:trPr>
          <w:trHeight w:hRule="exact" w:val="255"/>
          <w:jc w:val="center"/>
        </w:trPr>
        <w:tc>
          <w:tcPr>
            <w:tcW w:w="1838" w:type="dxa"/>
            <w:vMerge/>
            <w:noWrap/>
            <w:hideMark/>
          </w:tcPr>
          <w:p w14:paraId="524FCA30"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2BB1B87B" w14:textId="23C4DD82"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(0.061)</w:t>
            </w:r>
          </w:p>
        </w:tc>
      </w:tr>
      <w:tr w:rsidR="00114B14" w:rsidRPr="004F04F9" w14:paraId="257DFE70" w14:textId="77777777" w:rsidTr="00634C64">
        <w:trPr>
          <w:trHeight w:hRule="exact" w:val="255"/>
          <w:jc w:val="center"/>
        </w:trPr>
        <w:tc>
          <w:tcPr>
            <w:tcW w:w="1838" w:type="dxa"/>
            <w:vMerge w:val="restart"/>
            <w:noWrap/>
            <w:hideMark/>
          </w:tcPr>
          <w:p w14:paraId="63FD1875"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proofErr w:type="spellStart"/>
            <w:r w:rsidRPr="004F04F9">
              <w:rPr>
                <w:rFonts w:eastAsia="Times New Roman" w:cs="Calibri"/>
                <w:sz w:val="20"/>
                <w:szCs w:val="20"/>
                <w:lang w:val="nb-NO" w:eastAsia="nb-NO"/>
              </w:rPr>
              <w:t>Election</w:t>
            </w:r>
            <w:proofErr w:type="spellEnd"/>
            <w:r w:rsidRPr="004F04F9">
              <w:rPr>
                <w:rFonts w:eastAsia="Times New Roman" w:cs="Calibri"/>
                <w:sz w:val="20"/>
                <w:szCs w:val="20"/>
                <w:lang w:val="nb-NO" w:eastAsia="nb-NO"/>
              </w:rPr>
              <w:t xml:space="preserve"> </w:t>
            </w:r>
            <w:proofErr w:type="spellStart"/>
            <w:r w:rsidRPr="004F04F9">
              <w:rPr>
                <w:rFonts w:eastAsia="Times New Roman" w:cs="Calibri"/>
                <w:sz w:val="20"/>
                <w:szCs w:val="20"/>
                <w:lang w:val="nb-NO" w:eastAsia="nb-NO"/>
              </w:rPr>
              <w:t>period</w:t>
            </w:r>
            <w:proofErr w:type="spellEnd"/>
          </w:p>
        </w:tc>
        <w:tc>
          <w:tcPr>
            <w:tcW w:w="2552" w:type="dxa"/>
            <w:noWrap/>
            <w:vAlign w:val="bottom"/>
          </w:tcPr>
          <w:p w14:paraId="3C47B1D5" w14:textId="115D8CE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-0.004***</w:t>
            </w:r>
          </w:p>
        </w:tc>
      </w:tr>
      <w:tr w:rsidR="00114B14" w:rsidRPr="004F04F9" w14:paraId="42BA7CDF" w14:textId="77777777" w:rsidTr="00634C64">
        <w:trPr>
          <w:trHeight w:hRule="exact" w:val="255"/>
          <w:jc w:val="center"/>
        </w:trPr>
        <w:tc>
          <w:tcPr>
            <w:tcW w:w="1838" w:type="dxa"/>
            <w:vMerge/>
            <w:noWrap/>
            <w:hideMark/>
          </w:tcPr>
          <w:p w14:paraId="6D96E228"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4D54A13D" w14:textId="2B0CABBD"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(0.001)</w:t>
            </w:r>
          </w:p>
        </w:tc>
      </w:tr>
      <w:tr w:rsidR="00114B14" w:rsidRPr="004F04F9" w14:paraId="27C4C200" w14:textId="77777777" w:rsidTr="00634C64">
        <w:trPr>
          <w:trHeight w:hRule="exact" w:val="255"/>
          <w:jc w:val="center"/>
        </w:trPr>
        <w:tc>
          <w:tcPr>
            <w:tcW w:w="1838" w:type="dxa"/>
            <w:vMerge w:val="restart"/>
            <w:noWrap/>
            <w:hideMark/>
          </w:tcPr>
          <w:p w14:paraId="07555D71"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proofErr w:type="spellStart"/>
            <w:r w:rsidRPr="004F04F9">
              <w:rPr>
                <w:rFonts w:eastAsia="Times New Roman" w:cs="Calibri"/>
                <w:sz w:val="20"/>
                <w:szCs w:val="20"/>
                <w:lang w:val="nb-NO" w:eastAsia="nb-NO"/>
              </w:rPr>
              <w:t>Months</w:t>
            </w:r>
            <w:proofErr w:type="spellEnd"/>
            <w:r w:rsidRPr="004F04F9">
              <w:rPr>
                <w:rFonts w:eastAsia="Times New Roman" w:cs="Calibri"/>
                <w:sz w:val="20"/>
                <w:szCs w:val="20"/>
                <w:lang w:val="nb-NO" w:eastAsia="nb-NO"/>
              </w:rPr>
              <w:t xml:space="preserve"> </w:t>
            </w:r>
            <w:proofErr w:type="spellStart"/>
            <w:r w:rsidRPr="004F04F9">
              <w:rPr>
                <w:rFonts w:eastAsia="Times New Roman" w:cs="Calibri"/>
                <w:sz w:val="20"/>
                <w:szCs w:val="20"/>
                <w:lang w:val="nb-NO" w:eastAsia="nb-NO"/>
              </w:rPr>
              <w:t>since</w:t>
            </w:r>
            <w:proofErr w:type="spellEnd"/>
            <w:r w:rsidRPr="004F04F9">
              <w:rPr>
                <w:rFonts w:eastAsia="Times New Roman" w:cs="Calibri"/>
                <w:sz w:val="20"/>
                <w:szCs w:val="20"/>
                <w:lang w:val="nb-NO" w:eastAsia="nb-NO"/>
              </w:rPr>
              <w:t xml:space="preserve"> </w:t>
            </w:r>
            <w:proofErr w:type="spellStart"/>
            <w:r w:rsidRPr="004F04F9">
              <w:rPr>
                <w:rFonts w:eastAsia="Times New Roman" w:cs="Calibri"/>
                <w:sz w:val="20"/>
                <w:szCs w:val="20"/>
                <w:lang w:val="nb-NO" w:eastAsia="nb-NO"/>
              </w:rPr>
              <w:t>prev</w:t>
            </w:r>
            <w:proofErr w:type="spellEnd"/>
            <w:r w:rsidRPr="004F04F9">
              <w:rPr>
                <w:rFonts w:eastAsia="Times New Roman" w:cs="Calibri"/>
                <w:sz w:val="20"/>
                <w:szCs w:val="20"/>
                <w:lang w:val="nb-NO" w:eastAsia="nb-NO"/>
              </w:rPr>
              <w:t xml:space="preserve"> </w:t>
            </w:r>
            <w:proofErr w:type="spellStart"/>
            <w:r w:rsidRPr="004F04F9">
              <w:rPr>
                <w:rFonts w:eastAsia="Times New Roman" w:cs="Calibri"/>
                <w:sz w:val="20"/>
                <w:szCs w:val="20"/>
                <w:lang w:val="nb-NO" w:eastAsia="nb-NO"/>
              </w:rPr>
              <w:t>election</w:t>
            </w:r>
            <w:proofErr w:type="spellEnd"/>
          </w:p>
        </w:tc>
        <w:tc>
          <w:tcPr>
            <w:tcW w:w="2552" w:type="dxa"/>
            <w:noWrap/>
            <w:vAlign w:val="bottom"/>
          </w:tcPr>
          <w:p w14:paraId="075D77AC" w14:textId="52247B4B"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0.283***</w:t>
            </w:r>
          </w:p>
        </w:tc>
      </w:tr>
      <w:tr w:rsidR="00114B14" w:rsidRPr="004F04F9" w14:paraId="67CD67BD" w14:textId="77777777" w:rsidTr="00634C64">
        <w:trPr>
          <w:trHeight w:hRule="exact" w:val="255"/>
          <w:jc w:val="center"/>
        </w:trPr>
        <w:tc>
          <w:tcPr>
            <w:tcW w:w="1838" w:type="dxa"/>
            <w:vMerge/>
            <w:noWrap/>
            <w:hideMark/>
          </w:tcPr>
          <w:p w14:paraId="42533C89"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370577B0" w14:textId="37551B2F"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(0.051)</w:t>
            </w:r>
          </w:p>
        </w:tc>
      </w:tr>
      <w:tr w:rsidR="00114B14" w:rsidRPr="004F04F9" w14:paraId="2C1A53F5" w14:textId="77777777" w:rsidTr="00634C64">
        <w:trPr>
          <w:trHeight w:hRule="exact" w:val="255"/>
          <w:jc w:val="center"/>
        </w:trPr>
        <w:tc>
          <w:tcPr>
            <w:tcW w:w="1838" w:type="dxa"/>
            <w:vMerge w:val="restart"/>
            <w:noWrap/>
          </w:tcPr>
          <w:p w14:paraId="4E119E78"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val="nb-NO" w:eastAsia="nb-NO"/>
              </w:rPr>
              <w:t xml:space="preserve">Committee </w:t>
            </w:r>
            <w:proofErr w:type="spellStart"/>
            <w:r w:rsidRPr="004F04F9">
              <w:rPr>
                <w:rFonts w:eastAsia="Times New Roman" w:cs="Calibri"/>
                <w:sz w:val="20"/>
                <w:szCs w:val="20"/>
                <w:lang w:val="nb-NO" w:eastAsia="nb-NO"/>
              </w:rPr>
              <w:t>leadership</w:t>
            </w:r>
            <w:proofErr w:type="spellEnd"/>
          </w:p>
        </w:tc>
        <w:tc>
          <w:tcPr>
            <w:tcW w:w="2552" w:type="dxa"/>
            <w:noWrap/>
            <w:vAlign w:val="bottom"/>
          </w:tcPr>
          <w:p w14:paraId="36927835" w14:textId="5050B1B2"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-0.390***</w:t>
            </w:r>
          </w:p>
        </w:tc>
      </w:tr>
      <w:tr w:rsidR="00114B14" w:rsidRPr="004F04F9" w14:paraId="33D3ECC1" w14:textId="77777777" w:rsidTr="00634C64">
        <w:trPr>
          <w:trHeight w:hRule="exact" w:val="255"/>
          <w:jc w:val="center"/>
        </w:trPr>
        <w:tc>
          <w:tcPr>
            <w:tcW w:w="1838" w:type="dxa"/>
            <w:vMerge/>
            <w:noWrap/>
          </w:tcPr>
          <w:p w14:paraId="0913BB85"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02ACA21D" w14:textId="0B22229A"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(0.063)</w:t>
            </w:r>
          </w:p>
        </w:tc>
      </w:tr>
      <w:tr w:rsidR="00114B14" w:rsidRPr="004F04F9" w14:paraId="4EBAFFCA" w14:textId="77777777" w:rsidTr="00634C64">
        <w:trPr>
          <w:trHeight w:hRule="exact" w:val="255"/>
          <w:jc w:val="center"/>
        </w:trPr>
        <w:tc>
          <w:tcPr>
            <w:tcW w:w="1838" w:type="dxa"/>
            <w:vMerge w:val="restart"/>
            <w:noWrap/>
          </w:tcPr>
          <w:p w14:paraId="642E871F"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val="nb-NO" w:eastAsia="nb-NO"/>
              </w:rPr>
              <w:t>Committee, «hard»</w:t>
            </w:r>
          </w:p>
        </w:tc>
        <w:tc>
          <w:tcPr>
            <w:tcW w:w="2552" w:type="dxa"/>
            <w:noWrap/>
            <w:vAlign w:val="bottom"/>
          </w:tcPr>
          <w:p w14:paraId="49C2BC34" w14:textId="176A2871"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0.056**</w:t>
            </w:r>
          </w:p>
        </w:tc>
      </w:tr>
      <w:tr w:rsidR="00114B14" w:rsidRPr="004F04F9" w14:paraId="4EFCED47" w14:textId="77777777" w:rsidTr="00634C64">
        <w:trPr>
          <w:trHeight w:hRule="exact" w:val="255"/>
          <w:jc w:val="center"/>
        </w:trPr>
        <w:tc>
          <w:tcPr>
            <w:tcW w:w="1838" w:type="dxa"/>
            <w:vMerge/>
            <w:noWrap/>
          </w:tcPr>
          <w:p w14:paraId="76F3CD9C"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30F20029" w14:textId="75B8445E"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(0.023)</w:t>
            </w:r>
          </w:p>
        </w:tc>
      </w:tr>
      <w:tr w:rsidR="00114B14" w:rsidRPr="004F04F9" w14:paraId="4FBB1123" w14:textId="77777777" w:rsidTr="00634C64">
        <w:trPr>
          <w:trHeight w:hRule="exact" w:val="255"/>
          <w:jc w:val="center"/>
        </w:trPr>
        <w:tc>
          <w:tcPr>
            <w:tcW w:w="1838" w:type="dxa"/>
            <w:vMerge w:val="restart"/>
            <w:noWrap/>
          </w:tcPr>
          <w:p w14:paraId="7FEFB9F7" w14:textId="77777777" w:rsidR="00114B14" w:rsidRPr="004F04F9" w:rsidRDefault="00114B14" w:rsidP="00114B14">
            <w:pPr>
              <w:widowControl/>
              <w:autoSpaceDE/>
              <w:autoSpaceDN/>
              <w:spacing w:after="0" w:line="240" w:lineRule="auto"/>
              <w:jc w:val="center"/>
              <w:rPr>
                <w:rFonts w:eastAsia="Times New Roman" w:cs="Times New Roman"/>
                <w:sz w:val="20"/>
                <w:szCs w:val="20"/>
                <w:lang w:eastAsia="nb-NO"/>
              </w:rPr>
            </w:pPr>
            <w:r w:rsidRPr="004F04F9">
              <w:rPr>
                <w:rFonts w:eastAsia="Times New Roman" w:cs="Calibri"/>
                <w:sz w:val="20"/>
                <w:szCs w:val="20"/>
                <w:lang w:eastAsia="nb-NO"/>
              </w:rPr>
              <w:t>Fem X District size in seats</w:t>
            </w:r>
          </w:p>
        </w:tc>
        <w:tc>
          <w:tcPr>
            <w:tcW w:w="2552" w:type="dxa"/>
            <w:noWrap/>
            <w:vAlign w:val="bottom"/>
          </w:tcPr>
          <w:p w14:paraId="5B8D1DBF" w14:textId="299B9889"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-0.010</w:t>
            </w:r>
          </w:p>
        </w:tc>
      </w:tr>
      <w:tr w:rsidR="00114B14" w:rsidRPr="004F04F9" w14:paraId="712DE07A" w14:textId="77777777" w:rsidTr="00634C64">
        <w:trPr>
          <w:trHeight w:hRule="exact" w:val="255"/>
          <w:jc w:val="center"/>
        </w:trPr>
        <w:tc>
          <w:tcPr>
            <w:tcW w:w="1838" w:type="dxa"/>
            <w:vMerge/>
            <w:noWrap/>
          </w:tcPr>
          <w:p w14:paraId="568D4301" w14:textId="77777777" w:rsidR="00114B14" w:rsidRPr="004F04F9" w:rsidRDefault="00114B14" w:rsidP="00114B14">
            <w:pPr>
              <w:widowControl/>
              <w:autoSpaceDE/>
              <w:autoSpaceDN/>
              <w:spacing w:after="0" w:line="240" w:lineRule="auto"/>
              <w:jc w:val="center"/>
              <w:rPr>
                <w:rFonts w:eastAsia="Times New Roman" w:cs="Times New Roman"/>
                <w:sz w:val="20"/>
                <w:szCs w:val="20"/>
                <w:lang w:val="nb-NO" w:eastAsia="nb-NO"/>
              </w:rPr>
            </w:pPr>
          </w:p>
        </w:tc>
        <w:tc>
          <w:tcPr>
            <w:tcW w:w="2552" w:type="dxa"/>
            <w:noWrap/>
            <w:vAlign w:val="bottom"/>
          </w:tcPr>
          <w:p w14:paraId="1CB1EF16" w14:textId="5A01CA64"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(0.036)</w:t>
            </w:r>
          </w:p>
        </w:tc>
      </w:tr>
      <w:tr w:rsidR="00114B14" w:rsidRPr="004F04F9" w14:paraId="072F2690" w14:textId="77777777" w:rsidTr="00634C64">
        <w:trPr>
          <w:trHeight w:hRule="exact" w:val="255"/>
          <w:jc w:val="center"/>
        </w:trPr>
        <w:tc>
          <w:tcPr>
            <w:tcW w:w="1838" w:type="dxa"/>
            <w:vMerge w:val="restart"/>
            <w:noWrap/>
            <w:hideMark/>
          </w:tcPr>
          <w:p w14:paraId="08099F16"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proofErr w:type="spellStart"/>
            <w:r w:rsidRPr="004F04F9">
              <w:rPr>
                <w:rFonts w:eastAsia="Times New Roman" w:cs="Calibri"/>
                <w:sz w:val="20"/>
                <w:szCs w:val="20"/>
                <w:lang w:val="nb-NO" w:eastAsia="nb-NO"/>
              </w:rPr>
              <w:t>Constant</w:t>
            </w:r>
            <w:proofErr w:type="spellEnd"/>
          </w:p>
        </w:tc>
        <w:tc>
          <w:tcPr>
            <w:tcW w:w="2552" w:type="dxa"/>
            <w:noWrap/>
            <w:vAlign w:val="bottom"/>
          </w:tcPr>
          <w:p w14:paraId="5A298DBB" w14:textId="4A1034B2"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3.036**</w:t>
            </w:r>
          </w:p>
        </w:tc>
      </w:tr>
      <w:tr w:rsidR="00114B14" w:rsidRPr="004F04F9" w14:paraId="4019FE3E" w14:textId="77777777" w:rsidTr="00634C64">
        <w:trPr>
          <w:trHeight w:hRule="exact" w:val="255"/>
          <w:jc w:val="center"/>
        </w:trPr>
        <w:tc>
          <w:tcPr>
            <w:tcW w:w="1838" w:type="dxa"/>
            <w:vMerge/>
            <w:noWrap/>
            <w:hideMark/>
          </w:tcPr>
          <w:p w14:paraId="36E71DCE"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577F0CC6" w14:textId="426AE6C8"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(1.423)</w:t>
            </w:r>
          </w:p>
        </w:tc>
      </w:tr>
      <w:tr w:rsidR="00114B14" w:rsidRPr="004F04F9" w14:paraId="492B93BF" w14:textId="77777777" w:rsidTr="00634C64">
        <w:trPr>
          <w:trHeight w:hRule="exact" w:val="255"/>
          <w:jc w:val="center"/>
        </w:trPr>
        <w:tc>
          <w:tcPr>
            <w:tcW w:w="1838" w:type="dxa"/>
            <w:vMerge w:val="restart"/>
            <w:noWrap/>
            <w:hideMark/>
          </w:tcPr>
          <w:p w14:paraId="403B6318"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val="nb-NO" w:eastAsia="nb-NO"/>
              </w:rPr>
              <w:t>Ln Alpha</w:t>
            </w:r>
          </w:p>
        </w:tc>
        <w:tc>
          <w:tcPr>
            <w:tcW w:w="2552" w:type="dxa"/>
            <w:noWrap/>
            <w:vAlign w:val="bottom"/>
          </w:tcPr>
          <w:p w14:paraId="05B69981" w14:textId="004EDD0C"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0.054**</w:t>
            </w:r>
          </w:p>
        </w:tc>
      </w:tr>
      <w:tr w:rsidR="00114B14" w:rsidRPr="004F04F9" w14:paraId="1732147F" w14:textId="77777777" w:rsidTr="00634C64">
        <w:trPr>
          <w:trHeight w:hRule="exact" w:val="255"/>
          <w:jc w:val="center"/>
        </w:trPr>
        <w:tc>
          <w:tcPr>
            <w:tcW w:w="1838" w:type="dxa"/>
            <w:vMerge/>
            <w:noWrap/>
            <w:hideMark/>
          </w:tcPr>
          <w:p w14:paraId="27CFF4D5"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73802C58" w14:textId="6E7F8103"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(0.024)</w:t>
            </w:r>
          </w:p>
        </w:tc>
      </w:tr>
      <w:tr w:rsidR="00114B14" w:rsidRPr="004F04F9" w14:paraId="505849F6" w14:textId="77777777" w:rsidTr="00634C64">
        <w:trPr>
          <w:trHeight w:hRule="exact" w:val="255"/>
          <w:jc w:val="center"/>
        </w:trPr>
        <w:tc>
          <w:tcPr>
            <w:tcW w:w="1838" w:type="dxa"/>
            <w:vMerge w:val="restart"/>
            <w:noWrap/>
            <w:hideMark/>
          </w:tcPr>
          <w:p w14:paraId="77490E98"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val="nb-NO" w:eastAsia="nb-NO"/>
              </w:rPr>
              <w:t xml:space="preserve">MP var </w:t>
            </w:r>
            <w:proofErr w:type="spellStart"/>
            <w:r w:rsidRPr="004F04F9">
              <w:rPr>
                <w:rFonts w:eastAsia="Times New Roman" w:cs="Calibri"/>
                <w:sz w:val="20"/>
                <w:szCs w:val="20"/>
                <w:lang w:val="nb-NO" w:eastAsia="nb-NO"/>
              </w:rPr>
              <w:t>const</w:t>
            </w:r>
            <w:proofErr w:type="spellEnd"/>
          </w:p>
        </w:tc>
        <w:tc>
          <w:tcPr>
            <w:tcW w:w="2552" w:type="dxa"/>
            <w:noWrap/>
            <w:vAlign w:val="bottom"/>
          </w:tcPr>
          <w:p w14:paraId="5101E26D" w14:textId="0D66CD09"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1.203***</w:t>
            </w:r>
          </w:p>
        </w:tc>
      </w:tr>
      <w:tr w:rsidR="00114B14" w:rsidRPr="004F04F9" w14:paraId="525A36B8" w14:textId="77777777" w:rsidTr="00634C64">
        <w:trPr>
          <w:trHeight w:hRule="exact" w:val="255"/>
          <w:jc w:val="center"/>
        </w:trPr>
        <w:tc>
          <w:tcPr>
            <w:tcW w:w="1838" w:type="dxa"/>
            <w:vMerge/>
            <w:noWrap/>
            <w:hideMark/>
          </w:tcPr>
          <w:p w14:paraId="661A3E74"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3FAC5C35" w14:textId="657A46C5"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(0.108)</w:t>
            </w:r>
          </w:p>
        </w:tc>
      </w:tr>
      <w:tr w:rsidR="00114B14" w:rsidRPr="004F04F9" w14:paraId="3601BC73" w14:textId="77777777" w:rsidTr="00634C64">
        <w:trPr>
          <w:trHeight w:hRule="exact" w:val="255"/>
          <w:jc w:val="center"/>
        </w:trPr>
        <w:tc>
          <w:tcPr>
            <w:tcW w:w="1838" w:type="dxa"/>
            <w:noWrap/>
            <w:hideMark/>
          </w:tcPr>
          <w:p w14:paraId="69F20609"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val="nb-NO" w:eastAsia="nb-NO"/>
              </w:rPr>
              <w:t>N</w:t>
            </w:r>
          </w:p>
        </w:tc>
        <w:tc>
          <w:tcPr>
            <w:tcW w:w="2552" w:type="dxa"/>
            <w:noWrap/>
            <w:vAlign w:val="bottom"/>
          </w:tcPr>
          <w:p w14:paraId="65457E0E" w14:textId="72242B1D"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6149</w:t>
            </w:r>
          </w:p>
        </w:tc>
      </w:tr>
      <w:tr w:rsidR="00114B14" w:rsidRPr="004F04F9" w14:paraId="6CCB2D87" w14:textId="77777777" w:rsidTr="00634C64">
        <w:trPr>
          <w:trHeight w:hRule="exact" w:val="255"/>
          <w:jc w:val="center"/>
        </w:trPr>
        <w:tc>
          <w:tcPr>
            <w:tcW w:w="1838" w:type="dxa"/>
            <w:noWrap/>
            <w:hideMark/>
          </w:tcPr>
          <w:p w14:paraId="7BA747B0"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val="nb-NO" w:eastAsia="nb-NO"/>
              </w:rPr>
              <w:t xml:space="preserve">No. </w:t>
            </w:r>
            <w:proofErr w:type="spellStart"/>
            <w:r w:rsidRPr="004F04F9">
              <w:rPr>
                <w:rFonts w:eastAsia="Times New Roman" w:cs="Calibri"/>
                <w:sz w:val="20"/>
                <w:szCs w:val="20"/>
                <w:lang w:val="nb-NO" w:eastAsia="nb-NO"/>
              </w:rPr>
              <w:t>of</w:t>
            </w:r>
            <w:proofErr w:type="spellEnd"/>
            <w:r w:rsidRPr="004F04F9">
              <w:rPr>
                <w:rFonts w:eastAsia="Times New Roman" w:cs="Calibri"/>
                <w:sz w:val="20"/>
                <w:szCs w:val="20"/>
                <w:lang w:val="nb-NO" w:eastAsia="nb-NO"/>
              </w:rPr>
              <w:t xml:space="preserve"> </w:t>
            </w:r>
            <w:proofErr w:type="spellStart"/>
            <w:r w:rsidRPr="004F04F9">
              <w:rPr>
                <w:rFonts w:eastAsia="Times New Roman" w:cs="Calibri"/>
                <w:sz w:val="20"/>
                <w:szCs w:val="20"/>
                <w:lang w:val="nb-NO" w:eastAsia="nb-NO"/>
              </w:rPr>
              <w:t>groups</w:t>
            </w:r>
            <w:proofErr w:type="spellEnd"/>
          </w:p>
        </w:tc>
        <w:tc>
          <w:tcPr>
            <w:tcW w:w="2552" w:type="dxa"/>
            <w:noWrap/>
            <w:vAlign w:val="bottom"/>
          </w:tcPr>
          <w:p w14:paraId="5F08B9C2" w14:textId="666F303C"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330</w:t>
            </w:r>
          </w:p>
        </w:tc>
      </w:tr>
      <w:tr w:rsidR="00114B14" w:rsidRPr="004F04F9" w14:paraId="3DE1A3DD" w14:textId="77777777" w:rsidTr="00634C64">
        <w:trPr>
          <w:trHeight w:hRule="exact" w:val="255"/>
          <w:jc w:val="center"/>
        </w:trPr>
        <w:tc>
          <w:tcPr>
            <w:tcW w:w="1838" w:type="dxa"/>
            <w:noWrap/>
            <w:hideMark/>
          </w:tcPr>
          <w:p w14:paraId="499E7D04" w14:textId="77777777"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val="nb-NO" w:eastAsia="nb-NO"/>
              </w:rPr>
              <w:t xml:space="preserve">Log </w:t>
            </w:r>
            <w:proofErr w:type="spellStart"/>
            <w:r w:rsidRPr="004F04F9">
              <w:rPr>
                <w:rFonts w:eastAsia="Times New Roman" w:cs="Calibri"/>
                <w:sz w:val="20"/>
                <w:szCs w:val="20"/>
                <w:lang w:val="nb-NO" w:eastAsia="nb-NO"/>
              </w:rPr>
              <w:t>likelihood</w:t>
            </w:r>
            <w:proofErr w:type="spellEnd"/>
          </w:p>
        </w:tc>
        <w:tc>
          <w:tcPr>
            <w:tcW w:w="2552" w:type="dxa"/>
            <w:noWrap/>
            <w:vAlign w:val="bottom"/>
          </w:tcPr>
          <w:p w14:paraId="03891B1C" w14:textId="08A05181" w:rsidR="00114B14" w:rsidRPr="004F04F9" w:rsidRDefault="00114B14" w:rsidP="00114B14">
            <w:pPr>
              <w:widowControl/>
              <w:autoSpaceDE/>
              <w:autoSpaceDN/>
              <w:spacing w:after="0" w:line="240" w:lineRule="auto"/>
              <w:jc w:val="center"/>
              <w:rPr>
                <w:rFonts w:eastAsia="Times New Roman" w:cs="Calibri"/>
                <w:sz w:val="20"/>
                <w:szCs w:val="20"/>
                <w:lang w:val="nb-NO" w:eastAsia="nb-NO"/>
              </w:rPr>
            </w:pPr>
            <w:r w:rsidRPr="00114B14">
              <w:rPr>
                <w:rFonts w:eastAsia="Times New Roman" w:cs="Calibri"/>
                <w:sz w:val="20"/>
                <w:szCs w:val="20"/>
                <w:lang w:val="nb-NO" w:eastAsia="nb-NO"/>
              </w:rPr>
              <w:t>-18698</w:t>
            </w:r>
          </w:p>
        </w:tc>
      </w:tr>
    </w:tbl>
    <w:p w14:paraId="2AC3456D" w14:textId="204B2192" w:rsidR="00634C64" w:rsidRDefault="00634C64" w:rsidP="00634C64">
      <w:pPr>
        <w:spacing w:after="0" w:line="240" w:lineRule="auto"/>
        <w:jc w:val="center"/>
        <w:sectPr w:rsidR="00634C64" w:rsidSect="00674288">
          <w:pgSz w:w="12240" w:h="15840"/>
          <w:pgMar w:top="720" w:right="720" w:bottom="720" w:left="720" w:header="720" w:footer="720" w:gutter="0"/>
          <w:cols w:space="720"/>
          <w:docGrid w:linePitch="360"/>
        </w:sectPr>
      </w:pPr>
      <w:r w:rsidRPr="002D7BA5">
        <w:rPr>
          <w:rFonts w:eastAsia="Times New Roman" w:cs="Calibri"/>
          <w:sz w:val="20"/>
          <w:szCs w:val="20"/>
          <w:lang w:eastAsia="nb-NO"/>
        </w:rPr>
        <w:t xml:space="preserve">Standard errors in parentheses. *** p&lt;0.01, ** p&lt;0.05, * p&lt;0.1 </w:t>
      </w:r>
    </w:p>
    <w:p w14:paraId="5BDBA9A7" w14:textId="77777777" w:rsidR="00634C64" w:rsidRDefault="00634C64" w:rsidP="00625AD6">
      <w:pPr>
        <w:spacing w:after="0" w:line="240" w:lineRule="auto"/>
        <w:jc w:val="center"/>
      </w:pPr>
    </w:p>
    <w:p w14:paraId="08A93E00" w14:textId="77777777" w:rsidR="00625AD6" w:rsidRDefault="00625AD6" w:rsidP="00625AD6">
      <w:pPr>
        <w:widowControl/>
        <w:autoSpaceDE/>
        <w:autoSpaceDN/>
        <w:spacing w:after="0" w:line="240" w:lineRule="auto"/>
        <w:rPr>
          <w:rFonts w:cs="Garamond"/>
          <w:b/>
          <w:bCs/>
          <w:szCs w:val="24"/>
          <w:highlight w:val="yellow"/>
        </w:rPr>
      </w:pPr>
    </w:p>
    <w:p w14:paraId="608D73F6" w14:textId="2BC0E8FD" w:rsidR="00625AD6" w:rsidRDefault="00267E06" w:rsidP="00625AD6">
      <w:pPr>
        <w:widowControl/>
        <w:autoSpaceDE/>
        <w:autoSpaceDN/>
        <w:spacing w:after="0" w:line="240" w:lineRule="auto"/>
        <w:jc w:val="center"/>
        <w:rPr>
          <w:rFonts w:cs="Garamond"/>
          <w:b/>
          <w:bCs/>
          <w:szCs w:val="24"/>
        </w:rPr>
      </w:pPr>
      <w:r w:rsidRPr="00267E06">
        <w:rPr>
          <w:rFonts w:cs="Garamond"/>
          <w:b/>
          <w:bCs/>
          <w:noProof/>
          <w:szCs w:val="24"/>
        </w:rPr>
        <w:drawing>
          <wp:inline distT="0" distB="0" distL="0" distR="0" wp14:anchorId="7701FBB1" wp14:editId="653089F5">
            <wp:extent cx="5544423" cy="40576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52657" cy="4063676"/>
                    </a:xfrm>
                    <a:prstGeom prst="rect">
                      <a:avLst/>
                    </a:prstGeom>
                    <a:noFill/>
                    <a:ln>
                      <a:noFill/>
                    </a:ln>
                  </pic:spPr>
                </pic:pic>
              </a:graphicData>
            </a:graphic>
          </wp:inline>
        </w:drawing>
      </w:r>
    </w:p>
    <w:p w14:paraId="2DA69AC1" w14:textId="77777777" w:rsidR="00625AD6" w:rsidRPr="00EF6E80" w:rsidRDefault="00625AD6" w:rsidP="00625AD6">
      <w:pPr>
        <w:pStyle w:val="Figureheading"/>
        <w:rPr>
          <w:i w:val="0"/>
          <w:iCs w:val="0"/>
        </w:rPr>
      </w:pPr>
      <w:r w:rsidRPr="00EF6E80">
        <w:rPr>
          <w:i w:val="0"/>
          <w:iCs w:val="0"/>
        </w:rPr>
        <w:t>Figure A1: The effect of district size (in seats) on news visibility by gender, Norway. Predicted values estimated based on model reported in Table A4, where influential observations were excluded. All other covariates held constant at their mean.</w:t>
      </w:r>
    </w:p>
    <w:p w14:paraId="2919B0F5" w14:textId="6B8BB7A6" w:rsidR="00625AD6" w:rsidRDefault="00625AD6">
      <w:pPr>
        <w:widowControl/>
        <w:autoSpaceDE/>
        <w:autoSpaceDN/>
        <w:spacing w:after="0" w:line="240" w:lineRule="auto"/>
        <w:jc w:val="left"/>
      </w:pPr>
    </w:p>
    <w:p w14:paraId="69A406AC" w14:textId="77777777" w:rsidR="00625AD6" w:rsidRDefault="00625AD6">
      <w:pPr>
        <w:widowControl/>
        <w:autoSpaceDE/>
        <w:autoSpaceDN/>
        <w:spacing w:after="0" w:line="240" w:lineRule="auto"/>
        <w:jc w:val="left"/>
      </w:pPr>
      <w:r>
        <w:br w:type="page"/>
      </w:r>
    </w:p>
    <w:p w14:paraId="674A2F74" w14:textId="553D24CA" w:rsidR="000613C3" w:rsidRDefault="000613C3" w:rsidP="000613C3">
      <w:pPr>
        <w:spacing w:after="0" w:line="240" w:lineRule="auto"/>
        <w:jc w:val="center"/>
      </w:pPr>
      <w:r>
        <w:lastRenderedPageBreak/>
        <w:t>Table A5. Testing alternative model specifications. Dependent variable: quarterly news visibility.</w:t>
      </w:r>
    </w:p>
    <w:tbl>
      <w:tblPr>
        <w:tblStyle w:val="Tabelltemaer"/>
        <w:tblW w:w="9493" w:type="dxa"/>
        <w:jc w:val="center"/>
        <w:tblLayout w:type="fixed"/>
        <w:tblLook w:val="04A0" w:firstRow="1" w:lastRow="0" w:firstColumn="1" w:lastColumn="0" w:noHBand="0" w:noVBand="1"/>
      </w:tblPr>
      <w:tblGrid>
        <w:gridCol w:w="1129"/>
        <w:gridCol w:w="1394"/>
        <w:gridCol w:w="1394"/>
        <w:gridCol w:w="1394"/>
        <w:gridCol w:w="1394"/>
        <w:gridCol w:w="1394"/>
        <w:gridCol w:w="1394"/>
      </w:tblGrid>
      <w:tr w:rsidR="000613C3" w:rsidRPr="004F04F9" w14:paraId="4AA11E8F" w14:textId="77777777" w:rsidTr="008544A9">
        <w:trPr>
          <w:trHeight w:hRule="exact" w:val="255"/>
          <w:jc w:val="center"/>
        </w:trPr>
        <w:tc>
          <w:tcPr>
            <w:tcW w:w="1129" w:type="dxa"/>
            <w:noWrap/>
            <w:hideMark/>
          </w:tcPr>
          <w:p w14:paraId="240B60BD" w14:textId="77777777" w:rsidR="000613C3" w:rsidRPr="004F04F9" w:rsidRDefault="000613C3" w:rsidP="008544A9">
            <w:pPr>
              <w:widowControl/>
              <w:autoSpaceDE/>
              <w:autoSpaceDN/>
              <w:spacing w:after="0" w:line="240" w:lineRule="auto"/>
              <w:jc w:val="center"/>
              <w:rPr>
                <w:rFonts w:eastAsia="Times New Roman" w:cs="Calibri"/>
                <w:sz w:val="20"/>
                <w:szCs w:val="20"/>
                <w:lang w:eastAsia="nb-NO"/>
              </w:rPr>
            </w:pPr>
          </w:p>
        </w:tc>
        <w:tc>
          <w:tcPr>
            <w:tcW w:w="4182" w:type="dxa"/>
            <w:gridSpan w:val="3"/>
            <w:noWrap/>
          </w:tcPr>
          <w:p w14:paraId="638B0634" w14:textId="77777777" w:rsidR="000613C3" w:rsidRPr="004F04F9" w:rsidRDefault="000613C3" w:rsidP="008544A9">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val="nb-NO" w:eastAsia="nb-NO"/>
              </w:rPr>
              <w:t>United Kingdom</w:t>
            </w:r>
          </w:p>
        </w:tc>
        <w:tc>
          <w:tcPr>
            <w:tcW w:w="4182" w:type="dxa"/>
            <w:gridSpan w:val="3"/>
            <w:noWrap/>
          </w:tcPr>
          <w:p w14:paraId="6779E708" w14:textId="77777777" w:rsidR="000613C3" w:rsidRPr="004F04F9" w:rsidRDefault="000613C3" w:rsidP="008544A9">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val="nb-NO" w:eastAsia="nb-NO"/>
              </w:rPr>
              <w:t>Norway</w:t>
            </w:r>
          </w:p>
        </w:tc>
      </w:tr>
      <w:tr w:rsidR="000613C3" w:rsidRPr="004F04F9" w14:paraId="267E3958" w14:textId="77777777" w:rsidTr="008544A9">
        <w:trPr>
          <w:trHeight w:hRule="exact" w:val="255"/>
          <w:jc w:val="center"/>
        </w:trPr>
        <w:tc>
          <w:tcPr>
            <w:tcW w:w="1129" w:type="dxa"/>
            <w:noWrap/>
          </w:tcPr>
          <w:p w14:paraId="221E2912" w14:textId="77777777" w:rsidR="000613C3" w:rsidRPr="004F04F9" w:rsidRDefault="000613C3" w:rsidP="008544A9">
            <w:pPr>
              <w:widowControl/>
              <w:autoSpaceDE/>
              <w:autoSpaceDN/>
              <w:spacing w:after="0" w:line="240" w:lineRule="auto"/>
              <w:jc w:val="center"/>
              <w:rPr>
                <w:rFonts w:eastAsia="Times New Roman" w:cs="Calibri"/>
                <w:sz w:val="20"/>
                <w:szCs w:val="20"/>
                <w:lang w:eastAsia="nb-NO"/>
              </w:rPr>
            </w:pPr>
          </w:p>
        </w:tc>
        <w:tc>
          <w:tcPr>
            <w:tcW w:w="1394" w:type="dxa"/>
          </w:tcPr>
          <w:p w14:paraId="7A1A5833" w14:textId="77777777" w:rsidR="000613C3" w:rsidRPr="004F04F9" w:rsidRDefault="000613C3" w:rsidP="008544A9">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val="nb-NO" w:eastAsia="nb-NO"/>
              </w:rPr>
              <w:t xml:space="preserve">Main </w:t>
            </w:r>
            <w:proofErr w:type="spellStart"/>
            <w:r w:rsidRPr="004F04F9">
              <w:rPr>
                <w:rFonts w:eastAsia="Times New Roman" w:cs="Calibri"/>
                <w:sz w:val="20"/>
                <w:szCs w:val="20"/>
                <w:lang w:val="nb-NO" w:eastAsia="nb-NO"/>
              </w:rPr>
              <w:t>model</w:t>
            </w:r>
            <w:proofErr w:type="spellEnd"/>
          </w:p>
        </w:tc>
        <w:tc>
          <w:tcPr>
            <w:tcW w:w="1394" w:type="dxa"/>
          </w:tcPr>
          <w:p w14:paraId="5FB6935D" w14:textId="77777777" w:rsidR="000613C3" w:rsidRPr="004F04F9" w:rsidRDefault="000613C3" w:rsidP="008544A9">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val="nb-NO" w:eastAsia="nb-NO"/>
              </w:rPr>
              <w:t>AR-term</w:t>
            </w:r>
          </w:p>
        </w:tc>
        <w:tc>
          <w:tcPr>
            <w:tcW w:w="1394" w:type="dxa"/>
            <w:noWrap/>
          </w:tcPr>
          <w:p w14:paraId="7A4033EB" w14:textId="77777777" w:rsidR="000613C3" w:rsidRPr="004F04F9" w:rsidRDefault="000613C3" w:rsidP="008544A9">
            <w:pPr>
              <w:widowControl/>
              <w:autoSpaceDE/>
              <w:autoSpaceDN/>
              <w:spacing w:after="0" w:line="240" w:lineRule="auto"/>
              <w:jc w:val="center"/>
              <w:rPr>
                <w:rFonts w:eastAsia="Times New Roman" w:cs="Calibri"/>
                <w:sz w:val="20"/>
                <w:szCs w:val="20"/>
                <w:highlight w:val="yellow"/>
                <w:lang w:val="nb-NO" w:eastAsia="nb-NO"/>
              </w:rPr>
            </w:pPr>
            <w:r w:rsidRPr="004F04F9">
              <w:rPr>
                <w:rFonts w:eastAsia="Times New Roman" w:cs="Calibri"/>
                <w:sz w:val="20"/>
                <w:szCs w:val="20"/>
                <w:lang w:val="nb-NO" w:eastAsia="nb-NO"/>
              </w:rPr>
              <w:t xml:space="preserve">Robust </w:t>
            </w:r>
            <w:proofErr w:type="spellStart"/>
            <w:r w:rsidRPr="004F04F9">
              <w:rPr>
                <w:rFonts w:eastAsia="Times New Roman" w:cs="Calibri"/>
                <w:sz w:val="20"/>
                <w:szCs w:val="20"/>
                <w:lang w:val="nb-NO" w:eastAsia="nb-NO"/>
              </w:rPr>
              <w:t>SEs</w:t>
            </w:r>
            <w:proofErr w:type="spellEnd"/>
          </w:p>
        </w:tc>
        <w:tc>
          <w:tcPr>
            <w:tcW w:w="1394" w:type="dxa"/>
            <w:noWrap/>
          </w:tcPr>
          <w:p w14:paraId="0C14B61C" w14:textId="77777777" w:rsidR="000613C3" w:rsidRPr="004F04F9" w:rsidRDefault="000613C3" w:rsidP="008544A9">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val="nb-NO" w:eastAsia="nb-NO"/>
              </w:rPr>
              <w:t xml:space="preserve">Main </w:t>
            </w:r>
            <w:proofErr w:type="spellStart"/>
            <w:r w:rsidRPr="004F04F9">
              <w:rPr>
                <w:rFonts w:eastAsia="Times New Roman" w:cs="Calibri"/>
                <w:sz w:val="20"/>
                <w:szCs w:val="20"/>
                <w:lang w:val="nb-NO" w:eastAsia="nb-NO"/>
              </w:rPr>
              <w:t>model</w:t>
            </w:r>
            <w:proofErr w:type="spellEnd"/>
          </w:p>
        </w:tc>
        <w:tc>
          <w:tcPr>
            <w:tcW w:w="1394" w:type="dxa"/>
          </w:tcPr>
          <w:p w14:paraId="119B0DD7" w14:textId="77777777" w:rsidR="000613C3" w:rsidRPr="004F04F9" w:rsidRDefault="000613C3" w:rsidP="008544A9">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val="nb-NO" w:eastAsia="nb-NO"/>
              </w:rPr>
              <w:t>AR-term</w:t>
            </w:r>
          </w:p>
        </w:tc>
        <w:tc>
          <w:tcPr>
            <w:tcW w:w="1394" w:type="dxa"/>
            <w:noWrap/>
          </w:tcPr>
          <w:p w14:paraId="046EB764" w14:textId="77777777" w:rsidR="000613C3" w:rsidRPr="004F04F9" w:rsidRDefault="000613C3" w:rsidP="008544A9">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val="nb-NO" w:eastAsia="nb-NO"/>
              </w:rPr>
              <w:t xml:space="preserve">Robust </w:t>
            </w:r>
            <w:proofErr w:type="spellStart"/>
            <w:r w:rsidRPr="004F04F9">
              <w:rPr>
                <w:rFonts w:eastAsia="Times New Roman" w:cs="Calibri"/>
                <w:sz w:val="20"/>
                <w:szCs w:val="20"/>
                <w:lang w:val="nb-NO" w:eastAsia="nb-NO"/>
              </w:rPr>
              <w:t>SEs</w:t>
            </w:r>
            <w:proofErr w:type="spellEnd"/>
          </w:p>
        </w:tc>
      </w:tr>
      <w:tr w:rsidR="001C7AF3" w:rsidRPr="004F04F9" w14:paraId="618884A0" w14:textId="77777777" w:rsidTr="008544A9">
        <w:trPr>
          <w:trHeight w:hRule="exact" w:val="255"/>
          <w:jc w:val="center"/>
        </w:trPr>
        <w:tc>
          <w:tcPr>
            <w:tcW w:w="1129" w:type="dxa"/>
            <w:vMerge w:val="restart"/>
            <w:noWrap/>
            <w:hideMark/>
          </w:tcPr>
          <w:p w14:paraId="536A996B"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roofErr w:type="spellStart"/>
            <w:r w:rsidRPr="004F04F9">
              <w:rPr>
                <w:rFonts w:eastAsia="Times New Roman" w:cs="Calibri"/>
                <w:sz w:val="20"/>
                <w:szCs w:val="20"/>
                <w:lang w:val="nb-NO" w:eastAsia="nb-NO"/>
              </w:rPr>
              <w:t>Women</w:t>
            </w:r>
            <w:proofErr w:type="spellEnd"/>
          </w:p>
        </w:tc>
        <w:tc>
          <w:tcPr>
            <w:tcW w:w="1394" w:type="dxa"/>
            <w:vAlign w:val="bottom"/>
          </w:tcPr>
          <w:p w14:paraId="3B8C7D68" w14:textId="4EB99B82"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-0.017</w:t>
            </w:r>
          </w:p>
        </w:tc>
        <w:tc>
          <w:tcPr>
            <w:tcW w:w="1394" w:type="dxa"/>
            <w:vAlign w:val="bottom"/>
          </w:tcPr>
          <w:p w14:paraId="17B3C8F7" w14:textId="3D2EA204"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-0.012</w:t>
            </w:r>
          </w:p>
        </w:tc>
        <w:tc>
          <w:tcPr>
            <w:tcW w:w="1394" w:type="dxa"/>
            <w:noWrap/>
            <w:vAlign w:val="bottom"/>
          </w:tcPr>
          <w:p w14:paraId="67315876" w14:textId="3FE88E96"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-0.017</w:t>
            </w:r>
          </w:p>
        </w:tc>
        <w:tc>
          <w:tcPr>
            <w:tcW w:w="1394" w:type="dxa"/>
            <w:noWrap/>
            <w:vAlign w:val="bottom"/>
          </w:tcPr>
          <w:p w14:paraId="6B1B9190" w14:textId="0672A971"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-0.478***</w:t>
            </w:r>
          </w:p>
        </w:tc>
        <w:tc>
          <w:tcPr>
            <w:tcW w:w="1394" w:type="dxa"/>
            <w:vAlign w:val="bottom"/>
          </w:tcPr>
          <w:p w14:paraId="1BAC3454" w14:textId="2932726A"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-0.385***</w:t>
            </w:r>
          </w:p>
        </w:tc>
        <w:tc>
          <w:tcPr>
            <w:tcW w:w="1394" w:type="dxa"/>
            <w:noWrap/>
            <w:vAlign w:val="bottom"/>
          </w:tcPr>
          <w:p w14:paraId="38604D76" w14:textId="5AD6916B"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-0.478***</w:t>
            </w:r>
          </w:p>
        </w:tc>
      </w:tr>
      <w:tr w:rsidR="001C7AF3" w:rsidRPr="004F04F9" w14:paraId="2B691173" w14:textId="77777777" w:rsidTr="008544A9">
        <w:trPr>
          <w:trHeight w:hRule="exact" w:val="255"/>
          <w:jc w:val="center"/>
        </w:trPr>
        <w:tc>
          <w:tcPr>
            <w:tcW w:w="1129" w:type="dxa"/>
            <w:vMerge/>
            <w:noWrap/>
            <w:hideMark/>
          </w:tcPr>
          <w:p w14:paraId="4D54E962"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vAlign w:val="bottom"/>
          </w:tcPr>
          <w:p w14:paraId="4D8A26B9" w14:textId="2D18185A"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(0.093)</w:t>
            </w:r>
          </w:p>
        </w:tc>
        <w:tc>
          <w:tcPr>
            <w:tcW w:w="1394" w:type="dxa"/>
            <w:vAlign w:val="bottom"/>
          </w:tcPr>
          <w:p w14:paraId="47FC640B" w14:textId="76A3693B"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(0.082)</w:t>
            </w:r>
          </w:p>
        </w:tc>
        <w:tc>
          <w:tcPr>
            <w:tcW w:w="1394" w:type="dxa"/>
            <w:noWrap/>
            <w:vAlign w:val="bottom"/>
          </w:tcPr>
          <w:p w14:paraId="3896D5DC" w14:textId="50D99615"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(0.097)</w:t>
            </w:r>
          </w:p>
        </w:tc>
        <w:tc>
          <w:tcPr>
            <w:tcW w:w="1394" w:type="dxa"/>
            <w:noWrap/>
            <w:vAlign w:val="bottom"/>
          </w:tcPr>
          <w:p w14:paraId="0D9726ED" w14:textId="5AB8DB1B"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(0.123)</w:t>
            </w:r>
          </w:p>
        </w:tc>
        <w:tc>
          <w:tcPr>
            <w:tcW w:w="1394" w:type="dxa"/>
            <w:vAlign w:val="bottom"/>
          </w:tcPr>
          <w:p w14:paraId="7ABD08F1" w14:textId="0E92398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(0.114)</w:t>
            </w:r>
          </w:p>
        </w:tc>
        <w:tc>
          <w:tcPr>
            <w:tcW w:w="1394" w:type="dxa"/>
            <w:noWrap/>
            <w:vAlign w:val="bottom"/>
          </w:tcPr>
          <w:p w14:paraId="410D0441" w14:textId="475A2AF4"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(0.125)</w:t>
            </w:r>
          </w:p>
        </w:tc>
      </w:tr>
      <w:tr w:rsidR="001C7AF3" w:rsidRPr="004F04F9" w14:paraId="37D034DF" w14:textId="77777777" w:rsidTr="008544A9">
        <w:trPr>
          <w:trHeight w:hRule="exact" w:val="255"/>
          <w:jc w:val="center"/>
        </w:trPr>
        <w:tc>
          <w:tcPr>
            <w:tcW w:w="1129" w:type="dxa"/>
            <w:vMerge w:val="restart"/>
            <w:noWrap/>
            <w:hideMark/>
          </w:tcPr>
          <w:p w14:paraId="78CF2877"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val="nb-NO" w:eastAsia="nb-NO"/>
              </w:rPr>
              <w:t>Age</w:t>
            </w:r>
          </w:p>
        </w:tc>
        <w:tc>
          <w:tcPr>
            <w:tcW w:w="1394" w:type="dxa"/>
            <w:vAlign w:val="bottom"/>
          </w:tcPr>
          <w:p w14:paraId="3E504635" w14:textId="3D91D85B"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0.179***</w:t>
            </w:r>
          </w:p>
        </w:tc>
        <w:tc>
          <w:tcPr>
            <w:tcW w:w="1394" w:type="dxa"/>
            <w:vAlign w:val="bottom"/>
          </w:tcPr>
          <w:p w14:paraId="28A2252A" w14:textId="0E47EC32"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0.130***</w:t>
            </w:r>
          </w:p>
        </w:tc>
        <w:tc>
          <w:tcPr>
            <w:tcW w:w="1394" w:type="dxa"/>
            <w:noWrap/>
            <w:vAlign w:val="bottom"/>
          </w:tcPr>
          <w:p w14:paraId="6F7881CA" w14:textId="553335B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0.179***</w:t>
            </w:r>
          </w:p>
        </w:tc>
        <w:tc>
          <w:tcPr>
            <w:tcW w:w="1394" w:type="dxa"/>
            <w:noWrap/>
            <w:vAlign w:val="bottom"/>
          </w:tcPr>
          <w:p w14:paraId="7D1811CC" w14:textId="30DEAD30"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0.077***</w:t>
            </w:r>
          </w:p>
        </w:tc>
        <w:tc>
          <w:tcPr>
            <w:tcW w:w="1394" w:type="dxa"/>
            <w:vAlign w:val="bottom"/>
          </w:tcPr>
          <w:p w14:paraId="1F6FC336" w14:textId="401DA5A8"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0.039*</w:t>
            </w:r>
          </w:p>
        </w:tc>
        <w:tc>
          <w:tcPr>
            <w:tcW w:w="1394" w:type="dxa"/>
            <w:noWrap/>
            <w:vAlign w:val="bottom"/>
          </w:tcPr>
          <w:p w14:paraId="1DA0AB16" w14:textId="744FDCC8"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0.077*</w:t>
            </w:r>
          </w:p>
        </w:tc>
      </w:tr>
      <w:tr w:rsidR="001C7AF3" w:rsidRPr="004F04F9" w14:paraId="2421FD56" w14:textId="77777777" w:rsidTr="008544A9">
        <w:trPr>
          <w:trHeight w:hRule="exact" w:val="255"/>
          <w:jc w:val="center"/>
        </w:trPr>
        <w:tc>
          <w:tcPr>
            <w:tcW w:w="1129" w:type="dxa"/>
            <w:vMerge/>
            <w:noWrap/>
            <w:hideMark/>
          </w:tcPr>
          <w:p w14:paraId="49892C99"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vAlign w:val="bottom"/>
          </w:tcPr>
          <w:p w14:paraId="2E80BE67" w14:textId="44AE7535"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(0.012)</w:t>
            </w:r>
          </w:p>
        </w:tc>
        <w:tc>
          <w:tcPr>
            <w:tcW w:w="1394" w:type="dxa"/>
            <w:vAlign w:val="bottom"/>
          </w:tcPr>
          <w:p w14:paraId="1C154093" w14:textId="0A7FF8E3"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(0.011)</w:t>
            </w:r>
          </w:p>
        </w:tc>
        <w:tc>
          <w:tcPr>
            <w:tcW w:w="1394" w:type="dxa"/>
            <w:noWrap/>
            <w:vAlign w:val="bottom"/>
          </w:tcPr>
          <w:p w14:paraId="765B01FE" w14:textId="2CEA8AF2"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(0.027)</w:t>
            </w:r>
          </w:p>
        </w:tc>
        <w:tc>
          <w:tcPr>
            <w:tcW w:w="1394" w:type="dxa"/>
            <w:noWrap/>
            <w:vAlign w:val="bottom"/>
          </w:tcPr>
          <w:p w14:paraId="1C686F20" w14:textId="2657F7CF"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(0.024)</w:t>
            </w:r>
          </w:p>
        </w:tc>
        <w:tc>
          <w:tcPr>
            <w:tcW w:w="1394" w:type="dxa"/>
            <w:vAlign w:val="bottom"/>
          </w:tcPr>
          <w:p w14:paraId="6D7BF038" w14:textId="4D657E4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(0.024)</w:t>
            </w:r>
          </w:p>
        </w:tc>
        <w:tc>
          <w:tcPr>
            <w:tcW w:w="1394" w:type="dxa"/>
            <w:noWrap/>
            <w:vAlign w:val="bottom"/>
          </w:tcPr>
          <w:p w14:paraId="46BB8D21" w14:textId="23C93156"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(0.045)</w:t>
            </w:r>
          </w:p>
        </w:tc>
      </w:tr>
      <w:tr w:rsidR="001C7AF3" w:rsidRPr="004F04F9" w14:paraId="30ECE9F9" w14:textId="77777777" w:rsidTr="008544A9">
        <w:trPr>
          <w:trHeight w:hRule="exact" w:val="255"/>
          <w:jc w:val="center"/>
        </w:trPr>
        <w:tc>
          <w:tcPr>
            <w:tcW w:w="1129" w:type="dxa"/>
            <w:vMerge w:val="restart"/>
            <w:noWrap/>
            <w:hideMark/>
          </w:tcPr>
          <w:p w14:paraId="4700979F"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val="nb-NO" w:eastAsia="nb-NO"/>
              </w:rPr>
              <w:t>Age</w:t>
            </w:r>
            <w:r w:rsidRPr="004F04F9">
              <w:rPr>
                <w:rFonts w:eastAsia="Times New Roman" w:cs="Calibri"/>
                <w:sz w:val="20"/>
                <w:szCs w:val="20"/>
                <w:vertAlign w:val="superscript"/>
                <w:lang w:val="nb-NO" w:eastAsia="nb-NO"/>
              </w:rPr>
              <w:t>2</w:t>
            </w:r>
          </w:p>
        </w:tc>
        <w:tc>
          <w:tcPr>
            <w:tcW w:w="1394" w:type="dxa"/>
            <w:vAlign w:val="bottom"/>
          </w:tcPr>
          <w:p w14:paraId="7CC57E42" w14:textId="73B0BAEC"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-0.002***</w:t>
            </w:r>
          </w:p>
        </w:tc>
        <w:tc>
          <w:tcPr>
            <w:tcW w:w="1394" w:type="dxa"/>
            <w:vAlign w:val="bottom"/>
          </w:tcPr>
          <w:p w14:paraId="3F899F77" w14:textId="3E31A11C"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-0.002***</w:t>
            </w:r>
          </w:p>
        </w:tc>
        <w:tc>
          <w:tcPr>
            <w:tcW w:w="1394" w:type="dxa"/>
            <w:noWrap/>
            <w:vAlign w:val="bottom"/>
          </w:tcPr>
          <w:p w14:paraId="1DB76AE1" w14:textId="0CCA4D12"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-0.002***</w:t>
            </w:r>
          </w:p>
        </w:tc>
        <w:tc>
          <w:tcPr>
            <w:tcW w:w="1394" w:type="dxa"/>
            <w:noWrap/>
            <w:vAlign w:val="bottom"/>
          </w:tcPr>
          <w:p w14:paraId="208BFAA1" w14:textId="1347B94E"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-0.001***</w:t>
            </w:r>
          </w:p>
        </w:tc>
        <w:tc>
          <w:tcPr>
            <w:tcW w:w="1394" w:type="dxa"/>
            <w:vAlign w:val="bottom"/>
          </w:tcPr>
          <w:p w14:paraId="351AB181" w14:textId="339BA753"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-0.001***</w:t>
            </w:r>
          </w:p>
        </w:tc>
        <w:tc>
          <w:tcPr>
            <w:tcW w:w="1394" w:type="dxa"/>
            <w:noWrap/>
            <w:vAlign w:val="bottom"/>
          </w:tcPr>
          <w:p w14:paraId="5C18727C" w14:textId="3BE1EFA5"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-0.001**</w:t>
            </w:r>
          </w:p>
        </w:tc>
      </w:tr>
      <w:tr w:rsidR="001C7AF3" w:rsidRPr="004F04F9" w14:paraId="20A65D18" w14:textId="77777777" w:rsidTr="008544A9">
        <w:trPr>
          <w:trHeight w:hRule="exact" w:val="255"/>
          <w:jc w:val="center"/>
        </w:trPr>
        <w:tc>
          <w:tcPr>
            <w:tcW w:w="1129" w:type="dxa"/>
            <w:vMerge/>
            <w:noWrap/>
            <w:hideMark/>
          </w:tcPr>
          <w:p w14:paraId="0BD8B0A7"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vAlign w:val="bottom"/>
          </w:tcPr>
          <w:p w14:paraId="12FDBD2E" w14:textId="2EBFD53A"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(0.000)</w:t>
            </w:r>
          </w:p>
        </w:tc>
        <w:tc>
          <w:tcPr>
            <w:tcW w:w="1394" w:type="dxa"/>
            <w:vAlign w:val="bottom"/>
          </w:tcPr>
          <w:p w14:paraId="2B4F3E44" w14:textId="60FA025F"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(0.000)</w:t>
            </w:r>
          </w:p>
        </w:tc>
        <w:tc>
          <w:tcPr>
            <w:tcW w:w="1394" w:type="dxa"/>
            <w:noWrap/>
            <w:vAlign w:val="bottom"/>
          </w:tcPr>
          <w:p w14:paraId="1A148528" w14:textId="317341EB"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(0.000)</w:t>
            </w:r>
          </w:p>
        </w:tc>
        <w:tc>
          <w:tcPr>
            <w:tcW w:w="1394" w:type="dxa"/>
            <w:noWrap/>
            <w:vAlign w:val="bottom"/>
          </w:tcPr>
          <w:p w14:paraId="204509D4" w14:textId="03DD49B6"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(0.000)</w:t>
            </w:r>
          </w:p>
        </w:tc>
        <w:tc>
          <w:tcPr>
            <w:tcW w:w="1394" w:type="dxa"/>
            <w:vAlign w:val="bottom"/>
          </w:tcPr>
          <w:p w14:paraId="1396C9A2" w14:textId="478A1026"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(0.000)</w:t>
            </w:r>
          </w:p>
        </w:tc>
        <w:tc>
          <w:tcPr>
            <w:tcW w:w="1394" w:type="dxa"/>
            <w:noWrap/>
            <w:vAlign w:val="bottom"/>
          </w:tcPr>
          <w:p w14:paraId="1AC2077F" w14:textId="393F2BAF"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(0.000)</w:t>
            </w:r>
          </w:p>
        </w:tc>
      </w:tr>
      <w:tr w:rsidR="001C7AF3" w:rsidRPr="004F04F9" w14:paraId="5EA3F082" w14:textId="77777777" w:rsidTr="008544A9">
        <w:trPr>
          <w:trHeight w:hRule="exact" w:val="255"/>
          <w:jc w:val="center"/>
        </w:trPr>
        <w:tc>
          <w:tcPr>
            <w:tcW w:w="1129" w:type="dxa"/>
            <w:vMerge w:val="restart"/>
            <w:noWrap/>
            <w:hideMark/>
          </w:tcPr>
          <w:p w14:paraId="294E1FE9" w14:textId="77777777" w:rsidR="001C7AF3" w:rsidRPr="004F04F9" w:rsidRDefault="001C7AF3" w:rsidP="001C7AF3">
            <w:pPr>
              <w:widowControl/>
              <w:autoSpaceDE/>
              <w:autoSpaceDN/>
              <w:spacing w:after="0" w:line="240" w:lineRule="auto"/>
              <w:jc w:val="center"/>
              <w:rPr>
                <w:rFonts w:eastAsia="Times New Roman" w:cs="Calibri"/>
                <w:sz w:val="20"/>
                <w:szCs w:val="20"/>
                <w:lang w:eastAsia="nb-NO"/>
              </w:rPr>
            </w:pPr>
            <w:r w:rsidRPr="004F04F9">
              <w:rPr>
                <w:rFonts w:eastAsia="Times New Roman" w:cs="Calibri"/>
                <w:sz w:val="20"/>
                <w:szCs w:val="20"/>
                <w:lang w:eastAsia="nb-NO"/>
              </w:rPr>
              <w:t>Electoral safety Note 1</w:t>
            </w:r>
          </w:p>
        </w:tc>
        <w:tc>
          <w:tcPr>
            <w:tcW w:w="1394" w:type="dxa"/>
            <w:vAlign w:val="bottom"/>
          </w:tcPr>
          <w:p w14:paraId="352AFE58" w14:textId="706F930E"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0.000***</w:t>
            </w:r>
          </w:p>
        </w:tc>
        <w:tc>
          <w:tcPr>
            <w:tcW w:w="1394" w:type="dxa"/>
            <w:vAlign w:val="bottom"/>
          </w:tcPr>
          <w:p w14:paraId="4D6C417F" w14:textId="7FFB792E"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0.000***</w:t>
            </w:r>
          </w:p>
        </w:tc>
        <w:tc>
          <w:tcPr>
            <w:tcW w:w="1394" w:type="dxa"/>
            <w:noWrap/>
            <w:vAlign w:val="bottom"/>
          </w:tcPr>
          <w:p w14:paraId="4D198292" w14:textId="5092DD22"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0.000***</w:t>
            </w:r>
          </w:p>
        </w:tc>
        <w:tc>
          <w:tcPr>
            <w:tcW w:w="1394" w:type="dxa"/>
            <w:noWrap/>
            <w:vAlign w:val="bottom"/>
          </w:tcPr>
          <w:p w14:paraId="66B30848" w14:textId="2C992883"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0.310***</w:t>
            </w:r>
          </w:p>
        </w:tc>
        <w:tc>
          <w:tcPr>
            <w:tcW w:w="1394" w:type="dxa"/>
            <w:vAlign w:val="bottom"/>
          </w:tcPr>
          <w:p w14:paraId="7D51ABE9" w14:textId="32FAD26A"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0.395***</w:t>
            </w:r>
          </w:p>
        </w:tc>
        <w:tc>
          <w:tcPr>
            <w:tcW w:w="1394" w:type="dxa"/>
            <w:noWrap/>
            <w:vAlign w:val="bottom"/>
          </w:tcPr>
          <w:p w14:paraId="413D1037" w14:textId="1A8254F9"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0.310*</w:t>
            </w:r>
          </w:p>
        </w:tc>
      </w:tr>
      <w:tr w:rsidR="001C7AF3" w:rsidRPr="004F04F9" w14:paraId="4ED2E00B" w14:textId="77777777" w:rsidTr="008544A9">
        <w:trPr>
          <w:trHeight w:hRule="exact" w:val="255"/>
          <w:jc w:val="center"/>
        </w:trPr>
        <w:tc>
          <w:tcPr>
            <w:tcW w:w="1129" w:type="dxa"/>
            <w:vMerge/>
            <w:noWrap/>
            <w:hideMark/>
          </w:tcPr>
          <w:p w14:paraId="524EA5F5" w14:textId="77777777" w:rsidR="001C7AF3" w:rsidRPr="004F04F9" w:rsidRDefault="001C7AF3" w:rsidP="001C7AF3">
            <w:pPr>
              <w:widowControl/>
              <w:autoSpaceDE/>
              <w:autoSpaceDN/>
              <w:spacing w:after="0" w:line="240" w:lineRule="auto"/>
              <w:jc w:val="center"/>
              <w:rPr>
                <w:rFonts w:eastAsia="Times New Roman" w:cs="Calibri"/>
                <w:sz w:val="20"/>
                <w:szCs w:val="20"/>
                <w:lang w:eastAsia="nb-NO"/>
              </w:rPr>
            </w:pPr>
          </w:p>
        </w:tc>
        <w:tc>
          <w:tcPr>
            <w:tcW w:w="1394" w:type="dxa"/>
            <w:vAlign w:val="bottom"/>
          </w:tcPr>
          <w:p w14:paraId="2E419613" w14:textId="1DE364F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(0.000)</w:t>
            </w:r>
          </w:p>
        </w:tc>
        <w:tc>
          <w:tcPr>
            <w:tcW w:w="1394" w:type="dxa"/>
            <w:vAlign w:val="bottom"/>
          </w:tcPr>
          <w:p w14:paraId="25272A39" w14:textId="511648A6"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(0.000)</w:t>
            </w:r>
          </w:p>
        </w:tc>
        <w:tc>
          <w:tcPr>
            <w:tcW w:w="1394" w:type="dxa"/>
            <w:noWrap/>
            <w:vAlign w:val="bottom"/>
          </w:tcPr>
          <w:p w14:paraId="6A8BA5F2" w14:textId="6A56911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(0.000)</w:t>
            </w:r>
          </w:p>
        </w:tc>
        <w:tc>
          <w:tcPr>
            <w:tcW w:w="1394" w:type="dxa"/>
            <w:noWrap/>
            <w:vAlign w:val="bottom"/>
          </w:tcPr>
          <w:p w14:paraId="0A6A1B92" w14:textId="73A2A9EF"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(0.085)</w:t>
            </w:r>
          </w:p>
        </w:tc>
        <w:tc>
          <w:tcPr>
            <w:tcW w:w="1394" w:type="dxa"/>
            <w:vAlign w:val="bottom"/>
          </w:tcPr>
          <w:p w14:paraId="23B05DAC" w14:textId="314053D4"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(0.084)</w:t>
            </w:r>
          </w:p>
        </w:tc>
        <w:tc>
          <w:tcPr>
            <w:tcW w:w="1394" w:type="dxa"/>
            <w:noWrap/>
            <w:vAlign w:val="bottom"/>
          </w:tcPr>
          <w:p w14:paraId="40065AB6" w14:textId="2E0426BA"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(0.171)</w:t>
            </w:r>
          </w:p>
        </w:tc>
      </w:tr>
      <w:tr w:rsidR="001C7AF3" w:rsidRPr="004F04F9" w14:paraId="6F2D497F" w14:textId="77777777" w:rsidTr="008544A9">
        <w:trPr>
          <w:trHeight w:hRule="exact" w:val="255"/>
          <w:jc w:val="center"/>
        </w:trPr>
        <w:tc>
          <w:tcPr>
            <w:tcW w:w="1129" w:type="dxa"/>
            <w:vMerge w:val="restart"/>
            <w:noWrap/>
            <w:hideMark/>
          </w:tcPr>
          <w:p w14:paraId="0AE9DD5E"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val="nb-NO" w:eastAsia="nb-NO"/>
              </w:rPr>
              <w:t xml:space="preserve">Legislative </w:t>
            </w:r>
            <w:proofErr w:type="spellStart"/>
            <w:r w:rsidRPr="004F04F9">
              <w:rPr>
                <w:rFonts w:eastAsia="Times New Roman" w:cs="Calibri"/>
                <w:sz w:val="20"/>
                <w:szCs w:val="20"/>
                <w:lang w:val="nb-NO" w:eastAsia="nb-NO"/>
              </w:rPr>
              <w:t>speeches</w:t>
            </w:r>
            <w:proofErr w:type="spellEnd"/>
          </w:p>
        </w:tc>
        <w:tc>
          <w:tcPr>
            <w:tcW w:w="1394" w:type="dxa"/>
            <w:vAlign w:val="bottom"/>
          </w:tcPr>
          <w:p w14:paraId="48DE0AAE" w14:textId="0BF063E3"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0.010***</w:t>
            </w:r>
          </w:p>
        </w:tc>
        <w:tc>
          <w:tcPr>
            <w:tcW w:w="1394" w:type="dxa"/>
            <w:vAlign w:val="bottom"/>
          </w:tcPr>
          <w:p w14:paraId="094CA382" w14:textId="1EC97501"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0.010***</w:t>
            </w:r>
          </w:p>
        </w:tc>
        <w:tc>
          <w:tcPr>
            <w:tcW w:w="1394" w:type="dxa"/>
            <w:noWrap/>
            <w:vAlign w:val="bottom"/>
          </w:tcPr>
          <w:p w14:paraId="5C297416" w14:textId="0A25B593"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0.010***</w:t>
            </w:r>
          </w:p>
        </w:tc>
        <w:tc>
          <w:tcPr>
            <w:tcW w:w="1394" w:type="dxa"/>
            <w:noWrap/>
            <w:vAlign w:val="bottom"/>
          </w:tcPr>
          <w:p w14:paraId="3D57633B" w14:textId="76AD038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0.014***</w:t>
            </w:r>
          </w:p>
        </w:tc>
        <w:tc>
          <w:tcPr>
            <w:tcW w:w="1394" w:type="dxa"/>
            <w:vAlign w:val="bottom"/>
          </w:tcPr>
          <w:p w14:paraId="5C86B635" w14:textId="0C467DA3"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0.013***</w:t>
            </w:r>
          </w:p>
        </w:tc>
        <w:tc>
          <w:tcPr>
            <w:tcW w:w="1394" w:type="dxa"/>
            <w:noWrap/>
            <w:vAlign w:val="bottom"/>
          </w:tcPr>
          <w:p w14:paraId="3708FF0C" w14:textId="6958D03D"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0.014***</w:t>
            </w:r>
          </w:p>
        </w:tc>
      </w:tr>
      <w:tr w:rsidR="001C7AF3" w:rsidRPr="004F04F9" w14:paraId="06A0ED27" w14:textId="77777777" w:rsidTr="008544A9">
        <w:trPr>
          <w:trHeight w:hRule="exact" w:val="255"/>
          <w:jc w:val="center"/>
        </w:trPr>
        <w:tc>
          <w:tcPr>
            <w:tcW w:w="1129" w:type="dxa"/>
            <w:vMerge/>
            <w:noWrap/>
            <w:hideMark/>
          </w:tcPr>
          <w:p w14:paraId="37697AAF"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vAlign w:val="bottom"/>
          </w:tcPr>
          <w:p w14:paraId="649454A1" w14:textId="33C085D9"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(0.000)</w:t>
            </w:r>
          </w:p>
        </w:tc>
        <w:tc>
          <w:tcPr>
            <w:tcW w:w="1394" w:type="dxa"/>
            <w:vAlign w:val="bottom"/>
          </w:tcPr>
          <w:p w14:paraId="297F8226" w14:textId="31F878CF"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(0.000)</w:t>
            </w:r>
          </w:p>
        </w:tc>
        <w:tc>
          <w:tcPr>
            <w:tcW w:w="1394" w:type="dxa"/>
            <w:noWrap/>
            <w:vAlign w:val="bottom"/>
          </w:tcPr>
          <w:p w14:paraId="1BB0C798" w14:textId="31425241"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(0.001)</w:t>
            </w:r>
          </w:p>
        </w:tc>
        <w:tc>
          <w:tcPr>
            <w:tcW w:w="1394" w:type="dxa"/>
            <w:noWrap/>
            <w:vAlign w:val="bottom"/>
          </w:tcPr>
          <w:p w14:paraId="67E5D940" w14:textId="1DF1F578"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(0.002)</w:t>
            </w:r>
          </w:p>
        </w:tc>
        <w:tc>
          <w:tcPr>
            <w:tcW w:w="1394" w:type="dxa"/>
            <w:vAlign w:val="bottom"/>
          </w:tcPr>
          <w:p w14:paraId="77CC4D94" w14:textId="77F47B90"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(0.002)</w:t>
            </w:r>
          </w:p>
        </w:tc>
        <w:tc>
          <w:tcPr>
            <w:tcW w:w="1394" w:type="dxa"/>
            <w:noWrap/>
            <w:vAlign w:val="bottom"/>
          </w:tcPr>
          <w:p w14:paraId="73C92518" w14:textId="0B0FF4D8"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(0.003)</w:t>
            </w:r>
          </w:p>
        </w:tc>
      </w:tr>
      <w:tr w:rsidR="001C7AF3" w:rsidRPr="004F04F9" w14:paraId="75438768" w14:textId="77777777" w:rsidTr="008544A9">
        <w:trPr>
          <w:trHeight w:hRule="exact" w:val="255"/>
          <w:jc w:val="center"/>
        </w:trPr>
        <w:tc>
          <w:tcPr>
            <w:tcW w:w="1129" w:type="dxa"/>
            <w:vMerge w:val="restart"/>
            <w:noWrap/>
            <w:hideMark/>
          </w:tcPr>
          <w:p w14:paraId="66B6A624"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val="nb-NO" w:eastAsia="nb-NO"/>
              </w:rPr>
              <w:t xml:space="preserve">Legislative </w:t>
            </w:r>
            <w:proofErr w:type="spellStart"/>
            <w:r w:rsidRPr="004F04F9">
              <w:rPr>
                <w:rFonts w:eastAsia="Times New Roman" w:cs="Calibri"/>
                <w:sz w:val="20"/>
                <w:szCs w:val="20"/>
                <w:lang w:val="nb-NO" w:eastAsia="nb-NO"/>
              </w:rPr>
              <w:t>experience</w:t>
            </w:r>
            <w:proofErr w:type="spellEnd"/>
          </w:p>
        </w:tc>
        <w:tc>
          <w:tcPr>
            <w:tcW w:w="1394" w:type="dxa"/>
            <w:vAlign w:val="bottom"/>
          </w:tcPr>
          <w:p w14:paraId="08109D08" w14:textId="2B81F074"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0.071***</w:t>
            </w:r>
          </w:p>
        </w:tc>
        <w:tc>
          <w:tcPr>
            <w:tcW w:w="1394" w:type="dxa"/>
            <w:vAlign w:val="bottom"/>
          </w:tcPr>
          <w:p w14:paraId="0064E93E" w14:textId="1622F085"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0.059***</w:t>
            </w:r>
          </w:p>
        </w:tc>
        <w:tc>
          <w:tcPr>
            <w:tcW w:w="1394" w:type="dxa"/>
            <w:noWrap/>
            <w:vAlign w:val="bottom"/>
          </w:tcPr>
          <w:p w14:paraId="3A549EE1" w14:textId="0942792A"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0.071***</w:t>
            </w:r>
          </w:p>
        </w:tc>
        <w:tc>
          <w:tcPr>
            <w:tcW w:w="1394" w:type="dxa"/>
            <w:noWrap/>
            <w:vAlign w:val="bottom"/>
          </w:tcPr>
          <w:p w14:paraId="5B5FEFC9" w14:textId="63A23573"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0.094***</w:t>
            </w:r>
          </w:p>
        </w:tc>
        <w:tc>
          <w:tcPr>
            <w:tcW w:w="1394" w:type="dxa"/>
            <w:vAlign w:val="bottom"/>
          </w:tcPr>
          <w:p w14:paraId="0A7ED647" w14:textId="733C769A"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0.074***</w:t>
            </w:r>
          </w:p>
        </w:tc>
        <w:tc>
          <w:tcPr>
            <w:tcW w:w="1394" w:type="dxa"/>
            <w:noWrap/>
            <w:vAlign w:val="bottom"/>
          </w:tcPr>
          <w:p w14:paraId="3EEF169E" w14:textId="778906E5"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0.094***</w:t>
            </w:r>
          </w:p>
        </w:tc>
      </w:tr>
      <w:tr w:rsidR="001C7AF3" w:rsidRPr="004F04F9" w14:paraId="1C092049" w14:textId="77777777" w:rsidTr="008544A9">
        <w:trPr>
          <w:trHeight w:hRule="exact" w:val="255"/>
          <w:jc w:val="center"/>
        </w:trPr>
        <w:tc>
          <w:tcPr>
            <w:tcW w:w="1129" w:type="dxa"/>
            <w:vMerge/>
            <w:noWrap/>
            <w:hideMark/>
          </w:tcPr>
          <w:p w14:paraId="3AAEA315"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vAlign w:val="bottom"/>
          </w:tcPr>
          <w:p w14:paraId="58B331AC" w14:textId="00A38871"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(0.005)</w:t>
            </w:r>
          </w:p>
        </w:tc>
        <w:tc>
          <w:tcPr>
            <w:tcW w:w="1394" w:type="dxa"/>
            <w:vAlign w:val="bottom"/>
          </w:tcPr>
          <w:p w14:paraId="6D85738A" w14:textId="0D1261FD"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(0.005)</w:t>
            </w:r>
          </w:p>
        </w:tc>
        <w:tc>
          <w:tcPr>
            <w:tcW w:w="1394" w:type="dxa"/>
            <w:noWrap/>
            <w:vAlign w:val="bottom"/>
          </w:tcPr>
          <w:p w14:paraId="33AE7017" w14:textId="3588762D"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(0.007)</w:t>
            </w:r>
          </w:p>
        </w:tc>
        <w:tc>
          <w:tcPr>
            <w:tcW w:w="1394" w:type="dxa"/>
            <w:noWrap/>
            <w:vAlign w:val="bottom"/>
          </w:tcPr>
          <w:p w14:paraId="460EFF0B" w14:textId="271DFE04"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(0.009)</w:t>
            </w:r>
          </w:p>
        </w:tc>
        <w:tc>
          <w:tcPr>
            <w:tcW w:w="1394" w:type="dxa"/>
            <w:vAlign w:val="bottom"/>
          </w:tcPr>
          <w:p w14:paraId="485B16EC" w14:textId="46ACF722"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(0.008)</w:t>
            </w:r>
          </w:p>
        </w:tc>
        <w:tc>
          <w:tcPr>
            <w:tcW w:w="1394" w:type="dxa"/>
            <w:noWrap/>
            <w:vAlign w:val="bottom"/>
          </w:tcPr>
          <w:p w14:paraId="698B31FA" w14:textId="10F661C6"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(0.011)</w:t>
            </w:r>
          </w:p>
        </w:tc>
      </w:tr>
      <w:tr w:rsidR="001C7AF3" w:rsidRPr="004F04F9" w14:paraId="4A8AB865" w14:textId="77777777" w:rsidTr="008544A9">
        <w:trPr>
          <w:trHeight w:hRule="exact" w:val="255"/>
          <w:jc w:val="center"/>
        </w:trPr>
        <w:tc>
          <w:tcPr>
            <w:tcW w:w="1129" w:type="dxa"/>
            <w:vMerge w:val="restart"/>
            <w:noWrap/>
            <w:hideMark/>
          </w:tcPr>
          <w:p w14:paraId="2528498B"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eastAsia="nb-NO"/>
              </w:rPr>
              <w:t>Party size (seat share)</w:t>
            </w:r>
          </w:p>
        </w:tc>
        <w:tc>
          <w:tcPr>
            <w:tcW w:w="1394" w:type="dxa"/>
            <w:vAlign w:val="bottom"/>
          </w:tcPr>
          <w:p w14:paraId="159A15BE" w14:textId="5993147D"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-0.010***</w:t>
            </w:r>
          </w:p>
        </w:tc>
        <w:tc>
          <w:tcPr>
            <w:tcW w:w="1394" w:type="dxa"/>
            <w:vAlign w:val="bottom"/>
          </w:tcPr>
          <w:p w14:paraId="5340CEFF" w14:textId="7B0C0802"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-0.011***</w:t>
            </w:r>
          </w:p>
        </w:tc>
        <w:tc>
          <w:tcPr>
            <w:tcW w:w="1394" w:type="dxa"/>
            <w:noWrap/>
            <w:vAlign w:val="bottom"/>
          </w:tcPr>
          <w:p w14:paraId="7851F695" w14:textId="5B040A1C"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-0.010***</w:t>
            </w:r>
          </w:p>
        </w:tc>
        <w:tc>
          <w:tcPr>
            <w:tcW w:w="1394" w:type="dxa"/>
            <w:noWrap/>
            <w:vAlign w:val="bottom"/>
          </w:tcPr>
          <w:p w14:paraId="7B6DAC2F" w14:textId="5F6F1C71"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-0.027***</w:t>
            </w:r>
          </w:p>
        </w:tc>
        <w:tc>
          <w:tcPr>
            <w:tcW w:w="1394" w:type="dxa"/>
            <w:vAlign w:val="bottom"/>
          </w:tcPr>
          <w:p w14:paraId="3973833B" w14:textId="3CCFE706"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-0.036***</w:t>
            </w:r>
          </w:p>
        </w:tc>
        <w:tc>
          <w:tcPr>
            <w:tcW w:w="1394" w:type="dxa"/>
            <w:noWrap/>
            <w:vAlign w:val="bottom"/>
          </w:tcPr>
          <w:p w14:paraId="1F7E4787" w14:textId="0E53DC00"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-0.027***</w:t>
            </w:r>
          </w:p>
        </w:tc>
      </w:tr>
      <w:tr w:rsidR="001C7AF3" w:rsidRPr="004F04F9" w14:paraId="089D321B" w14:textId="77777777" w:rsidTr="008544A9">
        <w:trPr>
          <w:trHeight w:hRule="exact" w:val="255"/>
          <w:jc w:val="center"/>
        </w:trPr>
        <w:tc>
          <w:tcPr>
            <w:tcW w:w="1129" w:type="dxa"/>
            <w:vMerge/>
            <w:noWrap/>
            <w:hideMark/>
          </w:tcPr>
          <w:p w14:paraId="46D0D6EE"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vAlign w:val="bottom"/>
          </w:tcPr>
          <w:p w14:paraId="54D232F0" w14:textId="21B998A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(0.002)</w:t>
            </w:r>
          </w:p>
        </w:tc>
        <w:tc>
          <w:tcPr>
            <w:tcW w:w="1394" w:type="dxa"/>
            <w:vAlign w:val="bottom"/>
          </w:tcPr>
          <w:p w14:paraId="1EF91029" w14:textId="7DF0B1F5"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(0.002)</w:t>
            </w:r>
          </w:p>
        </w:tc>
        <w:tc>
          <w:tcPr>
            <w:tcW w:w="1394" w:type="dxa"/>
            <w:noWrap/>
            <w:vAlign w:val="bottom"/>
          </w:tcPr>
          <w:p w14:paraId="53EDA8BE" w14:textId="0007A1AA"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(0.004)</w:t>
            </w:r>
          </w:p>
        </w:tc>
        <w:tc>
          <w:tcPr>
            <w:tcW w:w="1394" w:type="dxa"/>
            <w:noWrap/>
            <w:vAlign w:val="bottom"/>
          </w:tcPr>
          <w:p w14:paraId="5F6F7589" w14:textId="68EFB7CE"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(0.004)</w:t>
            </w:r>
          </w:p>
        </w:tc>
        <w:tc>
          <w:tcPr>
            <w:tcW w:w="1394" w:type="dxa"/>
            <w:vAlign w:val="bottom"/>
          </w:tcPr>
          <w:p w14:paraId="51FCF3EB" w14:textId="62283D4C"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(0.004)</w:t>
            </w:r>
          </w:p>
        </w:tc>
        <w:tc>
          <w:tcPr>
            <w:tcW w:w="1394" w:type="dxa"/>
            <w:noWrap/>
            <w:vAlign w:val="bottom"/>
          </w:tcPr>
          <w:p w14:paraId="70264E78" w14:textId="58F0D50A"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(0.006)</w:t>
            </w:r>
          </w:p>
        </w:tc>
      </w:tr>
      <w:tr w:rsidR="001C7AF3" w:rsidRPr="004F04F9" w14:paraId="786BA13D" w14:textId="77777777" w:rsidTr="008544A9">
        <w:trPr>
          <w:trHeight w:hRule="exact" w:val="255"/>
          <w:jc w:val="center"/>
        </w:trPr>
        <w:tc>
          <w:tcPr>
            <w:tcW w:w="1129" w:type="dxa"/>
            <w:vMerge w:val="restart"/>
            <w:noWrap/>
            <w:hideMark/>
          </w:tcPr>
          <w:p w14:paraId="1197E77D"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eastAsia="nb-NO"/>
              </w:rPr>
              <w:t>Party in cabinet</w:t>
            </w:r>
          </w:p>
        </w:tc>
        <w:tc>
          <w:tcPr>
            <w:tcW w:w="1394" w:type="dxa"/>
            <w:vAlign w:val="bottom"/>
          </w:tcPr>
          <w:p w14:paraId="0B986A4C" w14:textId="1E5F2012"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0.296***</w:t>
            </w:r>
          </w:p>
        </w:tc>
        <w:tc>
          <w:tcPr>
            <w:tcW w:w="1394" w:type="dxa"/>
            <w:vAlign w:val="bottom"/>
          </w:tcPr>
          <w:p w14:paraId="7132AED0" w14:textId="2E38E0AF"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0.304***</w:t>
            </w:r>
          </w:p>
        </w:tc>
        <w:tc>
          <w:tcPr>
            <w:tcW w:w="1394" w:type="dxa"/>
            <w:noWrap/>
            <w:vAlign w:val="bottom"/>
          </w:tcPr>
          <w:p w14:paraId="40694D29" w14:textId="2B59B001"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0.296***</w:t>
            </w:r>
          </w:p>
        </w:tc>
        <w:tc>
          <w:tcPr>
            <w:tcW w:w="1394" w:type="dxa"/>
            <w:noWrap/>
            <w:vAlign w:val="bottom"/>
          </w:tcPr>
          <w:p w14:paraId="22C1F171" w14:textId="6909DC06"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0.044</w:t>
            </w:r>
          </w:p>
        </w:tc>
        <w:tc>
          <w:tcPr>
            <w:tcW w:w="1394" w:type="dxa"/>
            <w:vAlign w:val="bottom"/>
          </w:tcPr>
          <w:p w14:paraId="055843D6" w14:textId="60149233"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0.117***</w:t>
            </w:r>
          </w:p>
        </w:tc>
        <w:tc>
          <w:tcPr>
            <w:tcW w:w="1394" w:type="dxa"/>
            <w:noWrap/>
            <w:vAlign w:val="bottom"/>
          </w:tcPr>
          <w:p w14:paraId="262F1CAB" w14:textId="0C0B9A7C"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0.044</w:t>
            </w:r>
          </w:p>
        </w:tc>
      </w:tr>
      <w:tr w:rsidR="001C7AF3" w:rsidRPr="004F04F9" w14:paraId="7683E706" w14:textId="77777777" w:rsidTr="008544A9">
        <w:trPr>
          <w:trHeight w:hRule="exact" w:val="255"/>
          <w:jc w:val="center"/>
        </w:trPr>
        <w:tc>
          <w:tcPr>
            <w:tcW w:w="1129" w:type="dxa"/>
            <w:vMerge/>
            <w:noWrap/>
            <w:hideMark/>
          </w:tcPr>
          <w:p w14:paraId="54158830"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vAlign w:val="bottom"/>
          </w:tcPr>
          <w:p w14:paraId="591669FC" w14:textId="078006E5"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(0.037)</w:t>
            </w:r>
          </w:p>
        </w:tc>
        <w:tc>
          <w:tcPr>
            <w:tcW w:w="1394" w:type="dxa"/>
            <w:vAlign w:val="bottom"/>
          </w:tcPr>
          <w:p w14:paraId="4BECCC80" w14:textId="5A915B9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(0.035)</w:t>
            </w:r>
          </w:p>
        </w:tc>
        <w:tc>
          <w:tcPr>
            <w:tcW w:w="1394" w:type="dxa"/>
            <w:noWrap/>
            <w:vAlign w:val="bottom"/>
          </w:tcPr>
          <w:p w14:paraId="566E302D" w14:textId="0DD7D36F"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(0.076)</w:t>
            </w:r>
          </w:p>
        </w:tc>
        <w:tc>
          <w:tcPr>
            <w:tcW w:w="1394" w:type="dxa"/>
            <w:noWrap/>
            <w:vAlign w:val="bottom"/>
          </w:tcPr>
          <w:p w14:paraId="5C3B1AD8" w14:textId="70628504"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(0.040)</w:t>
            </w:r>
          </w:p>
        </w:tc>
        <w:tc>
          <w:tcPr>
            <w:tcW w:w="1394" w:type="dxa"/>
            <w:vAlign w:val="bottom"/>
          </w:tcPr>
          <w:p w14:paraId="6281AAE8" w14:textId="248F4C70"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(0.041)</w:t>
            </w:r>
          </w:p>
        </w:tc>
        <w:tc>
          <w:tcPr>
            <w:tcW w:w="1394" w:type="dxa"/>
            <w:noWrap/>
            <w:vAlign w:val="bottom"/>
          </w:tcPr>
          <w:p w14:paraId="23866957" w14:textId="0BFD5055"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(0.065)</w:t>
            </w:r>
          </w:p>
        </w:tc>
      </w:tr>
      <w:tr w:rsidR="001C7AF3" w:rsidRPr="004F04F9" w14:paraId="29FDEA4A" w14:textId="77777777" w:rsidTr="008544A9">
        <w:trPr>
          <w:trHeight w:hRule="exact" w:val="255"/>
          <w:jc w:val="center"/>
        </w:trPr>
        <w:tc>
          <w:tcPr>
            <w:tcW w:w="1129" w:type="dxa"/>
            <w:vMerge w:val="restart"/>
            <w:noWrap/>
            <w:hideMark/>
          </w:tcPr>
          <w:p w14:paraId="3D42C8C4"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eastAsia="nb-NO"/>
              </w:rPr>
              <w:t>Party L-R extremity</w:t>
            </w:r>
          </w:p>
        </w:tc>
        <w:tc>
          <w:tcPr>
            <w:tcW w:w="1394" w:type="dxa"/>
            <w:vAlign w:val="bottom"/>
          </w:tcPr>
          <w:p w14:paraId="461CDD25" w14:textId="5B4D2DCD"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0.056</w:t>
            </w:r>
          </w:p>
        </w:tc>
        <w:tc>
          <w:tcPr>
            <w:tcW w:w="1394" w:type="dxa"/>
            <w:vAlign w:val="bottom"/>
          </w:tcPr>
          <w:p w14:paraId="5C5CBB64" w14:textId="322D2269"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0.059</w:t>
            </w:r>
          </w:p>
        </w:tc>
        <w:tc>
          <w:tcPr>
            <w:tcW w:w="1394" w:type="dxa"/>
            <w:noWrap/>
            <w:vAlign w:val="bottom"/>
          </w:tcPr>
          <w:p w14:paraId="6C8DDB32" w14:textId="483F481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0.056</w:t>
            </w:r>
          </w:p>
        </w:tc>
        <w:tc>
          <w:tcPr>
            <w:tcW w:w="1394" w:type="dxa"/>
            <w:noWrap/>
            <w:vAlign w:val="bottom"/>
          </w:tcPr>
          <w:p w14:paraId="191EEE46" w14:textId="04701BBB"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0.020</w:t>
            </w:r>
          </w:p>
        </w:tc>
        <w:tc>
          <w:tcPr>
            <w:tcW w:w="1394" w:type="dxa"/>
            <w:vAlign w:val="bottom"/>
          </w:tcPr>
          <w:p w14:paraId="52A7B67D" w14:textId="66AE7435"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0.028</w:t>
            </w:r>
          </w:p>
        </w:tc>
        <w:tc>
          <w:tcPr>
            <w:tcW w:w="1394" w:type="dxa"/>
            <w:noWrap/>
            <w:vAlign w:val="bottom"/>
          </w:tcPr>
          <w:p w14:paraId="0710C90F" w14:textId="7FB34DFF"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0.020</w:t>
            </w:r>
          </w:p>
        </w:tc>
      </w:tr>
      <w:tr w:rsidR="001C7AF3" w:rsidRPr="004F04F9" w14:paraId="26D73743" w14:textId="77777777" w:rsidTr="008544A9">
        <w:trPr>
          <w:trHeight w:hRule="exact" w:val="255"/>
          <w:jc w:val="center"/>
        </w:trPr>
        <w:tc>
          <w:tcPr>
            <w:tcW w:w="1129" w:type="dxa"/>
            <w:vMerge/>
            <w:noWrap/>
            <w:hideMark/>
          </w:tcPr>
          <w:p w14:paraId="0D11E84F"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vAlign w:val="bottom"/>
          </w:tcPr>
          <w:p w14:paraId="0309E6DC" w14:textId="2E99EF33"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(0.048)</w:t>
            </w:r>
          </w:p>
        </w:tc>
        <w:tc>
          <w:tcPr>
            <w:tcW w:w="1394" w:type="dxa"/>
            <w:vAlign w:val="bottom"/>
          </w:tcPr>
          <w:p w14:paraId="2DEA3654" w14:textId="07E40818"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(0.042)</w:t>
            </w:r>
          </w:p>
        </w:tc>
        <w:tc>
          <w:tcPr>
            <w:tcW w:w="1394" w:type="dxa"/>
            <w:noWrap/>
            <w:vAlign w:val="bottom"/>
          </w:tcPr>
          <w:p w14:paraId="0D32F509" w14:textId="5F319439"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(0.076)</w:t>
            </w:r>
          </w:p>
        </w:tc>
        <w:tc>
          <w:tcPr>
            <w:tcW w:w="1394" w:type="dxa"/>
            <w:noWrap/>
            <w:vAlign w:val="bottom"/>
          </w:tcPr>
          <w:p w14:paraId="76EF0D71" w14:textId="64B95FF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(0.052)</w:t>
            </w:r>
          </w:p>
        </w:tc>
        <w:tc>
          <w:tcPr>
            <w:tcW w:w="1394" w:type="dxa"/>
            <w:vAlign w:val="bottom"/>
          </w:tcPr>
          <w:p w14:paraId="4BE3AA93" w14:textId="39F53693"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(0.048)</w:t>
            </w:r>
          </w:p>
        </w:tc>
        <w:tc>
          <w:tcPr>
            <w:tcW w:w="1394" w:type="dxa"/>
            <w:noWrap/>
            <w:vAlign w:val="bottom"/>
          </w:tcPr>
          <w:p w14:paraId="7813B36C" w14:textId="78C3DCBC"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(0.049)</w:t>
            </w:r>
          </w:p>
        </w:tc>
      </w:tr>
      <w:tr w:rsidR="001C7AF3" w:rsidRPr="004F04F9" w14:paraId="10657A3B" w14:textId="77777777" w:rsidTr="008544A9">
        <w:trPr>
          <w:trHeight w:hRule="exact" w:val="255"/>
          <w:jc w:val="center"/>
        </w:trPr>
        <w:tc>
          <w:tcPr>
            <w:tcW w:w="1129" w:type="dxa"/>
            <w:vMerge w:val="restart"/>
            <w:noWrap/>
          </w:tcPr>
          <w:p w14:paraId="296FD717"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eastAsia="nb-NO"/>
              </w:rPr>
              <w:t>Cabinet color</w:t>
            </w:r>
          </w:p>
        </w:tc>
        <w:tc>
          <w:tcPr>
            <w:tcW w:w="1394" w:type="dxa"/>
            <w:vAlign w:val="bottom"/>
          </w:tcPr>
          <w:p w14:paraId="429B475A" w14:textId="24831BAA"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0.049***</w:t>
            </w:r>
          </w:p>
        </w:tc>
        <w:tc>
          <w:tcPr>
            <w:tcW w:w="1394" w:type="dxa"/>
            <w:vAlign w:val="bottom"/>
          </w:tcPr>
          <w:p w14:paraId="5A0D11CC" w14:textId="429D40A0"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0.040***</w:t>
            </w:r>
          </w:p>
        </w:tc>
        <w:tc>
          <w:tcPr>
            <w:tcW w:w="1394" w:type="dxa"/>
            <w:noWrap/>
            <w:vAlign w:val="bottom"/>
          </w:tcPr>
          <w:p w14:paraId="4270B19A" w14:textId="153F9509"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0.049***</w:t>
            </w:r>
          </w:p>
        </w:tc>
        <w:tc>
          <w:tcPr>
            <w:tcW w:w="1394" w:type="dxa"/>
            <w:noWrap/>
            <w:vAlign w:val="bottom"/>
          </w:tcPr>
          <w:p w14:paraId="785A2966" w14:textId="4F3272FB"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-0.014**</w:t>
            </w:r>
          </w:p>
        </w:tc>
        <w:tc>
          <w:tcPr>
            <w:tcW w:w="1394" w:type="dxa"/>
            <w:vAlign w:val="bottom"/>
          </w:tcPr>
          <w:p w14:paraId="35F320B2" w14:textId="771FBA56"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-0.008</w:t>
            </w:r>
          </w:p>
        </w:tc>
        <w:tc>
          <w:tcPr>
            <w:tcW w:w="1394" w:type="dxa"/>
            <w:noWrap/>
            <w:vAlign w:val="bottom"/>
          </w:tcPr>
          <w:p w14:paraId="4B3A2335" w14:textId="05418A70"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-0.014</w:t>
            </w:r>
          </w:p>
        </w:tc>
      </w:tr>
      <w:tr w:rsidR="001C7AF3" w:rsidRPr="004F04F9" w14:paraId="11D0BC52" w14:textId="77777777" w:rsidTr="008544A9">
        <w:trPr>
          <w:trHeight w:hRule="exact" w:val="255"/>
          <w:jc w:val="center"/>
        </w:trPr>
        <w:tc>
          <w:tcPr>
            <w:tcW w:w="1129" w:type="dxa"/>
            <w:vMerge/>
            <w:noWrap/>
          </w:tcPr>
          <w:p w14:paraId="200ED1F9"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vAlign w:val="bottom"/>
          </w:tcPr>
          <w:p w14:paraId="7399FB32" w14:textId="4F8E1729"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(0.009)</w:t>
            </w:r>
          </w:p>
        </w:tc>
        <w:tc>
          <w:tcPr>
            <w:tcW w:w="1394" w:type="dxa"/>
            <w:vAlign w:val="bottom"/>
          </w:tcPr>
          <w:p w14:paraId="7546A0C7" w14:textId="4A87A4DF"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(0.009)</w:t>
            </w:r>
          </w:p>
        </w:tc>
        <w:tc>
          <w:tcPr>
            <w:tcW w:w="1394" w:type="dxa"/>
            <w:noWrap/>
            <w:vAlign w:val="bottom"/>
          </w:tcPr>
          <w:p w14:paraId="3192D6A0" w14:textId="5F43025F"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(0.018)</w:t>
            </w:r>
          </w:p>
        </w:tc>
        <w:tc>
          <w:tcPr>
            <w:tcW w:w="1394" w:type="dxa"/>
            <w:noWrap/>
            <w:vAlign w:val="bottom"/>
          </w:tcPr>
          <w:p w14:paraId="694073FE" w14:textId="3EE694DB"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(0.007)</w:t>
            </w:r>
          </w:p>
        </w:tc>
        <w:tc>
          <w:tcPr>
            <w:tcW w:w="1394" w:type="dxa"/>
            <w:vAlign w:val="bottom"/>
          </w:tcPr>
          <w:p w14:paraId="68AEB621" w14:textId="498C2E72"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(0.008)</w:t>
            </w:r>
          </w:p>
        </w:tc>
        <w:tc>
          <w:tcPr>
            <w:tcW w:w="1394" w:type="dxa"/>
            <w:noWrap/>
            <w:vAlign w:val="bottom"/>
          </w:tcPr>
          <w:p w14:paraId="118E0E8C" w14:textId="766AD54A"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(0.011)</w:t>
            </w:r>
          </w:p>
        </w:tc>
      </w:tr>
      <w:tr w:rsidR="001C7AF3" w:rsidRPr="004F04F9" w14:paraId="4510C224" w14:textId="77777777" w:rsidTr="008544A9">
        <w:trPr>
          <w:trHeight w:hRule="exact" w:val="255"/>
          <w:jc w:val="center"/>
        </w:trPr>
        <w:tc>
          <w:tcPr>
            <w:tcW w:w="1129" w:type="dxa"/>
            <w:vMerge w:val="restart"/>
            <w:noWrap/>
            <w:hideMark/>
          </w:tcPr>
          <w:p w14:paraId="0FD556C1"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roofErr w:type="spellStart"/>
            <w:r w:rsidRPr="004F04F9">
              <w:rPr>
                <w:rFonts w:eastAsia="Times New Roman" w:cs="Calibri"/>
                <w:sz w:val="20"/>
                <w:szCs w:val="20"/>
                <w:lang w:val="nb-NO" w:eastAsia="nb-NO"/>
              </w:rPr>
              <w:t>Seat</w:t>
            </w:r>
            <w:proofErr w:type="spellEnd"/>
            <w:r w:rsidRPr="004F04F9">
              <w:rPr>
                <w:rFonts w:eastAsia="Times New Roman" w:cs="Calibri"/>
                <w:sz w:val="20"/>
                <w:szCs w:val="20"/>
                <w:lang w:val="nb-NO" w:eastAsia="nb-NO"/>
              </w:rPr>
              <w:t xml:space="preserve"> </w:t>
            </w:r>
            <w:proofErr w:type="spellStart"/>
            <w:r w:rsidRPr="004F04F9">
              <w:rPr>
                <w:rFonts w:eastAsia="Times New Roman" w:cs="Calibri"/>
                <w:sz w:val="20"/>
                <w:szCs w:val="20"/>
                <w:lang w:val="nb-NO" w:eastAsia="nb-NO"/>
              </w:rPr>
              <w:t>share</w:t>
            </w:r>
            <w:proofErr w:type="spellEnd"/>
            <w:r w:rsidRPr="004F04F9">
              <w:rPr>
                <w:rFonts w:eastAsia="Times New Roman" w:cs="Calibri"/>
                <w:sz w:val="20"/>
                <w:szCs w:val="20"/>
                <w:lang w:val="nb-NO" w:eastAsia="nb-NO"/>
              </w:rPr>
              <w:t xml:space="preserve">, </w:t>
            </w:r>
            <w:proofErr w:type="spellStart"/>
            <w:r w:rsidRPr="004F04F9">
              <w:rPr>
                <w:rFonts w:eastAsia="Times New Roman" w:cs="Calibri"/>
                <w:sz w:val="20"/>
                <w:szCs w:val="20"/>
                <w:lang w:val="nb-NO" w:eastAsia="nb-NO"/>
              </w:rPr>
              <w:t>cabinet</w:t>
            </w:r>
            <w:proofErr w:type="spellEnd"/>
          </w:p>
        </w:tc>
        <w:tc>
          <w:tcPr>
            <w:tcW w:w="1394" w:type="dxa"/>
            <w:vAlign w:val="bottom"/>
          </w:tcPr>
          <w:p w14:paraId="066DF01A" w14:textId="498ADF41"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-0.434***</w:t>
            </w:r>
          </w:p>
        </w:tc>
        <w:tc>
          <w:tcPr>
            <w:tcW w:w="1394" w:type="dxa"/>
            <w:vAlign w:val="bottom"/>
          </w:tcPr>
          <w:p w14:paraId="42A0BB95" w14:textId="738898E1"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-0.352***</w:t>
            </w:r>
          </w:p>
        </w:tc>
        <w:tc>
          <w:tcPr>
            <w:tcW w:w="1394" w:type="dxa"/>
            <w:noWrap/>
            <w:vAlign w:val="bottom"/>
          </w:tcPr>
          <w:p w14:paraId="2B492E6E" w14:textId="5C7AF3F5"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-0.434**</w:t>
            </w:r>
          </w:p>
        </w:tc>
        <w:tc>
          <w:tcPr>
            <w:tcW w:w="1394" w:type="dxa"/>
            <w:noWrap/>
            <w:vAlign w:val="bottom"/>
          </w:tcPr>
          <w:p w14:paraId="3186E9A2" w14:textId="08E84F5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-0.073</w:t>
            </w:r>
          </w:p>
        </w:tc>
        <w:tc>
          <w:tcPr>
            <w:tcW w:w="1394" w:type="dxa"/>
            <w:vAlign w:val="bottom"/>
          </w:tcPr>
          <w:p w14:paraId="1FBDC41F" w14:textId="36956E49"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-0.108</w:t>
            </w:r>
          </w:p>
        </w:tc>
        <w:tc>
          <w:tcPr>
            <w:tcW w:w="1394" w:type="dxa"/>
            <w:noWrap/>
            <w:vAlign w:val="bottom"/>
          </w:tcPr>
          <w:p w14:paraId="4E198BB0" w14:textId="390DE910"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-0.073</w:t>
            </w:r>
          </w:p>
        </w:tc>
      </w:tr>
      <w:tr w:rsidR="001C7AF3" w:rsidRPr="004F04F9" w14:paraId="2E3E3D3D" w14:textId="77777777" w:rsidTr="008544A9">
        <w:trPr>
          <w:trHeight w:hRule="exact" w:val="255"/>
          <w:jc w:val="center"/>
        </w:trPr>
        <w:tc>
          <w:tcPr>
            <w:tcW w:w="1129" w:type="dxa"/>
            <w:vMerge/>
            <w:noWrap/>
            <w:hideMark/>
          </w:tcPr>
          <w:p w14:paraId="2EF4CBCD"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vAlign w:val="bottom"/>
          </w:tcPr>
          <w:p w14:paraId="003B4075" w14:textId="189F0780"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(0.092)</w:t>
            </w:r>
          </w:p>
        </w:tc>
        <w:tc>
          <w:tcPr>
            <w:tcW w:w="1394" w:type="dxa"/>
            <w:vAlign w:val="bottom"/>
          </w:tcPr>
          <w:p w14:paraId="7C2478D4" w14:textId="2A596048"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(0.092)</w:t>
            </w:r>
          </w:p>
        </w:tc>
        <w:tc>
          <w:tcPr>
            <w:tcW w:w="1394" w:type="dxa"/>
            <w:noWrap/>
            <w:vAlign w:val="bottom"/>
          </w:tcPr>
          <w:p w14:paraId="1E3C634A" w14:textId="50836542"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(0.194)</w:t>
            </w:r>
          </w:p>
        </w:tc>
        <w:tc>
          <w:tcPr>
            <w:tcW w:w="1394" w:type="dxa"/>
            <w:noWrap/>
            <w:vAlign w:val="bottom"/>
          </w:tcPr>
          <w:p w14:paraId="0DB9E2EE" w14:textId="65D09E40"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(0.072)</w:t>
            </w:r>
          </w:p>
        </w:tc>
        <w:tc>
          <w:tcPr>
            <w:tcW w:w="1394" w:type="dxa"/>
            <w:vAlign w:val="bottom"/>
          </w:tcPr>
          <w:p w14:paraId="2F437E28" w14:textId="235A6662"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(0.079)</w:t>
            </w:r>
          </w:p>
        </w:tc>
        <w:tc>
          <w:tcPr>
            <w:tcW w:w="1394" w:type="dxa"/>
            <w:noWrap/>
            <w:vAlign w:val="bottom"/>
          </w:tcPr>
          <w:p w14:paraId="4B4B9920" w14:textId="23609FDD"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(0.115)</w:t>
            </w:r>
          </w:p>
        </w:tc>
      </w:tr>
      <w:tr w:rsidR="001C7AF3" w:rsidRPr="004F04F9" w14:paraId="4CEEFF27" w14:textId="77777777" w:rsidTr="008544A9">
        <w:trPr>
          <w:trHeight w:hRule="exact" w:val="255"/>
          <w:jc w:val="center"/>
        </w:trPr>
        <w:tc>
          <w:tcPr>
            <w:tcW w:w="1129" w:type="dxa"/>
            <w:vMerge w:val="restart"/>
            <w:noWrap/>
            <w:hideMark/>
          </w:tcPr>
          <w:p w14:paraId="24C0141F"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val="nb-NO" w:eastAsia="nb-NO"/>
              </w:rPr>
              <w:t xml:space="preserve">District </w:t>
            </w:r>
            <w:proofErr w:type="spellStart"/>
            <w:r w:rsidRPr="004F04F9">
              <w:rPr>
                <w:rFonts w:eastAsia="Times New Roman" w:cs="Calibri"/>
                <w:sz w:val="20"/>
                <w:szCs w:val="20"/>
                <w:lang w:val="nb-NO" w:eastAsia="nb-NO"/>
              </w:rPr>
              <w:t>size</w:t>
            </w:r>
            <w:proofErr w:type="spellEnd"/>
            <w:r w:rsidRPr="004F04F9">
              <w:rPr>
                <w:rFonts w:eastAsia="Times New Roman" w:cs="Calibri"/>
                <w:sz w:val="20"/>
                <w:szCs w:val="20"/>
                <w:lang w:val="nb-NO" w:eastAsia="nb-NO"/>
              </w:rPr>
              <w:t xml:space="preserve"> (</w:t>
            </w:r>
            <w:proofErr w:type="spellStart"/>
            <w:r w:rsidRPr="004F04F9">
              <w:rPr>
                <w:rFonts w:eastAsia="Times New Roman" w:cs="Calibri"/>
                <w:sz w:val="20"/>
                <w:szCs w:val="20"/>
                <w:lang w:val="nb-NO" w:eastAsia="nb-NO"/>
              </w:rPr>
              <w:t>population</w:t>
            </w:r>
            <w:proofErr w:type="spellEnd"/>
            <w:r w:rsidRPr="004F04F9">
              <w:rPr>
                <w:rFonts w:eastAsia="Times New Roman" w:cs="Calibri"/>
                <w:sz w:val="20"/>
                <w:szCs w:val="20"/>
                <w:lang w:val="nb-NO" w:eastAsia="nb-NO"/>
              </w:rPr>
              <w:t>)</w:t>
            </w:r>
          </w:p>
        </w:tc>
        <w:tc>
          <w:tcPr>
            <w:tcW w:w="1394" w:type="dxa"/>
            <w:vAlign w:val="bottom"/>
          </w:tcPr>
          <w:p w14:paraId="77D09D42" w14:textId="07877253"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-0.000</w:t>
            </w:r>
          </w:p>
        </w:tc>
        <w:tc>
          <w:tcPr>
            <w:tcW w:w="1394" w:type="dxa"/>
            <w:vAlign w:val="bottom"/>
          </w:tcPr>
          <w:p w14:paraId="192DEF6E" w14:textId="2282C79D"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-0.000*</w:t>
            </w:r>
          </w:p>
        </w:tc>
        <w:tc>
          <w:tcPr>
            <w:tcW w:w="1394" w:type="dxa"/>
            <w:noWrap/>
            <w:vAlign w:val="bottom"/>
          </w:tcPr>
          <w:p w14:paraId="12470B95" w14:textId="7A169AE0"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-0.000</w:t>
            </w:r>
          </w:p>
        </w:tc>
        <w:tc>
          <w:tcPr>
            <w:tcW w:w="1394" w:type="dxa"/>
            <w:noWrap/>
            <w:vAlign w:val="bottom"/>
          </w:tcPr>
          <w:p w14:paraId="4A940495" w14:textId="53CB701E"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0.000***</w:t>
            </w:r>
          </w:p>
        </w:tc>
        <w:tc>
          <w:tcPr>
            <w:tcW w:w="1394" w:type="dxa"/>
            <w:vAlign w:val="bottom"/>
          </w:tcPr>
          <w:p w14:paraId="2B809D79" w14:textId="1277CF3D"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0.000***</w:t>
            </w:r>
          </w:p>
        </w:tc>
        <w:tc>
          <w:tcPr>
            <w:tcW w:w="1394" w:type="dxa"/>
            <w:noWrap/>
            <w:vAlign w:val="bottom"/>
          </w:tcPr>
          <w:p w14:paraId="00260088" w14:textId="13D78CEB"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0.000***</w:t>
            </w:r>
          </w:p>
        </w:tc>
      </w:tr>
      <w:tr w:rsidR="001C7AF3" w:rsidRPr="004F04F9" w14:paraId="60EB62FE" w14:textId="77777777" w:rsidTr="008544A9">
        <w:trPr>
          <w:trHeight w:hRule="exact" w:val="255"/>
          <w:jc w:val="center"/>
        </w:trPr>
        <w:tc>
          <w:tcPr>
            <w:tcW w:w="1129" w:type="dxa"/>
            <w:vMerge/>
            <w:noWrap/>
            <w:hideMark/>
          </w:tcPr>
          <w:p w14:paraId="07BF5948"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vAlign w:val="bottom"/>
          </w:tcPr>
          <w:p w14:paraId="52D0E66A" w14:textId="42CAA5ED"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(0.000)</w:t>
            </w:r>
          </w:p>
        </w:tc>
        <w:tc>
          <w:tcPr>
            <w:tcW w:w="1394" w:type="dxa"/>
            <w:vAlign w:val="bottom"/>
          </w:tcPr>
          <w:p w14:paraId="33244062" w14:textId="5277339B"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(0.000)</w:t>
            </w:r>
          </w:p>
        </w:tc>
        <w:tc>
          <w:tcPr>
            <w:tcW w:w="1394" w:type="dxa"/>
            <w:noWrap/>
            <w:vAlign w:val="bottom"/>
          </w:tcPr>
          <w:p w14:paraId="10C6BB35" w14:textId="231867CD"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(0.000)</w:t>
            </w:r>
          </w:p>
        </w:tc>
        <w:tc>
          <w:tcPr>
            <w:tcW w:w="1394" w:type="dxa"/>
            <w:noWrap/>
            <w:vAlign w:val="bottom"/>
          </w:tcPr>
          <w:p w14:paraId="33089E4C" w14:textId="5A265641"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(0.000)</w:t>
            </w:r>
          </w:p>
        </w:tc>
        <w:tc>
          <w:tcPr>
            <w:tcW w:w="1394" w:type="dxa"/>
            <w:vAlign w:val="bottom"/>
          </w:tcPr>
          <w:p w14:paraId="6CAD8C5E" w14:textId="0E4E7E0E"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(0.000)</w:t>
            </w:r>
          </w:p>
        </w:tc>
        <w:tc>
          <w:tcPr>
            <w:tcW w:w="1394" w:type="dxa"/>
            <w:noWrap/>
            <w:vAlign w:val="bottom"/>
          </w:tcPr>
          <w:p w14:paraId="58EEEC48" w14:textId="52EA2A8D"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(0.000)</w:t>
            </w:r>
          </w:p>
        </w:tc>
      </w:tr>
      <w:tr w:rsidR="001C7AF3" w:rsidRPr="004F04F9" w14:paraId="0A3C33B6" w14:textId="77777777" w:rsidTr="008544A9">
        <w:trPr>
          <w:trHeight w:hRule="exact" w:val="255"/>
          <w:jc w:val="center"/>
        </w:trPr>
        <w:tc>
          <w:tcPr>
            <w:tcW w:w="1129" w:type="dxa"/>
            <w:vMerge w:val="restart"/>
            <w:noWrap/>
            <w:hideMark/>
          </w:tcPr>
          <w:p w14:paraId="41418623"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roofErr w:type="spellStart"/>
            <w:r w:rsidRPr="004F04F9">
              <w:rPr>
                <w:rFonts w:eastAsia="Times New Roman" w:cs="Calibri"/>
                <w:sz w:val="20"/>
                <w:szCs w:val="20"/>
                <w:lang w:val="nb-NO" w:eastAsia="nb-NO"/>
              </w:rPr>
              <w:t>Distance</w:t>
            </w:r>
            <w:proofErr w:type="spellEnd"/>
            <w:r w:rsidRPr="004F04F9">
              <w:rPr>
                <w:rFonts w:eastAsia="Times New Roman" w:cs="Calibri"/>
                <w:sz w:val="20"/>
                <w:szCs w:val="20"/>
                <w:lang w:val="nb-NO" w:eastAsia="nb-NO"/>
              </w:rPr>
              <w:t xml:space="preserve"> to </w:t>
            </w:r>
            <w:proofErr w:type="spellStart"/>
            <w:r w:rsidRPr="004F04F9">
              <w:rPr>
                <w:rFonts w:eastAsia="Times New Roman" w:cs="Calibri"/>
                <w:sz w:val="20"/>
                <w:szCs w:val="20"/>
                <w:lang w:val="nb-NO" w:eastAsia="nb-NO"/>
              </w:rPr>
              <w:t>capital</w:t>
            </w:r>
            <w:proofErr w:type="spellEnd"/>
          </w:p>
        </w:tc>
        <w:tc>
          <w:tcPr>
            <w:tcW w:w="1394" w:type="dxa"/>
            <w:vAlign w:val="bottom"/>
          </w:tcPr>
          <w:p w14:paraId="09C3BAB8" w14:textId="5543C0EE"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-0.406***</w:t>
            </w:r>
          </w:p>
        </w:tc>
        <w:tc>
          <w:tcPr>
            <w:tcW w:w="1394" w:type="dxa"/>
            <w:vAlign w:val="bottom"/>
          </w:tcPr>
          <w:p w14:paraId="34DEDBB1" w14:textId="65001E21"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-0.491***</w:t>
            </w:r>
          </w:p>
        </w:tc>
        <w:tc>
          <w:tcPr>
            <w:tcW w:w="1394" w:type="dxa"/>
            <w:noWrap/>
            <w:vAlign w:val="bottom"/>
          </w:tcPr>
          <w:p w14:paraId="649EEDA4" w14:textId="5A1FA265"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-0.406*</w:t>
            </w:r>
          </w:p>
        </w:tc>
        <w:tc>
          <w:tcPr>
            <w:tcW w:w="1394" w:type="dxa"/>
            <w:noWrap/>
            <w:vAlign w:val="bottom"/>
          </w:tcPr>
          <w:p w14:paraId="400F8C56" w14:textId="16A576C5"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-0.431*</w:t>
            </w:r>
          </w:p>
        </w:tc>
        <w:tc>
          <w:tcPr>
            <w:tcW w:w="1394" w:type="dxa"/>
            <w:vAlign w:val="bottom"/>
          </w:tcPr>
          <w:p w14:paraId="2F879E54" w14:textId="3BFEE356"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-0.562**</w:t>
            </w:r>
          </w:p>
        </w:tc>
        <w:tc>
          <w:tcPr>
            <w:tcW w:w="1394" w:type="dxa"/>
            <w:noWrap/>
            <w:vAlign w:val="bottom"/>
          </w:tcPr>
          <w:p w14:paraId="00D1C341" w14:textId="694BF106"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-0.431</w:t>
            </w:r>
          </w:p>
        </w:tc>
      </w:tr>
      <w:tr w:rsidR="001C7AF3" w:rsidRPr="004F04F9" w14:paraId="223992EA" w14:textId="77777777" w:rsidTr="008544A9">
        <w:trPr>
          <w:trHeight w:hRule="exact" w:val="255"/>
          <w:jc w:val="center"/>
        </w:trPr>
        <w:tc>
          <w:tcPr>
            <w:tcW w:w="1129" w:type="dxa"/>
            <w:vMerge/>
            <w:noWrap/>
            <w:hideMark/>
          </w:tcPr>
          <w:p w14:paraId="42988F35"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vAlign w:val="bottom"/>
          </w:tcPr>
          <w:p w14:paraId="71BAAB2C" w14:textId="0C0D05F3"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(0.142)</w:t>
            </w:r>
          </w:p>
        </w:tc>
        <w:tc>
          <w:tcPr>
            <w:tcW w:w="1394" w:type="dxa"/>
            <w:vAlign w:val="bottom"/>
          </w:tcPr>
          <w:p w14:paraId="2145A116" w14:textId="1489B02B"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(0.126)</w:t>
            </w:r>
          </w:p>
        </w:tc>
        <w:tc>
          <w:tcPr>
            <w:tcW w:w="1394" w:type="dxa"/>
            <w:noWrap/>
            <w:vAlign w:val="bottom"/>
          </w:tcPr>
          <w:p w14:paraId="07418444" w14:textId="5F71730C"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(0.235)</w:t>
            </w:r>
          </w:p>
        </w:tc>
        <w:tc>
          <w:tcPr>
            <w:tcW w:w="1394" w:type="dxa"/>
            <w:noWrap/>
            <w:vAlign w:val="bottom"/>
          </w:tcPr>
          <w:p w14:paraId="777BCBD0" w14:textId="1B61168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(0.260)</w:t>
            </w:r>
          </w:p>
        </w:tc>
        <w:tc>
          <w:tcPr>
            <w:tcW w:w="1394" w:type="dxa"/>
            <w:vAlign w:val="bottom"/>
          </w:tcPr>
          <w:p w14:paraId="6346E3B8" w14:textId="71DA855A"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(0.243)</w:t>
            </w:r>
          </w:p>
        </w:tc>
        <w:tc>
          <w:tcPr>
            <w:tcW w:w="1394" w:type="dxa"/>
            <w:noWrap/>
            <w:vAlign w:val="bottom"/>
          </w:tcPr>
          <w:p w14:paraId="319AFF1C" w14:textId="571375A0"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(0.283)</w:t>
            </w:r>
          </w:p>
        </w:tc>
      </w:tr>
      <w:tr w:rsidR="001C7AF3" w:rsidRPr="004F04F9" w14:paraId="24F2BF21" w14:textId="77777777" w:rsidTr="008544A9">
        <w:trPr>
          <w:trHeight w:hRule="exact" w:val="255"/>
          <w:jc w:val="center"/>
        </w:trPr>
        <w:tc>
          <w:tcPr>
            <w:tcW w:w="1129" w:type="dxa"/>
            <w:vMerge w:val="restart"/>
            <w:noWrap/>
            <w:hideMark/>
          </w:tcPr>
          <w:p w14:paraId="15C5E843"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roofErr w:type="spellStart"/>
            <w:r w:rsidRPr="004F04F9">
              <w:rPr>
                <w:rFonts w:eastAsia="Times New Roman" w:cs="Calibri"/>
                <w:sz w:val="20"/>
                <w:szCs w:val="20"/>
                <w:lang w:val="nb-NO" w:eastAsia="nb-NO"/>
              </w:rPr>
              <w:t>Turnout</w:t>
            </w:r>
            <w:proofErr w:type="spellEnd"/>
          </w:p>
        </w:tc>
        <w:tc>
          <w:tcPr>
            <w:tcW w:w="1394" w:type="dxa"/>
            <w:vAlign w:val="bottom"/>
          </w:tcPr>
          <w:p w14:paraId="646C103B" w14:textId="793E0EDA"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0.003</w:t>
            </w:r>
          </w:p>
        </w:tc>
        <w:tc>
          <w:tcPr>
            <w:tcW w:w="1394" w:type="dxa"/>
            <w:vAlign w:val="bottom"/>
          </w:tcPr>
          <w:p w14:paraId="20B782A0" w14:textId="341BEF49"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-0.003</w:t>
            </w:r>
          </w:p>
        </w:tc>
        <w:tc>
          <w:tcPr>
            <w:tcW w:w="1394" w:type="dxa"/>
            <w:noWrap/>
            <w:vAlign w:val="bottom"/>
          </w:tcPr>
          <w:p w14:paraId="3B1AE9C6" w14:textId="53EED1AC"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0.003</w:t>
            </w:r>
          </w:p>
        </w:tc>
        <w:tc>
          <w:tcPr>
            <w:tcW w:w="1394" w:type="dxa"/>
            <w:noWrap/>
            <w:vAlign w:val="bottom"/>
          </w:tcPr>
          <w:p w14:paraId="12872CDF" w14:textId="5B3A491B"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-0.002</w:t>
            </w:r>
          </w:p>
        </w:tc>
        <w:tc>
          <w:tcPr>
            <w:tcW w:w="1394" w:type="dxa"/>
            <w:vAlign w:val="bottom"/>
          </w:tcPr>
          <w:p w14:paraId="66D1159D" w14:textId="137EC201"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-0.034**</w:t>
            </w:r>
          </w:p>
        </w:tc>
        <w:tc>
          <w:tcPr>
            <w:tcW w:w="1394" w:type="dxa"/>
            <w:noWrap/>
            <w:vAlign w:val="bottom"/>
          </w:tcPr>
          <w:p w14:paraId="7E37277C" w14:textId="79218D06"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-0.002</w:t>
            </w:r>
          </w:p>
        </w:tc>
      </w:tr>
      <w:tr w:rsidR="001C7AF3" w:rsidRPr="004F04F9" w14:paraId="25BA35B5" w14:textId="77777777" w:rsidTr="008544A9">
        <w:trPr>
          <w:trHeight w:hRule="exact" w:val="255"/>
          <w:jc w:val="center"/>
        </w:trPr>
        <w:tc>
          <w:tcPr>
            <w:tcW w:w="1129" w:type="dxa"/>
            <w:vMerge/>
            <w:noWrap/>
            <w:hideMark/>
          </w:tcPr>
          <w:p w14:paraId="0F9B0ADD"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vAlign w:val="bottom"/>
          </w:tcPr>
          <w:p w14:paraId="49FC8AC3" w14:textId="1201F839"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(0.003)</w:t>
            </w:r>
          </w:p>
        </w:tc>
        <w:tc>
          <w:tcPr>
            <w:tcW w:w="1394" w:type="dxa"/>
            <w:vAlign w:val="bottom"/>
          </w:tcPr>
          <w:p w14:paraId="786449CE" w14:textId="384FBE7F"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(0.003)</w:t>
            </w:r>
          </w:p>
        </w:tc>
        <w:tc>
          <w:tcPr>
            <w:tcW w:w="1394" w:type="dxa"/>
            <w:noWrap/>
            <w:vAlign w:val="bottom"/>
          </w:tcPr>
          <w:p w14:paraId="3A70646A" w14:textId="09AA6C83"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(0.007)</w:t>
            </w:r>
          </w:p>
        </w:tc>
        <w:tc>
          <w:tcPr>
            <w:tcW w:w="1394" w:type="dxa"/>
            <w:noWrap/>
            <w:vAlign w:val="bottom"/>
          </w:tcPr>
          <w:p w14:paraId="04C904A9" w14:textId="400AFE6F"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(0.015)</w:t>
            </w:r>
          </w:p>
        </w:tc>
        <w:tc>
          <w:tcPr>
            <w:tcW w:w="1394" w:type="dxa"/>
            <w:vAlign w:val="bottom"/>
          </w:tcPr>
          <w:p w14:paraId="2EC48C2E" w14:textId="3B7B6C66"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(0.015)</w:t>
            </w:r>
          </w:p>
        </w:tc>
        <w:tc>
          <w:tcPr>
            <w:tcW w:w="1394" w:type="dxa"/>
            <w:noWrap/>
            <w:vAlign w:val="bottom"/>
          </w:tcPr>
          <w:p w14:paraId="454290CF" w14:textId="070EE03B"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(0.026)</w:t>
            </w:r>
          </w:p>
        </w:tc>
      </w:tr>
      <w:tr w:rsidR="001C7AF3" w:rsidRPr="004F04F9" w14:paraId="47AB9D6C" w14:textId="77777777" w:rsidTr="008544A9">
        <w:trPr>
          <w:trHeight w:hRule="exact" w:val="255"/>
          <w:jc w:val="center"/>
        </w:trPr>
        <w:tc>
          <w:tcPr>
            <w:tcW w:w="1129" w:type="dxa"/>
            <w:vMerge w:val="restart"/>
            <w:noWrap/>
            <w:hideMark/>
          </w:tcPr>
          <w:p w14:paraId="73AB38CB"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val="nb-NO" w:eastAsia="nb-NO"/>
              </w:rPr>
              <w:t xml:space="preserve">Time </w:t>
            </w:r>
            <w:proofErr w:type="spellStart"/>
            <w:r w:rsidRPr="004F04F9">
              <w:rPr>
                <w:rFonts w:eastAsia="Times New Roman" w:cs="Calibri"/>
                <w:sz w:val="20"/>
                <w:szCs w:val="20"/>
                <w:lang w:val="nb-NO" w:eastAsia="nb-NO"/>
              </w:rPr>
              <w:t>counter</w:t>
            </w:r>
            <w:proofErr w:type="spellEnd"/>
          </w:p>
        </w:tc>
        <w:tc>
          <w:tcPr>
            <w:tcW w:w="1394" w:type="dxa"/>
            <w:vAlign w:val="bottom"/>
          </w:tcPr>
          <w:p w14:paraId="0AAEADFF" w14:textId="489B74B1"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0.022***</w:t>
            </w:r>
          </w:p>
        </w:tc>
        <w:tc>
          <w:tcPr>
            <w:tcW w:w="1394" w:type="dxa"/>
            <w:vAlign w:val="bottom"/>
          </w:tcPr>
          <w:p w14:paraId="6A55D8FD" w14:textId="20DCA713"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0.019***</w:t>
            </w:r>
          </w:p>
        </w:tc>
        <w:tc>
          <w:tcPr>
            <w:tcW w:w="1394" w:type="dxa"/>
            <w:noWrap/>
            <w:vAlign w:val="bottom"/>
          </w:tcPr>
          <w:p w14:paraId="7A725B71" w14:textId="0F0753E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0.022***</w:t>
            </w:r>
          </w:p>
        </w:tc>
        <w:tc>
          <w:tcPr>
            <w:tcW w:w="1394" w:type="dxa"/>
            <w:noWrap/>
            <w:vAlign w:val="bottom"/>
          </w:tcPr>
          <w:p w14:paraId="102AEFB8" w14:textId="21D57DD3"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-0.012***</w:t>
            </w:r>
          </w:p>
        </w:tc>
        <w:tc>
          <w:tcPr>
            <w:tcW w:w="1394" w:type="dxa"/>
            <w:vAlign w:val="bottom"/>
          </w:tcPr>
          <w:p w14:paraId="5A3B2E73" w14:textId="02113234"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-0.009***</w:t>
            </w:r>
          </w:p>
        </w:tc>
        <w:tc>
          <w:tcPr>
            <w:tcW w:w="1394" w:type="dxa"/>
            <w:noWrap/>
            <w:vAlign w:val="bottom"/>
          </w:tcPr>
          <w:p w14:paraId="2B71CBFE" w14:textId="1BD04E25"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-0.012***</w:t>
            </w:r>
          </w:p>
        </w:tc>
      </w:tr>
      <w:tr w:rsidR="001C7AF3" w:rsidRPr="004F04F9" w14:paraId="4D2C6F12" w14:textId="77777777" w:rsidTr="008544A9">
        <w:trPr>
          <w:trHeight w:hRule="exact" w:val="255"/>
          <w:jc w:val="center"/>
        </w:trPr>
        <w:tc>
          <w:tcPr>
            <w:tcW w:w="1129" w:type="dxa"/>
            <w:vMerge/>
            <w:noWrap/>
            <w:hideMark/>
          </w:tcPr>
          <w:p w14:paraId="1DC32362"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vAlign w:val="bottom"/>
          </w:tcPr>
          <w:p w14:paraId="623136B3" w14:textId="7941805E"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(0.004)</w:t>
            </w:r>
          </w:p>
        </w:tc>
        <w:tc>
          <w:tcPr>
            <w:tcW w:w="1394" w:type="dxa"/>
            <w:vAlign w:val="bottom"/>
          </w:tcPr>
          <w:p w14:paraId="150C518A" w14:textId="06097024"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(0.004)</w:t>
            </w:r>
          </w:p>
        </w:tc>
        <w:tc>
          <w:tcPr>
            <w:tcW w:w="1394" w:type="dxa"/>
            <w:noWrap/>
            <w:vAlign w:val="bottom"/>
          </w:tcPr>
          <w:p w14:paraId="14A0CCD0" w14:textId="64526D48"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(0.007)</w:t>
            </w:r>
          </w:p>
        </w:tc>
        <w:tc>
          <w:tcPr>
            <w:tcW w:w="1394" w:type="dxa"/>
            <w:noWrap/>
            <w:vAlign w:val="bottom"/>
          </w:tcPr>
          <w:p w14:paraId="77DE0B72" w14:textId="6CCBF384"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(0.002)</w:t>
            </w:r>
          </w:p>
        </w:tc>
        <w:tc>
          <w:tcPr>
            <w:tcW w:w="1394" w:type="dxa"/>
            <w:vAlign w:val="bottom"/>
          </w:tcPr>
          <w:p w14:paraId="1C6A03FC" w14:textId="1A6E9A52"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(0.002)</w:t>
            </w:r>
          </w:p>
        </w:tc>
        <w:tc>
          <w:tcPr>
            <w:tcW w:w="1394" w:type="dxa"/>
            <w:noWrap/>
            <w:vAlign w:val="bottom"/>
          </w:tcPr>
          <w:p w14:paraId="2A279FDB" w14:textId="774A74FC"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(0.004)</w:t>
            </w:r>
          </w:p>
        </w:tc>
      </w:tr>
      <w:tr w:rsidR="001C7AF3" w:rsidRPr="004F04F9" w14:paraId="14C97E54" w14:textId="77777777" w:rsidTr="008544A9">
        <w:trPr>
          <w:trHeight w:hRule="exact" w:val="255"/>
          <w:jc w:val="center"/>
        </w:trPr>
        <w:tc>
          <w:tcPr>
            <w:tcW w:w="1129" w:type="dxa"/>
            <w:vMerge w:val="restart"/>
            <w:noWrap/>
            <w:hideMark/>
          </w:tcPr>
          <w:p w14:paraId="3CADEF90"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roofErr w:type="spellStart"/>
            <w:r w:rsidRPr="004F04F9">
              <w:rPr>
                <w:rFonts w:eastAsia="Times New Roman" w:cs="Calibri"/>
                <w:sz w:val="20"/>
                <w:szCs w:val="20"/>
                <w:lang w:val="nb-NO" w:eastAsia="nb-NO"/>
              </w:rPr>
              <w:t>Election</w:t>
            </w:r>
            <w:proofErr w:type="spellEnd"/>
            <w:r w:rsidRPr="004F04F9">
              <w:rPr>
                <w:rFonts w:eastAsia="Times New Roman" w:cs="Calibri"/>
                <w:sz w:val="20"/>
                <w:szCs w:val="20"/>
                <w:lang w:val="nb-NO" w:eastAsia="nb-NO"/>
              </w:rPr>
              <w:t xml:space="preserve"> </w:t>
            </w:r>
            <w:proofErr w:type="spellStart"/>
            <w:r w:rsidRPr="004F04F9">
              <w:rPr>
                <w:rFonts w:eastAsia="Times New Roman" w:cs="Calibri"/>
                <w:sz w:val="20"/>
                <w:szCs w:val="20"/>
                <w:lang w:val="nb-NO" w:eastAsia="nb-NO"/>
              </w:rPr>
              <w:t>period</w:t>
            </w:r>
            <w:proofErr w:type="spellEnd"/>
          </w:p>
        </w:tc>
        <w:tc>
          <w:tcPr>
            <w:tcW w:w="1394" w:type="dxa"/>
            <w:vAlign w:val="bottom"/>
          </w:tcPr>
          <w:p w14:paraId="77CC41F9" w14:textId="30B9F88A"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0.326***</w:t>
            </w:r>
          </w:p>
        </w:tc>
        <w:tc>
          <w:tcPr>
            <w:tcW w:w="1394" w:type="dxa"/>
            <w:vAlign w:val="bottom"/>
          </w:tcPr>
          <w:p w14:paraId="720BE56A" w14:textId="02D70F8D"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0.450***</w:t>
            </w:r>
          </w:p>
        </w:tc>
        <w:tc>
          <w:tcPr>
            <w:tcW w:w="1394" w:type="dxa"/>
            <w:noWrap/>
            <w:vAlign w:val="bottom"/>
          </w:tcPr>
          <w:p w14:paraId="4D6D0C5E" w14:textId="2F1F20F6"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0.326***</w:t>
            </w:r>
          </w:p>
        </w:tc>
        <w:tc>
          <w:tcPr>
            <w:tcW w:w="1394" w:type="dxa"/>
            <w:noWrap/>
            <w:vAlign w:val="bottom"/>
          </w:tcPr>
          <w:p w14:paraId="6B804B89" w14:textId="3395A982"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-0.126**</w:t>
            </w:r>
          </w:p>
        </w:tc>
        <w:tc>
          <w:tcPr>
            <w:tcW w:w="1394" w:type="dxa"/>
            <w:vAlign w:val="bottom"/>
          </w:tcPr>
          <w:p w14:paraId="33DEBB5C" w14:textId="58C9C34D"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-0.105*</w:t>
            </w:r>
          </w:p>
        </w:tc>
        <w:tc>
          <w:tcPr>
            <w:tcW w:w="1394" w:type="dxa"/>
            <w:noWrap/>
            <w:vAlign w:val="bottom"/>
          </w:tcPr>
          <w:p w14:paraId="02C6842E" w14:textId="3D5F899A"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-0.126*</w:t>
            </w:r>
          </w:p>
        </w:tc>
      </w:tr>
      <w:tr w:rsidR="001C7AF3" w:rsidRPr="004F04F9" w14:paraId="1A84CD6F" w14:textId="77777777" w:rsidTr="008544A9">
        <w:trPr>
          <w:trHeight w:hRule="exact" w:val="255"/>
          <w:jc w:val="center"/>
        </w:trPr>
        <w:tc>
          <w:tcPr>
            <w:tcW w:w="1129" w:type="dxa"/>
            <w:vMerge/>
            <w:noWrap/>
            <w:hideMark/>
          </w:tcPr>
          <w:p w14:paraId="1100170A"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vAlign w:val="bottom"/>
          </w:tcPr>
          <w:p w14:paraId="4B809FCB" w14:textId="39FE0CAB"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(0.032)</w:t>
            </w:r>
          </w:p>
        </w:tc>
        <w:tc>
          <w:tcPr>
            <w:tcW w:w="1394" w:type="dxa"/>
            <w:vAlign w:val="bottom"/>
          </w:tcPr>
          <w:p w14:paraId="207EFB53" w14:textId="38FF3558"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(0.037)</w:t>
            </w:r>
          </w:p>
        </w:tc>
        <w:tc>
          <w:tcPr>
            <w:tcW w:w="1394" w:type="dxa"/>
            <w:noWrap/>
            <w:vAlign w:val="bottom"/>
          </w:tcPr>
          <w:p w14:paraId="427C6B0E" w14:textId="02FAC118"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(0.039)</w:t>
            </w:r>
          </w:p>
        </w:tc>
        <w:tc>
          <w:tcPr>
            <w:tcW w:w="1394" w:type="dxa"/>
            <w:noWrap/>
            <w:vAlign w:val="bottom"/>
          </w:tcPr>
          <w:p w14:paraId="3A23D200" w14:textId="53EDFA96"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(0.056)</w:t>
            </w:r>
          </w:p>
        </w:tc>
        <w:tc>
          <w:tcPr>
            <w:tcW w:w="1394" w:type="dxa"/>
            <w:vAlign w:val="bottom"/>
          </w:tcPr>
          <w:p w14:paraId="0B3C22A5" w14:textId="51906B09"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(0.055)</w:t>
            </w:r>
          </w:p>
        </w:tc>
        <w:tc>
          <w:tcPr>
            <w:tcW w:w="1394" w:type="dxa"/>
            <w:noWrap/>
            <w:vAlign w:val="bottom"/>
          </w:tcPr>
          <w:p w14:paraId="1D09C2D9" w14:textId="09510C4C"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(0.065)</w:t>
            </w:r>
          </w:p>
        </w:tc>
      </w:tr>
      <w:tr w:rsidR="001C7AF3" w:rsidRPr="004F04F9" w14:paraId="5C2BC5D4" w14:textId="77777777" w:rsidTr="008544A9">
        <w:trPr>
          <w:trHeight w:hRule="exact" w:val="255"/>
          <w:jc w:val="center"/>
        </w:trPr>
        <w:tc>
          <w:tcPr>
            <w:tcW w:w="1129" w:type="dxa"/>
            <w:vMerge w:val="restart"/>
            <w:noWrap/>
            <w:hideMark/>
          </w:tcPr>
          <w:p w14:paraId="73C9E38D"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roofErr w:type="spellStart"/>
            <w:r w:rsidRPr="004F04F9">
              <w:rPr>
                <w:rFonts w:eastAsia="Times New Roman" w:cs="Calibri"/>
                <w:sz w:val="20"/>
                <w:szCs w:val="20"/>
                <w:lang w:val="nb-NO" w:eastAsia="nb-NO"/>
              </w:rPr>
              <w:t>Months</w:t>
            </w:r>
            <w:proofErr w:type="spellEnd"/>
            <w:r w:rsidRPr="004F04F9">
              <w:rPr>
                <w:rFonts w:eastAsia="Times New Roman" w:cs="Calibri"/>
                <w:sz w:val="20"/>
                <w:szCs w:val="20"/>
                <w:lang w:val="nb-NO" w:eastAsia="nb-NO"/>
              </w:rPr>
              <w:t xml:space="preserve"> </w:t>
            </w:r>
            <w:proofErr w:type="spellStart"/>
            <w:r w:rsidRPr="004F04F9">
              <w:rPr>
                <w:rFonts w:eastAsia="Times New Roman" w:cs="Calibri"/>
                <w:sz w:val="20"/>
                <w:szCs w:val="20"/>
                <w:lang w:val="nb-NO" w:eastAsia="nb-NO"/>
              </w:rPr>
              <w:t>since</w:t>
            </w:r>
            <w:proofErr w:type="spellEnd"/>
            <w:r w:rsidRPr="004F04F9">
              <w:rPr>
                <w:rFonts w:eastAsia="Times New Roman" w:cs="Calibri"/>
                <w:sz w:val="20"/>
                <w:szCs w:val="20"/>
                <w:lang w:val="nb-NO" w:eastAsia="nb-NO"/>
              </w:rPr>
              <w:t xml:space="preserve"> </w:t>
            </w:r>
            <w:proofErr w:type="spellStart"/>
            <w:r w:rsidRPr="004F04F9">
              <w:rPr>
                <w:rFonts w:eastAsia="Times New Roman" w:cs="Calibri"/>
                <w:sz w:val="20"/>
                <w:szCs w:val="20"/>
                <w:lang w:val="nb-NO" w:eastAsia="nb-NO"/>
              </w:rPr>
              <w:t>prev</w:t>
            </w:r>
            <w:proofErr w:type="spellEnd"/>
            <w:r w:rsidRPr="004F04F9">
              <w:rPr>
                <w:rFonts w:eastAsia="Times New Roman" w:cs="Calibri"/>
                <w:sz w:val="20"/>
                <w:szCs w:val="20"/>
                <w:lang w:val="nb-NO" w:eastAsia="nb-NO"/>
              </w:rPr>
              <w:t xml:space="preserve"> </w:t>
            </w:r>
            <w:proofErr w:type="spellStart"/>
            <w:r w:rsidRPr="004F04F9">
              <w:rPr>
                <w:rFonts w:eastAsia="Times New Roman" w:cs="Calibri"/>
                <w:sz w:val="20"/>
                <w:szCs w:val="20"/>
                <w:lang w:val="nb-NO" w:eastAsia="nb-NO"/>
              </w:rPr>
              <w:t>election</w:t>
            </w:r>
            <w:proofErr w:type="spellEnd"/>
          </w:p>
        </w:tc>
        <w:tc>
          <w:tcPr>
            <w:tcW w:w="1394" w:type="dxa"/>
            <w:vAlign w:val="bottom"/>
          </w:tcPr>
          <w:p w14:paraId="232B9C53" w14:textId="1EFE3895"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-0.003***</w:t>
            </w:r>
          </w:p>
        </w:tc>
        <w:tc>
          <w:tcPr>
            <w:tcW w:w="1394" w:type="dxa"/>
            <w:vAlign w:val="bottom"/>
          </w:tcPr>
          <w:p w14:paraId="5B18D89E" w14:textId="79E76BCD"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-0.002**</w:t>
            </w:r>
          </w:p>
        </w:tc>
        <w:tc>
          <w:tcPr>
            <w:tcW w:w="1394" w:type="dxa"/>
            <w:noWrap/>
            <w:vAlign w:val="bottom"/>
          </w:tcPr>
          <w:p w14:paraId="633B15A4" w14:textId="5BB768DA"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-0.003</w:t>
            </w:r>
          </w:p>
        </w:tc>
        <w:tc>
          <w:tcPr>
            <w:tcW w:w="1394" w:type="dxa"/>
            <w:noWrap/>
            <w:vAlign w:val="bottom"/>
          </w:tcPr>
          <w:p w14:paraId="6CBA1229" w14:textId="43FACBF1"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-0.002*</w:t>
            </w:r>
          </w:p>
        </w:tc>
        <w:tc>
          <w:tcPr>
            <w:tcW w:w="1394" w:type="dxa"/>
            <w:vAlign w:val="bottom"/>
          </w:tcPr>
          <w:p w14:paraId="3957AA14" w14:textId="40126C93"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-0.003**</w:t>
            </w:r>
          </w:p>
        </w:tc>
        <w:tc>
          <w:tcPr>
            <w:tcW w:w="1394" w:type="dxa"/>
            <w:noWrap/>
            <w:vAlign w:val="bottom"/>
          </w:tcPr>
          <w:p w14:paraId="73248C6A" w14:textId="1FB10CD4"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-0.002</w:t>
            </w:r>
          </w:p>
        </w:tc>
      </w:tr>
      <w:tr w:rsidR="001C7AF3" w:rsidRPr="004F04F9" w14:paraId="4655E586" w14:textId="77777777" w:rsidTr="008544A9">
        <w:trPr>
          <w:trHeight w:hRule="exact" w:val="255"/>
          <w:jc w:val="center"/>
        </w:trPr>
        <w:tc>
          <w:tcPr>
            <w:tcW w:w="1129" w:type="dxa"/>
            <w:vMerge/>
            <w:noWrap/>
            <w:hideMark/>
          </w:tcPr>
          <w:p w14:paraId="165131A8"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vAlign w:val="bottom"/>
          </w:tcPr>
          <w:p w14:paraId="43EAB320" w14:textId="21D5C1DA"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(0.001)</w:t>
            </w:r>
          </w:p>
        </w:tc>
        <w:tc>
          <w:tcPr>
            <w:tcW w:w="1394" w:type="dxa"/>
            <w:vAlign w:val="bottom"/>
          </w:tcPr>
          <w:p w14:paraId="1DE6BC34" w14:textId="162F23ED"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(0.001)</w:t>
            </w:r>
          </w:p>
        </w:tc>
        <w:tc>
          <w:tcPr>
            <w:tcW w:w="1394" w:type="dxa"/>
            <w:noWrap/>
            <w:vAlign w:val="bottom"/>
          </w:tcPr>
          <w:p w14:paraId="37CEC7BF" w14:textId="7A67DB0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(0.002)</w:t>
            </w:r>
          </w:p>
        </w:tc>
        <w:tc>
          <w:tcPr>
            <w:tcW w:w="1394" w:type="dxa"/>
            <w:noWrap/>
            <w:vAlign w:val="bottom"/>
          </w:tcPr>
          <w:p w14:paraId="12D1AE5A" w14:textId="2E774BE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(0.001)</w:t>
            </w:r>
          </w:p>
        </w:tc>
        <w:tc>
          <w:tcPr>
            <w:tcW w:w="1394" w:type="dxa"/>
            <w:vAlign w:val="bottom"/>
          </w:tcPr>
          <w:p w14:paraId="111A5C82" w14:textId="06B12978"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(0.001)</w:t>
            </w:r>
          </w:p>
        </w:tc>
        <w:tc>
          <w:tcPr>
            <w:tcW w:w="1394" w:type="dxa"/>
            <w:noWrap/>
            <w:vAlign w:val="bottom"/>
          </w:tcPr>
          <w:p w14:paraId="3B5BA857" w14:textId="24821FC0"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(0.002)</w:t>
            </w:r>
          </w:p>
        </w:tc>
      </w:tr>
      <w:tr w:rsidR="001C7AF3" w:rsidRPr="004F04F9" w14:paraId="4CB31D17" w14:textId="77777777" w:rsidTr="008544A9">
        <w:trPr>
          <w:trHeight w:hRule="exact" w:val="255"/>
          <w:jc w:val="center"/>
        </w:trPr>
        <w:tc>
          <w:tcPr>
            <w:tcW w:w="1129" w:type="dxa"/>
            <w:vMerge w:val="restart"/>
            <w:noWrap/>
          </w:tcPr>
          <w:p w14:paraId="6853304D"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val="nb-NO" w:eastAsia="nb-NO"/>
              </w:rPr>
              <w:t xml:space="preserve">Committee </w:t>
            </w:r>
            <w:proofErr w:type="spellStart"/>
            <w:r w:rsidRPr="004F04F9">
              <w:rPr>
                <w:rFonts w:eastAsia="Times New Roman" w:cs="Calibri"/>
                <w:sz w:val="20"/>
                <w:szCs w:val="20"/>
                <w:lang w:val="nb-NO" w:eastAsia="nb-NO"/>
              </w:rPr>
              <w:t>leadership</w:t>
            </w:r>
            <w:proofErr w:type="spellEnd"/>
          </w:p>
        </w:tc>
        <w:tc>
          <w:tcPr>
            <w:tcW w:w="1394" w:type="dxa"/>
            <w:vAlign w:val="bottom"/>
          </w:tcPr>
          <w:p w14:paraId="5A70E605"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vAlign w:val="bottom"/>
          </w:tcPr>
          <w:p w14:paraId="383524CF"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noWrap/>
            <w:vAlign w:val="bottom"/>
          </w:tcPr>
          <w:p w14:paraId="69D1EE9E"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noWrap/>
            <w:vAlign w:val="bottom"/>
          </w:tcPr>
          <w:p w14:paraId="35BBFFF0" w14:textId="00432B0D"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0.336***</w:t>
            </w:r>
          </w:p>
        </w:tc>
        <w:tc>
          <w:tcPr>
            <w:tcW w:w="1394" w:type="dxa"/>
            <w:vAlign w:val="bottom"/>
          </w:tcPr>
          <w:p w14:paraId="08565A2E" w14:textId="7E7AB0B2"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0.310***</w:t>
            </w:r>
          </w:p>
        </w:tc>
        <w:tc>
          <w:tcPr>
            <w:tcW w:w="1394" w:type="dxa"/>
            <w:noWrap/>
            <w:vAlign w:val="bottom"/>
          </w:tcPr>
          <w:p w14:paraId="73CE4ED4" w14:textId="0C80D820"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0.336***</w:t>
            </w:r>
          </w:p>
        </w:tc>
      </w:tr>
      <w:tr w:rsidR="001C7AF3" w:rsidRPr="004F04F9" w14:paraId="6FD16AF5" w14:textId="77777777" w:rsidTr="008544A9">
        <w:trPr>
          <w:trHeight w:hRule="exact" w:val="255"/>
          <w:jc w:val="center"/>
        </w:trPr>
        <w:tc>
          <w:tcPr>
            <w:tcW w:w="1129" w:type="dxa"/>
            <w:vMerge/>
            <w:noWrap/>
          </w:tcPr>
          <w:p w14:paraId="0E6FE1C9"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vAlign w:val="bottom"/>
          </w:tcPr>
          <w:p w14:paraId="75359B1B"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vAlign w:val="bottom"/>
          </w:tcPr>
          <w:p w14:paraId="248C58C4"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noWrap/>
            <w:vAlign w:val="bottom"/>
          </w:tcPr>
          <w:p w14:paraId="373617B8"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noWrap/>
            <w:vAlign w:val="bottom"/>
          </w:tcPr>
          <w:p w14:paraId="3138B062" w14:textId="232683C4"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(0.046)</w:t>
            </w:r>
          </w:p>
        </w:tc>
        <w:tc>
          <w:tcPr>
            <w:tcW w:w="1394" w:type="dxa"/>
            <w:vAlign w:val="bottom"/>
          </w:tcPr>
          <w:p w14:paraId="66D35E77" w14:textId="7D6E259D"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(0.046)</w:t>
            </w:r>
          </w:p>
        </w:tc>
        <w:tc>
          <w:tcPr>
            <w:tcW w:w="1394" w:type="dxa"/>
            <w:noWrap/>
            <w:vAlign w:val="bottom"/>
          </w:tcPr>
          <w:p w14:paraId="55DBE447" w14:textId="47FDD2D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(0.089)</w:t>
            </w:r>
          </w:p>
        </w:tc>
      </w:tr>
      <w:tr w:rsidR="001C7AF3" w:rsidRPr="004F04F9" w14:paraId="078932FA" w14:textId="77777777" w:rsidTr="008544A9">
        <w:trPr>
          <w:trHeight w:hRule="exact" w:val="255"/>
          <w:jc w:val="center"/>
        </w:trPr>
        <w:tc>
          <w:tcPr>
            <w:tcW w:w="1129" w:type="dxa"/>
            <w:vMerge w:val="restart"/>
            <w:noWrap/>
          </w:tcPr>
          <w:p w14:paraId="500119D0"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val="nb-NO" w:eastAsia="nb-NO"/>
              </w:rPr>
              <w:t>Committee, «hard»</w:t>
            </w:r>
          </w:p>
        </w:tc>
        <w:tc>
          <w:tcPr>
            <w:tcW w:w="1394" w:type="dxa"/>
            <w:vAlign w:val="bottom"/>
          </w:tcPr>
          <w:p w14:paraId="55480E1D"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vAlign w:val="bottom"/>
          </w:tcPr>
          <w:p w14:paraId="4852484D"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noWrap/>
            <w:vAlign w:val="bottom"/>
          </w:tcPr>
          <w:p w14:paraId="17AC7CAE"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noWrap/>
            <w:vAlign w:val="bottom"/>
          </w:tcPr>
          <w:p w14:paraId="4F37D65C" w14:textId="433946C9"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-0.325***</w:t>
            </w:r>
          </w:p>
        </w:tc>
        <w:tc>
          <w:tcPr>
            <w:tcW w:w="1394" w:type="dxa"/>
            <w:vAlign w:val="bottom"/>
          </w:tcPr>
          <w:p w14:paraId="2C275546" w14:textId="2431A3C1"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-0.331***</w:t>
            </w:r>
          </w:p>
        </w:tc>
        <w:tc>
          <w:tcPr>
            <w:tcW w:w="1394" w:type="dxa"/>
            <w:noWrap/>
            <w:vAlign w:val="bottom"/>
          </w:tcPr>
          <w:p w14:paraId="7BFF2DB3" w14:textId="54AAAAD6"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-0.325***</w:t>
            </w:r>
          </w:p>
        </w:tc>
      </w:tr>
      <w:tr w:rsidR="001C7AF3" w:rsidRPr="004F04F9" w14:paraId="421065B8" w14:textId="77777777" w:rsidTr="008544A9">
        <w:trPr>
          <w:trHeight w:hRule="exact" w:val="255"/>
          <w:jc w:val="center"/>
        </w:trPr>
        <w:tc>
          <w:tcPr>
            <w:tcW w:w="1129" w:type="dxa"/>
            <w:vMerge/>
            <w:noWrap/>
          </w:tcPr>
          <w:p w14:paraId="3575598B"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vAlign w:val="bottom"/>
          </w:tcPr>
          <w:p w14:paraId="71F8F03A"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vAlign w:val="bottom"/>
          </w:tcPr>
          <w:p w14:paraId="7624CCE4"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noWrap/>
            <w:vAlign w:val="bottom"/>
          </w:tcPr>
          <w:p w14:paraId="7CD52F5A"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noWrap/>
            <w:vAlign w:val="bottom"/>
          </w:tcPr>
          <w:p w14:paraId="19867886" w14:textId="76592D78"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(0.058)</w:t>
            </w:r>
          </w:p>
        </w:tc>
        <w:tc>
          <w:tcPr>
            <w:tcW w:w="1394" w:type="dxa"/>
            <w:vAlign w:val="bottom"/>
          </w:tcPr>
          <w:p w14:paraId="56CA64A6" w14:textId="619602C1"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(0.058)</w:t>
            </w:r>
          </w:p>
        </w:tc>
        <w:tc>
          <w:tcPr>
            <w:tcW w:w="1394" w:type="dxa"/>
            <w:noWrap/>
            <w:vAlign w:val="bottom"/>
          </w:tcPr>
          <w:p w14:paraId="2D842872" w14:textId="0BD1834E"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(0.108)</w:t>
            </w:r>
          </w:p>
        </w:tc>
      </w:tr>
      <w:tr w:rsidR="001C7AF3" w:rsidRPr="004F04F9" w14:paraId="6EB66F7B" w14:textId="77777777" w:rsidTr="008544A9">
        <w:trPr>
          <w:trHeight w:hRule="exact" w:val="255"/>
          <w:jc w:val="center"/>
        </w:trPr>
        <w:tc>
          <w:tcPr>
            <w:tcW w:w="1129" w:type="dxa"/>
            <w:vMerge w:val="restart"/>
            <w:noWrap/>
          </w:tcPr>
          <w:p w14:paraId="0A1B288D"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roofErr w:type="spellStart"/>
            <w:r w:rsidRPr="004F04F9">
              <w:rPr>
                <w:rFonts w:eastAsia="Times New Roman" w:cs="Calibri"/>
                <w:sz w:val="20"/>
                <w:szCs w:val="20"/>
                <w:lang w:val="nb-NO" w:eastAsia="nb-NO"/>
              </w:rPr>
              <w:t>Lagged</w:t>
            </w:r>
            <w:proofErr w:type="spellEnd"/>
            <w:r w:rsidRPr="004F04F9">
              <w:rPr>
                <w:rFonts w:eastAsia="Times New Roman" w:cs="Calibri"/>
                <w:sz w:val="20"/>
                <w:szCs w:val="20"/>
                <w:lang w:val="nb-NO" w:eastAsia="nb-NO"/>
              </w:rPr>
              <w:t xml:space="preserve"> </w:t>
            </w:r>
            <w:proofErr w:type="spellStart"/>
            <w:r w:rsidRPr="004F04F9">
              <w:rPr>
                <w:rFonts w:eastAsia="Times New Roman" w:cs="Calibri"/>
                <w:sz w:val="20"/>
                <w:szCs w:val="20"/>
                <w:lang w:val="nb-NO" w:eastAsia="nb-NO"/>
              </w:rPr>
              <w:t>news</w:t>
            </w:r>
            <w:proofErr w:type="spellEnd"/>
            <w:r w:rsidRPr="004F04F9">
              <w:rPr>
                <w:rFonts w:eastAsia="Times New Roman" w:cs="Calibri"/>
                <w:sz w:val="20"/>
                <w:szCs w:val="20"/>
                <w:lang w:val="nb-NO" w:eastAsia="nb-NO"/>
              </w:rPr>
              <w:t xml:space="preserve"> </w:t>
            </w:r>
            <w:proofErr w:type="spellStart"/>
            <w:r w:rsidRPr="004F04F9">
              <w:rPr>
                <w:rFonts w:eastAsia="Times New Roman" w:cs="Calibri"/>
                <w:sz w:val="20"/>
                <w:szCs w:val="20"/>
                <w:lang w:val="nb-NO" w:eastAsia="nb-NO"/>
              </w:rPr>
              <w:t>visibility</w:t>
            </w:r>
            <w:proofErr w:type="spellEnd"/>
          </w:p>
        </w:tc>
        <w:tc>
          <w:tcPr>
            <w:tcW w:w="1394" w:type="dxa"/>
            <w:vAlign w:val="bottom"/>
          </w:tcPr>
          <w:p w14:paraId="4EEF617E"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vAlign w:val="bottom"/>
          </w:tcPr>
          <w:p w14:paraId="507C086C" w14:textId="426CC0B2"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0.009***</w:t>
            </w:r>
          </w:p>
        </w:tc>
        <w:tc>
          <w:tcPr>
            <w:tcW w:w="1394" w:type="dxa"/>
            <w:noWrap/>
            <w:vAlign w:val="bottom"/>
          </w:tcPr>
          <w:p w14:paraId="415BF56B"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noWrap/>
            <w:vAlign w:val="bottom"/>
          </w:tcPr>
          <w:p w14:paraId="7FE2F012"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vAlign w:val="bottom"/>
          </w:tcPr>
          <w:p w14:paraId="4020D973" w14:textId="0497362A"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0.006***</w:t>
            </w:r>
          </w:p>
        </w:tc>
        <w:tc>
          <w:tcPr>
            <w:tcW w:w="1394" w:type="dxa"/>
            <w:noWrap/>
            <w:vAlign w:val="bottom"/>
          </w:tcPr>
          <w:p w14:paraId="4742F4CE"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r>
      <w:tr w:rsidR="001C7AF3" w:rsidRPr="004F04F9" w14:paraId="52C8E86A" w14:textId="77777777" w:rsidTr="008544A9">
        <w:trPr>
          <w:trHeight w:hRule="exact" w:val="255"/>
          <w:jc w:val="center"/>
        </w:trPr>
        <w:tc>
          <w:tcPr>
            <w:tcW w:w="1129" w:type="dxa"/>
            <w:vMerge/>
            <w:noWrap/>
          </w:tcPr>
          <w:p w14:paraId="67DFAA0E"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vAlign w:val="bottom"/>
          </w:tcPr>
          <w:p w14:paraId="0A8BDC57"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vAlign w:val="bottom"/>
          </w:tcPr>
          <w:p w14:paraId="3290B5BF" w14:textId="49E1EF66"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(0.000)</w:t>
            </w:r>
          </w:p>
        </w:tc>
        <w:tc>
          <w:tcPr>
            <w:tcW w:w="1394" w:type="dxa"/>
            <w:noWrap/>
            <w:vAlign w:val="bottom"/>
          </w:tcPr>
          <w:p w14:paraId="74992671"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noWrap/>
            <w:vAlign w:val="bottom"/>
          </w:tcPr>
          <w:p w14:paraId="3264B6E3"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vAlign w:val="bottom"/>
          </w:tcPr>
          <w:p w14:paraId="5CC8E36D" w14:textId="452B02C1"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(0.001)</w:t>
            </w:r>
          </w:p>
        </w:tc>
        <w:tc>
          <w:tcPr>
            <w:tcW w:w="1394" w:type="dxa"/>
            <w:noWrap/>
            <w:vAlign w:val="bottom"/>
          </w:tcPr>
          <w:p w14:paraId="21C9B8F2"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r>
      <w:tr w:rsidR="001C7AF3" w:rsidRPr="004F04F9" w14:paraId="2760AE09" w14:textId="77777777" w:rsidTr="008544A9">
        <w:trPr>
          <w:trHeight w:hRule="exact" w:val="255"/>
          <w:jc w:val="center"/>
        </w:trPr>
        <w:tc>
          <w:tcPr>
            <w:tcW w:w="1129" w:type="dxa"/>
            <w:vMerge w:val="restart"/>
            <w:noWrap/>
            <w:hideMark/>
          </w:tcPr>
          <w:p w14:paraId="008915CF"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roofErr w:type="spellStart"/>
            <w:r w:rsidRPr="004F04F9">
              <w:rPr>
                <w:rFonts w:eastAsia="Times New Roman" w:cs="Calibri"/>
                <w:sz w:val="20"/>
                <w:szCs w:val="20"/>
                <w:lang w:val="nb-NO" w:eastAsia="nb-NO"/>
              </w:rPr>
              <w:t>Constant</w:t>
            </w:r>
            <w:proofErr w:type="spellEnd"/>
          </w:p>
        </w:tc>
        <w:tc>
          <w:tcPr>
            <w:tcW w:w="1394" w:type="dxa"/>
            <w:vAlign w:val="bottom"/>
          </w:tcPr>
          <w:p w14:paraId="26165DDF" w14:textId="3CAEE4B9"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-9.563***</w:t>
            </w:r>
          </w:p>
        </w:tc>
        <w:tc>
          <w:tcPr>
            <w:tcW w:w="1394" w:type="dxa"/>
            <w:vAlign w:val="bottom"/>
          </w:tcPr>
          <w:p w14:paraId="431C0C47" w14:textId="5DCA4E76"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-6.889***</w:t>
            </w:r>
          </w:p>
        </w:tc>
        <w:tc>
          <w:tcPr>
            <w:tcW w:w="1394" w:type="dxa"/>
            <w:noWrap/>
            <w:vAlign w:val="bottom"/>
          </w:tcPr>
          <w:p w14:paraId="260FE416" w14:textId="31BC7652"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-9.563***</w:t>
            </w:r>
          </w:p>
        </w:tc>
        <w:tc>
          <w:tcPr>
            <w:tcW w:w="1394" w:type="dxa"/>
            <w:noWrap/>
            <w:vAlign w:val="bottom"/>
          </w:tcPr>
          <w:p w14:paraId="4AADEB85" w14:textId="659E310B"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4.114***</w:t>
            </w:r>
          </w:p>
        </w:tc>
        <w:tc>
          <w:tcPr>
            <w:tcW w:w="1394" w:type="dxa"/>
            <w:vAlign w:val="bottom"/>
          </w:tcPr>
          <w:p w14:paraId="0D312AC1" w14:textId="396FF69F"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6.806***</w:t>
            </w:r>
          </w:p>
        </w:tc>
        <w:tc>
          <w:tcPr>
            <w:tcW w:w="1394" w:type="dxa"/>
            <w:noWrap/>
            <w:vAlign w:val="bottom"/>
          </w:tcPr>
          <w:p w14:paraId="3241F4FF" w14:textId="32D94508"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4.114*</w:t>
            </w:r>
          </w:p>
        </w:tc>
      </w:tr>
      <w:tr w:rsidR="001C7AF3" w:rsidRPr="004F04F9" w14:paraId="1F58028A" w14:textId="77777777" w:rsidTr="008544A9">
        <w:trPr>
          <w:trHeight w:hRule="exact" w:val="255"/>
          <w:jc w:val="center"/>
        </w:trPr>
        <w:tc>
          <w:tcPr>
            <w:tcW w:w="1129" w:type="dxa"/>
            <w:vMerge/>
            <w:noWrap/>
            <w:hideMark/>
          </w:tcPr>
          <w:p w14:paraId="4301491D"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vAlign w:val="bottom"/>
          </w:tcPr>
          <w:p w14:paraId="235EC011" w14:textId="559F4E08"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(1.285)</w:t>
            </w:r>
          </w:p>
        </w:tc>
        <w:tc>
          <w:tcPr>
            <w:tcW w:w="1394" w:type="dxa"/>
            <w:vAlign w:val="bottom"/>
          </w:tcPr>
          <w:p w14:paraId="04FB208D" w14:textId="0DB32B31"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(1.276)</w:t>
            </w:r>
          </w:p>
        </w:tc>
        <w:tc>
          <w:tcPr>
            <w:tcW w:w="1394" w:type="dxa"/>
            <w:noWrap/>
            <w:vAlign w:val="bottom"/>
          </w:tcPr>
          <w:p w14:paraId="311C6291" w14:textId="08FA1122"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(2.614)</w:t>
            </w:r>
          </w:p>
        </w:tc>
        <w:tc>
          <w:tcPr>
            <w:tcW w:w="1394" w:type="dxa"/>
            <w:noWrap/>
            <w:vAlign w:val="bottom"/>
          </w:tcPr>
          <w:p w14:paraId="28FE27FF" w14:textId="6D1460EC"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(1.297)</w:t>
            </w:r>
          </w:p>
        </w:tc>
        <w:tc>
          <w:tcPr>
            <w:tcW w:w="1394" w:type="dxa"/>
            <w:vAlign w:val="bottom"/>
          </w:tcPr>
          <w:p w14:paraId="39513AE1" w14:textId="74796B18"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(1.291)</w:t>
            </w:r>
          </w:p>
        </w:tc>
        <w:tc>
          <w:tcPr>
            <w:tcW w:w="1394" w:type="dxa"/>
            <w:noWrap/>
            <w:vAlign w:val="bottom"/>
          </w:tcPr>
          <w:p w14:paraId="7C4C8A06" w14:textId="5118E18E"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(2.245)</w:t>
            </w:r>
          </w:p>
        </w:tc>
      </w:tr>
      <w:tr w:rsidR="001C7AF3" w:rsidRPr="004F04F9" w14:paraId="06D29101" w14:textId="77777777" w:rsidTr="008544A9">
        <w:trPr>
          <w:trHeight w:hRule="exact" w:val="255"/>
          <w:jc w:val="center"/>
        </w:trPr>
        <w:tc>
          <w:tcPr>
            <w:tcW w:w="1129" w:type="dxa"/>
            <w:vMerge w:val="restart"/>
            <w:noWrap/>
            <w:hideMark/>
          </w:tcPr>
          <w:p w14:paraId="0E663370"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val="nb-NO" w:eastAsia="nb-NO"/>
              </w:rPr>
              <w:t>Ln Alpha</w:t>
            </w:r>
          </w:p>
        </w:tc>
        <w:tc>
          <w:tcPr>
            <w:tcW w:w="1394" w:type="dxa"/>
            <w:vAlign w:val="bottom"/>
          </w:tcPr>
          <w:p w14:paraId="01D01839" w14:textId="7250BEC8"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0.166***</w:t>
            </w:r>
          </w:p>
        </w:tc>
        <w:tc>
          <w:tcPr>
            <w:tcW w:w="1394" w:type="dxa"/>
            <w:vAlign w:val="bottom"/>
          </w:tcPr>
          <w:p w14:paraId="273DEF97" w14:textId="7A05D283"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0.100***</w:t>
            </w:r>
          </w:p>
        </w:tc>
        <w:tc>
          <w:tcPr>
            <w:tcW w:w="1394" w:type="dxa"/>
            <w:noWrap/>
            <w:vAlign w:val="bottom"/>
          </w:tcPr>
          <w:p w14:paraId="0E1D4622" w14:textId="13D89B54"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0.166***</w:t>
            </w:r>
          </w:p>
        </w:tc>
        <w:tc>
          <w:tcPr>
            <w:tcW w:w="1394" w:type="dxa"/>
            <w:noWrap/>
            <w:vAlign w:val="bottom"/>
          </w:tcPr>
          <w:p w14:paraId="14183B67" w14:textId="5C878E1A"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0.053**</w:t>
            </w:r>
          </w:p>
        </w:tc>
        <w:tc>
          <w:tcPr>
            <w:tcW w:w="1394" w:type="dxa"/>
            <w:vAlign w:val="bottom"/>
          </w:tcPr>
          <w:p w14:paraId="00ABA8FA" w14:textId="1C18BD2C"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-0.002</w:t>
            </w:r>
          </w:p>
        </w:tc>
        <w:tc>
          <w:tcPr>
            <w:tcW w:w="1394" w:type="dxa"/>
            <w:noWrap/>
            <w:vAlign w:val="bottom"/>
          </w:tcPr>
          <w:p w14:paraId="547E2808" w14:textId="268E09A4"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0.053</w:t>
            </w:r>
          </w:p>
        </w:tc>
      </w:tr>
      <w:tr w:rsidR="001C7AF3" w:rsidRPr="004F04F9" w14:paraId="45E259C8" w14:textId="77777777" w:rsidTr="008544A9">
        <w:trPr>
          <w:trHeight w:hRule="exact" w:val="255"/>
          <w:jc w:val="center"/>
        </w:trPr>
        <w:tc>
          <w:tcPr>
            <w:tcW w:w="1129" w:type="dxa"/>
            <w:vMerge/>
            <w:noWrap/>
            <w:hideMark/>
          </w:tcPr>
          <w:p w14:paraId="571186FD"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vAlign w:val="bottom"/>
          </w:tcPr>
          <w:p w14:paraId="56747785" w14:textId="5D081BD2"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(0.010)</w:t>
            </w:r>
          </w:p>
        </w:tc>
        <w:tc>
          <w:tcPr>
            <w:tcW w:w="1394" w:type="dxa"/>
            <w:vAlign w:val="bottom"/>
          </w:tcPr>
          <w:p w14:paraId="4D19FA77" w14:textId="3C80EB31"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(0.010)</w:t>
            </w:r>
          </w:p>
        </w:tc>
        <w:tc>
          <w:tcPr>
            <w:tcW w:w="1394" w:type="dxa"/>
            <w:noWrap/>
            <w:vAlign w:val="bottom"/>
          </w:tcPr>
          <w:p w14:paraId="78AA7634" w14:textId="755EAAE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(0.022)</w:t>
            </w:r>
          </w:p>
        </w:tc>
        <w:tc>
          <w:tcPr>
            <w:tcW w:w="1394" w:type="dxa"/>
            <w:noWrap/>
            <w:vAlign w:val="bottom"/>
          </w:tcPr>
          <w:p w14:paraId="3E8593F7" w14:textId="6A2C3F19"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(0.022)</w:t>
            </w:r>
          </w:p>
        </w:tc>
        <w:tc>
          <w:tcPr>
            <w:tcW w:w="1394" w:type="dxa"/>
            <w:vAlign w:val="bottom"/>
          </w:tcPr>
          <w:p w14:paraId="258A33F0" w14:textId="71BC9F3C"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(0.023)</w:t>
            </w:r>
          </w:p>
        </w:tc>
        <w:tc>
          <w:tcPr>
            <w:tcW w:w="1394" w:type="dxa"/>
            <w:noWrap/>
            <w:vAlign w:val="bottom"/>
          </w:tcPr>
          <w:p w14:paraId="41F7436C" w14:textId="65CC8839"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(0.053)</w:t>
            </w:r>
          </w:p>
        </w:tc>
      </w:tr>
      <w:tr w:rsidR="001C7AF3" w:rsidRPr="004F04F9" w14:paraId="1798D15C" w14:textId="77777777" w:rsidTr="008544A9">
        <w:trPr>
          <w:trHeight w:hRule="exact" w:val="255"/>
          <w:jc w:val="center"/>
        </w:trPr>
        <w:tc>
          <w:tcPr>
            <w:tcW w:w="1129" w:type="dxa"/>
            <w:vMerge w:val="restart"/>
            <w:noWrap/>
            <w:hideMark/>
          </w:tcPr>
          <w:p w14:paraId="179B1571"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val="nb-NO" w:eastAsia="nb-NO"/>
              </w:rPr>
              <w:t xml:space="preserve">MP var </w:t>
            </w:r>
            <w:proofErr w:type="spellStart"/>
            <w:r w:rsidRPr="004F04F9">
              <w:rPr>
                <w:rFonts w:eastAsia="Times New Roman" w:cs="Calibri"/>
                <w:sz w:val="20"/>
                <w:szCs w:val="20"/>
                <w:lang w:val="nb-NO" w:eastAsia="nb-NO"/>
              </w:rPr>
              <w:t>const</w:t>
            </w:r>
            <w:proofErr w:type="spellEnd"/>
          </w:p>
        </w:tc>
        <w:tc>
          <w:tcPr>
            <w:tcW w:w="1394" w:type="dxa"/>
            <w:vAlign w:val="bottom"/>
          </w:tcPr>
          <w:p w14:paraId="339243FA" w14:textId="09C5AE99"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1.440***</w:t>
            </w:r>
          </w:p>
        </w:tc>
        <w:tc>
          <w:tcPr>
            <w:tcW w:w="1394" w:type="dxa"/>
            <w:vAlign w:val="bottom"/>
          </w:tcPr>
          <w:p w14:paraId="0D46A2F1" w14:textId="2FCEB4EB"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1.073***</w:t>
            </w:r>
          </w:p>
        </w:tc>
        <w:tc>
          <w:tcPr>
            <w:tcW w:w="1394" w:type="dxa"/>
            <w:noWrap/>
            <w:vAlign w:val="bottom"/>
          </w:tcPr>
          <w:p w14:paraId="69E5B836" w14:textId="0A3598DA"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1.440***</w:t>
            </w:r>
          </w:p>
        </w:tc>
        <w:tc>
          <w:tcPr>
            <w:tcW w:w="1394" w:type="dxa"/>
            <w:noWrap/>
            <w:vAlign w:val="bottom"/>
          </w:tcPr>
          <w:p w14:paraId="2CD8E674" w14:textId="31EDECA9"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1.254***</w:t>
            </w:r>
          </w:p>
        </w:tc>
        <w:tc>
          <w:tcPr>
            <w:tcW w:w="1394" w:type="dxa"/>
            <w:vAlign w:val="bottom"/>
          </w:tcPr>
          <w:p w14:paraId="180DCD21" w14:textId="0FD509AE"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1.051***</w:t>
            </w:r>
          </w:p>
        </w:tc>
        <w:tc>
          <w:tcPr>
            <w:tcW w:w="1394" w:type="dxa"/>
            <w:noWrap/>
            <w:vAlign w:val="bottom"/>
          </w:tcPr>
          <w:p w14:paraId="64832E6C" w14:textId="2A054885"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1.254***</w:t>
            </w:r>
          </w:p>
        </w:tc>
      </w:tr>
      <w:tr w:rsidR="001C7AF3" w:rsidRPr="004F04F9" w14:paraId="1978FE0C" w14:textId="77777777" w:rsidTr="008544A9">
        <w:trPr>
          <w:trHeight w:hRule="exact" w:val="255"/>
          <w:jc w:val="center"/>
        </w:trPr>
        <w:tc>
          <w:tcPr>
            <w:tcW w:w="1129" w:type="dxa"/>
            <w:vMerge/>
            <w:noWrap/>
            <w:hideMark/>
          </w:tcPr>
          <w:p w14:paraId="5CA46E04"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p>
        </w:tc>
        <w:tc>
          <w:tcPr>
            <w:tcW w:w="1394" w:type="dxa"/>
            <w:vAlign w:val="bottom"/>
          </w:tcPr>
          <w:p w14:paraId="2B1D871D" w14:textId="6E2D14E5"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(0.067)</w:t>
            </w:r>
          </w:p>
        </w:tc>
        <w:tc>
          <w:tcPr>
            <w:tcW w:w="1394" w:type="dxa"/>
            <w:vAlign w:val="bottom"/>
          </w:tcPr>
          <w:p w14:paraId="26D54073" w14:textId="31BE0C04"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(0.052)</w:t>
            </w:r>
          </w:p>
        </w:tc>
        <w:tc>
          <w:tcPr>
            <w:tcW w:w="1394" w:type="dxa"/>
            <w:noWrap/>
            <w:vAlign w:val="bottom"/>
          </w:tcPr>
          <w:p w14:paraId="5E16383E" w14:textId="3C4342E6"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(0.079)</w:t>
            </w:r>
          </w:p>
        </w:tc>
        <w:tc>
          <w:tcPr>
            <w:tcW w:w="1394" w:type="dxa"/>
            <w:noWrap/>
            <w:vAlign w:val="bottom"/>
          </w:tcPr>
          <w:p w14:paraId="157892C5" w14:textId="344BFC5C"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(0.101)</w:t>
            </w:r>
          </w:p>
        </w:tc>
        <w:tc>
          <w:tcPr>
            <w:tcW w:w="1394" w:type="dxa"/>
            <w:vAlign w:val="bottom"/>
          </w:tcPr>
          <w:p w14:paraId="4DA346CA" w14:textId="14EA2C2B"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(0.092)</w:t>
            </w:r>
          </w:p>
        </w:tc>
        <w:tc>
          <w:tcPr>
            <w:tcW w:w="1394" w:type="dxa"/>
            <w:noWrap/>
            <w:vAlign w:val="bottom"/>
          </w:tcPr>
          <w:p w14:paraId="0BDF8835" w14:textId="6E73645E"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(0.121)</w:t>
            </w:r>
          </w:p>
        </w:tc>
      </w:tr>
      <w:tr w:rsidR="001C7AF3" w:rsidRPr="004F04F9" w14:paraId="00CC9DA9" w14:textId="77777777" w:rsidTr="008544A9">
        <w:trPr>
          <w:trHeight w:hRule="exact" w:val="255"/>
          <w:jc w:val="center"/>
        </w:trPr>
        <w:tc>
          <w:tcPr>
            <w:tcW w:w="1129" w:type="dxa"/>
            <w:noWrap/>
            <w:hideMark/>
          </w:tcPr>
          <w:p w14:paraId="51B6CCF4"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val="nb-NO" w:eastAsia="nb-NO"/>
              </w:rPr>
              <w:t>N</w:t>
            </w:r>
          </w:p>
        </w:tc>
        <w:tc>
          <w:tcPr>
            <w:tcW w:w="1394" w:type="dxa"/>
            <w:vAlign w:val="bottom"/>
          </w:tcPr>
          <w:p w14:paraId="6CE18820" w14:textId="7C6F69C9"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36025</w:t>
            </w:r>
          </w:p>
        </w:tc>
        <w:tc>
          <w:tcPr>
            <w:tcW w:w="1394" w:type="dxa"/>
            <w:vAlign w:val="bottom"/>
          </w:tcPr>
          <w:p w14:paraId="23302B83" w14:textId="2CA2A1A8"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34864</w:t>
            </w:r>
          </w:p>
        </w:tc>
        <w:tc>
          <w:tcPr>
            <w:tcW w:w="1394" w:type="dxa"/>
            <w:noWrap/>
            <w:vAlign w:val="bottom"/>
          </w:tcPr>
          <w:p w14:paraId="0A020C0C" w14:textId="586CF3D0"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36025</w:t>
            </w:r>
          </w:p>
        </w:tc>
        <w:tc>
          <w:tcPr>
            <w:tcW w:w="1394" w:type="dxa"/>
            <w:noWrap/>
            <w:vAlign w:val="bottom"/>
          </w:tcPr>
          <w:p w14:paraId="0B94D878" w14:textId="2D5996A0"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7469</w:t>
            </w:r>
          </w:p>
        </w:tc>
        <w:tc>
          <w:tcPr>
            <w:tcW w:w="1394" w:type="dxa"/>
            <w:vAlign w:val="bottom"/>
          </w:tcPr>
          <w:p w14:paraId="6841183B" w14:textId="15C5DBC1"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7044</w:t>
            </w:r>
          </w:p>
        </w:tc>
        <w:tc>
          <w:tcPr>
            <w:tcW w:w="1394" w:type="dxa"/>
            <w:noWrap/>
            <w:vAlign w:val="bottom"/>
          </w:tcPr>
          <w:p w14:paraId="244B88D2" w14:textId="372365AF"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7469</w:t>
            </w:r>
          </w:p>
        </w:tc>
      </w:tr>
      <w:tr w:rsidR="001C7AF3" w:rsidRPr="004F04F9" w14:paraId="022A6410" w14:textId="77777777" w:rsidTr="008544A9">
        <w:trPr>
          <w:trHeight w:hRule="exact" w:val="255"/>
          <w:jc w:val="center"/>
        </w:trPr>
        <w:tc>
          <w:tcPr>
            <w:tcW w:w="1129" w:type="dxa"/>
            <w:noWrap/>
            <w:hideMark/>
          </w:tcPr>
          <w:p w14:paraId="44C906CE"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val="nb-NO" w:eastAsia="nb-NO"/>
              </w:rPr>
              <w:t xml:space="preserve">No. </w:t>
            </w:r>
            <w:proofErr w:type="spellStart"/>
            <w:r w:rsidRPr="004F04F9">
              <w:rPr>
                <w:rFonts w:eastAsia="Times New Roman" w:cs="Calibri"/>
                <w:sz w:val="20"/>
                <w:szCs w:val="20"/>
                <w:lang w:val="nb-NO" w:eastAsia="nb-NO"/>
              </w:rPr>
              <w:t>of</w:t>
            </w:r>
            <w:proofErr w:type="spellEnd"/>
            <w:r w:rsidRPr="004F04F9">
              <w:rPr>
                <w:rFonts w:eastAsia="Times New Roman" w:cs="Calibri"/>
                <w:sz w:val="20"/>
                <w:szCs w:val="20"/>
                <w:lang w:val="nb-NO" w:eastAsia="nb-NO"/>
              </w:rPr>
              <w:t xml:space="preserve"> </w:t>
            </w:r>
            <w:proofErr w:type="spellStart"/>
            <w:r w:rsidRPr="004F04F9">
              <w:rPr>
                <w:rFonts w:eastAsia="Times New Roman" w:cs="Calibri"/>
                <w:sz w:val="20"/>
                <w:szCs w:val="20"/>
                <w:lang w:val="nb-NO" w:eastAsia="nb-NO"/>
              </w:rPr>
              <w:t>groups</w:t>
            </w:r>
            <w:proofErr w:type="spellEnd"/>
          </w:p>
        </w:tc>
        <w:tc>
          <w:tcPr>
            <w:tcW w:w="1394" w:type="dxa"/>
            <w:vAlign w:val="bottom"/>
          </w:tcPr>
          <w:p w14:paraId="6F16DF55" w14:textId="0A540104"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1065</w:t>
            </w:r>
          </w:p>
        </w:tc>
        <w:tc>
          <w:tcPr>
            <w:tcW w:w="1394" w:type="dxa"/>
            <w:vAlign w:val="bottom"/>
          </w:tcPr>
          <w:p w14:paraId="5B82A4A8" w14:textId="45C5BABD"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1062</w:t>
            </w:r>
          </w:p>
        </w:tc>
        <w:tc>
          <w:tcPr>
            <w:tcW w:w="1394" w:type="dxa"/>
            <w:noWrap/>
            <w:vAlign w:val="bottom"/>
          </w:tcPr>
          <w:p w14:paraId="3DF3A6B6" w14:textId="1FA9751A"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1065</w:t>
            </w:r>
          </w:p>
        </w:tc>
        <w:tc>
          <w:tcPr>
            <w:tcW w:w="1394" w:type="dxa"/>
            <w:noWrap/>
            <w:vAlign w:val="bottom"/>
          </w:tcPr>
          <w:p w14:paraId="474F5A40" w14:textId="2DDB4EDE"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406</w:t>
            </w:r>
          </w:p>
        </w:tc>
        <w:tc>
          <w:tcPr>
            <w:tcW w:w="1394" w:type="dxa"/>
            <w:vAlign w:val="bottom"/>
          </w:tcPr>
          <w:p w14:paraId="4A4623B0" w14:textId="6C51D12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406</w:t>
            </w:r>
          </w:p>
        </w:tc>
        <w:tc>
          <w:tcPr>
            <w:tcW w:w="1394" w:type="dxa"/>
            <w:noWrap/>
            <w:vAlign w:val="bottom"/>
          </w:tcPr>
          <w:p w14:paraId="7FD3F9FD" w14:textId="1D6B77D5"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406</w:t>
            </w:r>
          </w:p>
        </w:tc>
      </w:tr>
      <w:tr w:rsidR="001C7AF3" w:rsidRPr="004F04F9" w14:paraId="04AE1565" w14:textId="77777777" w:rsidTr="008544A9">
        <w:trPr>
          <w:trHeight w:hRule="exact" w:val="255"/>
          <w:jc w:val="center"/>
        </w:trPr>
        <w:tc>
          <w:tcPr>
            <w:tcW w:w="1129" w:type="dxa"/>
            <w:noWrap/>
            <w:hideMark/>
          </w:tcPr>
          <w:p w14:paraId="2F4D64BF" w14:textId="7777777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4F04F9">
              <w:rPr>
                <w:rFonts w:eastAsia="Times New Roman" w:cs="Calibri"/>
                <w:sz w:val="20"/>
                <w:szCs w:val="20"/>
                <w:lang w:val="nb-NO" w:eastAsia="nb-NO"/>
              </w:rPr>
              <w:t xml:space="preserve">Log </w:t>
            </w:r>
            <w:proofErr w:type="spellStart"/>
            <w:r w:rsidRPr="004F04F9">
              <w:rPr>
                <w:rFonts w:eastAsia="Times New Roman" w:cs="Calibri"/>
                <w:sz w:val="20"/>
                <w:szCs w:val="20"/>
                <w:lang w:val="nb-NO" w:eastAsia="nb-NO"/>
              </w:rPr>
              <w:t>likelihood</w:t>
            </w:r>
            <w:proofErr w:type="spellEnd"/>
          </w:p>
        </w:tc>
        <w:tc>
          <w:tcPr>
            <w:tcW w:w="1394" w:type="dxa"/>
            <w:vAlign w:val="bottom"/>
          </w:tcPr>
          <w:p w14:paraId="471ED04D" w14:textId="566831D2"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-97362</w:t>
            </w:r>
          </w:p>
        </w:tc>
        <w:tc>
          <w:tcPr>
            <w:tcW w:w="1394" w:type="dxa"/>
            <w:vAlign w:val="bottom"/>
          </w:tcPr>
          <w:p w14:paraId="0429ED72" w14:textId="61CEA119"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-93751</w:t>
            </w:r>
          </w:p>
        </w:tc>
        <w:tc>
          <w:tcPr>
            <w:tcW w:w="1394" w:type="dxa"/>
            <w:noWrap/>
            <w:vAlign w:val="bottom"/>
          </w:tcPr>
          <w:p w14:paraId="5786EF3A" w14:textId="6002F7D5"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-97362</w:t>
            </w:r>
          </w:p>
        </w:tc>
        <w:tc>
          <w:tcPr>
            <w:tcW w:w="1394" w:type="dxa"/>
            <w:noWrap/>
            <w:vAlign w:val="bottom"/>
          </w:tcPr>
          <w:p w14:paraId="6E94627A" w14:textId="7E988FBB"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-23492</w:t>
            </w:r>
          </w:p>
        </w:tc>
        <w:tc>
          <w:tcPr>
            <w:tcW w:w="1394" w:type="dxa"/>
            <w:vAlign w:val="bottom"/>
          </w:tcPr>
          <w:p w14:paraId="4D92DD6D" w14:textId="4957F887"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-22043</w:t>
            </w:r>
          </w:p>
        </w:tc>
        <w:tc>
          <w:tcPr>
            <w:tcW w:w="1394" w:type="dxa"/>
            <w:noWrap/>
            <w:vAlign w:val="bottom"/>
          </w:tcPr>
          <w:p w14:paraId="16458939" w14:textId="71CA2F73" w:rsidR="001C7AF3" w:rsidRPr="004F04F9" w:rsidRDefault="001C7AF3" w:rsidP="001C7AF3">
            <w:pPr>
              <w:widowControl/>
              <w:autoSpaceDE/>
              <w:autoSpaceDN/>
              <w:spacing w:after="0" w:line="240" w:lineRule="auto"/>
              <w:jc w:val="center"/>
              <w:rPr>
                <w:rFonts w:eastAsia="Times New Roman" w:cs="Calibri"/>
                <w:sz w:val="20"/>
                <w:szCs w:val="20"/>
                <w:lang w:val="nb-NO" w:eastAsia="nb-NO"/>
              </w:rPr>
            </w:pPr>
            <w:r w:rsidRPr="001C7AF3">
              <w:rPr>
                <w:rFonts w:eastAsia="Times New Roman" w:cs="Calibri"/>
                <w:sz w:val="20"/>
                <w:szCs w:val="20"/>
                <w:lang w:val="nb-NO" w:eastAsia="nb-NO"/>
              </w:rPr>
              <w:t>-23492</w:t>
            </w:r>
          </w:p>
        </w:tc>
      </w:tr>
    </w:tbl>
    <w:p w14:paraId="25777452" w14:textId="77777777" w:rsidR="000613C3" w:rsidRDefault="000613C3" w:rsidP="000613C3">
      <w:pPr>
        <w:spacing w:after="0" w:line="240" w:lineRule="auto"/>
        <w:jc w:val="center"/>
        <w:sectPr w:rsidR="000613C3" w:rsidSect="00674288">
          <w:pgSz w:w="12240" w:h="15840"/>
          <w:pgMar w:top="720" w:right="720" w:bottom="720" w:left="720" w:header="720" w:footer="720" w:gutter="0"/>
          <w:cols w:space="720"/>
          <w:docGrid w:linePitch="360"/>
        </w:sectPr>
      </w:pPr>
      <w:r w:rsidRPr="002D7BA5">
        <w:rPr>
          <w:rFonts w:eastAsia="Times New Roman" w:cs="Calibri"/>
          <w:sz w:val="20"/>
          <w:szCs w:val="20"/>
          <w:lang w:eastAsia="nb-NO"/>
        </w:rPr>
        <w:t>Standard errors in parentheses. *** p&lt;0.01, ** p&lt;0.05, * p&lt;0.1 Note 1: UK – Margin of votes. NO – List position</w:t>
      </w:r>
      <w:r>
        <w:rPr>
          <w:rFonts w:eastAsia="Times New Roman" w:cs="Calibri"/>
          <w:sz w:val="20"/>
          <w:szCs w:val="20"/>
          <w:lang w:eastAsia="nb-NO"/>
        </w:rPr>
        <w:t xml:space="preserve"> (inversed)</w:t>
      </w:r>
      <w:r w:rsidRPr="002D7BA5">
        <w:rPr>
          <w:rFonts w:eastAsia="Times New Roman" w:cs="Calibri"/>
          <w:sz w:val="20"/>
          <w:szCs w:val="20"/>
          <w:lang w:eastAsia="nb-NO"/>
        </w:rPr>
        <w:t>.</w:t>
      </w:r>
    </w:p>
    <w:p w14:paraId="541A3ECD" w14:textId="751CE3F1" w:rsidR="00705F67" w:rsidRDefault="00705F67" w:rsidP="00800BF9">
      <w:pPr>
        <w:spacing w:after="0" w:line="240" w:lineRule="auto"/>
        <w:jc w:val="center"/>
      </w:pPr>
      <w:r>
        <w:lastRenderedPageBreak/>
        <w:t>Table A</w:t>
      </w:r>
      <w:r w:rsidR="009964FB">
        <w:t>6</w:t>
      </w:r>
      <w:r>
        <w:t>. Testing a pooled model, Norway and UK data stacked.</w:t>
      </w:r>
      <w:r w:rsidR="008958B6">
        <w:t xml:space="preserve"> Dependent variable: quarterly news visibility.</w:t>
      </w:r>
    </w:p>
    <w:tbl>
      <w:tblPr>
        <w:tblStyle w:val="Tabelltemaer"/>
        <w:tblW w:w="4390" w:type="dxa"/>
        <w:jc w:val="center"/>
        <w:tblLayout w:type="fixed"/>
        <w:tblLook w:val="04A0" w:firstRow="1" w:lastRow="0" w:firstColumn="1" w:lastColumn="0" w:noHBand="0" w:noVBand="1"/>
      </w:tblPr>
      <w:tblGrid>
        <w:gridCol w:w="1838"/>
        <w:gridCol w:w="2552"/>
      </w:tblGrid>
      <w:tr w:rsidR="00042653" w:rsidRPr="00122A1E" w14:paraId="516FD5A4" w14:textId="77777777" w:rsidTr="00800BF9">
        <w:trPr>
          <w:trHeight w:hRule="exact" w:val="255"/>
          <w:jc w:val="center"/>
        </w:trPr>
        <w:tc>
          <w:tcPr>
            <w:tcW w:w="1838" w:type="dxa"/>
            <w:noWrap/>
            <w:hideMark/>
          </w:tcPr>
          <w:p w14:paraId="0DE83024" w14:textId="77777777" w:rsidR="00042653" w:rsidRPr="00122A1E" w:rsidRDefault="00042653" w:rsidP="00800BF9">
            <w:pPr>
              <w:widowControl/>
              <w:autoSpaceDE/>
              <w:autoSpaceDN/>
              <w:spacing w:after="0" w:line="240" w:lineRule="auto"/>
              <w:jc w:val="center"/>
              <w:rPr>
                <w:rFonts w:eastAsia="Times New Roman" w:cs="Calibri"/>
                <w:sz w:val="20"/>
                <w:szCs w:val="20"/>
                <w:lang w:eastAsia="nb-NO"/>
              </w:rPr>
            </w:pPr>
          </w:p>
        </w:tc>
        <w:tc>
          <w:tcPr>
            <w:tcW w:w="2552" w:type="dxa"/>
            <w:noWrap/>
          </w:tcPr>
          <w:p w14:paraId="1F8B9D9C" w14:textId="2A8CB23A" w:rsidR="00042653" w:rsidRPr="00122A1E" w:rsidRDefault="00042653" w:rsidP="00800BF9">
            <w:pPr>
              <w:widowControl/>
              <w:autoSpaceDE/>
              <w:autoSpaceDN/>
              <w:spacing w:after="0" w:line="240" w:lineRule="auto"/>
              <w:jc w:val="center"/>
              <w:rPr>
                <w:rFonts w:eastAsia="Times New Roman" w:cs="Calibri"/>
                <w:sz w:val="20"/>
                <w:szCs w:val="20"/>
                <w:lang w:eastAsia="nb-NO"/>
              </w:rPr>
            </w:pPr>
          </w:p>
        </w:tc>
      </w:tr>
      <w:tr w:rsidR="004C08A5" w:rsidRPr="00122A1E" w14:paraId="52F3A997" w14:textId="77777777" w:rsidTr="00800BF9">
        <w:trPr>
          <w:trHeight w:hRule="exact" w:val="255"/>
          <w:jc w:val="center"/>
        </w:trPr>
        <w:tc>
          <w:tcPr>
            <w:tcW w:w="1838" w:type="dxa"/>
            <w:vMerge w:val="restart"/>
            <w:noWrap/>
            <w:hideMark/>
          </w:tcPr>
          <w:p w14:paraId="4A63DF5A" w14:textId="49CC643C"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proofErr w:type="spellStart"/>
            <w:r w:rsidRPr="00122A1E">
              <w:rPr>
                <w:rFonts w:eastAsia="Times New Roman" w:cs="Calibri"/>
                <w:sz w:val="20"/>
                <w:szCs w:val="20"/>
                <w:lang w:val="nb-NO" w:eastAsia="nb-NO"/>
              </w:rPr>
              <w:t>Women</w:t>
            </w:r>
            <w:proofErr w:type="spellEnd"/>
          </w:p>
        </w:tc>
        <w:tc>
          <w:tcPr>
            <w:tcW w:w="2552" w:type="dxa"/>
            <w:noWrap/>
            <w:vAlign w:val="bottom"/>
          </w:tcPr>
          <w:p w14:paraId="747C5350" w14:textId="1B348D5A"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-0.527***</w:t>
            </w:r>
          </w:p>
        </w:tc>
      </w:tr>
      <w:tr w:rsidR="004C08A5" w:rsidRPr="00122A1E" w14:paraId="63CAA12C" w14:textId="77777777" w:rsidTr="00800BF9">
        <w:trPr>
          <w:trHeight w:hRule="exact" w:val="255"/>
          <w:jc w:val="center"/>
        </w:trPr>
        <w:tc>
          <w:tcPr>
            <w:tcW w:w="1838" w:type="dxa"/>
            <w:vMerge/>
            <w:noWrap/>
            <w:hideMark/>
          </w:tcPr>
          <w:p w14:paraId="68BDE251" w14:textId="7777777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57A01CCF" w14:textId="32AAE7CE"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(0.130)</w:t>
            </w:r>
          </w:p>
        </w:tc>
      </w:tr>
      <w:tr w:rsidR="004C08A5" w:rsidRPr="00122A1E" w14:paraId="27B2F930" w14:textId="77777777" w:rsidTr="00800BF9">
        <w:trPr>
          <w:trHeight w:hRule="exact" w:val="255"/>
          <w:jc w:val="center"/>
        </w:trPr>
        <w:tc>
          <w:tcPr>
            <w:tcW w:w="1838" w:type="dxa"/>
            <w:vMerge w:val="restart"/>
            <w:noWrap/>
            <w:hideMark/>
          </w:tcPr>
          <w:p w14:paraId="6F95FEEE" w14:textId="7777777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122A1E">
              <w:rPr>
                <w:rFonts w:eastAsia="Times New Roman" w:cs="Calibri"/>
                <w:sz w:val="20"/>
                <w:szCs w:val="20"/>
                <w:lang w:val="nb-NO" w:eastAsia="nb-NO"/>
              </w:rPr>
              <w:t>Age</w:t>
            </w:r>
          </w:p>
        </w:tc>
        <w:tc>
          <w:tcPr>
            <w:tcW w:w="2552" w:type="dxa"/>
            <w:noWrap/>
            <w:vAlign w:val="bottom"/>
          </w:tcPr>
          <w:p w14:paraId="6861EA84" w14:textId="41054435"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0.159***</w:t>
            </w:r>
          </w:p>
        </w:tc>
      </w:tr>
      <w:tr w:rsidR="004C08A5" w:rsidRPr="00122A1E" w14:paraId="4D005F2A" w14:textId="77777777" w:rsidTr="00800BF9">
        <w:trPr>
          <w:trHeight w:hRule="exact" w:val="255"/>
          <w:jc w:val="center"/>
        </w:trPr>
        <w:tc>
          <w:tcPr>
            <w:tcW w:w="1838" w:type="dxa"/>
            <w:vMerge/>
            <w:noWrap/>
            <w:hideMark/>
          </w:tcPr>
          <w:p w14:paraId="180E7830" w14:textId="7777777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7E25836E" w14:textId="32C07CC8"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(0.010)</w:t>
            </w:r>
          </w:p>
        </w:tc>
      </w:tr>
      <w:tr w:rsidR="004C08A5" w:rsidRPr="00122A1E" w14:paraId="6009EAE9" w14:textId="77777777" w:rsidTr="00800BF9">
        <w:trPr>
          <w:trHeight w:hRule="exact" w:val="255"/>
          <w:jc w:val="center"/>
        </w:trPr>
        <w:tc>
          <w:tcPr>
            <w:tcW w:w="1838" w:type="dxa"/>
            <w:vMerge w:val="restart"/>
            <w:noWrap/>
            <w:hideMark/>
          </w:tcPr>
          <w:p w14:paraId="224F9DAF" w14:textId="7777777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122A1E">
              <w:rPr>
                <w:rFonts w:eastAsia="Times New Roman" w:cs="Calibri"/>
                <w:sz w:val="20"/>
                <w:szCs w:val="20"/>
                <w:lang w:val="nb-NO" w:eastAsia="nb-NO"/>
              </w:rPr>
              <w:t>Age</w:t>
            </w:r>
            <w:r w:rsidRPr="00122A1E">
              <w:rPr>
                <w:rFonts w:eastAsia="Times New Roman" w:cs="Calibri"/>
                <w:sz w:val="20"/>
                <w:szCs w:val="20"/>
                <w:vertAlign w:val="superscript"/>
                <w:lang w:val="nb-NO" w:eastAsia="nb-NO"/>
              </w:rPr>
              <w:t>2</w:t>
            </w:r>
          </w:p>
        </w:tc>
        <w:tc>
          <w:tcPr>
            <w:tcW w:w="2552" w:type="dxa"/>
            <w:noWrap/>
            <w:vAlign w:val="bottom"/>
          </w:tcPr>
          <w:p w14:paraId="6361191D" w14:textId="4C3745F1"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-0.002***</w:t>
            </w:r>
          </w:p>
        </w:tc>
      </w:tr>
      <w:tr w:rsidR="004C08A5" w:rsidRPr="00122A1E" w14:paraId="5AE8C7AC" w14:textId="77777777" w:rsidTr="00800BF9">
        <w:trPr>
          <w:trHeight w:hRule="exact" w:val="255"/>
          <w:jc w:val="center"/>
        </w:trPr>
        <w:tc>
          <w:tcPr>
            <w:tcW w:w="1838" w:type="dxa"/>
            <w:vMerge/>
            <w:noWrap/>
            <w:hideMark/>
          </w:tcPr>
          <w:p w14:paraId="7785D0BF" w14:textId="7777777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63A62300" w14:textId="62BD20CA"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(0.000)</w:t>
            </w:r>
          </w:p>
        </w:tc>
      </w:tr>
      <w:tr w:rsidR="004C08A5" w:rsidRPr="00122A1E" w14:paraId="138F3B3B" w14:textId="77777777" w:rsidTr="00800BF9">
        <w:trPr>
          <w:trHeight w:hRule="exact" w:val="255"/>
          <w:jc w:val="center"/>
        </w:trPr>
        <w:tc>
          <w:tcPr>
            <w:tcW w:w="1838" w:type="dxa"/>
            <w:vMerge w:val="restart"/>
            <w:noWrap/>
            <w:hideMark/>
          </w:tcPr>
          <w:p w14:paraId="0092407B" w14:textId="7777777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122A1E">
              <w:rPr>
                <w:rFonts w:eastAsia="Times New Roman" w:cs="Calibri"/>
                <w:sz w:val="20"/>
                <w:szCs w:val="20"/>
                <w:lang w:val="nb-NO" w:eastAsia="nb-NO"/>
              </w:rPr>
              <w:t xml:space="preserve">Legislative </w:t>
            </w:r>
            <w:proofErr w:type="spellStart"/>
            <w:r w:rsidRPr="00122A1E">
              <w:rPr>
                <w:rFonts w:eastAsia="Times New Roman" w:cs="Calibri"/>
                <w:sz w:val="20"/>
                <w:szCs w:val="20"/>
                <w:lang w:val="nb-NO" w:eastAsia="nb-NO"/>
              </w:rPr>
              <w:t>speeches</w:t>
            </w:r>
            <w:proofErr w:type="spellEnd"/>
          </w:p>
        </w:tc>
        <w:tc>
          <w:tcPr>
            <w:tcW w:w="2552" w:type="dxa"/>
            <w:noWrap/>
            <w:vAlign w:val="bottom"/>
          </w:tcPr>
          <w:p w14:paraId="05C058CC" w14:textId="699FA68C"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0.010***</w:t>
            </w:r>
          </w:p>
        </w:tc>
      </w:tr>
      <w:tr w:rsidR="004C08A5" w:rsidRPr="00122A1E" w14:paraId="6F9809AF" w14:textId="77777777" w:rsidTr="00800BF9">
        <w:trPr>
          <w:trHeight w:hRule="exact" w:val="255"/>
          <w:jc w:val="center"/>
        </w:trPr>
        <w:tc>
          <w:tcPr>
            <w:tcW w:w="1838" w:type="dxa"/>
            <w:vMerge/>
            <w:noWrap/>
            <w:hideMark/>
          </w:tcPr>
          <w:p w14:paraId="78E0133B" w14:textId="7777777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474EC59B" w14:textId="23E7A6A6"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(0.000)</w:t>
            </w:r>
          </w:p>
        </w:tc>
      </w:tr>
      <w:tr w:rsidR="004C08A5" w:rsidRPr="00122A1E" w14:paraId="30E74E6C" w14:textId="77777777" w:rsidTr="00800BF9">
        <w:trPr>
          <w:trHeight w:hRule="exact" w:val="255"/>
          <w:jc w:val="center"/>
        </w:trPr>
        <w:tc>
          <w:tcPr>
            <w:tcW w:w="1838" w:type="dxa"/>
            <w:vMerge w:val="restart"/>
            <w:noWrap/>
            <w:hideMark/>
          </w:tcPr>
          <w:p w14:paraId="36B86FA4" w14:textId="7777777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122A1E">
              <w:rPr>
                <w:rFonts w:eastAsia="Times New Roman" w:cs="Calibri"/>
                <w:sz w:val="20"/>
                <w:szCs w:val="20"/>
                <w:lang w:val="nb-NO" w:eastAsia="nb-NO"/>
              </w:rPr>
              <w:t xml:space="preserve">Legislative </w:t>
            </w:r>
            <w:proofErr w:type="spellStart"/>
            <w:r w:rsidRPr="00122A1E">
              <w:rPr>
                <w:rFonts w:eastAsia="Times New Roman" w:cs="Calibri"/>
                <w:sz w:val="20"/>
                <w:szCs w:val="20"/>
                <w:lang w:val="nb-NO" w:eastAsia="nb-NO"/>
              </w:rPr>
              <w:t>experience</w:t>
            </w:r>
            <w:proofErr w:type="spellEnd"/>
          </w:p>
        </w:tc>
        <w:tc>
          <w:tcPr>
            <w:tcW w:w="2552" w:type="dxa"/>
            <w:noWrap/>
            <w:vAlign w:val="bottom"/>
          </w:tcPr>
          <w:p w14:paraId="5C9FC42A" w14:textId="1C1E06D0"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0.079***</w:t>
            </w:r>
          </w:p>
        </w:tc>
      </w:tr>
      <w:tr w:rsidR="004C08A5" w:rsidRPr="00122A1E" w14:paraId="4CB49A9F" w14:textId="77777777" w:rsidTr="00800BF9">
        <w:trPr>
          <w:trHeight w:hRule="exact" w:val="255"/>
          <w:jc w:val="center"/>
        </w:trPr>
        <w:tc>
          <w:tcPr>
            <w:tcW w:w="1838" w:type="dxa"/>
            <w:vMerge/>
            <w:noWrap/>
            <w:hideMark/>
          </w:tcPr>
          <w:p w14:paraId="34B83FE7" w14:textId="7777777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1B786360" w14:textId="384F2551"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(0.004)</w:t>
            </w:r>
          </w:p>
        </w:tc>
      </w:tr>
      <w:tr w:rsidR="004C08A5" w:rsidRPr="00122A1E" w14:paraId="2D6DD6F4" w14:textId="77777777" w:rsidTr="00800BF9">
        <w:trPr>
          <w:trHeight w:hRule="exact" w:val="255"/>
          <w:jc w:val="center"/>
        </w:trPr>
        <w:tc>
          <w:tcPr>
            <w:tcW w:w="1838" w:type="dxa"/>
            <w:vMerge w:val="restart"/>
            <w:noWrap/>
            <w:hideMark/>
          </w:tcPr>
          <w:p w14:paraId="479C98B5" w14:textId="7777777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122A1E">
              <w:rPr>
                <w:rFonts w:eastAsia="Times New Roman" w:cs="Calibri"/>
                <w:sz w:val="20"/>
                <w:szCs w:val="20"/>
                <w:lang w:eastAsia="nb-NO"/>
              </w:rPr>
              <w:t>Party size (seat share)</w:t>
            </w:r>
          </w:p>
        </w:tc>
        <w:tc>
          <w:tcPr>
            <w:tcW w:w="2552" w:type="dxa"/>
            <w:noWrap/>
            <w:vAlign w:val="bottom"/>
          </w:tcPr>
          <w:p w14:paraId="5D9B3483" w14:textId="69B4E6C9"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-0.004**</w:t>
            </w:r>
          </w:p>
        </w:tc>
      </w:tr>
      <w:tr w:rsidR="004C08A5" w:rsidRPr="00122A1E" w14:paraId="0C67A61E" w14:textId="77777777" w:rsidTr="00800BF9">
        <w:trPr>
          <w:trHeight w:hRule="exact" w:val="255"/>
          <w:jc w:val="center"/>
        </w:trPr>
        <w:tc>
          <w:tcPr>
            <w:tcW w:w="1838" w:type="dxa"/>
            <w:vMerge/>
            <w:noWrap/>
            <w:hideMark/>
          </w:tcPr>
          <w:p w14:paraId="69DC2B79" w14:textId="7777777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3E7CC32F" w14:textId="039E1E82"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(0.001)</w:t>
            </w:r>
          </w:p>
        </w:tc>
      </w:tr>
      <w:tr w:rsidR="004C08A5" w:rsidRPr="00122A1E" w14:paraId="2476392A" w14:textId="77777777" w:rsidTr="00800BF9">
        <w:trPr>
          <w:trHeight w:hRule="exact" w:val="255"/>
          <w:jc w:val="center"/>
        </w:trPr>
        <w:tc>
          <w:tcPr>
            <w:tcW w:w="1838" w:type="dxa"/>
            <w:vMerge w:val="restart"/>
            <w:noWrap/>
            <w:hideMark/>
          </w:tcPr>
          <w:p w14:paraId="7F5C7EDF" w14:textId="7777777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122A1E">
              <w:rPr>
                <w:rFonts w:eastAsia="Times New Roman" w:cs="Calibri"/>
                <w:sz w:val="20"/>
                <w:szCs w:val="20"/>
                <w:lang w:eastAsia="nb-NO"/>
              </w:rPr>
              <w:t>Party in cabinet</w:t>
            </w:r>
          </w:p>
        </w:tc>
        <w:tc>
          <w:tcPr>
            <w:tcW w:w="2552" w:type="dxa"/>
            <w:noWrap/>
            <w:vAlign w:val="bottom"/>
          </w:tcPr>
          <w:p w14:paraId="1A7C3723" w14:textId="32D2853C"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0.184***</w:t>
            </w:r>
          </w:p>
        </w:tc>
      </w:tr>
      <w:tr w:rsidR="004C08A5" w:rsidRPr="00122A1E" w14:paraId="1BB758A2" w14:textId="77777777" w:rsidTr="00800BF9">
        <w:trPr>
          <w:trHeight w:hRule="exact" w:val="255"/>
          <w:jc w:val="center"/>
        </w:trPr>
        <w:tc>
          <w:tcPr>
            <w:tcW w:w="1838" w:type="dxa"/>
            <w:vMerge/>
            <w:noWrap/>
            <w:hideMark/>
          </w:tcPr>
          <w:p w14:paraId="667BBD79" w14:textId="7777777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3420B428" w14:textId="3D77128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(0.027)</w:t>
            </w:r>
          </w:p>
        </w:tc>
      </w:tr>
      <w:tr w:rsidR="004C08A5" w:rsidRPr="00122A1E" w14:paraId="0682BFD6" w14:textId="77777777" w:rsidTr="00800BF9">
        <w:trPr>
          <w:trHeight w:hRule="exact" w:val="255"/>
          <w:jc w:val="center"/>
        </w:trPr>
        <w:tc>
          <w:tcPr>
            <w:tcW w:w="1838" w:type="dxa"/>
            <w:vMerge w:val="restart"/>
            <w:noWrap/>
            <w:hideMark/>
          </w:tcPr>
          <w:p w14:paraId="63D00D26" w14:textId="7777777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122A1E">
              <w:rPr>
                <w:rFonts w:eastAsia="Times New Roman" w:cs="Calibri"/>
                <w:sz w:val="20"/>
                <w:szCs w:val="20"/>
                <w:lang w:eastAsia="nb-NO"/>
              </w:rPr>
              <w:t>Party L-R extremity</w:t>
            </w:r>
          </w:p>
        </w:tc>
        <w:tc>
          <w:tcPr>
            <w:tcW w:w="2552" w:type="dxa"/>
            <w:noWrap/>
            <w:vAlign w:val="bottom"/>
          </w:tcPr>
          <w:p w14:paraId="3F9563E4" w14:textId="75F82C88"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0.068*</w:t>
            </w:r>
          </w:p>
        </w:tc>
      </w:tr>
      <w:tr w:rsidR="004C08A5" w:rsidRPr="00122A1E" w14:paraId="4BB2CCC4" w14:textId="77777777" w:rsidTr="00800BF9">
        <w:trPr>
          <w:trHeight w:hRule="exact" w:val="255"/>
          <w:jc w:val="center"/>
        </w:trPr>
        <w:tc>
          <w:tcPr>
            <w:tcW w:w="1838" w:type="dxa"/>
            <w:vMerge/>
            <w:noWrap/>
            <w:hideMark/>
          </w:tcPr>
          <w:p w14:paraId="61061F60" w14:textId="7777777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42EE8D47" w14:textId="1665C268"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(0.036)</w:t>
            </w:r>
          </w:p>
        </w:tc>
      </w:tr>
      <w:tr w:rsidR="004C08A5" w:rsidRPr="00122A1E" w14:paraId="30A10D13" w14:textId="77777777" w:rsidTr="00800BF9">
        <w:trPr>
          <w:trHeight w:hRule="exact" w:val="255"/>
          <w:jc w:val="center"/>
        </w:trPr>
        <w:tc>
          <w:tcPr>
            <w:tcW w:w="1838" w:type="dxa"/>
            <w:vMerge w:val="restart"/>
            <w:noWrap/>
          </w:tcPr>
          <w:p w14:paraId="256666E1" w14:textId="039D3091"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proofErr w:type="spellStart"/>
            <w:r w:rsidRPr="00122A1E">
              <w:rPr>
                <w:rFonts w:eastAsia="Times New Roman" w:cs="Calibri"/>
                <w:sz w:val="20"/>
                <w:szCs w:val="20"/>
                <w:lang w:val="nb-NO" w:eastAsia="nb-NO"/>
              </w:rPr>
              <w:t>Seat</w:t>
            </w:r>
            <w:proofErr w:type="spellEnd"/>
            <w:r w:rsidRPr="00122A1E">
              <w:rPr>
                <w:rFonts w:eastAsia="Times New Roman" w:cs="Calibri"/>
                <w:sz w:val="20"/>
                <w:szCs w:val="20"/>
                <w:lang w:val="nb-NO" w:eastAsia="nb-NO"/>
              </w:rPr>
              <w:t xml:space="preserve"> </w:t>
            </w:r>
            <w:proofErr w:type="spellStart"/>
            <w:r w:rsidRPr="00122A1E">
              <w:rPr>
                <w:rFonts w:eastAsia="Times New Roman" w:cs="Calibri"/>
                <w:sz w:val="20"/>
                <w:szCs w:val="20"/>
                <w:lang w:val="nb-NO" w:eastAsia="nb-NO"/>
              </w:rPr>
              <w:t>share</w:t>
            </w:r>
            <w:proofErr w:type="spellEnd"/>
            <w:r w:rsidRPr="00122A1E">
              <w:rPr>
                <w:rFonts w:eastAsia="Times New Roman" w:cs="Calibri"/>
                <w:sz w:val="20"/>
                <w:szCs w:val="20"/>
                <w:lang w:val="nb-NO" w:eastAsia="nb-NO"/>
              </w:rPr>
              <w:t xml:space="preserve">, </w:t>
            </w:r>
            <w:proofErr w:type="spellStart"/>
            <w:r w:rsidRPr="00122A1E">
              <w:rPr>
                <w:rFonts w:eastAsia="Times New Roman" w:cs="Calibri"/>
                <w:sz w:val="20"/>
                <w:szCs w:val="20"/>
                <w:lang w:val="nb-NO" w:eastAsia="nb-NO"/>
              </w:rPr>
              <w:t>cabinet</w:t>
            </w:r>
            <w:proofErr w:type="spellEnd"/>
          </w:p>
        </w:tc>
        <w:tc>
          <w:tcPr>
            <w:tcW w:w="2552" w:type="dxa"/>
            <w:noWrap/>
            <w:vAlign w:val="bottom"/>
          </w:tcPr>
          <w:p w14:paraId="648579E3" w14:textId="1B276E9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-0.011***</w:t>
            </w:r>
          </w:p>
        </w:tc>
      </w:tr>
      <w:tr w:rsidR="004C08A5" w:rsidRPr="00122A1E" w14:paraId="173EF06A" w14:textId="77777777" w:rsidTr="00800BF9">
        <w:trPr>
          <w:trHeight w:hRule="exact" w:val="255"/>
          <w:jc w:val="center"/>
        </w:trPr>
        <w:tc>
          <w:tcPr>
            <w:tcW w:w="1838" w:type="dxa"/>
            <w:vMerge/>
            <w:noWrap/>
          </w:tcPr>
          <w:p w14:paraId="2D7F63A7" w14:textId="7777777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0B1EB7AB" w14:textId="3904E8D9"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(0.002)</w:t>
            </w:r>
          </w:p>
        </w:tc>
      </w:tr>
      <w:tr w:rsidR="004C08A5" w:rsidRPr="00122A1E" w14:paraId="0A06B260" w14:textId="77777777" w:rsidTr="00800BF9">
        <w:trPr>
          <w:trHeight w:hRule="exact" w:val="255"/>
          <w:jc w:val="center"/>
        </w:trPr>
        <w:tc>
          <w:tcPr>
            <w:tcW w:w="1838" w:type="dxa"/>
            <w:vMerge w:val="restart"/>
            <w:noWrap/>
            <w:hideMark/>
          </w:tcPr>
          <w:p w14:paraId="6499DAF6" w14:textId="3D257485"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122A1E">
              <w:rPr>
                <w:rFonts w:eastAsia="Times New Roman" w:cs="Calibri"/>
                <w:sz w:val="20"/>
                <w:szCs w:val="20"/>
                <w:lang w:eastAsia="nb-NO"/>
              </w:rPr>
              <w:t>Cabinet color</w:t>
            </w:r>
          </w:p>
        </w:tc>
        <w:tc>
          <w:tcPr>
            <w:tcW w:w="2552" w:type="dxa"/>
            <w:noWrap/>
            <w:vAlign w:val="bottom"/>
          </w:tcPr>
          <w:p w14:paraId="7D720201" w14:textId="32C64583"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0.157***</w:t>
            </w:r>
          </w:p>
        </w:tc>
      </w:tr>
      <w:tr w:rsidR="004C08A5" w:rsidRPr="00122A1E" w14:paraId="086C28EB" w14:textId="77777777" w:rsidTr="00800BF9">
        <w:trPr>
          <w:trHeight w:hRule="exact" w:val="255"/>
          <w:jc w:val="center"/>
        </w:trPr>
        <w:tc>
          <w:tcPr>
            <w:tcW w:w="1838" w:type="dxa"/>
            <w:vMerge/>
            <w:noWrap/>
            <w:hideMark/>
          </w:tcPr>
          <w:p w14:paraId="3DF5C49F" w14:textId="7777777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1884E700" w14:textId="7EA16DF8"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(0.023)</w:t>
            </w:r>
          </w:p>
        </w:tc>
      </w:tr>
      <w:tr w:rsidR="004C08A5" w:rsidRPr="00122A1E" w14:paraId="5F9502AD" w14:textId="77777777" w:rsidTr="00800BF9">
        <w:trPr>
          <w:trHeight w:hRule="exact" w:val="255"/>
          <w:jc w:val="center"/>
        </w:trPr>
        <w:tc>
          <w:tcPr>
            <w:tcW w:w="1838" w:type="dxa"/>
            <w:vMerge w:val="restart"/>
            <w:noWrap/>
            <w:hideMark/>
          </w:tcPr>
          <w:p w14:paraId="7759F2D1" w14:textId="58A79790"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122A1E">
              <w:rPr>
                <w:rFonts w:eastAsia="Times New Roman" w:cs="Calibri"/>
                <w:sz w:val="20"/>
                <w:szCs w:val="20"/>
                <w:lang w:val="nb-NO" w:eastAsia="nb-NO"/>
              </w:rPr>
              <w:t xml:space="preserve">District </w:t>
            </w:r>
            <w:proofErr w:type="spellStart"/>
            <w:r w:rsidRPr="00122A1E">
              <w:rPr>
                <w:rFonts w:eastAsia="Times New Roman" w:cs="Calibri"/>
                <w:sz w:val="20"/>
                <w:szCs w:val="20"/>
                <w:lang w:val="nb-NO" w:eastAsia="nb-NO"/>
              </w:rPr>
              <w:t>size</w:t>
            </w:r>
            <w:proofErr w:type="spellEnd"/>
            <w:r w:rsidRPr="00122A1E">
              <w:rPr>
                <w:rFonts w:eastAsia="Times New Roman" w:cs="Calibri"/>
                <w:sz w:val="20"/>
                <w:szCs w:val="20"/>
                <w:lang w:val="nb-NO" w:eastAsia="nb-NO"/>
              </w:rPr>
              <w:t xml:space="preserve"> (</w:t>
            </w:r>
            <w:proofErr w:type="spellStart"/>
            <w:r w:rsidRPr="00122A1E">
              <w:rPr>
                <w:rFonts w:eastAsia="Times New Roman" w:cs="Calibri"/>
                <w:sz w:val="20"/>
                <w:szCs w:val="20"/>
                <w:lang w:val="nb-NO" w:eastAsia="nb-NO"/>
              </w:rPr>
              <w:t>population</w:t>
            </w:r>
            <w:proofErr w:type="spellEnd"/>
            <w:r w:rsidRPr="00122A1E">
              <w:rPr>
                <w:rFonts w:eastAsia="Times New Roman" w:cs="Calibri"/>
                <w:sz w:val="20"/>
                <w:szCs w:val="20"/>
                <w:lang w:val="nb-NO" w:eastAsia="nb-NO"/>
              </w:rPr>
              <w:t>)</w:t>
            </w:r>
          </w:p>
        </w:tc>
        <w:tc>
          <w:tcPr>
            <w:tcW w:w="2552" w:type="dxa"/>
            <w:noWrap/>
            <w:vAlign w:val="bottom"/>
          </w:tcPr>
          <w:p w14:paraId="50C540FF" w14:textId="5CC7C0B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0.000***</w:t>
            </w:r>
          </w:p>
        </w:tc>
      </w:tr>
      <w:tr w:rsidR="004C08A5" w:rsidRPr="00122A1E" w14:paraId="50BDBB57" w14:textId="77777777" w:rsidTr="00800BF9">
        <w:trPr>
          <w:trHeight w:hRule="exact" w:val="255"/>
          <w:jc w:val="center"/>
        </w:trPr>
        <w:tc>
          <w:tcPr>
            <w:tcW w:w="1838" w:type="dxa"/>
            <w:vMerge/>
            <w:noWrap/>
          </w:tcPr>
          <w:p w14:paraId="31BE5D2C" w14:textId="7777777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6F093EDE" w14:textId="0797083A"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(0.000)</w:t>
            </w:r>
          </w:p>
        </w:tc>
      </w:tr>
      <w:tr w:rsidR="004C08A5" w:rsidRPr="00122A1E" w14:paraId="7A18BFEE" w14:textId="77777777" w:rsidTr="00800BF9">
        <w:trPr>
          <w:trHeight w:hRule="exact" w:val="255"/>
          <w:jc w:val="center"/>
        </w:trPr>
        <w:tc>
          <w:tcPr>
            <w:tcW w:w="1838" w:type="dxa"/>
            <w:vMerge w:val="restart"/>
            <w:noWrap/>
          </w:tcPr>
          <w:p w14:paraId="18B78A66" w14:textId="5404A1AE"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proofErr w:type="spellStart"/>
            <w:r w:rsidRPr="00122A1E">
              <w:rPr>
                <w:rFonts w:eastAsia="Times New Roman" w:cs="Calibri"/>
                <w:sz w:val="20"/>
                <w:szCs w:val="20"/>
                <w:lang w:val="nb-NO" w:eastAsia="nb-NO"/>
              </w:rPr>
              <w:t>Distance</w:t>
            </w:r>
            <w:proofErr w:type="spellEnd"/>
          </w:p>
        </w:tc>
        <w:tc>
          <w:tcPr>
            <w:tcW w:w="2552" w:type="dxa"/>
            <w:noWrap/>
            <w:vAlign w:val="bottom"/>
          </w:tcPr>
          <w:p w14:paraId="54451A8F" w14:textId="0F6FCF30"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-0.405***</w:t>
            </w:r>
          </w:p>
        </w:tc>
      </w:tr>
      <w:tr w:rsidR="004C08A5" w:rsidRPr="00122A1E" w14:paraId="195A8183" w14:textId="77777777" w:rsidTr="00800BF9">
        <w:trPr>
          <w:trHeight w:hRule="exact" w:val="255"/>
          <w:jc w:val="center"/>
        </w:trPr>
        <w:tc>
          <w:tcPr>
            <w:tcW w:w="1838" w:type="dxa"/>
            <w:vMerge/>
            <w:noWrap/>
            <w:hideMark/>
          </w:tcPr>
          <w:p w14:paraId="72948D6C" w14:textId="7777777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48025BA0" w14:textId="007C8215"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(0.124)</w:t>
            </w:r>
          </w:p>
        </w:tc>
      </w:tr>
      <w:tr w:rsidR="004C08A5" w:rsidRPr="00122A1E" w14:paraId="743DE0C5" w14:textId="77777777" w:rsidTr="00800BF9">
        <w:trPr>
          <w:trHeight w:hRule="exact" w:val="255"/>
          <w:jc w:val="center"/>
        </w:trPr>
        <w:tc>
          <w:tcPr>
            <w:tcW w:w="1838" w:type="dxa"/>
            <w:vMerge w:val="restart"/>
            <w:noWrap/>
            <w:hideMark/>
          </w:tcPr>
          <w:p w14:paraId="4027331D" w14:textId="7777777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proofErr w:type="spellStart"/>
            <w:r w:rsidRPr="00122A1E">
              <w:rPr>
                <w:rFonts w:eastAsia="Times New Roman" w:cs="Calibri"/>
                <w:sz w:val="20"/>
                <w:szCs w:val="20"/>
                <w:lang w:val="nb-NO" w:eastAsia="nb-NO"/>
              </w:rPr>
              <w:t>Turnout</w:t>
            </w:r>
            <w:proofErr w:type="spellEnd"/>
          </w:p>
        </w:tc>
        <w:tc>
          <w:tcPr>
            <w:tcW w:w="2552" w:type="dxa"/>
            <w:noWrap/>
            <w:vAlign w:val="bottom"/>
          </w:tcPr>
          <w:p w14:paraId="3AE0C60A" w14:textId="13B3DC48"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-0.010***</w:t>
            </w:r>
          </w:p>
        </w:tc>
      </w:tr>
      <w:tr w:rsidR="004C08A5" w:rsidRPr="00122A1E" w14:paraId="003C669E" w14:textId="77777777" w:rsidTr="00800BF9">
        <w:trPr>
          <w:trHeight w:hRule="exact" w:val="255"/>
          <w:jc w:val="center"/>
        </w:trPr>
        <w:tc>
          <w:tcPr>
            <w:tcW w:w="1838" w:type="dxa"/>
            <w:vMerge/>
            <w:noWrap/>
            <w:hideMark/>
          </w:tcPr>
          <w:p w14:paraId="04E4CCBF" w14:textId="7777777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588F7382" w14:textId="552CDA08"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(0.002)</w:t>
            </w:r>
          </w:p>
        </w:tc>
      </w:tr>
      <w:tr w:rsidR="004C08A5" w:rsidRPr="00122A1E" w14:paraId="61E7DC92" w14:textId="77777777" w:rsidTr="00800BF9">
        <w:trPr>
          <w:trHeight w:hRule="exact" w:val="255"/>
          <w:jc w:val="center"/>
        </w:trPr>
        <w:tc>
          <w:tcPr>
            <w:tcW w:w="1838" w:type="dxa"/>
            <w:vMerge w:val="restart"/>
            <w:noWrap/>
            <w:hideMark/>
          </w:tcPr>
          <w:p w14:paraId="28397A7D" w14:textId="7777777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122A1E">
              <w:rPr>
                <w:rFonts w:eastAsia="Times New Roman" w:cs="Calibri"/>
                <w:sz w:val="20"/>
                <w:szCs w:val="20"/>
                <w:lang w:val="nb-NO" w:eastAsia="nb-NO"/>
              </w:rPr>
              <w:t xml:space="preserve">Time </w:t>
            </w:r>
            <w:proofErr w:type="spellStart"/>
            <w:r w:rsidRPr="00122A1E">
              <w:rPr>
                <w:rFonts w:eastAsia="Times New Roman" w:cs="Calibri"/>
                <w:sz w:val="20"/>
                <w:szCs w:val="20"/>
                <w:lang w:val="nb-NO" w:eastAsia="nb-NO"/>
              </w:rPr>
              <w:t>counter</w:t>
            </w:r>
            <w:proofErr w:type="spellEnd"/>
          </w:p>
        </w:tc>
        <w:tc>
          <w:tcPr>
            <w:tcW w:w="2552" w:type="dxa"/>
            <w:noWrap/>
            <w:vAlign w:val="bottom"/>
          </w:tcPr>
          <w:p w14:paraId="401CE501" w14:textId="28B9311C"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-0.003***</w:t>
            </w:r>
          </w:p>
        </w:tc>
      </w:tr>
      <w:tr w:rsidR="004C08A5" w:rsidRPr="00122A1E" w14:paraId="6F0D46E5" w14:textId="77777777" w:rsidTr="00800BF9">
        <w:trPr>
          <w:trHeight w:hRule="exact" w:val="255"/>
          <w:jc w:val="center"/>
        </w:trPr>
        <w:tc>
          <w:tcPr>
            <w:tcW w:w="1838" w:type="dxa"/>
            <w:vMerge/>
            <w:noWrap/>
            <w:hideMark/>
          </w:tcPr>
          <w:p w14:paraId="1705C4C7" w14:textId="7777777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535AC3CF" w14:textId="39E016A9"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(0.001)</w:t>
            </w:r>
          </w:p>
        </w:tc>
      </w:tr>
      <w:tr w:rsidR="004C08A5" w:rsidRPr="00122A1E" w14:paraId="4F6484D5" w14:textId="77777777" w:rsidTr="00800BF9">
        <w:trPr>
          <w:trHeight w:hRule="exact" w:val="255"/>
          <w:jc w:val="center"/>
        </w:trPr>
        <w:tc>
          <w:tcPr>
            <w:tcW w:w="1838" w:type="dxa"/>
            <w:vMerge w:val="restart"/>
            <w:noWrap/>
            <w:hideMark/>
          </w:tcPr>
          <w:p w14:paraId="6B65BF9E" w14:textId="7777777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proofErr w:type="spellStart"/>
            <w:r w:rsidRPr="00122A1E">
              <w:rPr>
                <w:rFonts w:eastAsia="Times New Roman" w:cs="Calibri"/>
                <w:sz w:val="20"/>
                <w:szCs w:val="20"/>
                <w:lang w:val="nb-NO" w:eastAsia="nb-NO"/>
              </w:rPr>
              <w:t>Election</w:t>
            </w:r>
            <w:proofErr w:type="spellEnd"/>
            <w:r w:rsidRPr="00122A1E">
              <w:rPr>
                <w:rFonts w:eastAsia="Times New Roman" w:cs="Calibri"/>
                <w:sz w:val="20"/>
                <w:szCs w:val="20"/>
                <w:lang w:val="nb-NO" w:eastAsia="nb-NO"/>
              </w:rPr>
              <w:t xml:space="preserve"> </w:t>
            </w:r>
            <w:proofErr w:type="spellStart"/>
            <w:r w:rsidRPr="00122A1E">
              <w:rPr>
                <w:rFonts w:eastAsia="Times New Roman" w:cs="Calibri"/>
                <w:sz w:val="20"/>
                <w:szCs w:val="20"/>
                <w:lang w:val="nb-NO" w:eastAsia="nb-NO"/>
              </w:rPr>
              <w:t>period</w:t>
            </w:r>
            <w:proofErr w:type="spellEnd"/>
          </w:p>
        </w:tc>
        <w:tc>
          <w:tcPr>
            <w:tcW w:w="2552" w:type="dxa"/>
            <w:noWrap/>
            <w:vAlign w:val="bottom"/>
          </w:tcPr>
          <w:p w14:paraId="3974F720" w14:textId="6A6D5586"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0.179***</w:t>
            </w:r>
          </w:p>
        </w:tc>
      </w:tr>
      <w:tr w:rsidR="004C08A5" w:rsidRPr="00122A1E" w14:paraId="0E97D5AE" w14:textId="77777777" w:rsidTr="00800BF9">
        <w:trPr>
          <w:trHeight w:hRule="exact" w:val="255"/>
          <w:jc w:val="center"/>
        </w:trPr>
        <w:tc>
          <w:tcPr>
            <w:tcW w:w="1838" w:type="dxa"/>
            <w:vMerge/>
            <w:noWrap/>
            <w:hideMark/>
          </w:tcPr>
          <w:p w14:paraId="5E48C38E" w14:textId="7777777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2883192C" w14:textId="0E7C568A"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(0.027)</w:t>
            </w:r>
          </w:p>
        </w:tc>
      </w:tr>
      <w:tr w:rsidR="004C08A5" w:rsidRPr="00122A1E" w14:paraId="1182DE64" w14:textId="77777777" w:rsidTr="00800BF9">
        <w:trPr>
          <w:trHeight w:hRule="exact" w:val="255"/>
          <w:jc w:val="center"/>
        </w:trPr>
        <w:tc>
          <w:tcPr>
            <w:tcW w:w="1838" w:type="dxa"/>
            <w:vMerge w:val="restart"/>
            <w:noWrap/>
            <w:hideMark/>
          </w:tcPr>
          <w:p w14:paraId="71ED2656" w14:textId="7777777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proofErr w:type="spellStart"/>
            <w:r w:rsidRPr="00122A1E">
              <w:rPr>
                <w:rFonts w:eastAsia="Times New Roman" w:cs="Calibri"/>
                <w:sz w:val="20"/>
                <w:szCs w:val="20"/>
                <w:lang w:val="nb-NO" w:eastAsia="nb-NO"/>
              </w:rPr>
              <w:t>Months</w:t>
            </w:r>
            <w:proofErr w:type="spellEnd"/>
            <w:r w:rsidRPr="00122A1E">
              <w:rPr>
                <w:rFonts w:eastAsia="Times New Roman" w:cs="Calibri"/>
                <w:sz w:val="20"/>
                <w:szCs w:val="20"/>
                <w:lang w:val="nb-NO" w:eastAsia="nb-NO"/>
              </w:rPr>
              <w:t xml:space="preserve"> </w:t>
            </w:r>
            <w:proofErr w:type="spellStart"/>
            <w:r w:rsidRPr="00122A1E">
              <w:rPr>
                <w:rFonts w:eastAsia="Times New Roman" w:cs="Calibri"/>
                <w:sz w:val="20"/>
                <w:szCs w:val="20"/>
                <w:lang w:val="nb-NO" w:eastAsia="nb-NO"/>
              </w:rPr>
              <w:t>since</w:t>
            </w:r>
            <w:proofErr w:type="spellEnd"/>
            <w:r w:rsidRPr="00122A1E">
              <w:rPr>
                <w:rFonts w:eastAsia="Times New Roman" w:cs="Calibri"/>
                <w:sz w:val="20"/>
                <w:szCs w:val="20"/>
                <w:lang w:val="nb-NO" w:eastAsia="nb-NO"/>
              </w:rPr>
              <w:t xml:space="preserve"> </w:t>
            </w:r>
            <w:proofErr w:type="spellStart"/>
            <w:r w:rsidRPr="00122A1E">
              <w:rPr>
                <w:rFonts w:eastAsia="Times New Roman" w:cs="Calibri"/>
                <w:sz w:val="20"/>
                <w:szCs w:val="20"/>
                <w:lang w:val="nb-NO" w:eastAsia="nb-NO"/>
              </w:rPr>
              <w:t>prev</w:t>
            </w:r>
            <w:proofErr w:type="spellEnd"/>
            <w:r w:rsidRPr="00122A1E">
              <w:rPr>
                <w:rFonts w:eastAsia="Times New Roman" w:cs="Calibri"/>
                <w:sz w:val="20"/>
                <w:szCs w:val="20"/>
                <w:lang w:val="nb-NO" w:eastAsia="nb-NO"/>
              </w:rPr>
              <w:t xml:space="preserve"> </w:t>
            </w:r>
            <w:proofErr w:type="spellStart"/>
            <w:r w:rsidRPr="00122A1E">
              <w:rPr>
                <w:rFonts w:eastAsia="Times New Roman" w:cs="Calibri"/>
                <w:sz w:val="20"/>
                <w:szCs w:val="20"/>
                <w:lang w:val="nb-NO" w:eastAsia="nb-NO"/>
              </w:rPr>
              <w:t>election</w:t>
            </w:r>
            <w:proofErr w:type="spellEnd"/>
          </w:p>
        </w:tc>
        <w:tc>
          <w:tcPr>
            <w:tcW w:w="2552" w:type="dxa"/>
            <w:noWrap/>
            <w:vAlign w:val="bottom"/>
          </w:tcPr>
          <w:p w14:paraId="31E49EF0" w14:textId="41D8DD8C"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0.004***</w:t>
            </w:r>
          </w:p>
        </w:tc>
      </w:tr>
      <w:tr w:rsidR="004C08A5" w:rsidRPr="00122A1E" w14:paraId="2289963B" w14:textId="77777777" w:rsidTr="00800BF9">
        <w:trPr>
          <w:trHeight w:hRule="exact" w:val="255"/>
          <w:jc w:val="center"/>
        </w:trPr>
        <w:tc>
          <w:tcPr>
            <w:tcW w:w="1838" w:type="dxa"/>
            <w:vMerge/>
            <w:noWrap/>
            <w:hideMark/>
          </w:tcPr>
          <w:p w14:paraId="649A60BE" w14:textId="7777777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117E3EA1" w14:textId="2E9FDEF5"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(0.000)</w:t>
            </w:r>
          </w:p>
        </w:tc>
      </w:tr>
      <w:tr w:rsidR="004C08A5" w:rsidRPr="00122A1E" w14:paraId="05081D43" w14:textId="77777777" w:rsidTr="00800BF9">
        <w:trPr>
          <w:trHeight w:hRule="exact" w:val="255"/>
          <w:jc w:val="center"/>
        </w:trPr>
        <w:tc>
          <w:tcPr>
            <w:tcW w:w="1838" w:type="dxa"/>
            <w:vMerge w:val="restart"/>
            <w:noWrap/>
            <w:hideMark/>
          </w:tcPr>
          <w:p w14:paraId="49D711C3" w14:textId="67DCBB91" w:rsidR="004C08A5" w:rsidRPr="00122A1E" w:rsidRDefault="004C08A5" w:rsidP="004C08A5">
            <w:pPr>
              <w:widowControl/>
              <w:autoSpaceDE/>
              <w:autoSpaceDN/>
              <w:spacing w:after="0" w:line="240" w:lineRule="auto"/>
              <w:jc w:val="center"/>
              <w:rPr>
                <w:rFonts w:eastAsia="Times New Roman" w:cs="Calibri"/>
                <w:sz w:val="20"/>
                <w:szCs w:val="20"/>
                <w:lang w:eastAsia="nb-NO"/>
              </w:rPr>
            </w:pPr>
            <w:r w:rsidRPr="00122A1E">
              <w:rPr>
                <w:rFonts w:eastAsia="Times New Roman" w:cs="Calibri"/>
                <w:sz w:val="20"/>
                <w:szCs w:val="20"/>
                <w:lang w:eastAsia="nb-NO"/>
              </w:rPr>
              <w:t>UK dummy</w:t>
            </w:r>
          </w:p>
        </w:tc>
        <w:tc>
          <w:tcPr>
            <w:tcW w:w="2552" w:type="dxa"/>
            <w:noWrap/>
            <w:vAlign w:val="bottom"/>
          </w:tcPr>
          <w:p w14:paraId="5AD13F27" w14:textId="1A7E5F3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-0.349***</w:t>
            </w:r>
          </w:p>
        </w:tc>
      </w:tr>
      <w:tr w:rsidR="004C08A5" w:rsidRPr="00122A1E" w14:paraId="6DD45F27" w14:textId="77777777" w:rsidTr="00800BF9">
        <w:trPr>
          <w:trHeight w:hRule="exact" w:val="255"/>
          <w:jc w:val="center"/>
        </w:trPr>
        <w:tc>
          <w:tcPr>
            <w:tcW w:w="1838" w:type="dxa"/>
            <w:vMerge/>
            <w:noWrap/>
            <w:hideMark/>
          </w:tcPr>
          <w:p w14:paraId="23573895" w14:textId="77777777" w:rsidR="004C08A5" w:rsidRPr="00122A1E" w:rsidRDefault="004C08A5" w:rsidP="004C08A5">
            <w:pPr>
              <w:widowControl/>
              <w:autoSpaceDE/>
              <w:autoSpaceDN/>
              <w:spacing w:after="0" w:line="240" w:lineRule="auto"/>
              <w:jc w:val="center"/>
              <w:rPr>
                <w:rFonts w:eastAsia="Times New Roman" w:cs="Times New Roman"/>
                <w:sz w:val="20"/>
                <w:szCs w:val="20"/>
                <w:lang w:val="nb-NO" w:eastAsia="nb-NO"/>
              </w:rPr>
            </w:pPr>
          </w:p>
        </w:tc>
        <w:tc>
          <w:tcPr>
            <w:tcW w:w="2552" w:type="dxa"/>
            <w:noWrap/>
            <w:vAlign w:val="bottom"/>
          </w:tcPr>
          <w:p w14:paraId="64226A2B" w14:textId="08D2B30F"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(0.134)</w:t>
            </w:r>
          </w:p>
        </w:tc>
      </w:tr>
      <w:tr w:rsidR="004C08A5" w:rsidRPr="00122A1E" w14:paraId="49178E0D" w14:textId="77777777" w:rsidTr="00800BF9">
        <w:trPr>
          <w:trHeight w:hRule="exact" w:val="255"/>
          <w:jc w:val="center"/>
        </w:trPr>
        <w:tc>
          <w:tcPr>
            <w:tcW w:w="1838" w:type="dxa"/>
            <w:vMerge w:val="restart"/>
            <w:noWrap/>
          </w:tcPr>
          <w:p w14:paraId="07535E39" w14:textId="523E749B" w:rsidR="004C08A5" w:rsidRPr="00122A1E" w:rsidRDefault="004C08A5" w:rsidP="004C08A5">
            <w:pPr>
              <w:widowControl/>
              <w:autoSpaceDE/>
              <w:autoSpaceDN/>
              <w:spacing w:after="0" w:line="240" w:lineRule="auto"/>
              <w:jc w:val="center"/>
              <w:rPr>
                <w:rFonts w:eastAsia="Times New Roman" w:cs="Times New Roman"/>
                <w:sz w:val="20"/>
                <w:szCs w:val="20"/>
                <w:lang w:eastAsia="nb-NO"/>
              </w:rPr>
            </w:pPr>
            <w:r w:rsidRPr="00122A1E">
              <w:rPr>
                <w:rFonts w:eastAsia="Times New Roman" w:cs="Calibri"/>
                <w:sz w:val="20"/>
                <w:szCs w:val="20"/>
                <w:lang w:eastAsia="nb-NO"/>
              </w:rPr>
              <w:t>Fem X UK dummy</w:t>
            </w:r>
          </w:p>
        </w:tc>
        <w:tc>
          <w:tcPr>
            <w:tcW w:w="2552" w:type="dxa"/>
            <w:noWrap/>
            <w:vAlign w:val="bottom"/>
          </w:tcPr>
          <w:p w14:paraId="24525859" w14:textId="2EAFDB53"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0.489***</w:t>
            </w:r>
          </w:p>
        </w:tc>
      </w:tr>
      <w:tr w:rsidR="004C08A5" w:rsidRPr="00122A1E" w14:paraId="32E1686F" w14:textId="77777777" w:rsidTr="00800BF9">
        <w:trPr>
          <w:trHeight w:hRule="exact" w:val="255"/>
          <w:jc w:val="center"/>
        </w:trPr>
        <w:tc>
          <w:tcPr>
            <w:tcW w:w="1838" w:type="dxa"/>
            <w:vMerge/>
            <w:noWrap/>
          </w:tcPr>
          <w:p w14:paraId="27B1687C" w14:textId="77777777" w:rsidR="004C08A5" w:rsidRPr="00122A1E" w:rsidRDefault="004C08A5" w:rsidP="004C08A5">
            <w:pPr>
              <w:widowControl/>
              <w:autoSpaceDE/>
              <w:autoSpaceDN/>
              <w:spacing w:after="0" w:line="240" w:lineRule="auto"/>
              <w:jc w:val="center"/>
              <w:rPr>
                <w:rFonts w:eastAsia="Times New Roman" w:cs="Times New Roman"/>
                <w:sz w:val="20"/>
                <w:szCs w:val="20"/>
                <w:lang w:val="nb-NO" w:eastAsia="nb-NO"/>
              </w:rPr>
            </w:pPr>
          </w:p>
        </w:tc>
        <w:tc>
          <w:tcPr>
            <w:tcW w:w="2552" w:type="dxa"/>
            <w:noWrap/>
            <w:vAlign w:val="bottom"/>
          </w:tcPr>
          <w:p w14:paraId="5C0215C4" w14:textId="14792B4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(0.159)</w:t>
            </w:r>
          </w:p>
        </w:tc>
      </w:tr>
      <w:tr w:rsidR="004C08A5" w:rsidRPr="00122A1E" w14:paraId="5ABE1024" w14:textId="77777777" w:rsidTr="00800BF9">
        <w:trPr>
          <w:trHeight w:hRule="exact" w:val="255"/>
          <w:jc w:val="center"/>
        </w:trPr>
        <w:tc>
          <w:tcPr>
            <w:tcW w:w="1838" w:type="dxa"/>
            <w:vMerge w:val="restart"/>
            <w:noWrap/>
            <w:hideMark/>
          </w:tcPr>
          <w:p w14:paraId="0C702C6A" w14:textId="54A19A36"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proofErr w:type="spellStart"/>
            <w:r w:rsidRPr="00122A1E">
              <w:rPr>
                <w:rFonts w:eastAsia="Times New Roman" w:cs="Calibri"/>
                <w:sz w:val="20"/>
                <w:szCs w:val="20"/>
                <w:lang w:val="nb-NO" w:eastAsia="nb-NO"/>
              </w:rPr>
              <w:t>Constant</w:t>
            </w:r>
            <w:proofErr w:type="spellEnd"/>
          </w:p>
        </w:tc>
        <w:tc>
          <w:tcPr>
            <w:tcW w:w="2552" w:type="dxa"/>
            <w:noWrap/>
            <w:vAlign w:val="bottom"/>
          </w:tcPr>
          <w:p w14:paraId="466499ED" w14:textId="0890ED65"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-0.213</w:t>
            </w:r>
          </w:p>
        </w:tc>
      </w:tr>
      <w:tr w:rsidR="004C08A5" w:rsidRPr="00122A1E" w14:paraId="60C59A3A" w14:textId="77777777" w:rsidTr="00800BF9">
        <w:trPr>
          <w:trHeight w:hRule="exact" w:val="255"/>
          <w:jc w:val="center"/>
        </w:trPr>
        <w:tc>
          <w:tcPr>
            <w:tcW w:w="1838" w:type="dxa"/>
            <w:vMerge/>
            <w:noWrap/>
            <w:hideMark/>
          </w:tcPr>
          <w:p w14:paraId="487E2B04" w14:textId="7777777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2B450E8C" w14:textId="21555AB1"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(0.384)</w:t>
            </w:r>
          </w:p>
        </w:tc>
      </w:tr>
      <w:tr w:rsidR="004C08A5" w:rsidRPr="00122A1E" w14:paraId="3F5839D9" w14:textId="77777777" w:rsidTr="00800BF9">
        <w:trPr>
          <w:trHeight w:hRule="exact" w:val="255"/>
          <w:jc w:val="center"/>
        </w:trPr>
        <w:tc>
          <w:tcPr>
            <w:tcW w:w="1838" w:type="dxa"/>
            <w:vMerge w:val="restart"/>
            <w:noWrap/>
            <w:hideMark/>
          </w:tcPr>
          <w:p w14:paraId="17BA84EE" w14:textId="56A5E1F5"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122A1E">
              <w:rPr>
                <w:rFonts w:eastAsia="Times New Roman" w:cs="Calibri"/>
                <w:sz w:val="20"/>
                <w:szCs w:val="20"/>
                <w:lang w:val="nb-NO" w:eastAsia="nb-NO"/>
              </w:rPr>
              <w:t>Ln Alpha</w:t>
            </w:r>
          </w:p>
        </w:tc>
        <w:tc>
          <w:tcPr>
            <w:tcW w:w="2552" w:type="dxa"/>
            <w:noWrap/>
            <w:vAlign w:val="bottom"/>
          </w:tcPr>
          <w:p w14:paraId="698A5A7A" w14:textId="2404D88C"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0.162***</w:t>
            </w:r>
          </w:p>
        </w:tc>
      </w:tr>
      <w:tr w:rsidR="004C08A5" w:rsidRPr="00122A1E" w14:paraId="0121EA80" w14:textId="77777777" w:rsidTr="00800BF9">
        <w:trPr>
          <w:trHeight w:hRule="exact" w:val="255"/>
          <w:jc w:val="center"/>
        </w:trPr>
        <w:tc>
          <w:tcPr>
            <w:tcW w:w="1838" w:type="dxa"/>
            <w:vMerge/>
            <w:noWrap/>
            <w:hideMark/>
          </w:tcPr>
          <w:p w14:paraId="36B00C7B" w14:textId="7777777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1ADB8B93" w14:textId="7DC510FE"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(0.009)</w:t>
            </w:r>
          </w:p>
        </w:tc>
      </w:tr>
      <w:tr w:rsidR="004C08A5" w:rsidRPr="00122A1E" w14:paraId="6A4C420B" w14:textId="77777777" w:rsidTr="00800BF9">
        <w:trPr>
          <w:trHeight w:hRule="exact" w:val="255"/>
          <w:jc w:val="center"/>
        </w:trPr>
        <w:tc>
          <w:tcPr>
            <w:tcW w:w="1838" w:type="dxa"/>
            <w:vMerge w:val="restart"/>
            <w:noWrap/>
            <w:hideMark/>
          </w:tcPr>
          <w:p w14:paraId="0D2DCEB3" w14:textId="7777777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122A1E">
              <w:rPr>
                <w:rFonts w:eastAsia="Times New Roman" w:cs="Calibri"/>
                <w:sz w:val="20"/>
                <w:szCs w:val="20"/>
                <w:lang w:val="nb-NO" w:eastAsia="nb-NO"/>
              </w:rPr>
              <w:t xml:space="preserve">MP var </w:t>
            </w:r>
            <w:proofErr w:type="spellStart"/>
            <w:r w:rsidRPr="00122A1E">
              <w:rPr>
                <w:rFonts w:eastAsia="Times New Roman" w:cs="Calibri"/>
                <w:sz w:val="20"/>
                <w:szCs w:val="20"/>
                <w:lang w:val="nb-NO" w:eastAsia="nb-NO"/>
              </w:rPr>
              <w:t>const</w:t>
            </w:r>
            <w:proofErr w:type="spellEnd"/>
          </w:p>
        </w:tc>
        <w:tc>
          <w:tcPr>
            <w:tcW w:w="2552" w:type="dxa"/>
            <w:noWrap/>
            <w:vAlign w:val="bottom"/>
          </w:tcPr>
          <w:p w14:paraId="315F6439" w14:textId="3AD819A0"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1.481***</w:t>
            </w:r>
          </w:p>
        </w:tc>
      </w:tr>
      <w:tr w:rsidR="004C08A5" w:rsidRPr="00122A1E" w14:paraId="7A1E83D5" w14:textId="77777777" w:rsidTr="00800BF9">
        <w:trPr>
          <w:trHeight w:hRule="exact" w:val="255"/>
          <w:jc w:val="center"/>
        </w:trPr>
        <w:tc>
          <w:tcPr>
            <w:tcW w:w="1838" w:type="dxa"/>
            <w:vMerge/>
            <w:noWrap/>
            <w:hideMark/>
          </w:tcPr>
          <w:p w14:paraId="0A8E953A" w14:textId="7777777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p>
        </w:tc>
        <w:tc>
          <w:tcPr>
            <w:tcW w:w="2552" w:type="dxa"/>
            <w:noWrap/>
            <w:vAlign w:val="bottom"/>
          </w:tcPr>
          <w:p w14:paraId="1AFF792F" w14:textId="5075E666"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(0.060)</w:t>
            </w:r>
          </w:p>
        </w:tc>
      </w:tr>
      <w:tr w:rsidR="004C08A5" w:rsidRPr="00122A1E" w14:paraId="76EE4331" w14:textId="77777777" w:rsidTr="00800BF9">
        <w:trPr>
          <w:trHeight w:hRule="exact" w:val="255"/>
          <w:jc w:val="center"/>
        </w:trPr>
        <w:tc>
          <w:tcPr>
            <w:tcW w:w="1838" w:type="dxa"/>
            <w:noWrap/>
            <w:hideMark/>
          </w:tcPr>
          <w:p w14:paraId="7FB485E0" w14:textId="307C0708"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122A1E">
              <w:rPr>
                <w:rFonts w:eastAsia="Times New Roman" w:cs="Calibri"/>
                <w:sz w:val="20"/>
                <w:szCs w:val="20"/>
                <w:lang w:val="nb-NO" w:eastAsia="nb-NO"/>
              </w:rPr>
              <w:t>N</w:t>
            </w:r>
          </w:p>
        </w:tc>
        <w:tc>
          <w:tcPr>
            <w:tcW w:w="2552" w:type="dxa"/>
            <w:noWrap/>
            <w:vAlign w:val="bottom"/>
          </w:tcPr>
          <w:p w14:paraId="4B80DA2F" w14:textId="730F7025"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43510</w:t>
            </w:r>
          </w:p>
        </w:tc>
      </w:tr>
      <w:tr w:rsidR="004C08A5" w:rsidRPr="00122A1E" w14:paraId="47FE0432" w14:textId="77777777" w:rsidTr="00800BF9">
        <w:trPr>
          <w:trHeight w:hRule="exact" w:val="255"/>
          <w:jc w:val="center"/>
        </w:trPr>
        <w:tc>
          <w:tcPr>
            <w:tcW w:w="1838" w:type="dxa"/>
            <w:noWrap/>
            <w:hideMark/>
          </w:tcPr>
          <w:p w14:paraId="2D949BAC" w14:textId="7777777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122A1E">
              <w:rPr>
                <w:rFonts w:eastAsia="Times New Roman" w:cs="Calibri"/>
                <w:sz w:val="20"/>
                <w:szCs w:val="20"/>
                <w:lang w:val="nb-NO" w:eastAsia="nb-NO"/>
              </w:rPr>
              <w:t xml:space="preserve">No. </w:t>
            </w:r>
            <w:proofErr w:type="spellStart"/>
            <w:r w:rsidRPr="00122A1E">
              <w:rPr>
                <w:rFonts w:eastAsia="Times New Roman" w:cs="Calibri"/>
                <w:sz w:val="20"/>
                <w:szCs w:val="20"/>
                <w:lang w:val="nb-NO" w:eastAsia="nb-NO"/>
              </w:rPr>
              <w:t>of</w:t>
            </w:r>
            <w:proofErr w:type="spellEnd"/>
            <w:r w:rsidRPr="00122A1E">
              <w:rPr>
                <w:rFonts w:eastAsia="Times New Roman" w:cs="Calibri"/>
                <w:sz w:val="20"/>
                <w:szCs w:val="20"/>
                <w:lang w:val="nb-NO" w:eastAsia="nb-NO"/>
              </w:rPr>
              <w:t xml:space="preserve"> </w:t>
            </w:r>
            <w:proofErr w:type="spellStart"/>
            <w:r w:rsidRPr="00122A1E">
              <w:rPr>
                <w:rFonts w:eastAsia="Times New Roman" w:cs="Calibri"/>
                <w:sz w:val="20"/>
                <w:szCs w:val="20"/>
                <w:lang w:val="nb-NO" w:eastAsia="nb-NO"/>
              </w:rPr>
              <w:t>groups</w:t>
            </w:r>
            <w:proofErr w:type="spellEnd"/>
          </w:p>
        </w:tc>
        <w:tc>
          <w:tcPr>
            <w:tcW w:w="2552" w:type="dxa"/>
            <w:noWrap/>
            <w:vAlign w:val="bottom"/>
          </w:tcPr>
          <w:p w14:paraId="3924EC7A" w14:textId="7CC92C7A"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1471</w:t>
            </w:r>
          </w:p>
        </w:tc>
      </w:tr>
      <w:tr w:rsidR="004C08A5" w:rsidRPr="00122A1E" w14:paraId="77EF3159" w14:textId="77777777" w:rsidTr="00800BF9">
        <w:trPr>
          <w:trHeight w:hRule="exact" w:val="255"/>
          <w:jc w:val="center"/>
        </w:trPr>
        <w:tc>
          <w:tcPr>
            <w:tcW w:w="1838" w:type="dxa"/>
            <w:noWrap/>
            <w:hideMark/>
          </w:tcPr>
          <w:p w14:paraId="76F3D883" w14:textId="77777777"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122A1E">
              <w:rPr>
                <w:rFonts w:eastAsia="Times New Roman" w:cs="Calibri"/>
                <w:sz w:val="20"/>
                <w:szCs w:val="20"/>
                <w:lang w:val="nb-NO" w:eastAsia="nb-NO"/>
              </w:rPr>
              <w:t xml:space="preserve">Log </w:t>
            </w:r>
            <w:proofErr w:type="spellStart"/>
            <w:r w:rsidRPr="00122A1E">
              <w:rPr>
                <w:rFonts w:eastAsia="Times New Roman" w:cs="Calibri"/>
                <w:sz w:val="20"/>
                <w:szCs w:val="20"/>
                <w:lang w:val="nb-NO" w:eastAsia="nb-NO"/>
              </w:rPr>
              <w:t>likelihood</w:t>
            </w:r>
            <w:proofErr w:type="spellEnd"/>
          </w:p>
        </w:tc>
        <w:tc>
          <w:tcPr>
            <w:tcW w:w="2552" w:type="dxa"/>
            <w:noWrap/>
            <w:vAlign w:val="bottom"/>
          </w:tcPr>
          <w:p w14:paraId="03C61E71" w14:textId="6E0235F9" w:rsidR="004C08A5" w:rsidRPr="00122A1E" w:rsidRDefault="004C08A5" w:rsidP="004C08A5">
            <w:pPr>
              <w:widowControl/>
              <w:autoSpaceDE/>
              <w:autoSpaceDN/>
              <w:spacing w:after="0" w:line="240" w:lineRule="auto"/>
              <w:jc w:val="center"/>
              <w:rPr>
                <w:rFonts w:eastAsia="Times New Roman" w:cs="Calibri"/>
                <w:sz w:val="20"/>
                <w:szCs w:val="20"/>
                <w:lang w:val="nb-NO" w:eastAsia="nb-NO"/>
              </w:rPr>
            </w:pPr>
            <w:r w:rsidRPr="004C08A5">
              <w:rPr>
                <w:rFonts w:eastAsia="Times New Roman" w:cs="Calibri"/>
                <w:sz w:val="20"/>
                <w:szCs w:val="20"/>
                <w:lang w:val="nb-NO" w:eastAsia="nb-NO"/>
              </w:rPr>
              <w:t>-121138</w:t>
            </w:r>
          </w:p>
        </w:tc>
      </w:tr>
    </w:tbl>
    <w:p w14:paraId="0F1CCF2A" w14:textId="34DA53C3" w:rsidR="00705F67" w:rsidRDefault="00705F67" w:rsidP="00800BF9">
      <w:pPr>
        <w:spacing w:after="0" w:line="240" w:lineRule="auto"/>
        <w:jc w:val="center"/>
        <w:rPr>
          <w:rFonts w:eastAsia="Times New Roman" w:cs="Calibri"/>
          <w:sz w:val="20"/>
          <w:szCs w:val="20"/>
          <w:lang w:eastAsia="nb-NO"/>
        </w:rPr>
      </w:pPr>
      <w:r w:rsidRPr="002D7BA5">
        <w:rPr>
          <w:rFonts w:eastAsia="Times New Roman" w:cs="Calibri"/>
          <w:sz w:val="20"/>
          <w:szCs w:val="20"/>
          <w:lang w:eastAsia="nb-NO"/>
        </w:rPr>
        <w:t>Standard errors in parentheses. *** p&lt;0.01, ** p&lt;0.05, * p&lt;0.1</w:t>
      </w:r>
    </w:p>
    <w:p w14:paraId="546BBF88" w14:textId="77777777" w:rsidR="007760BF" w:rsidRDefault="007760BF" w:rsidP="00800BF9">
      <w:pPr>
        <w:spacing w:after="0" w:line="240" w:lineRule="auto"/>
        <w:jc w:val="center"/>
        <w:rPr>
          <w:rFonts w:eastAsia="Times New Roman" w:cs="Calibri"/>
          <w:sz w:val="20"/>
          <w:szCs w:val="20"/>
          <w:lang w:eastAsia="nb-NO"/>
        </w:rPr>
      </w:pPr>
    </w:p>
    <w:p w14:paraId="449FA0DE" w14:textId="6BF61207" w:rsidR="007760BF" w:rsidRPr="00EF6E80" w:rsidRDefault="007760BF" w:rsidP="00800BF9">
      <w:pPr>
        <w:pStyle w:val="Figur"/>
        <w:rPr>
          <w:i w:val="0"/>
          <w:iCs w:val="0"/>
        </w:rPr>
      </w:pPr>
      <w:r w:rsidRPr="00EF6E80">
        <w:rPr>
          <w:i w:val="0"/>
          <w:iCs w:val="0"/>
        </w:rPr>
        <w:t>Table A</w:t>
      </w:r>
      <w:r w:rsidR="009964FB">
        <w:rPr>
          <w:i w:val="0"/>
          <w:iCs w:val="0"/>
        </w:rPr>
        <w:t>7</w:t>
      </w:r>
      <w:r w:rsidRPr="00EF6E80">
        <w:rPr>
          <w:i w:val="0"/>
          <w:iCs w:val="0"/>
        </w:rPr>
        <w:t>. Predicted news visibility of MPs by gender, United Kingdom and Norway. Based on pooled model</w:t>
      </w:r>
      <w:r w:rsidR="001F5B15" w:rsidRPr="00EF6E80">
        <w:rPr>
          <w:i w:val="0"/>
          <w:iCs w:val="0"/>
        </w:rPr>
        <w:t xml:space="preserve"> in Table A</w:t>
      </w:r>
      <w:r w:rsidR="00EF6E80">
        <w:rPr>
          <w:i w:val="0"/>
          <w:iCs w:val="0"/>
        </w:rPr>
        <w:t>5</w:t>
      </w:r>
      <w:r w:rsidR="001F5B15" w:rsidRPr="00EF6E80">
        <w:rPr>
          <w:i w:val="0"/>
          <w:iCs w:val="0"/>
        </w:rPr>
        <w:t>.</w:t>
      </w:r>
    </w:p>
    <w:tbl>
      <w:tblPr>
        <w:tblStyle w:val="Tabellrutenett"/>
        <w:tblW w:w="5000" w:type="dxa"/>
        <w:jc w:val="center"/>
        <w:tblLook w:val="04A0" w:firstRow="1" w:lastRow="0" w:firstColumn="1" w:lastColumn="0" w:noHBand="0" w:noVBand="1"/>
      </w:tblPr>
      <w:tblGrid>
        <w:gridCol w:w="1840"/>
        <w:gridCol w:w="2096"/>
        <w:gridCol w:w="1064"/>
      </w:tblGrid>
      <w:tr w:rsidR="007760BF" w:rsidRPr="006310FD" w14:paraId="16AD4B20" w14:textId="77777777" w:rsidTr="00800BF9">
        <w:trPr>
          <w:trHeight w:hRule="exact" w:val="284"/>
          <w:jc w:val="center"/>
        </w:trPr>
        <w:tc>
          <w:tcPr>
            <w:tcW w:w="1840" w:type="dxa"/>
            <w:noWrap/>
            <w:hideMark/>
          </w:tcPr>
          <w:p w14:paraId="3AEB4408" w14:textId="77777777" w:rsidR="007760BF" w:rsidRPr="006310FD" w:rsidRDefault="007760BF" w:rsidP="00800BF9">
            <w:pPr>
              <w:jc w:val="center"/>
              <w:rPr>
                <w:lang w:eastAsia="nb-NO"/>
              </w:rPr>
            </w:pPr>
          </w:p>
        </w:tc>
        <w:tc>
          <w:tcPr>
            <w:tcW w:w="2096" w:type="dxa"/>
            <w:noWrap/>
            <w:hideMark/>
          </w:tcPr>
          <w:p w14:paraId="6E9DC982" w14:textId="77777777" w:rsidR="007760BF" w:rsidRPr="006310FD" w:rsidRDefault="007760BF" w:rsidP="00800BF9">
            <w:pPr>
              <w:jc w:val="center"/>
              <w:rPr>
                <w:lang w:val="nb-NO" w:eastAsia="nb-NO"/>
              </w:rPr>
            </w:pPr>
            <w:r w:rsidRPr="006310FD">
              <w:rPr>
                <w:lang w:val="nb-NO" w:eastAsia="nb-NO"/>
              </w:rPr>
              <w:t>United Kingdom</w:t>
            </w:r>
          </w:p>
        </w:tc>
        <w:tc>
          <w:tcPr>
            <w:tcW w:w="1064" w:type="dxa"/>
            <w:noWrap/>
            <w:hideMark/>
          </w:tcPr>
          <w:p w14:paraId="364881EE" w14:textId="77777777" w:rsidR="007760BF" w:rsidRPr="006310FD" w:rsidRDefault="007760BF" w:rsidP="00800BF9">
            <w:pPr>
              <w:jc w:val="center"/>
              <w:rPr>
                <w:lang w:val="nb-NO" w:eastAsia="nb-NO"/>
              </w:rPr>
            </w:pPr>
            <w:r w:rsidRPr="006310FD">
              <w:rPr>
                <w:lang w:val="nb-NO" w:eastAsia="nb-NO"/>
              </w:rPr>
              <w:t>Norway</w:t>
            </w:r>
          </w:p>
        </w:tc>
      </w:tr>
      <w:tr w:rsidR="007760BF" w:rsidRPr="006310FD" w14:paraId="442DB457" w14:textId="77777777" w:rsidTr="00800BF9">
        <w:trPr>
          <w:trHeight w:hRule="exact" w:val="284"/>
          <w:jc w:val="center"/>
        </w:trPr>
        <w:tc>
          <w:tcPr>
            <w:tcW w:w="1840" w:type="dxa"/>
            <w:noWrap/>
            <w:hideMark/>
          </w:tcPr>
          <w:p w14:paraId="1127BEEE" w14:textId="170AEB15" w:rsidR="007760BF" w:rsidRPr="006310FD" w:rsidRDefault="00294B93" w:rsidP="00800BF9">
            <w:pPr>
              <w:jc w:val="center"/>
              <w:rPr>
                <w:lang w:val="nb-NO" w:eastAsia="nb-NO"/>
              </w:rPr>
            </w:pPr>
            <w:r>
              <w:rPr>
                <w:lang w:val="nb-NO" w:eastAsia="nb-NO"/>
              </w:rPr>
              <w:t>Men</w:t>
            </w:r>
          </w:p>
        </w:tc>
        <w:tc>
          <w:tcPr>
            <w:tcW w:w="2096" w:type="dxa"/>
            <w:noWrap/>
            <w:hideMark/>
          </w:tcPr>
          <w:p w14:paraId="3CD45BB2" w14:textId="420C5B32" w:rsidR="007760BF" w:rsidRPr="006310FD" w:rsidRDefault="007760BF" w:rsidP="00800BF9">
            <w:pPr>
              <w:jc w:val="center"/>
              <w:rPr>
                <w:lang w:val="nb-NO" w:eastAsia="nb-NO"/>
              </w:rPr>
            </w:pPr>
            <w:r w:rsidRPr="006310FD">
              <w:rPr>
                <w:lang w:val="nb-NO" w:eastAsia="nb-NO"/>
              </w:rPr>
              <w:t>1</w:t>
            </w:r>
            <w:r w:rsidR="00122A1E">
              <w:rPr>
                <w:lang w:val="nb-NO" w:eastAsia="nb-NO"/>
              </w:rPr>
              <w:t>2</w:t>
            </w:r>
            <w:r w:rsidRPr="006310FD">
              <w:rPr>
                <w:lang w:val="nb-NO" w:eastAsia="nb-NO"/>
              </w:rPr>
              <w:t>.</w:t>
            </w:r>
            <w:r w:rsidR="00122A1E">
              <w:rPr>
                <w:lang w:val="nb-NO" w:eastAsia="nb-NO"/>
              </w:rPr>
              <w:t>2</w:t>
            </w:r>
          </w:p>
        </w:tc>
        <w:tc>
          <w:tcPr>
            <w:tcW w:w="1064" w:type="dxa"/>
            <w:noWrap/>
            <w:hideMark/>
          </w:tcPr>
          <w:p w14:paraId="39CE8E16" w14:textId="20D82544" w:rsidR="007760BF" w:rsidRPr="006310FD" w:rsidRDefault="007760BF" w:rsidP="00800BF9">
            <w:pPr>
              <w:jc w:val="center"/>
              <w:rPr>
                <w:lang w:val="nb-NO" w:eastAsia="nb-NO"/>
              </w:rPr>
            </w:pPr>
            <w:r w:rsidRPr="006310FD">
              <w:rPr>
                <w:lang w:val="nb-NO" w:eastAsia="nb-NO"/>
              </w:rPr>
              <w:t>1</w:t>
            </w:r>
            <w:r>
              <w:rPr>
                <w:lang w:val="nb-NO" w:eastAsia="nb-NO"/>
              </w:rPr>
              <w:t>7</w:t>
            </w:r>
            <w:r w:rsidRPr="006310FD">
              <w:rPr>
                <w:lang w:val="nb-NO" w:eastAsia="nb-NO"/>
              </w:rPr>
              <w:t>.</w:t>
            </w:r>
            <w:r w:rsidR="00122A1E">
              <w:rPr>
                <w:lang w:val="nb-NO" w:eastAsia="nb-NO"/>
              </w:rPr>
              <w:t>3</w:t>
            </w:r>
          </w:p>
        </w:tc>
      </w:tr>
      <w:tr w:rsidR="007760BF" w:rsidRPr="006310FD" w14:paraId="768939B1" w14:textId="77777777" w:rsidTr="00800BF9">
        <w:trPr>
          <w:trHeight w:hRule="exact" w:val="284"/>
          <w:jc w:val="center"/>
        </w:trPr>
        <w:tc>
          <w:tcPr>
            <w:tcW w:w="1840" w:type="dxa"/>
            <w:noWrap/>
            <w:hideMark/>
          </w:tcPr>
          <w:p w14:paraId="286C38FC" w14:textId="22E56E02" w:rsidR="007760BF" w:rsidRPr="006310FD" w:rsidRDefault="00294B93" w:rsidP="00800BF9">
            <w:pPr>
              <w:jc w:val="center"/>
              <w:rPr>
                <w:lang w:val="nb-NO" w:eastAsia="nb-NO"/>
              </w:rPr>
            </w:pPr>
            <w:proofErr w:type="spellStart"/>
            <w:r>
              <w:rPr>
                <w:lang w:val="nb-NO" w:eastAsia="nb-NO"/>
              </w:rPr>
              <w:t>Women</w:t>
            </w:r>
            <w:proofErr w:type="spellEnd"/>
          </w:p>
        </w:tc>
        <w:tc>
          <w:tcPr>
            <w:tcW w:w="2096" w:type="dxa"/>
            <w:noWrap/>
            <w:hideMark/>
          </w:tcPr>
          <w:p w14:paraId="5AD2EB0B" w14:textId="5BF282D2" w:rsidR="007760BF" w:rsidRPr="006310FD" w:rsidRDefault="007760BF" w:rsidP="00800BF9">
            <w:pPr>
              <w:jc w:val="center"/>
              <w:rPr>
                <w:lang w:val="nb-NO" w:eastAsia="nb-NO"/>
              </w:rPr>
            </w:pPr>
            <w:r>
              <w:rPr>
                <w:lang w:val="nb-NO" w:eastAsia="nb-NO"/>
              </w:rPr>
              <w:t>1</w:t>
            </w:r>
            <w:r w:rsidR="00122A1E">
              <w:rPr>
                <w:lang w:val="nb-NO" w:eastAsia="nb-NO"/>
              </w:rPr>
              <w:t>1</w:t>
            </w:r>
            <w:r w:rsidRPr="006310FD">
              <w:rPr>
                <w:lang w:val="nb-NO" w:eastAsia="nb-NO"/>
              </w:rPr>
              <w:t>.</w:t>
            </w:r>
            <w:r w:rsidR="00122A1E">
              <w:rPr>
                <w:lang w:val="nb-NO" w:eastAsia="nb-NO"/>
              </w:rPr>
              <w:t>8</w:t>
            </w:r>
          </w:p>
        </w:tc>
        <w:tc>
          <w:tcPr>
            <w:tcW w:w="1064" w:type="dxa"/>
            <w:noWrap/>
            <w:hideMark/>
          </w:tcPr>
          <w:p w14:paraId="688FFA7B" w14:textId="136B3A2D" w:rsidR="007760BF" w:rsidRPr="006310FD" w:rsidRDefault="007760BF" w:rsidP="00800BF9">
            <w:pPr>
              <w:jc w:val="center"/>
              <w:rPr>
                <w:lang w:val="nb-NO" w:eastAsia="nb-NO"/>
              </w:rPr>
            </w:pPr>
            <w:r>
              <w:rPr>
                <w:lang w:val="nb-NO" w:eastAsia="nb-NO"/>
              </w:rPr>
              <w:t>10</w:t>
            </w:r>
            <w:r w:rsidRPr="006310FD">
              <w:rPr>
                <w:lang w:val="nb-NO" w:eastAsia="nb-NO"/>
              </w:rPr>
              <w:t>.</w:t>
            </w:r>
            <w:r w:rsidR="00507CDC">
              <w:rPr>
                <w:lang w:val="nb-NO" w:eastAsia="nb-NO"/>
              </w:rPr>
              <w:t>2</w:t>
            </w:r>
          </w:p>
        </w:tc>
      </w:tr>
      <w:tr w:rsidR="007760BF" w:rsidRPr="006310FD" w14:paraId="5599AD61" w14:textId="77777777" w:rsidTr="00800BF9">
        <w:trPr>
          <w:trHeight w:hRule="exact" w:val="284"/>
          <w:jc w:val="center"/>
        </w:trPr>
        <w:tc>
          <w:tcPr>
            <w:tcW w:w="1840" w:type="dxa"/>
            <w:noWrap/>
          </w:tcPr>
          <w:p w14:paraId="0977228E" w14:textId="77777777" w:rsidR="007760BF" w:rsidRDefault="007760BF" w:rsidP="00800BF9">
            <w:pPr>
              <w:jc w:val="center"/>
              <w:rPr>
                <w:lang w:eastAsia="nb-NO"/>
              </w:rPr>
            </w:pPr>
            <w:r>
              <w:rPr>
                <w:lang w:eastAsia="nb-NO"/>
              </w:rPr>
              <w:t>Difference</w:t>
            </w:r>
          </w:p>
        </w:tc>
        <w:tc>
          <w:tcPr>
            <w:tcW w:w="2096" w:type="dxa"/>
            <w:noWrap/>
          </w:tcPr>
          <w:p w14:paraId="3A7560C0" w14:textId="4A320335" w:rsidR="007760BF" w:rsidRDefault="007760BF" w:rsidP="00800BF9">
            <w:pPr>
              <w:jc w:val="center"/>
              <w:rPr>
                <w:lang w:eastAsia="nb-NO"/>
              </w:rPr>
            </w:pPr>
            <w:r>
              <w:rPr>
                <w:lang w:eastAsia="nb-NO"/>
              </w:rPr>
              <w:t>0.</w:t>
            </w:r>
            <w:r w:rsidR="00122A1E">
              <w:rPr>
                <w:lang w:eastAsia="nb-NO"/>
              </w:rPr>
              <w:t>4</w:t>
            </w:r>
          </w:p>
        </w:tc>
        <w:tc>
          <w:tcPr>
            <w:tcW w:w="1064" w:type="dxa"/>
            <w:noWrap/>
          </w:tcPr>
          <w:p w14:paraId="440D844F" w14:textId="0227B149" w:rsidR="007760BF" w:rsidRDefault="00122A1E" w:rsidP="00800BF9">
            <w:pPr>
              <w:jc w:val="center"/>
              <w:rPr>
                <w:lang w:eastAsia="nb-NO"/>
              </w:rPr>
            </w:pPr>
            <w:r>
              <w:rPr>
                <w:lang w:eastAsia="nb-NO"/>
              </w:rPr>
              <w:t>7</w:t>
            </w:r>
            <w:r w:rsidR="007760BF">
              <w:rPr>
                <w:lang w:eastAsia="nb-NO"/>
              </w:rPr>
              <w:t>.</w:t>
            </w:r>
            <w:r w:rsidR="00507CDC">
              <w:rPr>
                <w:lang w:eastAsia="nb-NO"/>
              </w:rPr>
              <w:t>1</w:t>
            </w:r>
            <w:r w:rsidR="007760BF">
              <w:rPr>
                <w:lang w:eastAsia="nb-NO"/>
              </w:rPr>
              <w:t>***</w:t>
            </w:r>
          </w:p>
        </w:tc>
      </w:tr>
    </w:tbl>
    <w:p w14:paraId="039D448C" w14:textId="77777777" w:rsidR="007760BF" w:rsidRPr="00BB2B50" w:rsidRDefault="007760BF" w:rsidP="00800BF9">
      <w:pPr>
        <w:jc w:val="center"/>
      </w:pPr>
      <w:r w:rsidRPr="00BB2B50">
        <w:rPr>
          <w:rFonts w:eastAsia="Times New Roman" w:cs="Calibri"/>
          <w:sz w:val="20"/>
          <w:szCs w:val="20"/>
          <w:lang w:eastAsia="nb-NO"/>
        </w:rPr>
        <w:t>*** p&lt;0.01, ** p&lt;0.05, * p&lt;0.1</w:t>
      </w:r>
    </w:p>
    <w:p w14:paraId="2E452B07" w14:textId="5F4425D2" w:rsidR="007760BF" w:rsidRDefault="007760BF" w:rsidP="00800BF9">
      <w:pPr>
        <w:spacing w:after="0" w:line="240" w:lineRule="auto"/>
        <w:jc w:val="center"/>
        <w:sectPr w:rsidR="007760BF" w:rsidSect="00674288">
          <w:pgSz w:w="12240" w:h="15840"/>
          <w:pgMar w:top="720" w:right="720" w:bottom="720" w:left="720" w:header="720" w:footer="720" w:gutter="0"/>
          <w:cols w:space="720"/>
          <w:docGrid w:linePitch="360"/>
        </w:sectPr>
      </w:pPr>
    </w:p>
    <w:p w14:paraId="63A25667" w14:textId="6D93A37C" w:rsidR="00CD0269" w:rsidRDefault="00CD0269" w:rsidP="00800BF9">
      <w:pPr>
        <w:spacing w:after="0" w:line="240" w:lineRule="auto"/>
        <w:jc w:val="center"/>
      </w:pPr>
      <w:r>
        <w:lastRenderedPageBreak/>
        <w:t>Table A</w:t>
      </w:r>
      <w:r w:rsidR="007670C5">
        <w:t>8</w:t>
      </w:r>
      <w:r>
        <w:t>. Testing with monthly and annual observations.</w:t>
      </w:r>
      <w:r w:rsidR="008958B6" w:rsidRPr="008958B6">
        <w:t xml:space="preserve"> </w:t>
      </w:r>
      <w:r w:rsidR="008958B6">
        <w:t>Dependent variable: monthly /annual news visibility.</w:t>
      </w:r>
    </w:p>
    <w:tbl>
      <w:tblPr>
        <w:tblStyle w:val="Tabelltemaer"/>
        <w:tblW w:w="9351" w:type="dxa"/>
        <w:jc w:val="center"/>
        <w:tblLayout w:type="fixed"/>
        <w:tblLook w:val="04A0" w:firstRow="1" w:lastRow="0" w:firstColumn="1" w:lastColumn="0" w:noHBand="0" w:noVBand="1"/>
      </w:tblPr>
      <w:tblGrid>
        <w:gridCol w:w="1838"/>
        <w:gridCol w:w="1878"/>
        <w:gridCol w:w="1878"/>
        <w:gridCol w:w="1878"/>
        <w:gridCol w:w="1879"/>
      </w:tblGrid>
      <w:tr w:rsidR="00CD0269" w:rsidRPr="00BB3805" w14:paraId="382385C5" w14:textId="7A370596" w:rsidTr="00800BF9">
        <w:trPr>
          <w:trHeight w:hRule="exact" w:val="255"/>
          <w:jc w:val="center"/>
        </w:trPr>
        <w:tc>
          <w:tcPr>
            <w:tcW w:w="1838" w:type="dxa"/>
            <w:noWrap/>
            <w:hideMark/>
          </w:tcPr>
          <w:p w14:paraId="65D9896E" w14:textId="77777777" w:rsidR="00CD0269" w:rsidRPr="00BB3805" w:rsidRDefault="00CD0269" w:rsidP="00800BF9">
            <w:pPr>
              <w:widowControl/>
              <w:autoSpaceDE/>
              <w:autoSpaceDN/>
              <w:spacing w:after="0" w:line="240" w:lineRule="auto"/>
              <w:jc w:val="center"/>
              <w:rPr>
                <w:rFonts w:eastAsia="Times New Roman" w:cs="Calibri"/>
                <w:sz w:val="20"/>
                <w:szCs w:val="20"/>
                <w:lang w:eastAsia="nb-NO"/>
              </w:rPr>
            </w:pPr>
          </w:p>
        </w:tc>
        <w:tc>
          <w:tcPr>
            <w:tcW w:w="1878" w:type="dxa"/>
            <w:noWrap/>
            <w:hideMark/>
          </w:tcPr>
          <w:p w14:paraId="657A1CE5" w14:textId="024E7FD0" w:rsidR="00CD0269" w:rsidRPr="00BB3805" w:rsidRDefault="00CD0269" w:rsidP="00800BF9">
            <w:pPr>
              <w:widowControl/>
              <w:autoSpaceDE/>
              <w:autoSpaceDN/>
              <w:spacing w:after="0" w:line="240" w:lineRule="auto"/>
              <w:jc w:val="center"/>
              <w:rPr>
                <w:rFonts w:eastAsia="Times New Roman" w:cs="Calibri"/>
                <w:sz w:val="20"/>
                <w:szCs w:val="20"/>
                <w:lang w:eastAsia="nb-NO"/>
              </w:rPr>
            </w:pPr>
            <w:r w:rsidRPr="00BB3805">
              <w:rPr>
                <w:rFonts w:eastAsia="Times New Roman" w:cs="Calibri"/>
                <w:sz w:val="20"/>
                <w:szCs w:val="20"/>
                <w:lang w:eastAsia="nb-NO"/>
              </w:rPr>
              <w:t>UK: months</w:t>
            </w:r>
          </w:p>
        </w:tc>
        <w:tc>
          <w:tcPr>
            <w:tcW w:w="1878" w:type="dxa"/>
            <w:noWrap/>
          </w:tcPr>
          <w:p w14:paraId="18B37887" w14:textId="5EC8F1F7" w:rsidR="00CD0269" w:rsidRPr="00BB3805" w:rsidRDefault="00CD0269" w:rsidP="00800BF9">
            <w:pPr>
              <w:widowControl/>
              <w:autoSpaceDE/>
              <w:autoSpaceDN/>
              <w:spacing w:after="0" w:line="240" w:lineRule="auto"/>
              <w:jc w:val="center"/>
              <w:rPr>
                <w:rFonts w:eastAsia="Times New Roman" w:cs="Calibri"/>
                <w:sz w:val="20"/>
                <w:szCs w:val="20"/>
                <w:lang w:eastAsia="nb-NO"/>
              </w:rPr>
            </w:pPr>
            <w:r w:rsidRPr="00BB3805">
              <w:rPr>
                <w:rFonts w:eastAsia="Times New Roman" w:cs="Calibri"/>
                <w:sz w:val="20"/>
                <w:szCs w:val="20"/>
                <w:lang w:eastAsia="nb-NO"/>
              </w:rPr>
              <w:t>UK: years</w:t>
            </w:r>
          </w:p>
        </w:tc>
        <w:tc>
          <w:tcPr>
            <w:tcW w:w="1878" w:type="dxa"/>
          </w:tcPr>
          <w:p w14:paraId="341CADD7" w14:textId="072E51E6" w:rsidR="00CD0269" w:rsidRPr="00BB3805" w:rsidRDefault="00CD0269" w:rsidP="00800BF9">
            <w:pPr>
              <w:widowControl/>
              <w:autoSpaceDE/>
              <w:autoSpaceDN/>
              <w:spacing w:after="0" w:line="240" w:lineRule="auto"/>
              <w:jc w:val="center"/>
              <w:rPr>
                <w:rFonts w:eastAsia="Times New Roman" w:cs="Calibri"/>
                <w:sz w:val="20"/>
                <w:szCs w:val="20"/>
                <w:lang w:eastAsia="nb-NO"/>
              </w:rPr>
            </w:pPr>
            <w:r w:rsidRPr="00BB3805">
              <w:rPr>
                <w:rFonts w:eastAsia="Times New Roman" w:cs="Calibri"/>
                <w:sz w:val="20"/>
                <w:szCs w:val="20"/>
                <w:lang w:eastAsia="nb-NO"/>
              </w:rPr>
              <w:t>NO: months</w:t>
            </w:r>
          </w:p>
        </w:tc>
        <w:tc>
          <w:tcPr>
            <w:tcW w:w="1879" w:type="dxa"/>
          </w:tcPr>
          <w:p w14:paraId="2BDE40FC" w14:textId="63DE612B" w:rsidR="00CD0269" w:rsidRPr="00BB3805" w:rsidRDefault="00CD0269" w:rsidP="00800BF9">
            <w:pPr>
              <w:widowControl/>
              <w:autoSpaceDE/>
              <w:autoSpaceDN/>
              <w:spacing w:after="0" w:line="240" w:lineRule="auto"/>
              <w:jc w:val="center"/>
              <w:rPr>
                <w:rFonts w:eastAsia="Times New Roman" w:cs="Calibri"/>
                <w:sz w:val="20"/>
                <w:szCs w:val="20"/>
                <w:lang w:eastAsia="nb-NO"/>
              </w:rPr>
            </w:pPr>
            <w:r w:rsidRPr="00BB3805">
              <w:rPr>
                <w:rFonts w:eastAsia="Times New Roman" w:cs="Calibri"/>
                <w:sz w:val="20"/>
                <w:szCs w:val="20"/>
                <w:lang w:eastAsia="nb-NO"/>
              </w:rPr>
              <w:t>NO: years</w:t>
            </w:r>
          </w:p>
        </w:tc>
      </w:tr>
      <w:tr w:rsidR="007525FD" w:rsidRPr="00BB3805" w14:paraId="094C3A98" w14:textId="086FC6E9" w:rsidTr="00800BF9">
        <w:trPr>
          <w:trHeight w:hRule="exact" w:val="255"/>
          <w:jc w:val="center"/>
        </w:trPr>
        <w:tc>
          <w:tcPr>
            <w:tcW w:w="1838" w:type="dxa"/>
            <w:vMerge w:val="restart"/>
            <w:noWrap/>
            <w:hideMark/>
          </w:tcPr>
          <w:p w14:paraId="45CFAF48" w14:textId="3ADE6FC2"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proofErr w:type="spellStart"/>
            <w:r w:rsidRPr="00BB3805">
              <w:rPr>
                <w:rFonts w:eastAsia="Times New Roman" w:cs="Calibri"/>
                <w:sz w:val="20"/>
                <w:szCs w:val="20"/>
                <w:lang w:val="nb-NO" w:eastAsia="nb-NO"/>
              </w:rPr>
              <w:t>Women</w:t>
            </w:r>
            <w:proofErr w:type="spellEnd"/>
          </w:p>
        </w:tc>
        <w:tc>
          <w:tcPr>
            <w:tcW w:w="1878" w:type="dxa"/>
            <w:noWrap/>
            <w:vAlign w:val="bottom"/>
          </w:tcPr>
          <w:p w14:paraId="4B843965" w14:textId="6CD9E815"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-0.004</w:t>
            </w:r>
          </w:p>
        </w:tc>
        <w:tc>
          <w:tcPr>
            <w:tcW w:w="1878" w:type="dxa"/>
            <w:noWrap/>
            <w:vAlign w:val="bottom"/>
          </w:tcPr>
          <w:p w14:paraId="2A9AA22C" w14:textId="40892882"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-0.021</w:t>
            </w:r>
          </w:p>
        </w:tc>
        <w:tc>
          <w:tcPr>
            <w:tcW w:w="1878" w:type="dxa"/>
            <w:vAlign w:val="bottom"/>
          </w:tcPr>
          <w:p w14:paraId="508A632B" w14:textId="09739D8A"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-0.503***</w:t>
            </w:r>
          </w:p>
        </w:tc>
        <w:tc>
          <w:tcPr>
            <w:tcW w:w="1879" w:type="dxa"/>
            <w:vAlign w:val="bottom"/>
          </w:tcPr>
          <w:p w14:paraId="432E976F" w14:textId="55CF6388"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-0.426***</w:t>
            </w:r>
          </w:p>
        </w:tc>
      </w:tr>
      <w:tr w:rsidR="007525FD" w:rsidRPr="00BB3805" w14:paraId="217E9C18" w14:textId="6D745F67" w:rsidTr="00800BF9">
        <w:trPr>
          <w:trHeight w:hRule="exact" w:val="255"/>
          <w:jc w:val="center"/>
        </w:trPr>
        <w:tc>
          <w:tcPr>
            <w:tcW w:w="1838" w:type="dxa"/>
            <w:vMerge/>
            <w:noWrap/>
            <w:hideMark/>
          </w:tcPr>
          <w:p w14:paraId="4C708D12"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14E0B9B1" w14:textId="3DF8EB02"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(0.095)</w:t>
            </w:r>
          </w:p>
        </w:tc>
        <w:tc>
          <w:tcPr>
            <w:tcW w:w="1878" w:type="dxa"/>
            <w:noWrap/>
            <w:vAlign w:val="bottom"/>
          </w:tcPr>
          <w:p w14:paraId="0C408017" w14:textId="23C23144"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(0.091)</w:t>
            </w:r>
          </w:p>
        </w:tc>
        <w:tc>
          <w:tcPr>
            <w:tcW w:w="1878" w:type="dxa"/>
            <w:vAlign w:val="bottom"/>
          </w:tcPr>
          <w:p w14:paraId="14184DFF" w14:textId="5BEFE034"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(0.125)</w:t>
            </w:r>
          </w:p>
        </w:tc>
        <w:tc>
          <w:tcPr>
            <w:tcW w:w="1879" w:type="dxa"/>
            <w:vAlign w:val="bottom"/>
          </w:tcPr>
          <w:p w14:paraId="247CE9B5" w14:textId="6E299864"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(0.120)</w:t>
            </w:r>
          </w:p>
        </w:tc>
      </w:tr>
      <w:tr w:rsidR="007525FD" w:rsidRPr="00BB3805" w14:paraId="2CE506A0" w14:textId="671E7ED2" w:rsidTr="00800BF9">
        <w:trPr>
          <w:trHeight w:hRule="exact" w:val="255"/>
          <w:jc w:val="center"/>
        </w:trPr>
        <w:tc>
          <w:tcPr>
            <w:tcW w:w="1838" w:type="dxa"/>
            <w:vMerge w:val="restart"/>
            <w:noWrap/>
            <w:hideMark/>
          </w:tcPr>
          <w:p w14:paraId="1136FEDE"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r w:rsidRPr="00BB3805">
              <w:rPr>
                <w:rFonts w:eastAsia="Times New Roman" w:cs="Calibri"/>
                <w:sz w:val="20"/>
                <w:szCs w:val="20"/>
                <w:lang w:val="nb-NO" w:eastAsia="nb-NO"/>
              </w:rPr>
              <w:t>Age</w:t>
            </w:r>
          </w:p>
        </w:tc>
        <w:tc>
          <w:tcPr>
            <w:tcW w:w="1878" w:type="dxa"/>
            <w:noWrap/>
            <w:vAlign w:val="bottom"/>
          </w:tcPr>
          <w:p w14:paraId="05DC3C54" w14:textId="34697BA0"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0.194***</w:t>
            </w:r>
          </w:p>
        </w:tc>
        <w:tc>
          <w:tcPr>
            <w:tcW w:w="1878" w:type="dxa"/>
            <w:noWrap/>
            <w:vAlign w:val="bottom"/>
          </w:tcPr>
          <w:p w14:paraId="6D032666" w14:textId="376E92F8"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0.153***</w:t>
            </w:r>
          </w:p>
        </w:tc>
        <w:tc>
          <w:tcPr>
            <w:tcW w:w="1878" w:type="dxa"/>
            <w:vAlign w:val="bottom"/>
          </w:tcPr>
          <w:p w14:paraId="397E1B93" w14:textId="7BB39AA9"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0.102***</w:t>
            </w:r>
          </w:p>
        </w:tc>
        <w:tc>
          <w:tcPr>
            <w:tcW w:w="1879" w:type="dxa"/>
            <w:vAlign w:val="bottom"/>
          </w:tcPr>
          <w:p w14:paraId="17F435BA" w14:textId="4662B867"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0.076***</w:t>
            </w:r>
          </w:p>
        </w:tc>
      </w:tr>
      <w:tr w:rsidR="007525FD" w:rsidRPr="00BB3805" w14:paraId="70C965DD" w14:textId="0EBDE894" w:rsidTr="00800BF9">
        <w:trPr>
          <w:trHeight w:hRule="exact" w:val="255"/>
          <w:jc w:val="center"/>
        </w:trPr>
        <w:tc>
          <w:tcPr>
            <w:tcW w:w="1838" w:type="dxa"/>
            <w:vMerge/>
            <w:noWrap/>
            <w:hideMark/>
          </w:tcPr>
          <w:p w14:paraId="693BED6E"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3B1095D7" w14:textId="132662D1"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(0.010)</w:t>
            </w:r>
          </w:p>
        </w:tc>
        <w:tc>
          <w:tcPr>
            <w:tcW w:w="1878" w:type="dxa"/>
            <w:noWrap/>
            <w:vAlign w:val="bottom"/>
          </w:tcPr>
          <w:p w14:paraId="06511CC5" w14:textId="02B9488C"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(0.015)</w:t>
            </w:r>
          </w:p>
        </w:tc>
        <w:tc>
          <w:tcPr>
            <w:tcW w:w="1878" w:type="dxa"/>
            <w:vAlign w:val="bottom"/>
          </w:tcPr>
          <w:p w14:paraId="058A7E2D" w14:textId="1C698BCE"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(0.019)</w:t>
            </w:r>
          </w:p>
        </w:tc>
        <w:tc>
          <w:tcPr>
            <w:tcW w:w="1879" w:type="dxa"/>
            <w:vAlign w:val="bottom"/>
          </w:tcPr>
          <w:p w14:paraId="26903E99" w14:textId="64FE4EBA"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(0.028)</w:t>
            </w:r>
          </w:p>
        </w:tc>
      </w:tr>
      <w:tr w:rsidR="007525FD" w:rsidRPr="00BB3805" w14:paraId="2279C493" w14:textId="06BE3C57" w:rsidTr="00800BF9">
        <w:trPr>
          <w:trHeight w:hRule="exact" w:val="255"/>
          <w:jc w:val="center"/>
        </w:trPr>
        <w:tc>
          <w:tcPr>
            <w:tcW w:w="1838" w:type="dxa"/>
            <w:vMerge w:val="restart"/>
            <w:noWrap/>
            <w:hideMark/>
          </w:tcPr>
          <w:p w14:paraId="7955C73E"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r w:rsidRPr="00BB3805">
              <w:rPr>
                <w:rFonts w:eastAsia="Times New Roman" w:cs="Calibri"/>
                <w:sz w:val="20"/>
                <w:szCs w:val="20"/>
                <w:lang w:val="nb-NO" w:eastAsia="nb-NO"/>
              </w:rPr>
              <w:t>Age</w:t>
            </w:r>
            <w:r w:rsidRPr="00BB3805">
              <w:rPr>
                <w:rFonts w:eastAsia="Times New Roman" w:cs="Calibri"/>
                <w:sz w:val="20"/>
                <w:szCs w:val="20"/>
                <w:vertAlign w:val="superscript"/>
                <w:lang w:val="nb-NO" w:eastAsia="nb-NO"/>
              </w:rPr>
              <w:t>2</w:t>
            </w:r>
          </w:p>
        </w:tc>
        <w:tc>
          <w:tcPr>
            <w:tcW w:w="1878" w:type="dxa"/>
            <w:noWrap/>
            <w:vAlign w:val="bottom"/>
          </w:tcPr>
          <w:p w14:paraId="6AC98E61" w14:textId="451A18BA"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-0.002***</w:t>
            </w:r>
          </w:p>
        </w:tc>
        <w:tc>
          <w:tcPr>
            <w:tcW w:w="1878" w:type="dxa"/>
            <w:noWrap/>
            <w:vAlign w:val="bottom"/>
          </w:tcPr>
          <w:p w14:paraId="51681EFE" w14:textId="6FC6AF82"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-0.002***</w:t>
            </w:r>
          </w:p>
        </w:tc>
        <w:tc>
          <w:tcPr>
            <w:tcW w:w="1878" w:type="dxa"/>
            <w:vAlign w:val="bottom"/>
          </w:tcPr>
          <w:p w14:paraId="6E4F90A0" w14:textId="46A15A48"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-0.002***</w:t>
            </w:r>
          </w:p>
        </w:tc>
        <w:tc>
          <w:tcPr>
            <w:tcW w:w="1879" w:type="dxa"/>
            <w:vAlign w:val="bottom"/>
          </w:tcPr>
          <w:p w14:paraId="4B1D9764" w14:textId="31FFA813"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-0.001***</w:t>
            </w:r>
          </w:p>
        </w:tc>
      </w:tr>
      <w:tr w:rsidR="007525FD" w:rsidRPr="00BB3805" w14:paraId="15E1528D" w14:textId="4945C399" w:rsidTr="00800BF9">
        <w:trPr>
          <w:trHeight w:hRule="exact" w:val="255"/>
          <w:jc w:val="center"/>
        </w:trPr>
        <w:tc>
          <w:tcPr>
            <w:tcW w:w="1838" w:type="dxa"/>
            <w:vMerge/>
            <w:noWrap/>
            <w:hideMark/>
          </w:tcPr>
          <w:p w14:paraId="34770E20"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5665A97B" w14:textId="197CA5B2"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(0.000)</w:t>
            </w:r>
          </w:p>
        </w:tc>
        <w:tc>
          <w:tcPr>
            <w:tcW w:w="1878" w:type="dxa"/>
            <w:noWrap/>
            <w:vAlign w:val="bottom"/>
          </w:tcPr>
          <w:p w14:paraId="1523B4F2" w14:textId="748B0108"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(0.000)</w:t>
            </w:r>
          </w:p>
        </w:tc>
        <w:tc>
          <w:tcPr>
            <w:tcW w:w="1878" w:type="dxa"/>
            <w:vAlign w:val="bottom"/>
          </w:tcPr>
          <w:p w14:paraId="3AEE5269" w14:textId="692285B6"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(0.000)</w:t>
            </w:r>
          </w:p>
        </w:tc>
        <w:tc>
          <w:tcPr>
            <w:tcW w:w="1879" w:type="dxa"/>
            <w:vAlign w:val="bottom"/>
          </w:tcPr>
          <w:p w14:paraId="146DB07B" w14:textId="310ED427"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(0.000)</w:t>
            </w:r>
          </w:p>
        </w:tc>
      </w:tr>
      <w:tr w:rsidR="007525FD" w:rsidRPr="00BB3805" w14:paraId="1971F030" w14:textId="4F1827BD" w:rsidTr="00800BF9">
        <w:trPr>
          <w:trHeight w:hRule="exact" w:val="255"/>
          <w:jc w:val="center"/>
        </w:trPr>
        <w:tc>
          <w:tcPr>
            <w:tcW w:w="1838" w:type="dxa"/>
            <w:vMerge w:val="restart"/>
            <w:noWrap/>
            <w:hideMark/>
          </w:tcPr>
          <w:p w14:paraId="0028AC44" w14:textId="77777777" w:rsidR="007525FD" w:rsidRPr="00BB3805" w:rsidRDefault="007525FD" w:rsidP="007525FD">
            <w:pPr>
              <w:widowControl/>
              <w:autoSpaceDE/>
              <w:autoSpaceDN/>
              <w:spacing w:after="0" w:line="240" w:lineRule="auto"/>
              <w:jc w:val="center"/>
              <w:rPr>
                <w:rFonts w:eastAsia="Times New Roman" w:cs="Calibri"/>
                <w:sz w:val="20"/>
                <w:szCs w:val="20"/>
                <w:lang w:eastAsia="nb-NO"/>
              </w:rPr>
            </w:pPr>
            <w:r w:rsidRPr="00BB3805">
              <w:rPr>
                <w:rFonts w:eastAsia="Times New Roman" w:cs="Calibri"/>
                <w:sz w:val="20"/>
                <w:szCs w:val="20"/>
                <w:lang w:eastAsia="nb-NO"/>
              </w:rPr>
              <w:t>Electoral safety Note 1</w:t>
            </w:r>
          </w:p>
        </w:tc>
        <w:tc>
          <w:tcPr>
            <w:tcW w:w="1878" w:type="dxa"/>
            <w:noWrap/>
            <w:vAlign w:val="bottom"/>
          </w:tcPr>
          <w:p w14:paraId="3365534B" w14:textId="55FFAF5A"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0.000***</w:t>
            </w:r>
          </w:p>
        </w:tc>
        <w:tc>
          <w:tcPr>
            <w:tcW w:w="1878" w:type="dxa"/>
            <w:noWrap/>
            <w:vAlign w:val="bottom"/>
          </w:tcPr>
          <w:p w14:paraId="51392CA1" w14:textId="3935E9C0"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0.000***</w:t>
            </w:r>
          </w:p>
        </w:tc>
        <w:tc>
          <w:tcPr>
            <w:tcW w:w="1878" w:type="dxa"/>
            <w:vAlign w:val="bottom"/>
          </w:tcPr>
          <w:p w14:paraId="14E5C00E" w14:textId="350FF3B8"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0.294***</w:t>
            </w:r>
          </w:p>
        </w:tc>
        <w:tc>
          <w:tcPr>
            <w:tcW w:w="1879" w:type="dxa"/>
            <w:vAlign w:val="bottom"/>
          </w:tcPr>
          <w:p w14:paraId="6CB95B51" w14:textId="357A95DE"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0.377***</w:t>
            </w:r>
          </w:p>
        </w:tc>
      </w:tr>
      <w:tr w:rsidR="007525FD" w:rsidRPr="00BB3805" w14:paraId="75753904" w14:textId="1DF13494" w:rsidTr="00800BF9">
        <w:trPr>
          <w:trHeight w:hRule="exact" w:val="255"/>
          <w:jc w:val="center"/>
        </w:trPr>
        <w:tc>
          <w:tcPr>
            <w:tcW w:w="1838" w:type="dxa"/>
            <w:vMerge/>
            <w:noWrap/>
            <w:hideMark/>
          </w:tcPr>
          <w:p w14:paraId="431810CB" w14:textId="77777777" w:rsidR="007525FD" w:rsidRPr="00BB3805" w:rsidRDefault="007525FD" w:rsidP="007525FD">
            <w:pPr>
              <w:widowControl/>
              <w:autoSpaceDE/>
              <w:autoSpaceDN/>
              <w:spacing w:after="0" w:line="240" w:lineRule="auto"/>
              <w:jc w:val="center"/>
              <w:rPr>
                <w:rFonts w:eastAsia="Times New Roman" w:cs="Calibri"/>
                <w:sz w:val="20"/>
                <w:szCs w:val="20"/>
                <w:lang w:eastAsia="nb-NO"/>
              </w:rPr>
            </w:pPr>
          </w:p>
        </w:tc>
        <w:tc>
          <w:tcPr>
            <w:tcW w:w="1878" w:type="dxa"/>
            <w:noWrap/>
            <w:vAlign w:val="bottom"/>
          </w:tcPr>
          <w:p w14:paraId="0D490DCC" w14:textId="7B8EB056"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(0.000)</w:t>
            </w:r>
          </w:p>
        </w:tc>
        <w:tc>
          <w:tcPr>
            <w:tcW w:w="1878" w:type="dxa"/>
            <w:noWrap/>
            <w:vAlign w:val="bottom"/>
          </w:tcPr>
          <w:p w14:paraId="46A2FA9D" w14:textId="775A80B5"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(0.000)</w:t>
            </w:r>
          </w:p>
        </w:tc>
        <w:tc>
          <w:tcPr>
            <w:tcW w:w="1878" w:type="dxa"/>
            <w:vAlign w:val="bottom"/>
          </w:tcPr>
          <w:p w14:paraId="695B7D11" w14:textId="73EA6BF4"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(0.067)</w:t>
            </w:r>
          </w:p>
        </w:tc>
        <w:tc>
          <w:tcPr>
            <w:tcW w:w="1879" w:type="dxa"/>
            <w:vAlign w:val="bottom"/>
          </w:tcPr>
          <w:p w14:paraId="497AD8DF" w14:textId="3D7F471D"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(0.111)</w:t>
            </w:r>
          </w:p>
        </w:tc>
      </w:tr>
      <w:tr w:rsidR="007525FD" w:rsidRPr="00BB3805" w14:paraId="17FFF3D5" w14:textId="08DECB51" w:rsidTr="00800BF9">
        <w:trPr>
          <w:trHeight w:hRule="exact" w:val="255"/>
          <w:jc w:val="center"/>
        </w:trPr>
        <w:tc>
          <w:tcPr>
            <w:tcW w:w="1838" w:type="dxa"/>
            <w:vMerge w:val="restart"/>
            <w:noWrap/>
            <w:hideMark/>
          </w:tcPr>
          <w:p w14:paraId="2D194272"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r w:rsidRPr="00BB3805">
              <w:rPr>
                <w:rFonts w:eastAsia="Times New Roman" w:cs="Calibri"/>
                <w:sz w:val="20"/>
                <w:szCs w:val="20"/>
                <w:lang w:val="nb-NO" w:eastAsia="nb-NO"/>
              </w:rPr>
              <w:t xml:space="preserve">Legislative </w:t>
            </w:r>
            <w:proofErr w:type="spellStart"/>
            <w:r w:rsidRPr="00BB3805">
              <w:rPr>
                <w:rFonts w:eastAsia="Times New Roman" w:cs="Calibri"/>
                <w:sz w:val="20"/>
                <w:szCs w:val="20"/>
                <w:lang w:val="nb-NO" w:eastAsia="nb-NO"/>
              </w:rPr>
              <w:t>speeches</w:t>
            </w:r>
            <w:proofErr w:type="spellEnd"/>
          </w:p>
        </w:tc>
        <w:tc>
          <w:tcPr>
            <w:tcW w:w="1878" w:type="dxa"/>
            <w:noWrap/>
            <w:vAlign w:val="bottom"/>
          </w:tcPr>
          <w:p w14:paraId="3D16C9C9" w14:textId="37BE4D70"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0.013***</w:t>
            </w:r>
          </w:p>
        </w:tc>
        <w:tc>
          <w:tcPr>
            <w:tcW w:w="1878" w:type="dxa"/>
            <w:noWrap/>
            <w:vAlign w:val="bottom"/>
          </w:tcPr>
          <w:p w14:paraId="2E47EA9A" w14:textId="104E6610"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0.005***</w:t>
            </w:r>
          </w:p>
        </w:tc>
        <w:tc>
          <w:tcPr>
            <w:tcW w:w="1878" w:type="dxa"/>
            <w:vAlign w:val="bottom"/>
          </w:tcPr>
          <w:p w14:paraId="451D621E" w14:textId="797EAD03"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0.015***</w:t>
            </w:r>
          </w:p>
        </w:tc>
        <w:tc>
          <w:tcPr>
            <w:tcW w:w="1879" w:type="dxa"/>
            <w:vAlign w:val="bottom"/>
          </w:tcPr>
          <w:p w14:paraId="662A8FE8" w14:textId="6B192C8B"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0.015***</w:t>
            </w:r>
          </w:p>
        </w:tc>
      </w:tr>
      <w:tr w:rsidR="007525FD" w:rsidRPr="00BB3805" w14:paraId="4D4E5EB9" w14:textId="09DF9AF1" w:rsidTr="00800BF9">
        <w:trPr>
          <w:trHeight w:hRule="exact" w:val="255"/>
          <w:jc w:val="center"/>
        </w:trPr>
        <w:tc>
          <w:tcPr>
            <w:tcW w:w="1838" w:type="dxa"/>
            <w:vMerge/>
            <w:noWrap/>
            <w:hideMark/>
          </w:tcPr>
          <w:p w14:paraId="5139FCB5"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38A08CC9" w14:textId="790CF8AB"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(0.001)</w:t>
            </w:r>
          </w:p>
        </w:tc>
        <w:tc>
          <w:tcPr>
            <w:tcW w:w="1878" w:type="dxa"/>
            <w:noWrap/>
            <w:vAlign w:val="bottom"/>
          </w:tcPr>
          <w:p w14:paraId="0245DD7B" w14:textId="5AC632DC"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(0.000)</w:t>
            </w:r>
          </w:p>
        </w:tc>
        <w:tc>
          <w:tcPr>
            <w:tcW w:w="1878" w:type="dxa"/>
            <w:vAlign w:val="bottom"/>
          </w:tcPr>
          <w:p w14:paraId="17CC8482" w14:textId="30E8D329"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(0.002)</w:t>
            </w:r>
          </w:p>
        </w:tc>
        <w:tc>
          <w:tcPr>
            <w:tcW w:w="1879" w:type="dxa"/>
            <w:vAlign w:val="bottom"/>
          </w:tcPr>
          <w:p w14:paraId="6247B2FD" w14:textId="76B4A45E"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(0.001)</w:t>
            </w:r>
          </w:p>
        </w:tc>
      </w:tr>
      <w:tr w:rsidR="007525FD" w:rsidRPr="00BB3805" w14:paraId="0E3C9F5B" w14:textId="73AA90E3" w:rsidTr="00800BF9">
        <w:trPr>
          <w:trHeight w:hRule="exact" w:val="255"/>
          <w:jc w:val="center"/>
        </w:trPr>
        <w:tc>
          <w:tcPr>
            <w:tcW w:w="1838" w:type="dxa"/>
            <w:vMerge w:val="restart"/>
            <w:noWrap/>
            <w:hideMark/>
          </w:tcPr>
          <w:p w14:paraId="5294AB09"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r w:rsidRPr="00BB3805">
              <w:rPr>
                <w:rFonts w:eastAsia="Times New Roman" w:cs="Calibri"/>
                <w:sz w:val="20"/>
                <w:szCs w:val="20"/>
                <w:lang w:val="nb-NO" w:eastAsia="nb-NO"/>
              </w:rPr>
              <w:t xml:space="preserve">Legislative </w:t>
            </w:r>
            <w:proofErr w:type="spellStart"/>
            <w:r w:rsidRPr="00BB3805">
              <w:rPr>
                <w:rFonts w:eastAsia="Times New Roman" w:cs="Calibri"/>
                <w:sz w:val="20"/>
                <w:szCs w:val="20"/>
                <w:lang w:val="nb-NO" w:eastAsia="nb-NO"/>
              </w:rPr>
              <w:t>experience</w:t>
            </w:r>
            <w:proofErr w:type="spellEnd"/>
          </w:p>
        </w:tc>
        <w:tc>
          <w:tcPr>
            <w:tcW w:w="1878" w:type="dxa"/>
            <w:noWrap/>
            <w:vAlign w:val="bottom"/>
          </w:tcPr>
          <w:p w14:paraId="2C726238" w14:textId="6720C4CD"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0.072***</w:t>
            </w:r>
          </w:p>
        </w:tc>
        <w:tc>
          <w:tcPr>
            <w:tcW w:w="1878" w:type="dxa"/>
            <w:noWrap/>
            <w:vAlign w:val="bottom"/>
          </w:tcPr>
          <w:p w14:paraId="3B2ED20A" w14:textId="59E97B7F"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0.066***</w:t>
            </w:r>
          </w:p>
        </w:tc>
        <w:tc>
          <w:tcPr>
            <w:tcW w:w="1878" w:type="dxa"/>
            <w:vAlign w:val="bottom"/>
          </w:tcPr>
          <w:p w14:paraId="64B170B3" w14:textId="7080FF24"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0.093***</w:t>
            </w:r>
          </w:p>
        </w:tc>
        <w:tc>
          <w:tcPr>
            <w:tcW w:w="1879" w:type="dxa"/>
            <w:vAlign w:val="bottom"/>
          </w:tcPr>
          <w:p w14:paraId="718553C4" w14:textId="7DF3880A"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0.093***</w:t>
            </w:r>
          </w:p>
        </w:tc>
      </w:tr>
      <w:tr w:rsidR="007525FD" w:rsidRPr="00BB3805" w14:paraId="3CAD2E43" w14:textId="22EB776C" w:rsidTr="00800BF9">
        <w:trPr>
          <w:trHeight w:hRule="exact" w:val="255"/>
          <w:jc w:val="center"/>
        </w:trPr>
        <w:tc>
          <w:tcPr>
            <w:tcW w:w="1838" w:type="dxa"/>
            <w:vMerge/>
            <w:noWrap/>
            <w:hideMark/>
          </w:tcPr>
          <w:p w14:paraId="46BA11BE"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6B477BE4" w14:textId="3BA7088F"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(0.005)</w:t>
            </w:r>
          </w:p>
        </w:tc>
        <w:tc>
          <w:tcPr>
            <w:tcW w:w="1878" w:type="dxa"/>
            <w:noWrap/>
            <w:vAlign w:val="bottom"/>
          </w:tcPr>
          <w:p w14:paraId="3068B9D0" w14:textId="2BE2E4CF"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(0.005)</w:t>
            </w:r>
          </w:p>
        </w:tc>
        <w:tc>
          <w:tcPr>
            <w:tcW w:w="1878" w:type="dxa"/>
            <w:vAlign w:val="bottom"/>
          </w:tcPr>
          <w:p w14:paraId="7EE656DD" w14:textId="0FCDE11A"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(0.009)</w:t>
            </w:r>
          </w:p>
        </w:tc>
        <w:tc>
          <w:tcPr>
            <w:tcW w:w="1879" w:type="dxa"/>
            <w:vAlign w:val="bottom"/>
          </w:tcPr>
          <w:p w14:paraId="3E512F65" w14:textId="2F393D02"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(0.009)</w:t>
            </w:r>
          </w:p>
        </w:tc>
      </w:tr>
      <w:tr w:rsidR="007525FD" w:rsidRPr="00BB3805" w14:paraId="52D82402" w14:textId="4B940245" w:rsidTr="00800BF9">
        <w:trPr>
          <w:trHeight w:hRule="exact" w:val="255"/>
          <w:jc w:val="center"/>
        </w:trPr>
        <w:tc>
          <w:tcPr>
            <w:tcW w:w="1838" w:type="dxa"/>
            <w:vMerge w:val="restart"/>
            <w:noWrap/>
            <w:hideMark/>
          </w:tcPr>
          <w:p w14:paraId="5AD4A80A"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r w:rsidRPr="00BB3805">
              <w:rPr>
                <w:rFonts w:eastAsia="Times New Roman" w:cs="Calibri"/>
                <w:sz w:val="20"/>
                <w:szCs w:val="20"/>
                <w:lang w:eastAsia="nb-NO"/>
              </w:rPr>
              <w:t>Party size (seat share)</w:t>
            </w:r>
          </w:p>
        </w:tc>
        <w:tc>
          <w:tcPr>
            <w:tcW w:w="1878" w:type="dxa"/>
            <w:noWrap/>
            <w:vAlign w:val="bottom"/>
          </w:tcPr>
          <w:p w14:paraId="2B3F7076" w14:textId="3ACF47A0"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-0.012***</w:t>
            </w:r>
          </w:p>
        </w:tc>
        <w:tc>
          <w:tcPr>
            <w:tcW w:w="1878" w:type="dxa"/>
            <w:noWrap/>
            <w:vAlign w:val="bottom"/>
          </w:tcPr>
          <w:p w14:paraId="3BCA16C4" w14:textId="1B450475"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-0.008***</w:t>
            </w:r>
          </w:p>
        </w:tc>
        <w:tc>
          <w:tcPr>
            <w:tcW w:w="1878" w:type="dxa"/>
            <w:vAlign w:val="bottom"/>
          </w:tcPr>
          <w:p w14:paraId="2D10C024" w14:textId="4DFF603B"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-0.029***</w:t>
            </w:r>
          </w:p>
        </w:tc>
        <w:tc>
          <w:tcPr>
            <w:tcW w:w="1879" w:type="dxa"/>
            <w:vAlign w:val="bottom"/>
          </w:tcPr>
          <w:p w14:paraId="0827DCF9" w14:textId="11F7383A"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-0.025***</w:t>
            </w:r>
          </w:p>
        </w:tc>
      </w:tr>
      <w:tr w:rsidR="007525FD" w:rsidRPr="00BB3805" w14:paraId="1C48FBF5" w14:textId="7C54F001" w:rsidTr="00800BF9">
        <w:trPr>
          <w:trHeight w:hRule="exact" w:val="255"/>
          <w:jc w:val="center"/>
        </w:trPr>
        <w:tc>
          <w:tcPr>
            <w:tcW w:w="1838" w:type="dxa"/>
            <w:vMerge/>
            <w:noWrap/>
            <w:hideMark/>
          </w:tcPr>
          <w:p w14:paraId="48EA5384"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6092D348" w14:textId="04D9280E"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(0.002)</w:t>
            </w:r>
          </w:p>
        </w:tc>
        <w:tc>
          <w:tcPr>
            <w:tcW w:w="1878" w:type="dxa"/>
            <w:noWrap/>
            <w:vAlign w:val="bottom"/>
          </w:tcPr>
          <w:p w14:paraId="7BC0534F" w14:textId="1A20B201"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(0.002)</w:t>
            </w:r>
          </w:p>
        </w:tc>
        <w:tc>
          <w:tcPr>
            <w:tcW w:w="1878" w:type="dxa"/>
            <w:vAlign w:val="bottom"/>
          </w:tcPr>
          <w:p w14:paraId="25C030FC" w14:textId="4FDDF5D7"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(0.003)</w:t>
            </w:r>
          </w:p>
        </w:tc>
        <w:tc>
          <w:tcPr>
            <w:tcW w:w="1879" w:type="dxa"/>
            <w:vAlign w:val="bottom"/>
          </w:tcPr>
          <w:p w14:paraId="6188555D" w14:textId="0B1F89DD"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(0.005)</w:t>
            </w:r>
          </w:p>
        </w:tc>
      </w:tr>
      <w:tr w:rsidR="007525FD" w:rsidRPr="00BB3805" w14:paraId="4569F9E6" w14:textId="463FCC7E" w:rsidTr="00800BF9">
        <w:trPr>
          <w:trHeight w:hRule="exact" w:val="255"/>
          <w:jc w:val="center"/>
        </w:trPr>
        <w:tc>
          <w:tcPr>
            <w:tcW w:w="1838" w:type="dxa"/>
            <w:vMerge w:val="restart"/>
            <w:noWrap/>
            <w:hideMark/>
          </w:tcPr>
          <w:p w14:paraId="36F69C07"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r w:rsidRPr="00BB3805">
              <w:rPr>
                <w:rFonts w:eastAsia="Times New Roman" w:cs="Calibri"/>
                <w:sz w:val="20"/>
                <w:szCs w:val="20"/>
                <w:lang w:eastAsia="nb-NO"/>
              </w:rPr>
              <w:t>Party in cabinet</w:t>
            </w:r>
          </w:p>
        </w:tc>
        <w:tc>
          <w:tcPr>
            <w:tcW w:w="1878" w:type="dxa"/>
            <w:noWrap/>
            <w:vAlign w:val="bottom"/>
          </w:tcPr>
          <w:p w14:paraId="2DCC90F6" w14:textId="02664C65"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0.363***</w:t>
            </w:r>
          </w:p>
        </w:tc>
        <w:tc>
          <w:tcPr>
            <w:tcW w:w="1878" w:type="dxa"/>
            <w:noWrap/>
            <w:vAlign w:val="bottom"/>
          </w:tcPr>
          <w:p w14:paraId="1BE1EDBC" w14:textId="33981F54"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0.208***</w:t>
            </w:r>
          </w:p>
        </w:tc>
        <w:tc>
          <w:tcPr>
            <w:tcW w:w="1878" w:type="dxa"/>
            <w:vAlign w:val="bottom"/>
          </w:tcPr>
          <w:p w14:paraId="54D7FB05" w14:textId="2C375CA3"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0.009</w:t>
            </w:r>
          </w:p>
        </w:tc>
        <w:tc>
          <w:tcPr>
            <w:tcW w:w="1879" w:type="dxa"/>
            <w:vAlign w:val="bottom"/>
          </w:tcPr>
          <w:p w14:paraId="1894D358" w14:textId="390B82D4"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0.391***</w:t>
            </w:r>
          </w:p>
        </w:tc>
      </w:tr>
      <w:tr w:rsidR="007525FD" w:rsidRPr="00BB3805" w14:paraId="5E1CB0E2" w14:textId="207C9B15" w:rsidTr="00800BF9">
        <w:trPr>
          <w:trHeight w:hRule="exact" w:val="255"/>
          <w:jc w:val="center"/>
        </w:trPr>
        <w:tc>
          <w:tcPr>
            <w:tcW w:w="1838" w:type="dxa"/>
            <w:vMerge/>
            <w:noWrap/>
            <w:hideMark/>
          </w:tcPr>
          <w:p w14:paraId="0DA4B3AA"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028D42B3" w14:textId="61D1501B"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(0.031)</w:t>
            </w:r>
          </w:p>
        </w:tc>
        <w:tc>
          <w:tcPr>
            <w:tcW w:w="1878" w:type="dxa"/>
            <w:noWrap/>
            <w:vAlign w:val="bottom"/>
          </w:tcPr>
          <w:p w14:paraId="00447A83" w14:textId="7BFE8150"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(0.050)</w:t>
            </w:r>
          </w:p>
        </w:tc>
        <w:tc>
          <w:tcPr>
            <w:tcW w:w="1878" w:type="dxa"/>
            <w:vAlign w:val="bottom"/>
          </w:tcPr>
          <w:p w14:paraId="4A1FED2B" w14:textId="264805C8"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(0.031)</w:t>
            </w:r>
          </w:p>
        </w:tc>
        <w:tc>
          <w:tcPr>
            <w:tcW w:w="1879" w:type="dxa"/>
            <w:vAlign w:val="bottom"/>
          </w:tcPr>
          <w:p w14:paraId="67562C60" w14:textId="4798ED85"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(0.059)</w:t>
            </w:r>
          </w:p>
        </w:tc>
      </w:tr>
      <w:tr w:rsidR="007525FD" w:rsidRPr="00BB3805" w14:paraId="51DF63DF" w14:textId="6FF13E1B" w:rsidTr="00800BF9">
        <w:trPr>
          <w:trHeight w:hRule="exact" w:val="255"/>
          <w:jc w:val="center"/>
        </w:trPr>
        <w:tc>
          <w:tcPr>
            <w:tcW w:w="1838" w:type="dxa"/>
            <w:vMerge w:val="restart"/>
            <w:noWrap/>
            <w:hideMark/>
          </w:tcPr>
          <w:p w14:paraId="0DBAAEE8"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r w:rsidRPr="00BB3805">
              <w:rPr>
                <w:rFonts w:eastAsia="Times New Roman" w:cs="Calibri"/>
                <w:sz w:val="20"/>
                <w:szCs w:val="20"/>
                <w:lang w:eastAsia="nb-NO"/>
              </w:rPr>
              <w:t>Party L-R extremity</w:t>
            </w:r>
          </w:p>
        </w:tc>
        <w:tc>
          <w:tcPr>
            <w:tcW w:w="1878" w:type="dxa"/>
            <w:noWrap/>
            <w:vAlign w:val="bottom"/>
          </w:tcPr>
          <w:p w14:paraId="4DD4B792" w14:textId="43C51811"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0.113**</w:t>
            </w:r>
          </w:p>
        </w:tc>
        <w:tc>
          <w:tcPr>
            <w:tcW w:w="1878" w:type="dxa"/>
            <w:noWrap/>
            <w:vAlign w:val="bottom"/>
          </w:tcPr>
          <w:p w14:paraId="74934C34" w14:textId="59529059"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0.066</w:t>
            </w:r>
          </w:p>
        </w:tc>
        <w:tc>
          <w:tcPr>
            <w:tcW w:w="1878" w:type="dxa"/>
            <w:vAlign w:val="bottom"/>
          </w:tcPr>
          <w:p w14:paraId="685DBCBE" w14:textId="5ED3D2E5"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0.012</w:t>
            </w:r>
          </w:p>
        </w:tc>
        <w:tc>
          <w:tcPr>
            <w:tcW w:w="1879" w:type="dxa"/>
            <w:vAlign w:val="bottom"/>
          </w:tcPr>
          <w:p w14:paraId="14E88CD8" w14:textId="00654027"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0.056</w:t>
            </w:r>
          </w:p>
        </w:tc>
      </w:tr>
      <w:tr w:rsidR="007525FD" w:rsidRPr="00BB3805" w14:paraId="6C2E0B6D" w14:textId="386FF7D6" w:rsidTr="00800BF9">
        <w:trPr>
          <w:trHeight w:hRule="exact" w:val="255"/>
          <w:jc w:val="center"/>
        </w:trPr>
        <w:tc>
          <w:tcPr>
            <w:tcW w:w="1838" w:type="dxa"/>
            <w:vMerge/>
            <w:noWrap/>
            <w:hideMark/>
          </w:tcPr>
          <w:p w14:paraId="02073AF5"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6A6D6D6B" w14:textId="7E40ED45"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(0.047)</w:t>
            </w:r>
          </w:p>
        </w:tc>
        <w:tc>
          <w:tcPr>
            <w:tcW w:w="1878" w:type="dxa"/>
            <w:noWrap/>
            <w:vAlign w:val="bottom"/>
          </w:tcPr>
          <w:p w14:paraId="030B865B" w14:textId="4D4F0EBA"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(0.048)</w:t>
            </w:r>
          </w:p>
        </w:tc>
        <w:tc>
          <w:tcPr>
            <w:tcW w:w="1878" w:type="dxa"/>
            <w:vAlign w:val="bottom"/>
          </w:tcPr>
          <w:p w14:paraId="06090738" w14:textId="05922EA8"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(0.053)</w:t>
            </w:r>
          </w:p>
        </w:tc>
        <w:tc>
          <w:tcPr>
            <w:tcW w:w="1879" w:type="dxa"/>
            <w:vAlign w:val="bottom"/>
          </w:tcPr>
          <w:p w14:paraId="3A839D84" w14:textId="37A7AAD4"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(0.051)</w:t>
            </w:r>
          </w:p>
        </w:tc>
      </w:tr>
      <w:tr w:rsidR="007525FD" w:rsidRPr="00BB3805" w14:paraId="31DDEDD2" w14:textId="663EA372" w:rsidTr="00800BF9">
        <w:trPr>
          <w:trHeight w:hRule="exact" w:val="255"/>
          <w:jc w:val="center"/>
        </w:trPr>
        <w:tc>
          <w:tcPr>
            <w:tcW w:w="1838" w:type="dxa"/>
            <w:vMerge w:val="restart"/>
            <w:noWrap/>
          </w:tcPr>
          <w:p w14:paraId="3D79418C" w14:textId="73C65D1E"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r w:rsidRPr="00BB3805">
              <w:rPr>
                <w:rFonts w:eastAsia="Times New Roman" w:cs="Calibri"/>
                <w:sz w:val="20"/>
                <w:szCs w:val="20"/>
                <w:lang w:eastAsia="nb-NO"/>
              </w:rPr>
              <w:t>Cabinet size</w:t>
            </w:r>
          </w:p>
        </w:tc>
        <w:tc>
          <w:tcPr>
            <w:tcW w:w="1878" w:type="dxa"/>
            <w:noWrap/>
            <w:vAlign w:val="bottom"/>
          </w:tcPr>
          <w:p w14:paraId="6FD46675" w14:textId="673D6E6C"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0.033***</w:t>
            </w:r>
          </w:p>
        </w:tc>
        <w:tc>
          <w:tcPr>
            <w:tcW w:w="1878" w:type="dxa"/>
            <w:noWrap/>
            <w:vAlign w:val="bottom"/>
          </w:tcPr>
          <w:p w14:paraId="426B8519" w14:textId="445F9427"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-0.035***</w:t>
            </w:r>
          </w:p>
        </w:tc>
        <w:tc>
          <w:tcPr>
            <w:tcW w:w="1878" w:type="dxa"/>
            <w:vAlign w:val="bottom"/>
          </w:tcPr>
          <w:p w14:paraId="3205B508" w14:textId="644228FF"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-0.023***</w:t>
            </w:r>
          </w:p>
        </w:tc>
        <w:tc>
          <w:tcPr>
            <w:tcW w:w="1879" w:type="dxa"/>
            <w:vAlign w:val="bottom"/>
          </w:tcPr>
          <w:p w14:paraId="0C114C18" w14:textId="7D8D180D"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0.001</w:t>
            </w:r>
          </w:p>
        </w:tc>
      </w:tr>
      <w:tr w:rsidR="007525FD" w:rsidRPr="00BB3805" w14:paraId="4BC9FB8F" w14:textId="0EA0FBFB" w:rsidTr="00800BF9">
        <w:trPr>
          <w:trHeight w:hRule="exact" w:val="255"/>
          <w:jc w:val="center"/>
        </w:trPr>
        <w:tc>
          <w:tcPr>
            <w:tcW w:w="1838" w:type="dxa"/>
            <w:vMerge/>
            <w:noWrap/>
          </w:tcPr>
          <w:p w14:paraId="29F94DAF"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5C25F57C" w14:textId="4D40E0E6"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(0.007)</w:t>
            </w:r>
          </w:p>
        </w:tc>
        <w:tc>
          <w:tcPr>
            <w:tcW w:w="1878" w:type="dxa"/>
            <w:noWrap/>
            <w:vAlign w:val="bottom"/>
          </w:tcPr>
          <w:p w14:paraId="374777C1" w14:textId="2CD935ED"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(0.007)</w:t>
            </w:r>
          </w:p>
        </w:tc>
        <w:tc>
          <w:tcPr>
            <w:tcW w:w="1878" w:type="dxa"/>
            <w:vAlign w:val="bottom"/>
          </w:tcPr>
          <w:p w14:paraId="0E1F1EF1" w14:textId="47A0CA55"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(0.006)</w:t>
            </w:r>
          </w:p>
        </w:tc>
        <w:tc>
          <w:tcPr>
            <w:tcW w:w="1879" w:type="dxa"/>
            <w:vAlign w:val="bottom"/>
          </w:tcPr>
          <w:p w14:paraId="50EF75B1" w14:textId="6968CD62"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(0.007)</w:t>
            </w:r>
          </w:p>
        </w:tc>
      </w:tr>
      <w:tr w:rsidR="007525FD" w:rsidRPr="00BB3805" w14:paraId="61E4AF55" w14:textId="0D82F945" w:rsidTr="00800BF9">
        <w:trPr>
          <w:trHeight w:hRule="exact" w:val="255"/>
          <w:jc w:val="center"/>
        </w:trPr>
        <w:tc>
          <w:tcPr>
            <w:tcW w:w="1838" w:type="dxa"/>
            <w:vMerge w:val="restart"/>
            <w:noWrap/>
            <w:hideMark/>
          </w:tcPr>
          <w:p w14:paraId="1EC46BA0" w14:textId="0F2F0601"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r w:rsidRPr="00BB3805">
              <w:rPr>
                <w:rFonts w:eastAsia="Times New Roman" w:cs="Calibri"/>
                <w:sz w:val="20"/>
                <w:szCs w:val="20"/>
                <w:lang w:eastAsia="nb-NO"/>
              </w:rPr>
              <w:t>Cabinet color</w:t>
            </w:r>
          </w:p>
        </w:tc>
        <w:tc>
          <w:tcPr>
            <w:tcW w:w="1878" w:type="dxa"/>
            <w:noWrap/>
            <w:vAlign w:val="bottom"/>
          </w:tcPr>
          <w:p w14:paraId="7061A852" w14:textId="22835ECA"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-0.183***</w:t>
            </w:r>
          </w:p>
        </w:tc>
        <w:tc>
          <w:tcPr>
            <w:tcW w:w="1878" w:type="dxa"/>
            <w:noWrap/>
            <w:vAlign w:val="bottom"/>
          </w:tcPr>
          <w:p w14:paraId="6D8351C4" w14:textId="16ADFB59"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0.255***</w:t>
            </w:r>
          </w:p>
        </w:tc>
        <w:tc>
          <w:tcPr>
            <w:tcW w:w="1878" w:type="dxa"/>
            <w:vAlign w:val="bottom"/>
          </w:tcPr>
          <w:p w14:paraId="2AF469C5" w14:textId="5A4447D0"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-0.175***</w:t>
            </w:r>
          </w:p>
        </w:tc>
        <w:tc>
          <w:tcPr>
            <w:tcW w:w="1879" w:type="dxa"/>
            <w:vAlign w:val="bottom"/>
          </w:tcPr>
          <w:p w14:paraId="74A18A1B" w14:textId="4703ACE1"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-0.061</w:t>
            </w:r>
          </w:p>
        </w:tc>
      </w:tr>
      <w:tr w:rsidR="007525FD" w:rsidRPr="00BB3805" w14:paraId="12E2ECA4" w14:textId="743C16EE" w:rsidTr="00800BF9">
        <w:trPr>
          <w:trHeight w:hRule="exact" w:val="255"/>
          <w:jc w:val="center"/>
        </w:trPr>
        <w:tc>
          <w:tcPr>
            <w:tcW w:w="1838" w:type="dxa"/>
            <w:vMerge/>
            <w:noWrap/>
            <w:hideMark/>
          </w:tcPr>
          <w:p w14:paraId="1D2735B5"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044434D4" w14:textId="2FED7E63"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(0.067)</w:t>
            </w:r>
          </w:p>
        </w:tc>
        <w:tc>
          <w:tcPr>
            <w:tcW w:w="1878" w:type="dxa"/>
            <w:noWrap/>
            <w:vAlign w:val="bottom"/>
          </w:tcPr>
          <w:p w14:paraId="47AB54D9" w14:textId="094AB62B"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(0.072)</w:t>
            </w:r>
          </w:p>
        </w:tc>
        <w:tc>
          <w:tcPr>
            <w:tcW w:w="1878" w:type="dxa"/>
            <w:vAlign w:val="bottom"/>
          </w:tcPr>
          <w:p w14:paraId="44852CC8" w14:textId="05B53154"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(0.060)</w:t>
            </w:r>
          </w:p>
        </w:tc>
        <w:tc>
          <w:tcPr>
            <w:tcW w:w="1879" w:type="dxa"/>
            <w:vAlign w:val="bottom"/>
          </w:tcPr>
          <w:p w14:paraId="4048A2AB" w14:textId="034CE416"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(0.067)</w:t>
            </w:r>
          </w:p>
        </w:tc>
      </w:tr>
      <w:tr w:rsidR="007525FD" w:rsidRPr="00BB3805" w14:paraId="11D27546" w14:textId="3D955DDA" w:rsidTr="00800BF9">
        <w:trPr>
          <w:trHeight w:hRule="exact" w:val="255"/>
          <w:jc w:val="center"/>
        </w:trPr>
        <w:tc>
          <w:tcPr>
            <w:tcW w:w="1838" w:type="dxa"/>
            <w:vMerge w:val="restart"/>
            <w:noWrap/>
            <w:hideMark/>
          </w:tcPr>
          <w:p w14:paraId="269D00F5" w14:textId="68CCF0B3" w:rsidR="007525FD" w:rsidRPr="00BB3805" w:rsidRDefault="007525FD" w:rsidP="007525FD">
            <w:pPr>
              <w:widowControl/>
              <w:autoSpaceDE/>
              <w:autoSpaceDN/>
              <w:spacing w:after="0" w:line="240" w:lineRule="auto"/>
              <w:jc w:val="center"/>
              <w:rPr>
                <w:rFonts w:eastAsia="Times New Roman" w:cs="Calibri"/>
                <w:sz w:val="20"/>
                <w:szCs w:val="20"/>
                <w:lang w:eastAsia="nb-NO"/>
              </w:rPr>
            </w:pPr>
            <w:r w:rsidRPr="00BB3805">
              <w:rPr>
                <w:rFonts w:eastAsia="Times New Roman" w:cs="Calibri"/>
                <w:sz w:val="20"/>
                <w:szCs w:val="20"/>
                <w:lang w:eastAsia="nb-NO"/>
              </w:rPr>
              <w:t>District size (</w:t>
            </w:r>
            <w:r w:rsidR="00926315" w:rsidRPr="00926315">
              <w:rPr>
                <w:rFonts w:eastAsia="Times New Roman" w:cs="Calibri"/>
                <w:sz w:val="20"/>
                <w:szCs w:val="20"/>
                <w:lang w:eastAsia="nb-NO"/>
              </w:rPr>
              <w:t>population</w:t>
            </w:r>
            <w:r w:rsidRPr="00BB3805">
              <w:rPr>
                <w:rFonts w:eastAsia="Times New Roman" w:cs="Calibri"/>
                <w:sz w:val="20"/>
                <w:szCs w:val="20"/>
                <w:lang w:eastAsia="nb-NO"/>
              </w:rPr>
              <w:t>)</w:t>
            </w:r>
          </w:p>
        </w:tc>
        <w:tc>
          <w:tcPr>
            <w:tcW w:w="1878" w:type="dxa"/>
            <w:noWrap/>
            <w:vAlign w:val="bottom"/>
          </w:tcPr>
          <w:p w14:paraId="703A8560" w14:textId="49EE1813"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0.000</w:t>
            </w:r>
          </w:p>
        </w:tc>
        <w:tc>
          <w:tcPr>
            <w:tcW w:w="1878" w:type="dxa"/>
            <w:noWrap/>
            <w:vAlign w:val="bottom"/>
          </w:tcPr>
          <w:p w14:paraId="101BB3EE" w14:textId="00EBE173"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0.000</w:t>
            </w:r>
          </w:p>
        </w:tc>
        <w:tc>
          <w:tcPr>
            <w:tcW w:w="1878" w:type="dxa"/>
            <w:vAlign w:val="bottom"/>
          </w:tcPr>
          <w:p w14:paraId="49191676" w14:textId="21B302F5"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0.000***</w:t>
            </w:r>
          </w:p>
        </w:tc>
        <w:tc>
          <w:tcPr>
            <w:tcW w:w="1879" w:type="dxa"/>
            <w:vAlign w:val="bottom"/>
          </w:tcPr>
          <w:p w14:paraId="263E44F8" w14:textId="6D8A97B7"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0.000***</w:t>
            </w:r>
          </w:p>
        </w:tc>
      </w:tr>
      <w:tr w:rsidR="007525FD" w:rsidRPr="00BB3805" w14:paraId="0EACAD14" w14:textId="3DE8B097" w:rsidTr="00800BF9">
        <w:trPr>
          <w:trHeight w:hRule="exact" w:val="255"/>
          <w:jc w:val="center"/>
        </w:trPr>
        <w:tc>
          <w:tcPr>
            <w:tcW w:w="1838" w:type="dxa"/>
            <w:vMerge/>
            <w:noWrap/>
            <w:hideMark/>
          </w:tcPr>
          <w:p w14:paraId="51E9C0AA" w14:textId="77777777" w:rsidR="007525FD" w:rsidRPr="00BB3805" w:rsidRDefault="007525FD" w:rsidP="007525FD">
            <w:pPr>
              <w:widowControl/>
              <w:autoSpaceDE/>
              <w:autoSpaceDN/>
              <w:spacing w:after="0" w:line="240" w:lineRule="auto"/>
              <w:jc w:val="center"/>
              <w:rPr>
                <w:rFonts w:eastAsia="Times New Roman" w:cs="Calibri"/>
                <w:sz w:val="20"/>
                <w:szCs w:val="20"/>
                <w:lang w:eastAsia="nb-NO"/>
              </w:rPr>
            </w:pPr>
          </w:p>
        </w:tc>
        <w:tc>
          <w:tcPr>
            <w:tcW w:w="1878" w:type="dxa"/>
            <w:noWrap/>
            <w:vAlign w:val="bottom"/>
          </w:tcPr>
          <w:p w14:paraId="0F91297B" w14:textId="73E7E4CD"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(0.000)</w:t>
            </w:r>
          </w:p>
        </w:tc>
        <w:tc>
          <w:tcPr>
            <w:tcW w:w="1878" w:type="dxa"/>
            <w:noWrap/>
            <w:vAlign w:val="bottom"/>
          </w:tcPr>
          <w:p w14:paraId="4EF1007D" w14:textId="48E98D25"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(0.000)</w:t>
            </w:r>
          </w:p>
        </w:tc>
        <w:tc>
          <w:tcPr>
            <w:tcW w:w="1878" w:type="dxa"/>
            <w:vAlign w:val="bottom"/>
          </w:tcPr>
          <w:p w14:paraId="50FDE3D2" w14:textId="0B3A21F6"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(0.000)</w:t>
            </w:r>
          </w:p>
        </w:tc>
        <w:tc>
          <w:tcPr>
            <w:tcW w:w="1879" w:type="dxa"/>
            <w:vAlign w:val="bottom"/>
          </w:tcPr>
          <w:p w14:paraId="22CB6A2C" w14:textId="321C42CE"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(0.000)</w:t>
            </w:r>
          </w:p>
        </w:tc>
      </w:tr>
      <w:tr w:rsidR="007525FD" w:rsidRPr="00BB3805" w14:paraId="0F126F4B" w14:textId="70B4E13D" w:rsidTr="00800BF9">
        <w:trPr>
          <w:trHeight w:hRule="exact" w:val="255"/>
          <w:jc w:val="center"/>
        </w:trPr>
        <w:tc>
          <w:tcPr>
            <w:tcW w:w="1838" w:type="dxa"/>
            <w:vMerge w:val="restart"/>
            <w:noWrap/>
            <w:hideMark/>
          </w:tcPr>
          <w:p w14:paraId="1178A0CD"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proofErr w:type="spellStart"/>
            <w:r w:rsidRPr="00BB3805">
              <w:rPr>
                <w:rFonts w:eastAsia="Times New Roman" w:cs="Calibri"/>
                <w:sz w:val="20"/>
                <w:szCs w:val="20"/>
                <w:lang w:val="nb-NO" w:eastAsia="nb-NO"/>
              </w:rPr>
              <w:t>Distance</w:t>
            </w:r>
            <w:proofErr w:type="spellEnd"/>
            <w:r w:rsidRPr="00BB3805">
              <w:rPr>
                <w:rFonts w:eastAsia="Times New Roman" w:cs="Calibri"/>
                <w:sz w:val="20"/>
                <w:szCs w:val="20"/>
                <w:lang w:val="nb-NO" w:eastAsia="nb-NO"/>
              </w:rPr>
              <w:t xml:space="preserve"> to </w:t>
            </w:r>
            <w:proofErr w:type="spellStart"/>
            <w:r w:rsidRPr="00BB3805">
              <w:rPr>
                <w:rFonts w:eastAsia="Times New Roman" w:cs="Calibri"/>
                <w:sz w:val="20"/>
                <w:szCs w:val="20"/>
                <w:lang w:val="nb-NO" w:eastAsia="nb-NO"/>
              </w:rPr>
              <w:t>capital</w:t>
            </w:r>
            <w:proofErr w:type="spellEnd"/>
          </w:p>
        </w:tc>
        <w:tc>
          <w:tcPr>
            <w:tcW w:w="1878" w:type="dxa"/>
            <w:noWrap/>
            <w:vAlign w:val="bottom"/>
          </w:tcPr>
          <w:p w14:paraId="5BBD855A" w14:textId="68AD1AC1"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-0.341**</w:t>
            </w:r>
          </w:p>
        </w:tc>
        <w:tc>
          <w:tcPr>
            <w:tcW w:w="1878" w:type="dxa"/>
            <w:noWrap/>
            <w:vAlign w:val="bottom"/>
          </w:tcPr>
          <w:p w14:paraId="10B1C655" w14:textId="0F7DBFDB"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-0.316**</w:t>
            </w:r>
          </w:p>
        </w:tc>
        <w:tc>
          <w:tcPr>
            <w:tcW w:w="1878" w:type="dxa"/>
            <w:vAlign w:val="bottom"/>
          </w:tcPr>
          <w:p w14:paraId="76F49E3D" w14:textId="3F2FDAA1"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-0.491*</w:t>
            </w:r>
          </w:p>
        </w:tc>
        <w:tc>
          <w:tcPr>
            <w:tcW w:w="1879" w:type="dxa"/>
            <w:vAlign w:val="bottom"/>
          </w:tcPr>
          <w:p w14:paraId="6631D765" w14:textId="09F7B1E6"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-0.431*</w:t>
            </w:r>
          </w:p>
        </w:tc>
      </w:tr>
      <w:tr w:rsidR="007525FD" w:rsidRPr="00BB3805" w14:paraId="2D281563" w14:textId="21212FCF" w:rsidTr="00800BF9">
        <w:trPr>
          <w:trHeight w:hRule="exact" w:val="255"/>
          <w:jc w:val="center"/>
        </w:trPr>
        <w:tc>
          <w:tcPr>
            <w:tcW w:w="1838" w:type="dxa"/>
            <w:vMerge/>
            <w:noWrap/>
            <w:hideMark/>
          </w:tcPr>
          <w:p w14:paraId="51443D81"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41F84C9D" w14:textId="3DE183BF"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(0.135)</w:t>
            </w:r>
          </w:p>
        </w:tc>
        <w:tc>
          <w:tcPr>
            <w:tcW w:w="1878" w:type="dxa"/>
            <w:noWrap/>
            <w:vAlign w:val="bottom"/>
          </w:tcPr>
          <w:p w14:paraId="6D9FF933" w14:textId="73FFBA6D"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(0.146)</w:t>
            </w:r>
          </w:p>
        </w:tc>
        <w:tc>
          <w:tcPr>
            <w:tcW w:w="1878" w:type="dxa"/>
            <w:vAlign w:val="bottom"/>
          </w:tcPr>
          <w:p w14:paraId="1AC9B3D4" w14:textId="745BC2ED"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(0.262)</w:t>
            </w:r>
          </w:p>
        </w:tc>
        <w:tc>
          <w:tcPr>
            <w:tcW w:w="1879" w:type="dxa"/>
            <w:vAlign w:val="bottom"/>
          </w:tcPr>
          <w:p w14:paraId="1133E42E" w14:textId="05091F01"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(0.261)</w:t>
            </w:r>
          </w:p>
        </w:tc>
      </w:tr>
      <w:tr w:rsidR="007525FD" w:rsidRPr="00BB3805" w14:paraId="4027122B" w14:textId="0EC5733C" w:rsidTr="00800BF9">
        <w:trPr>
          <w:trHeight w:hRule="exact" w:val="255"/>
          <w:jc w:val="center"/>
        </w:trPr>
        <w:tc>
          <w:tcPr>
            <w:tcW w:w="1838" w:type="dxa"/>
            <w:vMerge w:val="restart"/>
            <w:noWrap/>
            <w:hideMark/>
          </w:tcPr>
          <w:p w14:paraId="75C9342E"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proofErr w:type="spellStart"/>
            <w:r w:rsidRPr="00BB3805">
              <w:rPr>
                <w:rFonts w:eastAsia="Times New Roman" w:cs="Calibri"/>
                <w:sz w:val="20"/>
                <w:szCs w:val="20"/>
                <w:lang w:val="nb-NO" w:eastAsia="nb-NO"/>
              </w:rPr>
              <w:t>Turnout</w:t>
            </w:r>
            <w:proofErr w:type="spellEnd"/>
          </w:p>
        </w:tc>
        <w:tc>
          <w:tcPr>
            <w:tcW w:w="1878" w:type="dxa"/>
            <w:noWrap/>
            <w:vAlign w:val="bottom"/>
          </w:tcPr>
          <w:p w14:paraId="42E3B1E9" w14:textId="2A421CF3"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-0.002</w:t>
            </w:r>
          </w:p>
        </w:tc>
        <w:tc>
          <w:tcPr>
            <w:tcW w:w="1878" w:type="dxa"/>
            <w:noWrap/>
            <w:vAlign w:val="bottom"/>
          </w:tcPr>
          <w:p w14:paraId="342D1262" w14:textId="28F9EABB"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-0.013***</w:t>
            </w:r>
          </w:p>
        </w:tc>
        <w:tc>
          <w:tcPr>
            <w:tcW w:w="1878" w:type="dxa"/>
            <w:vAlign w:val="bottom"/>
          </w:tcPr>
          <w:p w14:paraId="16A987C3" w14:textId="4E23BA15"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-0.004</w:t>
            </w:r>
          </w:p>
        </w:tc>
        <w:tc>
          <w:tcPr>
            <w:tcW w:w="1879" w:type="dxa"/>
            <w:vAlign w:val="bottom"/>
          </w:tcPr>
          <w:p w14:paraId="47E272F4" w14:textId="535D9547"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-0.005</w:t>
            </w:r>
          </w:p>
        </w:tc>
      </w:tr>
      <w:tr w:rsidR="007525FD" w:rsidRPr="00BB3805" w14:paraId="06FF57C2" w14:textId="5560D048" w:rsidTr="00800BF9">
        <w:trPr>
          <w:trHeight w:hRule="exact" w:val="255"/>
          <w:jc w:val="center"/>
        </w:trPr>
        <w:tc>
          <w:tcPr>
            <w:tcW w:w="1838" w:type="dxa"/>
            <w:vMerge/>
            <w:noWrap/>
            <w:hideMark/>
          </w:tcPr>
          <w:p w14:paraId="35F0C9EC"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717F3574" w14:textId="273D6CF0"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(0.002)</w:t>
            </w:r>
          </w:p>
        </w:tc>
        <w:tc>
          <w:tcPr>
            <w:tcW w:w="1878" w:type="dxa"/>
            <w:noWrap/>
            <w:vAlign w:val="bottom"/>
          </w:tcPr>
          <w:p w14:paraId="3832915C" w14:textId="73338056"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(0.003)</w:t>
            </w:r>
          </w:p>
        </w:tc>
        <w:tc>
          <w:tcPr>
            <w:tcW w:w="1878" w:type="dxa"/>
            <w:vAlign w:val="bottom"/>
          </w:tcPr>
          <w:p w14:paraId="60554242" w14:textId="45015455"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(0.012)</w:t>
            </w:r>
          </w:p>
        </w:tc>
        <w:tc>
          <w:tcPr>
            <w:tcW w:w="1879" w:type="dxa"/>
            <w:vAlign w:val="bottom"/>
          </w:tcPr>
          <w:p w14:paraId="7E234B98" w14:textId="14CF7621"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(0.021)</w:t>
            </w:r>
          </w:p>
        </w:tc>
      </w:tr>
      <w:tr w:rsidR="007525FD" w:rsidRPr="00BB3805" w14:paraId="18C3EB4D" w14:textId="2B180693" w:rsidTr="00800BF9">
        <w:trPr>
          <w:trHeight w:hRule="exact" w:val="255"/>
          <w:jc w:val="center"/>
        </w:trPr>
        <w:tc>
          <w:tcPr>
            <w:tcW w:w="1838" w:type="dxa"/>
            <w:vMerge w:val="restart"/>
            <w:noWrap/>
            <w:hideMark/>
          </w:tcPr>
          <w:p w14:paraId="0CD65F15" w14:textId="6D699B6D" w:rsidR="007525FD" w:rsidRPr="00BB3805" w:rsidRDefault="007525FD" w:rsidP="007525FD">
            <w:pPr>
              <w:widowControl/>
              <w:autoSpaceDE/>
              <w:autoSpaceDN/>
              <w:spacing w:after="0" w:line="240" w:lineRule="auto"/>
              <w:jc w:val="center"/>
              <w:rPr>
                <w:rFonts w:eastAsia="Times New Roman" w:cs="Calibri"/>
                <w:sz w:val="20"/>
                <w:szCs w:val="20"/>
                <w:lang w:eastAsia="nb-NO"/>
              </w:rPr>
            </w:pPr>
            <w:r w:rsidRPr="00BB3805">
              <w:rPr>
                <w:rFonts w:eastAsia="Times New Roman" w:cs="Calibri"/>
                <w:sz w:val="20"/>
                <w:szCs w:val="20"/>
                <w:lang w:eastAsia="nb-NO"/>
              </w:rPr>
              <w:t>Time counter (months or years)</w:t>
            </w:r>
          </w:p>
        </w:tc>
        <w:tc>
          <w:tcPr>
            <w:tcW w:w="1878" w:type="dxa"/>
            <w:noWrap/>
            <w:vAlign w:val="bottom"/>
          </w:tcPr>
          <w:p w14:paraId="170A658C" w14:textId="1DDB71CE"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0.001***</w:t>
            </w:r>
          </w:p>
        </w:tc>
        <w:tc>
          <w:tcPr>
            <w:tcW w:w="1878" w:type="dxa"/>
            <w:noWrap/>
            <w:vAlign w:val="bottom"/>
          </w:tcPr>
          <w:p w14:paraId="04E67930" w14:textId="366279F0"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-0.055***</w:t>
            </w:r>
          </w:p>
        </w:tc>
        <w:tc>
          <w:tcPr>
            <w:tcW w:w="1878" w:type="dxa"/>
            <w:vAlign w:val="bottom"/>
          </w:tcPr>
          <w:p w14:paraId="27FEE958" w14:textId="69BD7D78"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-0.000***</w:t>
            </w:r>
          </w:p>
        </w:tc>
        <w:tc>
          <w:tcPr>
            <w:tcW w:w="1879" w:type="dxa"/>
            <w:vAlign w:val="bottom"/>
          </w:tcPr>
          <w:p w14:paraId="53C0EEB9" w14:textId="3B4348DA"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-0.068***</w:t>
            </w:r>
          </w:p>
        </w:tc>
      </w:tr>
      <w:tr w:rsidR="007525FD" w:rsidRPr="00BB3805" w14:paraId="48E98A58" w14:textId="2B930753" w:rsidTr="00800BF9">
        <w:trPr>
          <w:trHeight w:hRule="exact" w:val="255"/>
          <w:jc w:val="center"/>
        </w:trPr>
        <w:tc>
          <w:tcPr>
            <w:tcW w:w="1838" w:type="dxa"/>
            <w:vMerge/>
            <w:noWrap/>
            <w:hideMark/>
          </w:tcPr>
          <w:p w14:paraId="2F2699AD"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76E25E3B" w14:textId="294838D2"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(0.000)</w:t>
            </w:r>
          </w:p>
        </w:tc>
        <w:tc>
          <w:tcPr>
            <w:tcW w:w="1878" w:type="dxa"/>
            <w:noWrap/>
            <w:vAlign w:val="bottom"/>
          </w:tcPr>
          <w:p w14:paraId="6545FC36" w14:textId="0FF39638"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(0.012)</w:t>
            </w:r>
          </w:p>
        </w:tc>
        <w:tc>
          <w:tcPr>
            <w:tcW w:w="1878" w:type="dxa"/>
            <w:vAlign w:val="bottom"/>
          </w:tcPr>
          <w:p w14:paraId="3ED6A741" w14:textId="57BD3C4A"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(0.000)</w:t>
            </w:r>
          </w:p>
        </w:tc>
        <w:tc>
          <w:tcPr>
            <w:tcW w:w="1879" w:type="dxa"/>
            <w:vAlign w:val="bottom"/>
          </w:tcPr>
          <w:p w14:paraId="428CC602" w14:textId="5F8E3D88"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(0.008)</w:t>
            </w:r>
          </w:p>
        </w:tc>
      </w:tr>
      <w:tr w:rsidR="007525FD" w:rsidRPr="00BB3805" w14:paraId="6D9E81AF" w14:textId="2D94FFD0" w:rsidTr="00800BF9">
        <w:trPr>
          <w:trHeight w:hRule="exact" w:val="255"/>
          <w:jc w:val="center"/>
        </w:trPr>
        <w:tc>
          <w:tcPr>
            <w:tcW w:w="1838" w:type="dxa"/>
            <w:vMerge w:val="restart"/>
            <w:noWrap/>
            <w:hideMark/>
          </w:tcPr>
          <w:p w14:paraId="426D2CEF"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proofErr w:type="spellStart"/>
            <w:r w:rsidRPr="00BB3805">
              <w:rPr>
                <w:rFonts w:eastAsia="Times New Roman" w:cs="Calibri"/>
                <w:sz w:val="20"/>
                <w:szCs w:val="20"/>
                <w:lang w:val="nb-NO" w:eastAsia="nb-NO"/>
              </w:rPr>
              <w:t>Election</w:t>
            </w:r>
            <w:proofErr w:type="spellEnd"/>
            <w:r w:rsidRPr="00BB3805">
              <w:rPr>
                <w:rFonts w:eastAsia="Times New Roman" w:cs="Calibri"/>
                <w:sz w:val="20"/>
                <w:szCs w:val="20"/>
                <w:lang w:val="nb-NO" w:eastAsia="nb-NO"/>
              </w:rPr>
              <w:t xml:space="preserve"> </w:t>
            </w:r>
            <w:proofErr w:type="spellStart"/>
            <w:r w:rsidRPr="00BB3805">
              <w:rPr>
                <w:rFonts w:eastAsia="Times New Roman" w:cs="Calibri"/>
                <w:sz w:val="20"/>
                <w:szCs w:val="20"/>
                <w:lang w:val="nb-NO" w:eastAsia="nb-NO"/>
              </w:rPr>
              <w:t>period</w:t>
            </w:r>
            <w:proofErr w:type="spellEnd"/>
          </w:p>
        </w:tc>
        <w:tc>
          <w:tcPr>
            <w:tcW w:w="1878" w:type="dxa"/>
            <w:noWrap/>
            <w:vAlign w:val="bottom"/>
          </w:tcPr>
          <w:p w14:paraId="716193EE" w14:textId="713FDAF4"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0.625***</w:t>
            </w:r>
          </w:p>
        </w:tc>
        <w:tc>
          <w:tcPr>
            <w:tcW w:w="1878" w:type="dxa"/>
            <w:noWrap/>
            <w:vAlign w:val="bottom"/>
          </w:tcPr>
          <w:p w14:paraId="4774F9C3" w14:textId="0A91C204"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-0.007</w:t>
            </w:r>
          </w:p>
        </w:tc>
        <w:tc>
          <w:tcPr>
            <w:tcW w:w="1878" w:type="dxa"/>
            <w:vAlign w:val="bottom"/>
          </w:tcPr>
          <w:p w14:paraId="35073405" w14:textId="0E998E67"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0.070</w:t>
            </w:r>
          </w:p>
        </w:tc>
        <w:tc>
          <w:tcPr>
            <w:tcW w:w="1879" w:type="dxa"/>
            <w:vAlign w:val="bottom"/>
          </w:tcPr>
          <w:p w14:paraId="4826942C" w14:textId="6AEAB78E"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-0.329***</w:t>
            </w:r>
          </w:p>
        </w:tc>
      </w:tr>
      <w:tr w:rsidR="007525FD" w:rsidRPr="00BB3805" w14:paraId="4E647BE2" w14:textId="0B0F2C03" w:rsidTr="00800BF9">
        <w:trPr>
          <w:trHeight w:hRule="exact" w:val="255"/>
          <w:jc w:val="center"/>
        </w:trPr>
        <w:tc>
          <w:tcPr>
            <w:tcW w:w="1838" w:type="dxa"/>
            <w:vMerge/>
            <w:noWrap/>
            <w:hideMark/>
          </w:tcPr>
          <w:p w14:paraId="74E1FA3A"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1C497364" w14:textId="4F9C4794"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(0.039)</w:t>
            </w:r>
          </w:p>
        </w:tc>
        <w:tc>
          <w:tcPr>
            <w:tcW w:w="1878" w:type="dxa"/>
            <w:noWrap/>
            <w:vAlign w:val="bottom"/>
          </w:tcPr>
          <w:p w14:paraId="48DC8198" w14:textId="04A77A41"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(0.030)</w:t>
            </w:r>
          </w:p>
        </w:tc>
        <w:tc>
          <w:tcPr>
            <w:tcW w:w="1878" w:type="dxa"/>
            <w:vAlign w:val="bottom"/>
          </w:tcPr>
          <w:p w14:paraId="34AD1E22" w14:textId="16DF19F0"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(0.066)</w:t>
            </w:r>
          </w:p>
        </w:tc>
        <w:tc>
          <w:tcPr>
            <w:tcW w:w="1879" w:type="dxa"/>
            <w:vAlign w:val="bottom"/>
          </w:tcPr>
          <w:p w14:paraId="60182244" w14:textId="0A7E2297"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(0.062)</w:t>
            </w:r>
          </w:p>
        </w:tc>
      </w:tr>
      <w:tr w:rsidR="007525FD" w:rsidRPr="00BB3805" w14:paraId="003EDC52" w14:textId="18E766DE" w:rsidTr="00800BF9">
        <w:trPr>
          <w:trHeight w:hRule="exact" w:val="255"/>
          <w:jc w:val="center"/>
        </w:trPr>
        <w:tc>
          <w:tcPr>
            <w:tcW w:w="1838" w:type="dxa"/>
            <w:vMerge w:val="restart"/>
            <w:noWrap/>
            <w:hideMark/>
          </w:tcPr>
          <w:p w14:paraId="7FF17ADE"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proofErr w:type="spellStart"/>
            <w:r w:rsidRPr="00BB3805">
              <w:rPr>
                <w:rFonts w:eastAsia="Times New Roman" w:cs="Calibri"/>
                <w:sz w:val="20"/>
                <w:szCs w:val="20"/>
                <w:lang w:val="nb-NO" w:eastAsia="nb-NO"/>
              </w:rPr>
              <w:t>Months</w:t>
            </w:r>
            <w:proofErr w:type="spellEnd"/>
            <w:r w:rsidRPr="00BB3805">
              <w:rPr>
                <w:rFonts w:eastAsia="Times New Roman" w:cs="Calibri"/>
                <w:sz w:val="20"/>
                <w:szCs w:val="20"/>
                <w:lang w:val="nb-NO" w:eastAsia="nb-NO"/>
              </w:rPr>
              <w:t xml:space="preserve"> </w:t>
            </w:r>
            <w:proofErr w:type="spellStart"/>
            <w:r w:rsidRPr="00BB3805">
              <w:rPr>
                <w:rFonts w:eastAsia="Times New Roman" w:cs="Calibri"/>
                <w:sz w:val="20"/>
                <w:szCs w:val="20"/>
                <w:lang w:val="nb-NO" w:eastAsia="nb-NO"/>
              </w:rPr>
              <w:t>since</w:t>
            </w:r>
            <w:proofErr w:type="spellEnd"/>
            <w:r w:rsidRPr="00BB3805">
              <w:rPr>
                <w:rFonts w:eastAsia="Times New Roman" w:cs="Calibri"/>
                <w:sz w:val="20"/>
                <w:szCs w:val="20"/>
                <w:lang w:val="nb-NO" w:eastAsia="nb-NO"/>
              </w:rPr>
              <w:t xml:space="preserve"> </w:t>
            </w:r>
            <w:proofErr w:type="spellStart"/>
            <w:r w:rsidRPr="00BB3805">
              <w:rPr>
                <w:rFonts w:eastAsia="Times New Roman" w:cs="Calibri"/>
                <w:sz w:val="20"/>
                <w:szCs w:val="20"/>
                <w:lang w:val="nb-NO" w:eastAsia="nb-NO"/>
              </w:rPr>
              <w:t>prev</w:t>
            </w:r>
            <w:proofErr w:type="spellEnd"/>
            <w:r w:rsidRPr="00BB3805">
              <w:rPr>
                <w:rFonts w:eastAsia="Times New Roman" w:cs="Calibri"/>
                <w:sz w:val="20"/>
                <w:szCs w:val="20"/>
                <w:lang w:val="nb-NO" w:eastAsia="nb-NO"/>
              </w:rPr>
              <w:t xml:space="preserve"> </w:t>
            </w:r>
            <w:proofErr w:type="spellStart"/>
            <w:r w:rsidRPr="00BB3805">
              <w:rPr>
                <w:rFonts w:eastAsia="Times New Roman" w:cs="Calibri"/>
                <w:sz w:val="20"/>
                <w:szCs w:val="20"/>
                <w:lang w:val="nb-NO" w:eastAsia="nb-NO"/>
              </w:rPr>
              <w:t>election</w:t>
            </w:r>
            <w:proofErr w:type="spellEnd"/>
          </w:p>
        </w:tc>
        <w:tc>
          <w:tcPr>
            <w:tcW w:w="1878" w:type="dxa"/>
            <w:noWrap/>
            <w:vAlign w:val="bottom"/>
          </w:tcPr>
          <w:p w14:paraId="6E039AD2" w14:textId="72D3FEA8"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-0.001</w:t>
            </w:r>
          </w:p>
        </w:tc>
        <w:tc>
          <w:tcPr>
            <w:tcW w:w="1878" w:type="dxa"/>
            <w:noWrap/>
            <w:vAlign w:val="bottom"/>
          </w:tcPr>
          <w:p w14:paraId="1B575404" w14:textId="4CCED6D2"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0.004***</w:t>
            </w:r>
          </w:p>
        </w:tc>
        <w:tc>
          <w:tcPr>
            <w:tcW w:w="1878" w:type="dxa"/>
            <w:vAlign w:val="bottom"/>
          </w:tcPr>
          <w:p w14:paraId="27D11EE3" w14:textId="3B4E2D11"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-0.005***</w:t>
            </w:r>
          </w:p>
        </w:tc>
        <w:tc>
          <w:tcPr>
            <w:tcW w:w="1879" w:type="dxa"/>
            <w:vAlign w:val="bottom"/>
          </w:tcPr>
          <w:p w14:paraId="0062162A" w14:textId="10924E97"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0.010***</w:t>
            </w:r>
          </w:p>
        </w:tc>
      </w:tr>
      <w:tr w:rsidR="007525FD" w:rsidRPr="00BB3805" w14:paraId="7013E050" w14:textId="4DF8EF9F" w:rsidTr="00800BF9">
        <w:trPr>
          <w:trHeight w:hRule="exact" w:val="255"/>
          <w:jc w:val="center"/>
        </w:trPr>
        <w:tc>
          <w:tcPr>
            <w:tcW w:w="1838" w:type="dxa"/>
            <w:vMerge/>
            <w:noWrap/>
            <w:hideMark/>
          </w:tcPr>
          <w:p w14:paraId="0696F87B"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68C72D1F" w14:textId="6D9473C8"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(0.001)</w:t>
            </w:r>
          </w:p>
        </w:tc>
        <w:tc>
          <w:tcPr>
            <w:tcW w:w="1878" w:type="dxa"/>
            <w:noWrap/>
            <w:vAlign w:val="bottom"/>
          </w:tcPr>
          <w:p w14:paraId="3C1AED71" w14:textId="482F2231"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(0.001)</w:t>
            </w:r>
          </w:p>
        </w:tc>
        <w:tc>
          <w:tcPr>
            <w:tcW w:w="1878" w:type="dxa"/>
            <w:vAlign w:val="bottom"/>
          </w:tcPr>
          <w:p w14:paraId="7783C05A" w14:textId="477568E8"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(0.001)</w:t>
            </w:r>
          </w:p>
        </w:tc>
        <w:tc>
          <w:tcPr>
            <w:tcW w:w="1879" w:type="dxa"/>
            <w:vAlign w:val="bottom"/>
          </w:tcPr>
          <w:p w14:paraId="620D809A" w14:textId="6CF3CE80"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(0.002)</w:t>
            </w:r>
          </w:p>
        </w:tc>
      </w:tr>
      <w:tr w:rsidR="007525FD" w:rsidRPr="00BB3805" w14:paraId="120734FC" w14:textId="3B0B7401" w:rsidTr="00800BF9">
        <w:trPr>
          <w:trHeight w:hRule="exact" w:val="255"/>
          <w:jc w:val="center"/>
        </w:trPr>
        <w:tc>
          <w:tcPr>
            <w:tcW w:w="1838" w:type="dxa"/>
            <w:vMerge w:val="restart"/>
            <w:noWrap/>
          </w:tcPr>
          <w:p w14:paraId="45915C37"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r w:rsidRPr="00BB3805">
              <w:rPr>
                <w:rFonts w:eastAsia="Times New Roman" w:cs="Calibri"/>
                <w:sz w:val="20"/>
                <w:szCs w:val="20"/>
                <w:lang w:val="nb-NO" w:eastAsia="nb-NO"/>
              </w:rPr>
              <w:t xml:space="preserve">Committee </w:t>
            </w:r>
            <w:proofErr w:type="spellStart"/>
            <w:r w:rsidRPr="00BB3805">
              <w:rPr>
                <w:rFonts w:eastAsia="Times New Roman" w:cs="Calibri"/>
                <w:sz w:val="20"/>
                <w:szCs w:val="20"/>
                <w:lang w:val="nb-NO" w:eastAsia="nb-NO"/>
              </w:rPr>
              <w:t>leadership</w:t>
            </w:r>
            <w:proofErr w:type="spellEnd"/>
          </w:p>
        </w:tc>
        <w:tc>
          <w:tcPr>
            <w:tcW w:w="1878" w:type="dxa"/>
            <w:noWrap/>
            <w:vAlign w:val="bottom"/>
          </w:tcPr>
          <w:p w14:paraId="748B8D42" w14:textId="77777777" w:rsidR="007525FD" w:rsidRPr="007525FD" w:rsidRDefault="007525FD" w:rsidP="007525FD">
            <w:pPr>
              <w:widowControl/>
              <w:autoSpaceDE/>
              <w:autoSpaceDN/>
              <w:spacing w:after="0" w:line="240" w:lineRule="auto"/>
              <w:jc w:val="center"/>
              <w:rPr>
                <w:rFonts w:eastAsia="Times New Roman" w:cs="Calibri"/>
                <w:sz w:val="20"/>
                <w:szCs w:val="20"/>
                <w:lang w:eastAsia="nb-NO"/>
              </w:rPr>
            </w:pPr>
          </w:p>
        </w:tc>
        <w:tc>
          <w:tcPr>
            <w:tcW w:w="1878" w:type="dxa"/>
            <w:noWrap/>
            <w:vAlign w:val="bottom"/>
          </w:tcPr>
          <w:p w14:paraId="28B710AB" w14:textId="5C4AB9A6" w:rsidR="007525FD" w:rsidRPr="007525FD" w:rsidRDefault="007525FD" w:rsidP="007525FD">
            <w:pPr>
              <w:widowControl/>
              <w:autoSpaceDE/>
              <w:autoSpaceDN/>
              <w:spacing w:after="0" w:line="240" w:lineRule="auto"/>
              <w:jc w:val="center"/>
              <w:rPr>
                <w:rFonts w:eastAsia="Times New Roman" w:cs="Calibri"/>
                <w:sz w:val="20"/>
                <w:szCs w:val="20"/>
                <w:lang w:eastAsia="nb-NO"/>
              </w:rPr>
            </w:pPr>
          </w:p>
        </w:tc>
        <w:tc>
          <w:tcPr>
            <w:tcW w:w="1878" w:type="dxa"/>
            <w:vAlign w:val="bottom"/>
          </w:tcPr>
          <w:p w14:paraId="3B00F0FA" w14:textId="78D34346"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0.317***</w:t>
            </w:r>
          </w:p>
        </w:tc>
        <w:tc>
          <w:tcPr>
            <w:tcW w:w="1879" w:type="dxa"/>
            <w:vAlign w:val="bottom"/>
          </w:tcPr>
          <w:p w14:paraId="416E1EF5" w14:textId="405056AB"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0.403***</w:t>
            </w:r>
          </w:p>
        </w:tc>
      </w:tr>
      <w:tr w:rsidR="007525FD" w:rsidRPr="00BB3805" w14:paraId="50DE1B37" w14:textId="38A6799E" w:rsidTr="00800BF9">
        <w:trPr>
          <w:trHeight w:hRule="exact" w:val="255"/>
          <w:jc w:val="center"/>
        </w:trPr>
        <w:tc>
          <w:tcPr>
            <w:tcW w:w="1838" w:type="dxa"/>
            <w:vMerge/>
            <w:noWrap/>
          </w:tcPr>
          <w:p w14:paraId="39885840"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3EAE6BA3" w14:textId="77777777" w:rsidR="007525FD" w:rsidRPr="007525FD" w:rsidRDefault="007525FD" w:rsidP="007525FD">
            <w:pPr>
              <w:widowControl/>
              <w:autoSpaceDE/>
              <w:autoSpaceDN/>
              <w:spacing w:after="0" w:line="240" w:lineRule="auto"/>
              <w:jc w:val="center"/>
              <w:rPr>
                <w:rFonts w:eastAsia="Times New Roman" w:cs="Calibri"/>
                <w:sz w:val="20"/>
                <w:szCs w:val="20"/>
                <w:lang w:eastAsia="nb-NO"/>
              </w:rPr>
            </w:pPr>
          </w:p>
        </w:tc>
        <w:tc>
          <w:tcPr>
            <w:tcW w:w="1878" w:type="dxa"/>
            <w:noWrap/>
            <w:vAlign w:val="bottom"/>
          </w:tcPr>
          <w:p w14:paraId="446424A1" w14:textId="39C0F8A9" w:rsidR="007525FD" w:rsidRPr="007525FD" w:rsidRDefault="007525FD" w:rsidP="007525FD">
            <w:pPr>
              <w:widowControl/>
              <w:autoSpaceDE/>
              <w:autoSpaceDN/>
              <w:spacing w:after="0" w:line="240" w:lineRule="auto"/>
              <w:jc w:val="center"/>
              <w:rPr>
                <w:rFonts w:eastAsia="Times New Roman" w:cs="Calibri"/>
                <w:sz w:val="20"/>
                <w:szCs w:val="20"/>
                <w:lang w:eastAsia="nb-NO"/>
              </w:rPr>
            </w:pPr>
          </w:p>
        </w:tc>
        <w:tc>
          <w:tcPr>
            <w:tcW w:w="1878" w:type="dxa"/>
            <w:vAlign w:val="bottom"/>
          </w:tcPr>
          <w:p w14:paraId="0A227A98" w14:textId="265FCDCB"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(0.035)</w:t>
            </w:r>
          </w:p>
        </w:tc>
        <w:tc>
          <w:tcPr>
            <w:tcW w:w="1879" w:type="dxa"/>
            <w:vAlign w:val="bottom"/>
          </w:tcPr>
          <w:p w14:paraId="6594695B" w14:textId="2F82ED87"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(0.061)</w:t>
            </w:r>
          </w:p>
        </w:tc>
      </w:tr>
      <w:tr w:rsidR="007525FD" w:rsidRPr="00BB3805" w14:paraId="45F5609D" w14:textId="099AA26D" w:rsidTr="00800BF9">
        <w:trPr>
          <w:trHeight w:hRule="exact" w:val="255"/>
          <w:jc w:val="center"/>
        </w:trPr>
        <w:tc>
          <w:tcPr>
            <w:tcW w:w="1838" w:type="dxa"/>
            <w:vMerge w:val="restart"/>
            <w:noWrap/>
          </w:tcPr>
          <w:p w14:paraId="73C6E7F1"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r w:rsidRPr="00BB3805">
              <w:rPr>
                <w:rFonts w:eastAsia="Times New Roman" w:cs="Calibri"/>
                <w:sz w:val="20"/>
                <w:szCs w:val="20"/>
                <w:lang w:val="nb-NO" w:eastAsia="nb-NO"/>
              </w:rPr>
              <w:t>Committee, «hard»</w:t>
            </w:r>
          </w:p>
        </w:tc>
        <w:tc>
          <w:tcPr>
            <w:tcW w:w="1878" w:type="dxa"/>
            <w:noWrap/>
            <w:vAlign w:val="bottom"/>
          </w:tcPr>
          <w:p w14:paraId="30BCF606" w14:textId="77777777" w:rsidR="007525FD" w:rsidRPr="007525FD" w:rsidRDefault="007525FD" w:rsidP="007525FD">
            <w:pPr>
              <w:widowControl/>
              <w:autoSpaceDE/>
              <w:autoSpaceDN/>
              <w:spacing w:after="0" w:line="240" w:lineRule="auto"/>
              <w:jc w:val="center"/>
              <w:rPr>
                <w:rFonts w:eastAsia="Times New Roman" w:cs="Calibri"/>
                <w:sz w:val="20"/>
                <w:szCs w:val="20"/>
                <w:lang w:eastAsia="nb-NO"/>
              </w:rPr>
            </w:pPr>
          </w:p>
        </w:tc>
        <w:tc>
          <w:tcPr>
            <w:tcW w:w="1878" w:type="dxa"/>
            <w:noWrap/>
            <w:vAlign w:val="bottom"/>
          </w:tcPr>
          <w:p w14:paraId="5C370631" w14:textId="3B103FB1" w:rsidR="007525FD" w:rsidRPr="007525FD" w:rsidRDefault="007525FD" w:rsidP="007525FD">
            <w:pPr>
              <w:widowControl/>
              <w:autoSpaceDE/>
              <w:autoSpaceDN/>
              <w:spacing w:after="0" w:line="240" w:lineRule="auto"/>
              <w:jc w:val="center"/>
              <w:rPr>
                <w:rFonts w:eastAsia="Times New Roman" w:cs="Calibri"/>
                <w:sz w:val="20"/>
                <w:szCs w:val="20"/>
                <w:lang w:eastAsia="nb-NO"/>
              </w:rPr>
            </w:pPr>
          </w:p>
        </w:tc>
        <w:tc>
          <w:tcPr>
            <w:tcW w:w="1878" w:type="dxa"/>
            <w:vAlign w:val="bottom"/>
          </w:tcPr>
          <w:p w14:paraId="2BF12754" w14:textId="24E25776"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-0.327***</w:t>
            </w:r>
          </w:p>
        </w:tc>
        <w:tc>
          <w:tcPr>
            <w:tcW w:w="1879" w:type="dxa"/>
            <w:vAlign w:val="bottom"/>
          </w:tcPr>
          <w:p w14:paraId="0C55E553" w14:textId="750A97D0"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-0.261***</w:t>
            </w:r>
          </w:p>
        </w:tc>
      </w:tr>
      <w:tr w:rsidR="007525FD" w:rsidRPr="00BB3805" w14:paraId="73D30F20" w14:textId="564B5DB2" w:rsidTr="00800BF9">
        <w:trPr>
          <w:trHeight w:hRule="exact" w:val="255"/>
          <w:jc w:val="center"/>
        </w:trPr>
        <w:tc>
          <w:tcPr>
            <w:tcW w:w="1838" w:type="dxa"/>
            <w:vMerge/>
            <w:noWrap/>
          </w:tcPr>
          <w:p w14:paraId="71884691"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14081939" w14:textId="77777777" w:rsidR="007525FD" w:rsidRPr="007525FD" w:rsidRDefault="007525FD" w:rsidP="007525FD">
            <w:pPr>
              <w:widowControl/>
              <w:autoSpaceDE/>
              <w:autoSpaceDN/>
              <w:spacing w:after="0" w:line="240" w:lineRule="auto"/>
              <w:jc w:val="center"/>
              <w:rPr>
                <w:rFonts w:eastAsia="Times New Roman" w:cs="Calibri"/>
                <w:sz w:val="20"/>
                <w:szCs w:val="20"/>
                <w:lang w:eastAsia="nb-NO"/>
              </w:rPr>
            </w:pPr>
          </w:p>
        </w:tc>
        <w:tc>
          <w:tcPr>
            <w:tcW w:w="1878" w:type="dxa"/>
            <w:noWrap/>
            <w:vAlign w:val="bottom"/>
          </w:tcPr>
          <w:p w14:paraId="15BC4C98" w14:textId="79682A09" w:rsidR="007525FD" w:rsidRPr="007525FD" w:rsidRDefault="007525FD" w:rsidP="007525FD">
            <w:pPr>
              <w:widowControl/>
              <w:autoSpaceDE/>
              <w:autoSpaceDN/>
              <w:spacing w:after="0" w:line="240" w:lineRule="auto"/>
              <w:jc w:val="center"/>
              <w:rPr>
                <w:rFonts w:eastAsia="Times New Roman" w:cs="Calibri"/>
                <w:sz w:val="20"/>
                <w:szCs w:val="20"/>
                <w:lang w:eastAsia="nb-NO"/>
              </w:rPr>
            </w:pPr>
          </w:p>
        </w:tc>
        <w:tc>
          <w:tcPr>
            <w:tcW w:w="1878" w:type="dxa"/>
            <w:vAlign w:val="bottom"/>
          </w:tcPr>
          <w:p w14:paraId="587D58E2" w14:textId="67130E27"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(0.046)</w:t>
            </w:r>
          </w:p>
        </w:tc>
        <w:tc>
          <w:tcPr>
            <w:tcW w:w="1879" w:type="dxa"/>
            <w:vAlign w:val="bottom"/>
          </w:tcPr>
          <w:p w14:paraId="24564684" w14:textId="2DD9A97D"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(0.076)</w:t>
            </w:r>
          </w:p>
        </w:tc>
      </w:tr>
      <w:tr w:rsidR="007525FD" w:rsidRPr="00BB3805" w14:paraId="38537390" w14:textId="122031B0" w:rsidTr="00800BF9">
        <w:trPr>
          <w:trHeight w:hRule="exact" w:val="255"/>
          <w:jc w:val="center"/>
        </w:trPr>
        <w:tc>
          <w:tcPr>
            <w:tcW w:w="1838" w:type="dxa"/>
            <w:vMerge w:val="restart"/>
            <w:noWrap/>
            <w:hideMark/>
          </w:tcPr>
          <w:p w14:paraId="4A4A37D6" w14:textId="5496D0D4"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proofErr w:type="spellStart"/>
            <w:r w:rsidRPr="00BB3805">
              <w:rPr>
                <w:rFonts w:eastAsia="Times New Roman" w:cs="Calibri"/>
                <w:sz w:val="20"/>
                <w:szCs w:val="20"/>
                <w:lang w:val="nb-NO" w:eastAsia="nb-NO"/>
              </w:rPr>
              <w:t>Constant</w:t>
            </w:r>
            <w:proofErr w:type="spellEnd"/>
          </w:p>
        </w:tc>
        <w:tc>
          <w:tcPr>
            <w:tcW w:w="1878" w:type="dxa"/>
            <w:noWrap/>
            <w:vAlign w:val="bottom"/>
          </w:tcPr>
          <w:p w14:paraId="1C4CFAAA" w14:textId="6ADA4324"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-124.597***</w:t>
            </w:r>
          </w:p>
        </w:tc>
        <w:tc>
          <w:tcPr>
            <w:tcW w:w="1878" w:type="dxa"/>
            <w:noWrap/>
            <w:vAlign w:val="bottom"/>
          </w:tcPr>
          <w:p w14:paraId="50391124" w14:textId="2E21AFF1"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111.791***</w:t>
            </w:r>
          </w:p>
        </w:tc>
        <w:tc>
          <w:tcPr>
            <w:tcW w:w="1878" w:type="dxa"/>
            <w:vAlign w:val="bottom"/>
          </w:tcPr>
          <w:p w14:paraId="2E29EAFA" w14:textId="65972E22"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71.450***</w:t>
            </w:r>
          </w:p>
        </w:tc>
        <w:tc>
          <w:tcPr>
            <w:tcW w:w="1879" w:type="dxa"/>
            <w:vAlign w:val="bottom"/>
          </w:tcPr>
          <w:p w14:paraId="781EEC40" w14:textId="4D48104F"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137.768***</w:t>
            </w:r>
          </w:p>
        </w:tc>
      </w:tr>
      <w:tr w:rsidR="007525FD" w:rsidRPr="00BB3805" w14:paraId="4BD3A610" w14:textId="555A3FBF" w:rsidTr="00800BF9">
        <w:trPr>
          <w:trHeight w:hRule="exact" w:val="255"/>
          <w:jc w:val="center"/>
        </w:trPr>
        <w:tc>
          <w:tcPr>
            <w:tcW w:w="1838" w:type="dxa"/>
            <w:vMerge/>
            <w:noWrap/>
            <w:hideMark/>
          </w:tcPr>
          <w:p w14:paraId="74851AD9"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3163F83C" w14:textId="6EC07E40"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(22.374)</w:t>
            </w:r>
          </w:p>
        </w:tc>
        <w:tc>
          <w:tcPr>
            <w:tcW w:w="1878" w:type="dxa"/>
            <w:noWrap/>
            <w:vAlign w:val="bottom"/>
          </w:tcPr>
          <w:p w14:paraId="6336E3F2" w14:textId="5F2B50CD"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(24.015)</w:t>
            </w:r>
          </w:p>
        </w:tc>
        <w:tc>
          <w:tcPr>
            <w:tcW w:w="1878" w:type="dxa"/>
            <w:vAlign w:val="bottom"/>
          </w:tcPr>
          <w:p w14:paraId="3AB8B1EA" w14:textId="58C3D987"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(17.433)</w:t>
            </w:r>
          </w:p>
        </w:tc>
        <w:tc>
          <w:tcPr>
            <w:tcW w:w="1879" w:type="dxa"/>
            <w:vAlign w:val="bottom"/>
          </w:tcPr>
          <w:p w14:paraId="024C5CD4" w14:textId="13A0412D"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(17.034)</w:t>
            </w:r>
          </w:p>
        </w:tc>
      </w:tr>
      <w:tr w:rsidR="007525FD" w:rsidRPr="00BB3805" w14:paraId="34ACBD81" w14:textId="4691EDB5" w:rsidTr="00800BF9">
        <w:trPr>
          <w:trHeight w:hRule="exact" w:val="255"/>
          <w:jc w:val="center"/>
        </w:trPr>
        <w:tc>
          <w:tcPr>
            <w:tcW w:w="1838" w:type="dxa"/>
            <w:vMerge w:val="restart"/>
            <w:noWrap/>
            <w:hideMark/>
          </w:tcPr>
          <w:p w14:paraId="119683EA" w14:textId="38D640D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r w:rsidRPr="00BB3805">
              <w:rPr>
                <w:rFonts w:eastAsia="Times New Roman" w:cs="Calibri"/>
                <w:sz w:val="20"/>
                <w:szCs w:val="20"/>
                <w:lang w:val="nb-NO" w:eastAsia="nb-NO"/>
              </w:rPr>
              <w:t>Ln Alpha</w:t>
            </w:r>
          </w:p>
        </w:tc>
        <w:tc>
          <w:tcPr>
            <w:tcW w:w="1878" w:type="dxa"/>
            <w:noWrap/>
            <w:vAlign w:val="bottom"/>
          </w:tcPr>
          <w:p w14:paraId="564F6227" w14:textId="0C903DCB"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0.594***</w:t>
            </w:r>
          </w:p>
        </w:tc>
        <w:tc>
          <w:tcPr>
            <w:tcW w:w="1878" w:type="dxa"/>
            <w:noWrap/>
            <w:vAlign w:val="bottom"/>
          </w:tcPr>
          <w:p w14:paraId="3E754A36" w14:textId="3D0D0B1B"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-0.250***</w:t>
            </w:r>
          </w:p>
        </w:tc>
        <w:tc>
          <w:tcPr>
            <w:tcW w:w="1878" w:type="dxa"/>
            <w:vAlign w:val="bottom"/>
          </w:tcPr>
          <w:p w14:paraId="1946FC71" w14:textId="3530E22C"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0.525***</w:t>
            </w:r>
          </w:p>
        </w:tc>
        <w:tc>
          <w:tcPr>
            <w:tcW w:w="1879" w:type="dxa"/>
            <w:vAlign w:val="bottom"/>
          </w:tcPr>
          <w:p w14:paraId="6759178A" w14:textId="48D416A4"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-0.275***</w:t>
            </w:r>
          </w:p>
        </w:tc>
      </w:tr>
      <w:tr w:rsidR="007525FD" w:rsidRPr="00BB3805" w14:paraId="358A851A" w14:textId="5FE8F15B" w:rsidTr="00800BF9">
        <w:trPr>
          <w:trHeight w:hRule="exact" w:val="255"/>
          <w:jc w:val="center"/>
        </w:trPr>
        <w:tc>
          <w:tcPr>
            <w:tcW w:w="1838" w:type="dxa"/>
            <w:vMerge/>
            <w:noWrap/>
            <w:hideMark/>
          </w:tcPr>
          <w:p w14:paraId="61EEC711"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2057C2C6" w14:textId="309B9115"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(0.007)</w:t>
            </w:r>
          </w:p>
        </w:tc>
        <w:tc>
          <w:tcPr>
            <w:tcW w:w="1878" w:type="dxa"/>
            <w:noWrap/>
            <w:vAlign w:val="bottom"/>
          </w:tcPr>
          <w:p w14:paraId="61D7F979" w14:textId="0053E7CA"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(0.016)</w:t>
            </w:r>
          </w:p>
        </w:tc>
        <w:tc>
          <w:tcPr>
            <w:tcW w:w="1878" w:type="dxa"/>
            <w:vAlign w:val="bottom"/>
          </w:tcPr>
          <w:p w14:paraId="2378D786" w14:textId="68F96A17"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(0.015)</w:t>
            </w:r>
          </w:p>
        </w:tc>
        <w:tc>
          <w:tcPr>
            <w:tcW w:w="1879" w:type="dxa"/>
            <w:vAlign w:val="bottom"/>
          </w:tcPr>
          <w:p w14:paraId="0680234D" w14:textId="043AF95A"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(0.033)</w:t>
            </w:r>
          </w:p>
        </w:tc>
      </w:tr>
      <w:tr w:rsidR="007525FD" w:rsidRPr="00BB3805" w14:paraId="2D807652" w14:textId="7CD70262" w:rsidTr="00800BF9">
        <w:trPr>
          <w:trHeight w:hRule="exact" w:val="255"/>
          <w:jc w:val="center"/>
        </w:trPr>
        <w:tc>
          <w:tcPr>
            <w:tcW w:w="1838" w:type="dxa"/>
            <w:vMerge w:val="restart"/>
            <w:noWrap/>
            <w:hideMark/>
          </w:tcPr>
          <w:p w14:paraId="1E2110BC"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r w:rsidRPr="00BB3805">
              <w:rPr>
                <w:rFonts w:eastAsia="Times New Roman" w:cs="Calibri"/>
                <w:sz w:val="20"/>
                <w:szCs w:val="20"/>
                <w:lang w:val="nb-NO" w:eastAsia="nb-NO"/>
              </w:rPr>
              <w:t xml:space="preserve">MP var </w:t>
            </w:r>
            <w:proofErr w:type="spellStart"/>
            <w:r w:rsidRPr="00BB3805">
              <w:rPr>
                <w:rFonts w:eastAsia="Times New Roman" w:cs="Calibri"/>
                <w:sz w:val="20"/>
                <w:szCs w:val="20"/>
                <w:lang w:val="nb-NO" w:eastAsia="nb-NO"/>
              </w:rPr>
              <w:t>const</w:t>
            </w:r>
            <w:proofErr w:type="spellEnd"/>
          </w:p>
        </w:tc>
        <w:tc>
          <w:tcPr>
            <w:tcW w:w="1878" w:type="dxa"/>
            <w:noWrap/>
            <w:vAlign w:val="bottom"/>
          </w:tcPr>
          <w:p w14:paraId="758BD16A" w14:textId="7A0D1853"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1.524***</w:t>
            </w:r>
          </w:p>
        </w:tc>
        <w:tc>
          <w:tcPr>
            <w:tcW w:w="1878" w:type="dxa"/>
            <w:noWrap/>
            <w:vAlign w:val="bottom"/>
          </w:tcPr>
          <w:p w14:paraId="0FEDB68A" w14:textId="21487930"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1.295***</w:t>
            </w:r>
          </w:p>
        </w:tc>
        <w:tc>
          <w:tcPr>
            <w:tcW w:w="1878" w:type="dxa"/>
            <w:vAlign w:val="bottom"/>
          </w:tcPr>
          <w:p w14:paraId="4DE83FF6" w14:textId="506C4CF2"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1.350***</w:t>
            </w:r>
          </w:p>
        </w:tc>
        <w:tc>
          <w:tcPr>
            <w:tcW w:w="1879" w:type="dxa"/>
            <w:vAlign w:val="bottom"/>
          </w:tcPr>
          <w:p w14:paraId="5F835965" w14:textId="13E02DE0"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1.107***</w:t>
            </w:r>
          </w:p>
        </w:tc>
      </w:tr>
      <w:tr w:rsidR="007525FD" w:rsidRPr="00BB3805" w14:paraId="252BEF4E" w14:textId="4D0951D4" w:rsidTr="00800BF9">
        <w:trPr>
          <w:trHeight w:hRule="exact" w:val="255"/>
          <w:jc w:val="center"/>
        </w:trPr>
        <w:tc>
          <w:tcPr>
            <w:tcW w:w="1838" w:type="dxa"/>
            <w:vMerge/>
            <w:noWrap/>
            <w:hideMark/>
          </w:tcPr>
          <w:p w14:paraId="3447E562"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45379FEA" w14:textId="07C68C14"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(0.070)</w:t>
            </w:r>
          </w:p>
        </w:tc>
        <w:tc>
          <w:tcPr>
            <w:tcW w:w="1878" w:type="dxa"/>
            <w:noWrap/>
            <w:vAlign w:val="bottom"/>
          </w:tcPr>
          <w:p w14:paraId="01FEC082" w14:textId="695D971F"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(0.063)</w:t>
            </w:r>
          </w:p>
        </w:tc>
        <w:tc>
          <w:tcPr>
            <w:tcW w:w="1878" w:type="dxa"/>
            <w:vAlign w:val="bottom"/>
          </w:tcPr>
          <w:p w14:paraId="0008367B" w14:textId="0B35A452"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(0.105)</w:t>
            </w:r>
          </w:p>
        </w:tc>
        <w:tc>
          <w:tcPr>
            <w:tcW w:w="1879" w:type="dxa"/>
            <w:vAlign w:val="bottom"/>
          </w:tcPr>
          <w:p w14:paraId="79951F8F" w14:textId="6AFEF9FA"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(0.095)</w:t>
            </w:r>
          </w:p>
        </w:tc>
      </w:tr>
      <w:tr w:rsidR="007525FD" w:rsidRPr="00BB3805" w14:paraId="2A34530A" w14:textId="68E8A037" w:rsidTr="00800BF9">
        <w:trPr>
          <w:trHeight w:hRule="exact" w:val="255"/>
          <w:jc w:val="center"/>
        </w:trPr>
        <w:tc>
          <w:tcPr>
            <w:tcW w:w="1838" w:type="dxa"/>
            <w:noWrap/>
            <w:hideMark/>
          </w:tcPr>
          <w:p w14:paraId="21884008" w14:textId="5E4826B3"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r w:rsidRPr="00BB3805">
              <w:rPr>
                <w:rFonts w:eastAsia="Times New Roman" w:cs="Calibri"/>
                <w:sz w:val="20"/>
                <w:szCs w:val="20"/>
                <w:lang w:val="nb-NO" w:eastAsia="nb-NO"/>
              </w:rPr>
              <w:t>N</w:t>
            </w:r>
          </w:p>
        </w:tc>
        <w:tc>
          <w:tcPr>
            <w:tcW w:w="1878" w:type="dxa"/>
            <w:noWrap/>
            <w:vAlign w:val="bottom"/>
          </w:tcPr>
          <w:p w14:paraId="030D4256" w14:textId="7FE8815F"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96424</w:t>
            </w:r>
          </w:p>
        </w:tc>
        <w:tc>
          <w:tcPr>
            <w:tcW w:w="1878" w:type="dxa"/>
            <w:noWrap/>
            <w:vAlign w:val="bottom"/>
          </w:tcPr>
          <w:p w14:paraId="2EB67F09" w14:textId="54B65CAB"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9882</w:t>
            </w:r>
          </w:p>
        </w:tc>
        <w:tc>
          <w:tcPr>
            <w:tcW w:w="1878" w:type="dxa"/>
            <w:vAlign w:val="bottom"/>
          </w:tcPr>
          <w:p w14:paraId="7656E433" w14:textId="7A695B70"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22397</w:t>
            </w:r>
          </w:p>
        </w:tc>
        <w:tc>
          <w:tcPr>
            <w:tcW w:w="1879" w:type="dxa"/>
            <w:vAlign w:val="bottom"/>
          </w:tcPr>
          <w:p w14:paraId="3F575425" w14:textId="283C72BC"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2868</w:t>
            </w:r>
          </w:p>
        </w:tc>
      </w:tr>
      <w:tr w:rsidR="007525FD" w:rsidRPr="00BB3805" w14:paraId="79F58FAD" w14:textId="1443D414" w:rsidTr="00800BF9">
        <w:trPr>
          <w:trHeight w:hRule="exact" w:val="255"/>
          <w:jc w:val="center"/>
        </w:trPr>
        <w:tc>
          <w:tcPr>
            <w:tcW w:w="1838" w:type="dxa"/>
            <w:noWrap/>
            <w:hideMark/>
          </w:tcPr>
          <w:p w14:paraId="34627E26"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r w:rsidRPr="00BB3805">
              <w:rPr>
                <w:rFonts w:eastAsia="Times New Roman" w:cs="Calibri"/>
                <w:sz w:val="20"/>
                <w:szCs w:val="20"/>
                <w:lang w:val="nb-NO" w:eastAsia="nb-NO"/>
              </w:rPr>
              <w:t xml:space="preserve">No. </w:t>
            </w:r>
            <w:proofErr w:type="spellStart"/>
            <w:r w:rsidRPr="00BB3805">
              <w:rPr>
                <w:rFonts w:eastAsia="Times New Roman" w:cs="Calibri"/>
                <w:sz w:val="20"/>
                <w:szCs w:val="20"/>
                <w:lang w:val="nb-NO" w:eastAsia="nb-NO"/>
              </w:rPr>
              <w:t>of</w:t>
            </w:r>
            <w:proofErr w:type="spellEnd"/>
            <w:r w:rsidRPr="00BB3805">
              <w:rPr>
                <w:rFonts w:eastAsia="Times New Roman" w:cs="Calibri"/>
                <w:sz w:val="20"/>
                <w:szCs w:val="20"/>
                <w:lang w:val="nb-NO" w:eastAsia="nb-NO"/>
              </w:rPr>
              <w:t xml:space="preserve"> </w:t>
            </w:r>
            <w:proofErr w:type="spellStart"/>
            <w:r w:rsidRPr="00BB3805">
              <w:rPr>
                <w:rFonts w:eastAsia="Times New Roman" w:cs="Calibri"/>
                <w:sz w:val="20"/>
                <w:szCs w:val="20"/>
                <w:lang w:val="nb-NO" w:eastAsia="nb-NO"/>
              </w:rPr>
              <w:t>groups</w:t>
            </w:r>
            <w:proofErr w:type="spellEnd"/>
          </w:p>
        </w:tc>
        <w:tc>
          <w:tcPr>
            <w:tcW w:w="1878" w:type="dxa"/>
            <w:noWrap/>
            <w:vAlign w:val="bottom"/>
          </w:tcPr>
          <w:p w14:paraId="418E57A3" w14:textId="53ED325D"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1065</w:t>
            </w:r>
          </w:p>
        </w:tc>
        <w:tc>
          <w:tcPr>
            <w:tcW w:w="1878" w:type="dxa"/>
            <w:noWrap/>
            <w:vAlign w:val="bottom"/>
          </w:tcPr>
          <w:p w14:paraId="0CC4EE45" w14:textId="3E66381A"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1065</w:t>
            </w:r>
          </w:p>
        </w:tc>
        <w:tc>
          <w:tcPr>
            <w:tcW w:w="1878" w:type="dxa"/>
            <w:vAlign w:val="bottom"/>
          </w:tcPr>
          <w:p w14:paraId="2F11A9BC" w14:textId="26A3256A"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406</w:t>
            </w:r>
          </w:p>
        </w:tc>
        <w:tc>
          <w:tcPr>
            <w:tcW w:w="1879" w:type="dxa"/>
            <w:vAlign w:val="bottom"/>
          </w:tcPr>
          <w:p w14:paraId="092BC56E" w14:textId="186628D7"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406</w:t>
            </w:r>
          </w:p>
        </w:tc>
      </w:tr>
      <w:tr w:rsidR="007525FD" w:rsidRPr="00BB3805" w14:paraId="12441DDE" w14:textId="6F41CF58" w:rsidTr="00800BF9">
        <w:trPr>
          <w:trHeight w:hRule="exact" w:val="255"/>
          <w:jc w:val="center"/>
        </w:trPr>
        <w:tc>
          <w:tcPr>
            <w:tcW w:w="1838" w:type="dxa"/>
            <w:noWrap/>
            <w:hideMark/>
          </w:tcPr>
          <w:p w14:paraId="5C95CC0B" w14:textId="77777777" w:rsidR="007525FD" w:rsidRPr="00BB3805" w:rsidRDefault="007525FD" w:rsidP="007525FD">
            <w:pPr>
              <w:widowControl/>
              <w:autoSpaceDE/>
              <w:autoSpaceDN/>
              <w:spacing w:after="0" w:line="240" w:lineRule="auto"/>
              <w:jc w:val="center"/>
              <w:rPr>
                <w:rFonts w:eastAsia="Times New Roman" w:cs="Calibri"/>
                <w:sz w:val="20"/>
                <w:szCs w:val="20"/>
                <w:lang w:val="nb-NO" w:eastAsia="nb-NO"/>
              </w:rPr>
            </w:pPr>
            <w:r w:rsidRPr="00BB3805">
              <w:rPr>
                <w:rFonts w:eastAsia="Times New Roman" w:cs="Calibri"/>
                <w:sz w:val="20"/>
                <w:szCs w:val="20"/>
                <w:lang w:val="nb-NO" w:eastAsia="nb-NO"/>
              </w:rPr>
              <w:t xml:space="preserve">Log </w:t>
            </w:r>
            <w:proofErr w:type="spellStart"/>
            <w:r w:rsidRPr="00BB3805">
              <w:rPr>
                <w:rFonts w:eastAsia="Times New Roman" w:cs="Calibri"/>
                <w:sz w:val="20"/>
                <w:szCs w:val="20"/>
                <w:lang w:val="nb-NO" w:eastAsia="nb-NO"/>
              </w:rPr>
              <w:t>likelihood</w:t>
            </w:r>
            <w:proofErr w:type="spellEnd"/>
          </w:p>
        </w:tc>
        <w:tc>
          <w:tcPr>
            <w:tcW w:w="1878" w:type="dxa"/>
            <w:noWrap/>
            <w:vAlign w:val="bottom"/>
          </w:tcPr>
          <w:p w14:paraId="79C1A6EC" w14:textId="118127E4"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-178875</w:t>
            </w:r>
          </w:p>
        </w:tc>
        <w:tc>
          <w:tcPr>
            <w:tcW w:w="1878" w:type="dxa"/>
            <w:noWrap/>
            <w:vAlign w:val="bottom"/>
          </w:tcPr>
          <w:p w14:paraId="152D9F47" w14:textId="20BBCD38"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-39305</w:t>
            </w:r>
          </w:p>
        </w:tc>
        <w:tc>
          <w:tcPr>
            <w:tcW w:w="1878" w:type="dxa"/>
            <w:vAlign w:val="bottom"/>
          </w:tcPr>
          <w:p w14:paraId="21136258" w14:textId="60E15064"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-48063</w:t>
            </w:r>
          </w:p>
        </w:tc>
        <w:tc>
          <w:tcPr>
            <w:tcW w:w="1879" w:type="dxa"/>
            <w:vAlign w:val="bottom"/>
          </w:tcPr>
          <w:p w14:paraId="4ABC60A0" w14:textId="2F254EB5" w:rsidR="007525FD" w:rsidRPr="007525FD" w:rsidRDefault="007525FD" w:rsidP="007525FD">
            <w:pPr>
              <w:widowControl/>
              <w:autoSpaceDE/>
              <w:autoSpaceDN/>
              <w:spacing w:after="0" w:line="240" w:lineRule="auto"/>
              <w:jc w:val="center"/>
              <w:rPr>
                <w:rFonts w:eastAsia="Times New Roman" w:cs="Calibri"/>
                <w:sz w:val="20"/>
                <w:szCs w:val="20"/>
                <w:lang w:eastAsia="nb-NO"/>
              </w:rPr>
            </w:pPr>
            <w:r w:rsidRPr="007525FD">
              <w:rPr>
                <w:rFonts w:eastAsia="Times New Roman" w:cs="Calibri"/>
                <w:sz w:val="20"/>
                <w:szCs w:val="20"/>
                <w:lang w:eastAsia="nb-NO"/>
              </w:rPr>
              <w:t>-11616</w:t>
            </w:r>
          </w:p>
        </w:tc>
      </w:tr>
    </w:tbl>
    <w:p w14:paraId="5A3A9488" w14:textId="17B3F375" w:rsidR="00CD0269" w:rsidRDefault="00CD0269" w:rsidP="00800BF9">
      <w:pPr>
        <w:spacing w:after="0" w:line="240" w:lineRule="auto"/>
        <w:jc w:val="center"/>
        <w:sectPr w:rsidR="00CD0269" w:rsidSect="00674288">
          <w:pgSz w:w="12240" w:h="15840"/>
          <w:pgMar w:top="720" w:right="720" w:bottom="720" w:left="720" w:header="720" w:footer="720" w:gutter="0"/>
          <w:cols w:space="720"/>
          <w:docGrid w:linePitch="360"/>
        </w:sectPr>
      </w:pPr>
      <w:r w:rsidRPr="002D7BA5">
        <w:rPr>
          <w:rFonts w:eastAsia="Times New Roman" w:cs="Calibri"/>
          <w:sz w:val="20"/>
          <w:szCs w:val="20"/>
          <w:lang w:eastAsia="nb-NO"/>
        </w:rPr>
        <w:t>Standard errors in parentheses. *** p&lt;0.01, ** p&lt;0.05, * p&lt;0.1 Note 1: UK – Margin of votes. NO – List position</w:t>
      </w:r>
      <w:r>
        <w:rPr>
          <w:rFonts w:eastAsia="Times New Roman" w:cs="Calibri"/>
          <w:sz w:val="20"/>
          <w:szCs w:val="20"/>
          <w:lang w:eastAsia="nb-NO"/>
        </w:rPr>
        <w:t xml:space="preserve"> (inver</w:t>
      </w:r>
      <w:r w:rsidR="00BC33E5">
        <w:rPr>
          <w:rFonts w:eastAsia="Times New Roman" w:cs="Calibri"/>
          <w:sz w:val="20"/>
          <w:szCs w:val="20"/>
          <w:lang w:eastAsia="nb-NO"/>
        </w:rPr>
        <w:t>t</w:t>
      </w:r>
      <w:r>
        <w:rPr>
          <w:rFonts w:eastAsia="Times New Roman" w:cs="Calibri"/>
          <w:sz w:val="20"/>
          <w:szCs w:val="20"/>
          <w:lang w:eastAsia="nb-NO"/>
        </w:rPr>
        <w:t>ed)</w:t>
      </w:r>
      <w:r w:rsidRPr="002D7BA5">
        <w:rPr>
          <w:rFonts w:eastAsia="Times New Roman" w:cs="Calibri"/>
          <w:sz w:val="20"/>
          <w:szCs w:val="20"/>
          <w:lang w:eastAsia="nb-NO"/>
        </w:rPr>
        <w:t>.</w:t>
      </w:r>
    </w:p>
    <w:p w14:paraId="247DCDB4" w14:textId="3F791117" w:rsidR="00585F3C" w:rsidRDefault="00585F3C" w:rsidP="00800BF9">
      <w:pPr>
        <w:widowControl/>
        <w:autoSpaceDE/>
        <w:autoSpaceDN/>
        <w:spacing w:after="0" w:line="240" w:lineRule="auto"/>
        <w:jc w:val="center"/>
        <w:rPr>
          <w:rFonts w:cs="Garamond"/>
          <w:b/>
          <w:bCs/>
          <w:szCs w:val="24"/>
        </w:rPr>
      </w:pPr>
    </w:p>
    <w:p w14:paraId="583687FF" w14:textId="63169DFF" w:rsidR="006036E0" w:rsidRDefault="006036E0" w:rsidP="006036E0">
      <w:pPr>
        <w:spacing w:after="0" w:line="240" w:lineRule="auto"/>
        <w:jc w:val="center"/>
      </w:pPr>
      <w:r w:rsidRPr="00812598">
        <w:t>Table A</w:t>
      </w:r>
      <w:r w:rsidR="009D2F8A">
        <w:t>9</w:t>
      </w:r>
      <w:r w:rsidRPr="00812598">
        <w:t>. Testing with routine times and election periods separately.</w:t>
      </w:r>
      <w:r w:rsidR="008958B6">
        <w:t xml:space="preserve"> Dependent variable: monthly news visibility.</w:t>
      </w:r>
    </w:p>
    <w:tbl>
      <w:tblPr>
        <w:tblStyle w:val="Tabelltemaer"/>
        <w:tblW w:w="9351" w:type="dxa"/>
        <w:jc w:val="center"/>
        <w:tblLayout w:type="fixed"/>
        <w:tblLook w:val="04A0" w:firstRow="1" w:lastRow="0" w:firstColumn="1" w:lastColumn="0" w:noHBand="0" w:noVBand="1"/>
      </w:tblPr>
      <w:tblGrid>
        <w:gridCol w:w="1838"/>
        <w:gridCol w:w="1878"/>
        <w:gridCol w:w="1878"/>
        <w:gridCol w:w="1878"/>
        <w:gridCol w:w="1879"/>
      </w:tblGrid>
      <w:tr w:rsidR="006036E0" w:rsidRPr="002A0EED" w14:paraId="47AEA1DC" w14:textId="77777777" w:rsidTr="002C39BE">
        <w:trPr>
          <w:trHeight w:hRule="exact" w:val="255"/>
          <w:jc w:val="center"/>
        </w:trPr>
        <w:tc>
          <w:tcPr>
            <w:tcW w:w="1838" w:type="dxa"/>
            <w:noWrap/>
            <w:hideMark/>
          </w:tcPr>
          <w:p w14:paraId="3F0C352D" w14:textId="77777777" w:rsidR="006036E0" w:rsidRPr="002A0EED" w:rsidRDefault="006036E0" w:rsidP="002C39BE">
            <w:pPr>
              <w:widowControl/>
              <w:autoSpaceDE/>
              <w:autoSpaceDN/>
              <w:spacing w:after="0" w:line="240" w:lineRule="auto"/>
              <w:jc w:val="center"/>
              <w:rPr>
                <w:rFonts w:eastAsia="Times New Roman" w:cs="Calibri"/>
                <w:sz w:val="20"/>
                <w:szCs w:val="20"/>
                <w:lang w:eastAsia="nb-NO"/>
              </w:rPr>
            </w:pPr>
          </w:p>
        </w:tc>
        <w:tc>
          <w:tcPr>
            <w:tcW w:w="1878" w:type="dxa"/>
            <w:noWrap/>
            <w:hideMark/>
          </w:tcPr>
          <w:p w14:paraId="5260DCA2" w14:textId="61EEE68F" w:rsidR="006036E0" w:rsidRPr="002A0EED" w:rsidRDefault="006036E0" w:rsidP="002C39BE">
            <w:pPr>
              <w:widowControl/>
              <w:autoSpaceDE/>
              <w:autoSpaceDN/>
              <w:spacing w:after="0" w:line="240" w:lineRule="auto"/>
              <w:jc w:val="center"/>
              <w:rPr>
                <w:rFonts w:eastAsia="Times New Roman" w:cs="Calibri"/>
                <w:sz w:val="20"/>
                <w:szCs w:val="20"/>
                <w:lang w:eastAsia="nb-NO"/>
              </w:rPr>
            </w:pPr>
            <w:r w:rsidRPr="002A0EED">
              <w:rPr>
                <w:rFonts w:eastAsia="Times New Roman" w:cs="Calibri"/>
                <w:sz w:val="20"/>
                <w:szCs w:val="20"/>
                <w:lang w:eastAsia="nb-NO"/>
              </w:rPr>
              <w:t>UK: routine</w:t>
            </w:r>
          </w:p>
        </w:tc>
        <w:tc>
          <w:tcPr>
            <w:tcW w:w="1878" w:type="dxa"/>
            <w:noWrap/>
          </w:tcPr>
          <w:p w14:paraId="68FD1228" w14:textId="65C30502" w:rsidR="006036E0" w:rsidRPr="002A0EED" w:rsidRDefault="006036E0" w:rsidP="002C39BE">
            <w:pPr>
              <w:widowControl/>
              <w:autoSpaceDE/>
              <w:autoSpaceDN/>
              <w:spacing w:after="0" w:line="240" w:lineRule="auto"/>
              <w:jc w:val="center"/>
              <w:rPr>
                <w:rFonts w:eastAsia="Times New Roman" w:cs="Calibri"/>
                <w:sz w:val="20"/>
                <w:szCs w:val="20"/>
                <w:lang w:eastAsia="nb-NO"/>
              </w:rPr>
            </w:pPr>
            <w:r w:rsidRPr="002A0EED">
              <w:rPr>
                <w:rFonts w:eastAsia="Times New Roman" w:cs="Calibri"/>
                <w:sz w:val="20"/>
                <w:szCs w:val="20"/>
                <w:lang w:eastAsia="nb-NO"/>
              </w:rPr>
              <w:t>UK: election</w:t>
            </w:r>
          </w:p>
        </w:tc>
        <w:tc>
          <w:tcPr>
            <w:tcW w:w="1878" w:type="dxa"/>
          </w:tcPr>
          <w:p w14:paraId="4FAE8A88" w14:textId="1F9A1269" w:rsidR="006036E0" w:rsidRPr="002A0EED" w:rsidRDefault="006036E0" w:rsidP="002C39BE">
            <w:pPr>
              <w:widowControl/>
              <w:autoSpaceDE/>
              <w:autoSpaceDN/>
              <w:spacing w:after="0" w:line="240" w:lineRule="auto"/>
              <w:jc w:val="center"/>
              <w:rPr>
                <w:rFonts w:eastAsia="Times New Roman" w:cs="Calibri"/>
                <w:sz w:val="20"/>
                <w:szCs w:val="20"/>
                <w:lang w:eastAsia="nb-NO"/>
              </w:rPr>
            </w:pPr>
            <w:r w:rsidRPr="002A0EED">
              <w:rPr>
                <w:rFonts w:eastAsia="Times New Roman" w:cs="Calibri"/>
                <w:sz w:val="20"/>
                <w:szCs w:val="20"/>
                <w:lang w:eastAsia="nb-NO"/>
              </w:rPr>
              <w:t>NO: routine</w:t>
            </w:r>
          </w:p>
        </w:tc>
        <w:tc>
          <w:tcPr>
            <w:tcW w:w="1879" w:type="dxa"/>
          </w:tcPr>
          <w:p w14:paraId="760562DD" w14:textId="73E15E0E" w:rsidR="006036E0" w:rsidRPr="002A0EED" w:rsidRDefault="006036E0" w:rsidP="002C39BE">
            <w:pPr>
              <w:widowControl/>
              <w:autoSpaceDE/>
              <w:autoSpaceDN/>
              <w:spacing w:after="0" w:line="240" w:lineRule="auto"/>
              <w:jc w:val="center"/>
              <w:rPr>
                <w:rFonts w:eastAsia="Times New Roman" w:cs="Calibri"/>
                <w:sz w:val="20"/>
                <w:szCs w:val="20"/>
                <w:lang w:eastAsia="nb-NO"/>
              </w:rPr>
            </w:pPr>
            <w:r w:rsidRPr="002A0EED">
              <w:rPr>
                <w:rFonts w:eastAsia="Times New Roman" w:cs="Calibri"/>
                <w:sz w:val="20"/>
                <w:szCs w:val="20"/>
                <w:lang w:eastAsia="nb-NO"/>
              </w:rPr>
              <w:t>NO: election</w:t>
            </w:r>
          </w:p>
        </w:tc>
      </w:tr>
      <w:tr w:rsidR="00654255" w:rsidRPr="002A0EED" w14:paraId="2CA530B7" w14:textId="77777777" w:rsidTr="002C39BE">
        <w:trPr>
          <w:trHeight w:hRule="exact" w:val="255"/>
          <w:jc w:val="center"/>
        </w:trPr>
        <w:tc>
          <w:tcPr>
            <w:tcW w:w="1838" w:type="dxa"/>
            <w:vMerge w:val="restart"/>
            <w:noWrap/>
            <w:hideMark/>
          </w:tcPr>
          <w:p w14:paraId="11844C37" w14:textId="5FE3AC41"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proofErr w:type="spellStart"/>
            <w:r w:rsidRPr="002A0EED">
              <w:rPr>
                <w:rFonts w:eastAsia="Times New Roman" w:cs="Calibri"/>
                <w:sz w:val="20"/>
                <w:szCs w:val="20"/>
                <w:lang w:val="nb-NO" w:eastAsia="nb-NO"/>
              </w:rPr>
              <w:t>Women</w:t>
            </w:r>
            <w:proofErr w:type="spellEnd"/>
          </w:p>
        </w:tc>
        <w:tc>
          <w:tcPr>
            <w:tcW w:w="1878" w:type="dxa"/>
            <w:noWrap/>
            <w:vAlign w:val="bottom"/>
          </w:tcPr>
          <w:p w14:paraId="1B6CA4E9" w14:textId="520C4D0B"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-0.020</w:t>
            </w:r>
          </w:p>
        </w:tc>
        <w:tc>
          <w:tcPr>
            <w:tcW w:w="1878" w:type="dxa"/>
            <w:noWrap/>
            <w:vAlign w:val="bottom"/>
          </w:tcPr>
          <w:p w14:paraId="31FF4AB3" w14:textId="0D199565"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0.179</w:t>
            </w:r>
          </w:p>
        </w:tc>
        <w:tc>
          <w:tcPr>
            <w:tcW w:w="1878" w:type="dxa"/>
            <w:vAlign w:val="bottom"/>
          </w:tcPr>
          <w:p w14:paraId="29E17684" w14:textId="6F60E364"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-0.507***</w:t>
            </w:r>
          </w:p>
        </w:tc>
        <w:tc>
          <w:tcPr>
            <w:tcW w:w="1879" w:type="dxa"/>
            <w:vAlign w:val="bottom"/>
          </w:tcPr>
          <w:p w14:paraId="498C765A" w14:textId="7151D1B0"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-0.327*</w:t>
            </w:r>
          </w:p>
        </w:tc>
      </w:tr>
      <w:tr w:rsidR="00654255" w:rsidRPr="002A0EED" w14:paraId="34AF31C0" w14:textId="77777777" w:rsidTr="002C39BE">
        <w:trPr>
          <w:trHeight w:hRule="exact" w:val="255"/>
          <w:jc w:val="center"/>
        </w:trPr>
        <w:tc>
          <w:tcPr>
            <w:tcW w:w="1838" w:type="dxa"/>
            <w:vMerge/>
            <w:noWrap/>
            <w:hideMark/>
          </w:tcPr>
          <w:p w14:paraId="584AA409"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4283D904" w14:textId="1E920231"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(0.096)</w:t>
            </w:r>
          </w:p>
        </w:tc>
        <w:tc>
          <w:tcPr>
            <w:tcW w:w="1878" w:type="dxa"/>
            <w:noWrap/>
            <w:vAlign w:val="bottom"/>
          </w:tcPr>
          <w:p w14:paraId="57294FEF" w14:textId="3791AA46"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(0.151)</w:t>
            </w:r>
          </w:p>
        </w:tc>
        <w:tc>
          <w:tcPr>
            <w:tcW w:w="1878" w:type="dxa"/>
            <w:vAlign w:val="bottom"/>
          </w:tcPr>
          <w:p w14:paraId="66EC69BA" w14:textId="68E3DA30"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(0.123)</w:t>
            </w:r>
          </w:p>
        </w:tc>
        <w:tc>
          <w:tcPr>
            <w:tcW w:w="1879" w:type="dxa"/>
            <w:vAlign w:val="bottom"/>
          </w:tcPr>
          <w:p w14:paraId="16A0DF9C" w14:textId="276BB557"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(0.177)</w:t>
            </w:r>
          </w:p>
        </w:tc>
      </w:tr>
      <w:tr w:rsidR="00654255" w:rsidRPr="002A0EED" w14:paraId="103FA1CB" w14:textId="77777777" w:rsidTr="002C39BE">
        <w:trPr>
          <w:trHeight w:hRule="exact" w:val="255"/>
          <w:jc w:val="center"/>
        </w:trPr>
        <w:tc>
          <w:tcPr>
            <w:tcW w:w="1838" w:type="dxa"/>
            <w:vMerge w:val="restart"/>
            <w:noWrap/>
            <w:hideMark/>
          </w:tcPr>
          <w:p w14:paraId="40145091"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r w:rsidRPr="002A0EED">
              <w:rPr>
                <w:rFonts w:eastAsia="Times New Roman" w:cs="Calibri"/>
                <w:sz w:val="20"/>
                <w:szCs w:val="20"/>
                <w:lang w:val="nb-NO" w:eastAsia="nb-NO"/>
              </w:rPr>
              <w:t>Age</w:t>
            </w:r>
          </w:p>
        </w:tc>
        <w:tc>
          <w:tcPr>
            <w:tcW w:w="1878" w:type="dxa"/>
            <w:noWrap/>
            <w:vAlign w:val="bottom"/>
          </w:tcPr>
          <w:p w14:paraId="66639EE5" w14:textId="4D6C8677"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0.193***</w:t>
            </w:r>
          </w:p>
        </w:tc>
        <w:tc>
          <w:tcPr>
            <w:tcW w:w="1878" w:type="dxa"/>
            <w:noWrap/>
            <w:vAlign w:val="bottom"/>
          </w:tcPr>
          <w:p w14:paraId="16D39754" w14:textId="68DBEFFB"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0.127***</w:t>
            </w:r>
          </w:p>
        </w:tc>
        <w:tc>
          <w:tcPr>
            <w:tcW w:w="1878" w:type="dxa"/>
            <w:vAlign w:val="bottom"/>
          </w:tcPr>
          <w:p w14:paraId="4E6126B7" w14:textId="0344EAC8"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0.111***</w:t>
            </w:r>
          </w:p>
        </w:tc>
        <w:tc>
          <w:tcPr>
            <w:tcW w:w="1879" w:type="dxa"/>
            <w:vAlign w:val="bottom"/>
          </w:tcPr>
          <w:p w14:paraId="001712FA" w14:textId="56516787"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-0.047</w:t>
            </w:r>
          </w:p>
        </w:tc>
      </w:tr>
      <w:tr w:rsidR="00654255" w:rsidRPr="002A0EED" w14:paraId="597A8CBE" w14:textId="77777777" w:rsidTr="002C39BE">
        <w:trPr>
          <w:trHeight w:hRule="exact" w:val="255"/>
          <w:jc w:val="center"/>
        </w:trPr>
        <w:tc>
          <w:tcPr>
            <w:tcW w:w="1838" w:type="dxa"/>
            <w:vMerge/>
            <w:noWrap/>
            <w:hideMark/>
          </w:tcPr>
          <w:p w14:paraId="742E9939"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3AB91B35" w14:textId="161422CB"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(0.010)</w:t>
            </w:r>
          </w:p>
        </w:tc>
        <w:tc>
          <w:tcPr>
            <w:tcW w:w="1878" w:type="dxa"/>
            <w:noWrap/>
            <w:vAlign w:val="bottom"/>
          </w:tcPr>
          <w:p w14:paraId="6A559F7C" w14:textId="70D2366C"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(0.042)</w:t>
            </w:r>
          </w:p>
        </w:tc>
        <w:tc>
          <w:tcPr>
            <w:tcW w:w="1878" w:type="dxa"/>
            <w:vAlign w:val="bottom"/>
          </w:tcPr>
          <w:p w14:paraId="71D45314" w14:textId="55E1E9F4"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(0.018)</w:t>
            </w:r>
          </w:p>
        </w:tc>
        <w:tc>
          <w:tcPr>
            <w:tcW w:w="1879" w:type="dxa"/>
            <w:vAlign w:val="bottom"/>
          </w:tcPr>
          <w:p w14:paraId="798409D8" w14:textId="6383AD34"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(0.058)</w:t>
            </w:r>
          </w:p>
        </w:tc>
      </w:tr>
      <w:tr w:rsidR="00654255" w:rsidRPr="002A0EED" w14:paraId="4FBD57AF" w14:textId="77777777" w:rsidTr="002C39BE">
        <w:trPr>
          <w:trHeight w:hRule="exact" w:val="255"/>
          <w:jc w:val="center"/>
        </w:trPr>
        <w:tc>
          <w:tcPr>
            <w:tcW w:w="1838" w:type="dxa"/>
            <w:vMerge w:val="restart"/>
            <w:noWrap/>
            <w:hideMark/>
          </w:tcPr>
          <w:p w14:paraId="4D7636CE"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r w:rsidRPr="002A0EED">
              <w:rPr>
                <w:rFonts w:eastAsia="Times New Roman" w:cs="Calibri"/>
                <w:sz w:val="20"/>
                <w:szCs w:val="20"/>
                <w:lang w:val="nb-NO" w:eastAsia="nb-NO"/>
              </w:rPr>
              <w:t>Age</w:t>
            </w:r>
            <w:r w:rsidRPr="002A0EED">
              <w:rPr>
                <w:rFonts w:eastAsia="Times New Roman" w:cs="Calibri"/>
                <w:sz w:val="20"/>
                <w:szCs w:val="20"/>
                <w:vertAlign w:val="superscript"/>
                <w:lang w:val="nb-NO" w:eastAsia="nb-NO"/>
              </w:rPr>
              <w:t>2</w:t>
            </w:r>
          </w:p>
        </w:tc>
        <w:tc>
          <w:tcPr>
            <w:tcW w:w="1878" w:type="dxa"/>
            <w:noWrap/>
            <w:vAlign w:val="bottom"/>
          </w:tcPr>
          <w:p w14:paraId="4B215840" w14:textId="6FD40CD1"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-0.002***</w:t>
            </w:r>
          </w:p>
        </w:tc>
        <w:tc>
          <w:tcPr>
            <w:tcW w:w="1878" w:type="dxa"/>
            <w:noWrap/>
            <w:vAlign w:val="bottom"/>
          </w:tcPr>
          <w:p w14:paraId="594359CD" w14:textId="5A1EB76D"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-0.002***</w:t>
            </w:r>
          </w:p>
        </w:tc>
        <w:tc>
          <w:tcPr>
            <w:tcW w:w="1878" w:type="dxa"/>
            <w:vAlign w:val="bottom"/>
          </w:tcPr>
          <w:p w14:paraId="07D9036A" w14:textId="41A27F98"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-0.002***</w:t>
            </w:r>
          </w:p>
        </w:tc>
        <w:tc>
          <w:tcPr>
            <w:tcW w:w="1879" w:type="dxa"/>
            <w:vAlign w:val="bottom"/>
          </w:tcPr>
          <w:p w14:paraId="2B64A93D" w14:textId="005F3AB9"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0.000</w:t>
            </w:r>
          </w:p>
        </w:tc>
      </w:tr>
      <w:tr w:rsidR="00654255" w:rsidRPr="002A0EED" w14:paraId="2B846763" w14:textId="77777777" w:rsidTr="002C39BE">
        <w:trPr>
          <w:trHeight w:hRule="exact" w:val="255"/>
          <w:jc w:val="center"/>
        </w:trPr>
        <w:tc>
          <w:tcPr>
            <w:tcW w:w="1838" w:type="dxa"/>
            <w:vMerge/>
            <w:noWrap/>
            <w:hideMark/>
          </w:tcPr>
          <w:p w14:paraId="2DD9BC34"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1515D263" w14:textId="570A7608"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(0.000)</w:t>
            </w:r>
          </w:p>
        </w:tc>
        <w:tc>
          <w:tcPr>
            <w:tcW w:w="1878" w:type="dxa"/>
            <w:noWrap/>
            <w:vAlign w:val="bottom"/>
          </w:tcPr>
          <w:p w14:paraId="0134DBFD" w14:textId="2151BCB0"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(0.000)</w:t>
            </w:r>
          </w:p>
        </w:tc>
        <w:tc>
          <w:tcPr>
            <w:tcW w:w="1878" w:type="dxa"/>
            <w:vAlign w:val="bottom"/>
          </w:tcPr>
          <w:p w14:paraId="63E818FA" w14:textId="0C6C3C6A"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(0.000)</w:t>
            </w:r>
          </w:p>
        </w:tc>
        <w:tc>
          <w:tcPr>
            <w:tcW w:w="1879" w:type="dxa"/>
            <w:vAlign w:val="bottom"/>
          </w:tcPr>
          <w:p w14:paraId="5A132522" w14:textId="1E8CC2A5"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(0.001)</w:t>
            </w:r>
          </w:p>
        </w:tc>
      </w:tr>
      <w:tr w:rsidR="00654255" w:rsidRPr="002A0EED" w14:paraId="7D5790D4" w14:textId="77777777" w:rsidTr="002C39BE">
        <w:trPr>
          <w:trHeight w:hRule="exact" w:val="255"/>
          <w:jc w:val="center"/>
        </w:trPr>
        <w:tc>
          <w:tcPr>
            <w:tcW w:w="1838" w:type="dxa"/>
            <w:vMerge w:val="restart"/>
            <w:noWrap/>
            <w:hideMark/>
          </w:tcPr>
          <w:p w14:paraId="117F193C" w14:textId="77777777" w:rsidR="00654255" w:rsidRPr="002A0EED" w:rsidRDefault="00654255" w:rsidP="00654255">
            <w:pPr>
              <w:widowControl/>
              <w:autoSpaceDE/>
              <w:autoSpaceDN/>
              <w:spacing w:after="0" w:line="240" w:lineRule="auto"/>
              <w:jc w:val="center"/>
              <w:rPr>
                <w:rFonts w:eastAsia="Times New Roman" w:cs="Calibri"/>
                <w:sz w:val="20"/>
                <w:szCs w:val="20"/>
                <w:lang w:eastAsia="nb-NO"/>
              </w:rPr>
            </w:pPr>
            <w:r w:rsidRPr="002A0EED">
              <w:rPr>
                <w:rFonts w:eastAsia="Times New Roman" w:cs="Calibri"/>
                <w:sz w:val="20"/>
                <w:szCs w:val="20"/>
                <w:lang w:eastAsia="nb-NO"/>
              </w:rPr>
              <w:t>Electoral safety Note 1</w:t>
            </w:r>
          </w:p>
        </w:tc>
        <w:tc>
          <w:tcPr>
            <w:tcW w:w="1878" w:type="dxa"/>
            <w:noWrap/>
            <w:vAlign w:val="bottom"/>
          </w:tcPr>
          <w:p w14:paraId="53F7C539" w14:textId="2F423BC6"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0.000***</w:t>
            </w:r>
          </w:p>
        </w:tc>
        <w:tc>
          <w:tcPr>
            <w:tcW w:w="1878" w:type="dxa"/>
            <w:noWrap/>
            <w:vAlign w:val="bottom"/>
          </w:tcPr>
          <w:p w14:paraId="6355FEE9" w14:textId="4AD68A2F"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0.000***</w:t>
            </w:r>
          </w:p>
        </w:tc>
        <w:tc>
          <w:tcPr>
            <w:tcW w:w="1878" w:type="dxa"/>
            <w:vAlign w:val="bottom"/>
          </w:tcPr>
          <w:p w14:paraId="75211D5D" w14:textId="017C31D9"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0.336***</w:t>
            </w:r>
          </w:p>
        </w:tc>
        <w:tc>
          <w:tcPr>
            <w:tcW w:w="1879" w:type="dxa"/>
            <w:vAlign w:val="bottom"/>
          </w:tcPr>
          <w:p w14:paraId="12706822" w14:textId="1A435C59"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0.920***</w:t>
            </w:r>
          </w:p>
        </w:tc>
      </w:tr>
      <w:tr w:rsidR="00654255" w:rsidRPr="002A0EED" w14:paraId="20A74062" w14:textId="77777777" w:rsidTr="002C39BE">
        <w:trPr>
          <w:trHeight w:hRule="exact" w:val="255"/>
          <w:jc w:val="center"/>
        </w:trPr>
        <w:tc>
          <w:tcPr>
            <w:tcW w:w="1838" w:type="dxa"/>
            <w:vMerge/>
            <w:noWrap/>
            <w:hideMark/>
          </w:tcPr>
          <w:p w14:paraId="235C02DD" w14:textId="77777777" w:rsidR="00654255" w:rsidRPr="002A0EED" w:rsidRDefault="00654255" w:rsidP="00654255">
            <w:pPr>
              <w:widowControl/>
              <w:autoSpaceDE/>
              <w:autoSpaceDN/>
              <w:spacing w:after="0" w:line="240" w:lineRule="auto"/>
              <w:jc w:val="center"/>
              <w:rPr>
                <w:rFonts w:eastAsia="Times New Roman" w:cs="Calibri"/>
                <w:sz w:val="20"/>
                <w:szCs w:val="20"/>
                <w:lang w:eastAsia="nb-NO"/>
              </w:rPr>
            </w:pPr>
          </w:p>
        </w:tc>
        <w:tc>
          <w:tcPr>
            <w:tcW w:w="1878" w:type="dxa"/>
            <w:noWrap/>
            <w:vAlign w:val="bottom"/>
          </w:tcPr>
          <w:p w14:paraId="1BE696DA" w14:textId="532315A1"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(0.000)</w:t>
            </w:r>
          </w:p>
        </w:tc>
        <w:tc>
          <w:tcPr>
            <w:tcW w:w="1878" w:type="dxa"/>
            <w:noWrap/>
            <w:vAlign w:val="bottom"/>
          </w:tcPr>
          <w:p w14:paraId="7835F65E" w14:textId="4B47F761"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(0.000)</w:t>
            </w:r>
          </w:p>
        </w:tc>
        <w:tc>
          <w:tcPr>
            <w:tcW w:w="1878" w:type="dxa"/>
            <w:vAlign w:val="bottom"/>
          </w:tcPr>
          <w:p w14:paraId="493977CC" w14:textId="0CBE5DDA"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(0.061)</w:t>
            </w:r>
          </w:p>
        </w:tc>
        <w:tc>
          <w:tcPr>
            <w:tcW w:w="1879" w:type="dxa"/>
            <w:vAlign w:val="bottom"/>
          </w:tcPr>
          <w:p w14:paraId="3CB5AC7E" w14:textId="26903954"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(0.210)</w:t>
            </w:r>
          </w:p>
        </w:tc>
      </w:tr>
      <w:tr w:rsidR="00654255" w:rsidRPr="002A0EED" w14:paraId="7A63D8A5" w14:textId="77777777" w:rsidTr="002C39BE">
        <w:trPr>
          <w:trHeight w:hRule="exact" w:val="255"/>
          <w:jc w:val="center"/>
        </w:trPr>
        <w:tc>
          <w:tcPr>
            <w:tcW w:w="1838" w:type="dxa"/>
            <w:vMerge w:val="restart"/>
            <w:noWrap/>
            <w:hideMark/>
          </w:tcPr>
          <w:p w14:paraId="4B5DA493"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r w:rsidRPr="002A0EED">
              <w:rPr>
                <w:rFonts w:eastAsia="Times New Roman" w:cs="Calibri"/>
                <w:sz w:val="20"/>
                <w:szCs w:val="20"/>
                <w:lang w:val="nb-NO" w:eastAsia="nb-NO"/>
              </w:rPr>
              <w:t xml:space="preserve">Legislative </w:t>
            </w:r>
            <w:proofErr w:type="spellStart"/>
            <w:r w:rsidRPr="002A0EED">
              <w:rPr>
                <w:rFonts w:eastAsia="Times New Roman" w:cs="Calibri"/>
                <w:sz w:val="20"/>
                <w:szCs w:val="20"/>
                <w:lang w:val="nb-NO" w:eastAsia="nb-NO"/>
              </w:rPr>
              <w:t>speeches</w:t>
            </w:r>
            <w:proofErr w:type="spellEnd"/>
          </w:p>
        </w:tc>
        <w:tc>
          <w:tcPr>
            <w:tcW w:w="1878" w:type="dxa"/>
            <w:noWrap/>
            <w:vAlign w:val="bottom"/>
          </w:tcPr>
          <w:p w14:paraId="627F8559" w14:textId="014CF11E"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0.013***</w:t>
            </w:r>
          </w:p>
        </w:tc>
        <w:tc>
          <w:tcPr>
            <w:tcW w:w="1878" w:type="dxa"/>
            <w:noWrap/>
            <w:vAlign w:val="bottom"/>
          </w:tcPr>
          <w:p w14:paraId="512BA164" w14:textId="1CE67C8A"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0.065***</w:t>
            </w:r>
          </w:p>
        </w:tc>
        <w:tc>
          <w:tcPr>
            <w:tcW w:w="1878" w:type="dxa"/>
            <w:vAlign w:val="bottom"/>
          </w:tcPr>
          <w:p w14:paraId="11DB4F0D" w14:textId="51446E0F" w:rsidR="00654255" w:rsidRPr="00654255" w:rsidRDefault="00654255" w:rsidP="00654255">
            <w:pPr>
              <w:widowControl/>
              <w:autoSpaceDE/>
              <w:autoSpaceDN/>
              <w:spacing w:after="0" w:line="240" w:lineRule="auto"/>
              <w:jc w:val="center"/>
              <w:rPr>
                <w:rFonts w:eastAsia="Times New Roman" w:cs="Calibri"/>
                <w:sz w:val="20"/>
                <w:szCs w:val="20"/>
                <w:lang w:eastAsia="nb-NO"/>
              </w:rPr>
            </w:pPr>
          </w:p>
        </w:tc>
        <w:tc>
          <w:tcPr>
            <w:tcW w:w="1879" w:type="dxa"/>
            <w:vAlign w:val="bottom"/>
          </w:tcPr>
          <w:p w14:paraId="25745168" w14:textId="493F0A91" w:rsidR="00654255" w:rsidRPr="00654255" w:rsidRDefault="00654255" w:rsidP="00654255">
            <w:pPr>
              <w:widowControl/>
              <w:autoSpaceDE/>
              <w:autoSpaceDN/>
              <w:spacing w:after="0" w:line="240" w:lineRule="auto"/>
              <w:jc w:val="center"/>
              <w:rPr>
                <w:rFonts w:eastAsia="Times New Roman" w:cs="Calibri"/>
                <w:sz w:val="20"/>
                <w:szCs w:val="20"/>
                <w:lang w:eastAsia="nb-NO"/>
              </w:rPr>
            </w:pPr>
          </w:p>
        </w:tc>
      </w:tr>
      <w:tr w:rsidR="00654255" w:rsidRPr="002A0EED" w14:paraId="20C4D2F5" w14:textId="77777777" w:rsidTr="002C39BE">
        <w:trPr>
          <w:trHeight w:hRule="exact" w:val="255"/>
          <w:jc w:val="center"/>
        </w:trPr>
        <w:tc>
          <w:tcPr>
            <w:tcW w:w="1838" w:type="dxa"/>
            <w:vMerge/>
            <w:noWrap/>
            <w:hideMark/>
          </w:tcPr>
          <w:p w14:paraId="637B3849"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092B3C96" w14:textId="1D8320DE"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(0.001)</w:t>
            </w:r>
          </w:p>
        </w:tc>
        <w:tc>
          <w:tcPr>
            <w:tcW w:w="1878" w:type="dxa"/>
            <w:noWrap/>
            <w:vAlign w:val="bottom"/>
          </w:tcPr>
          <w:p w14:paraId="5AC007D4" w14:textId="28A18FDE"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(0.013)</w:t>
            </w:r>
          </w:p>
        </w:tc>
        <w:tc>
          <w:tcPr>
            <w:tcW w:w="1878" w:type="dxa"/>
            <w:vAlign w:val="bottom"/>
          </w:tcPr>
          <w:p w14:paraId="13F938D8" w14:textId="5918FD68" w:rsidR="00654255" w:rsidRPr="00654255" w:rsidRDefault="00654255" w:rsidP="00654255">
            <w:pPr>
              <w:widowControl/>
              <w:autoSpaceDE/>
              <w:autoSpaceDN/>
              <w:spacing w:after="0" w:line="240" w:lineRule="auto"/>
              <w:jc w:val="center"/>
              <w:rPr>
                <w:rFonts w:eastAsia="Times New Roman" w:cs="Calibri"/>
                <w:sz w:val="20"/>
                <w:szCs w:val="20"/>
                <w:lang w:eastAsia="nb-NO"/>
              </w:rPr>
            </w:pPr>
          </w:p>
        </w:tc>
        <w:tc>
          <w:tcPr>
            <w:tcW w:w="1879" w:type="dxa"/>
            <w:vAlign w:val="bottom"/>
          </w:tcPr>
          <w:p w14:paraId="5B066E5D" w14:textId="2EBE5CBE" w:rsidR="00654255" w:rsidRPr="00654255" w:rsidRDefault="00654255" w:rsidP="00654255">
            <w:pPr>
              <w:widowControl/>
              <w:autoSpaceDE/>
              <w:autoSpaceDN/>
              <w:spacing w:after="0" w:line="240" w:lineRule="auto"/>
              <w:jc w:val="center"/>
              <w:rPr>
                <w:rFonts w:eastAsia="Times New Roman" w:cs="Calibri"/>
                <w:sz w:val="20"/>
                <w:szCs w:val="20"/>
                <w:lang w:eastAsia="nb-NO"/>
              </w:rPr>
            </w:pPr>
          </w:p>
        </w:tc>
      </w:tr>
      <w:tr w:rsidR="00654255" w:rsidRPr="002A0EED" w14:paraId="53C846AA" w14:textId="77777777" w:rsidTr="002C39BE">
        <w:trPr>
          <w:trHeight w:hRule="exact" w:val="255"/>
          <w:jc w:val="center"/>
        </w:trPr>
        <w:tc>
          <w:tcPr>
            <w:tcW w:w="1838" w:type="dxa"/>
            <w:vMerge w:val="restart"/>
            <w:noWrap/>
            <w:hideMark/>
          </w:tcPr>
          <w:p w14:paraId="39DDCD6E"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r w:rsidRPr="002A0EED">
              <w:rPr>
                <w:rFonts w:eastAsia="Times New Roman" w:cs="Calibri"/>
                <w:sz w:val="20"/>
                <w:szCs w:val="20"/>
                <w:lang w:val="nb-NO" w:eastAsia="nb-NO"/>
              </w:rPr>
              <w:t xml:space="preserve">Legislative </w:t>
            </w:r>
            <w:proofErr w:type="spellStart"/>
            <w:r w:rsidRPr="002A0EED">
              <w:rPr>
                <w:rFonts w:eastAsia="Times New Roman" w:cs="Calibri"/>
                <w:sz w:val="20"/>
                <w:szCs w:val="20"/>
                <w:lang w:val="nb-NO" w:eastAsia="nb-NO"/>
              </w:rPr>
              <w:t>experience</w:t>
            </w:r>
            <w:proofErr w:type="spellEnd"/>
          </w:p>
        </w:tc>
        <w:tc>
          <w:tcPr>
            <w:tcW w:w="1878" w:type="dxa"/>
            <w:noWrap/>
            <w:vAlign w:val="bottom"/>
          </w:tcPr>
          <w:p w14:paraId="0D1ED94B" w14:textId="7B7744B2"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0.072***</w:t>
            </w:r>
          </w:p>
        </w:tc>
        <w:tc>
          <w:tcPr>
            <w:tcW w:w="1878" w:type="dxa"/>
            <w:noWrap/>
            <w:vAlign w:val="bottom"/>
          </w:tcPr>
          <w:p w14:paraId="7382CE09" w14:textId="1750E6E1"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0.091***</w:t>
            </w:r>
          </w:p>
        </w:tc>
        <w:tc>
          <w:tcPr>
            <w:tcW w:w="1878" w:type="dxa"/>
            <w:vAlign w:val="bottom"/>
          </w:tcPr>
          <w:p w14:paraId="7C272D85" w14:textId="02C1922A"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0.089***</w:t>
            </w:r>
          </w:p>
        </w:tc>
        <w:tc>
          <w:tcPr>
            <w:tcW w:w="1879" w:type="dxa"/>
            <w:vAlign w:val="bottom"/>
          </w:tcPr>
          <w:p w14:paraId="060A4A12" w14:textId="4163DEAC"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0.073***</w:t>
            </w:r>
          </w:p>
        </w:tc>
      </w:tr>
      <w:tr w:rsidR="00654255" w:rsidRPr="002A0EED" w14:paraId="0783CDDC" w14:textId="77777777" w:rsidTr="002C39BE">
        <w:trPr>
          <w:trHeight w:hRule="exact" w:val="255"/>
          <w:jc w:val="center"/>
        </w:trPr>
        <w:tc>
          <w:tcPr>
            <w:tcW w:w="1838" w:type="dxa"/>
            <w:vMerge/>
            <w:noWrap/>
            <w:hideMark/>
          </w:tcPr>
          <w:p w14:paraId="454BD574"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094899FC" w14:textId="68CBE8D7"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(0.005)</w:t>
            </w:r>
          </w:p>
        </w:tc>
        <w:tc>
          <w:tcPr>
            <w:tcW w:w="1878" w:type="dxa"/>
            <w:noWrap/>
            <w:vAlign w:val="bottom"/>
          </w:tcPr>
          <w:p w14:paraId="41482007" w14:textId="168B5E2C"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(0.009)</w:t>
            </w:r>
          </w:p>
        </w:tc>
        <w:tc>
          <w:tcPr>
            <w:tcW w:w="1878" w:type="dxa"/>
            <w:vAlign w:val="bottom"/>
          </w:tcPr>
          <w:p w14:paraId="07019153" w14:textId="0BFDE08A"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(0.009)</w:t>
            </w:r>
          </w:p>
        </w:tc>
        <w:tc>
          <w:tcPr>
            <w:tcW w:w="1879" w:type="dxa"/>
            <w:vAlign w:val="bottom"/>
          </w:tcPr>
          <w:p w14:paraId="6230DC64" w14:textId="61206935"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(0.015)</w:t>
            </w:r>
          </w:p>
        </w:tc>
      </w:tr>
      <w:tr w:rsidR="00654255" w:rsidRPr="002A0EED" w14:paraId="1A72E66A" w14:textId="77777777" w:rsidTr="002C39BE">
        <w:trPr>
          <w:trHeight w:hRule="exact" w:val="255"/>
          <w:jc w:val="center"/>
        </w:trPr>
        <w:tc>
          <w:tcPr>
            <w:tcW w:w="1838" w:type="dxa"/>
            <w:vMerge w:val="restart"/>
            <w:noWrap/>
            <w:hideMark/>
          </w:tcPr>
          <w:p w14:paraId="667D291E"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r w:rsidRPr="002A0EED">
              <w:rPr>
                <w:rFonts w:eastAsia="Times New Roman" w:cs="Calibri"/>
                <w:sz w:val="20"/>
                <w:szCs w:val="20"/>
                <w:lang w:eastAsia="nb-NO"/>
              </w:rPr>
              <w:t>Party size (seat share)</w:t>
            </w:r>
          </w:p>
        </w:tc>
        <w:tc>
          <w:tcPr>
            <w:tcW w:w="1878" w:type="dxa"/>
            <w:noWrap/>
            <w:vAlign w:val="bottom"/>
          </w:tcPr>
          <w:p w14:paraId="6A9F4694" w14:textId="116F3B19"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-0.011***</w:t>
            </w:r>
          </w:p>
        </w:tc>
        <w:tc>
          <w:tcPr>
            <w:tcW w:w="1878" w:type="dxa"/>
            <w:noWrap/>
            <w:vAlign w:val="bottom"/>
          </w:tcPr>
          <w:p w14:paraId="7B637E11" w14:textId="34E07D24"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-0.022***</w:t>
            </w:r>
          </w:p>
        </w:tc>
        <w:tc>
          <w:tcPr>
            <w:tcW w:w="1878" w:type="dxa"/>
            <w:vAlign w:val="bottom"/>
          </w:tcPr>
          <w:p w14:paraId="32E85E5E" w14:textId="263CDA53"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-0.031***</w:t>
            </w:r>
          </w:p>
        </w:tc>
        <w:tc>
          <w:tcPr>
            <w:tcW w:w="1879" w:type="dxa"/>
            <w:vAlign w:val="bottom"/>
          </w:tcPr>
          <w:p w14:paraId="1779104C" w14:textId="4BB55F2C"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-0.026***</w:t>
            </w:r>
          </w:p>
        </w:tc>
      </w:tr>
      <w:tr w:rsidR="00654255" w:rsidRPr="002A0EED" w14:paraId="5F80C663" w14:textId="77777777" w:rsidTr="002C39BE">
        <w:trPr>
          <w:trHeight w:hRule="exact" w:val="255"/>
          <w:jc w:val="center"/>
        </w:trPr>
        <w:tc>
          <w:tcPr>
            <w:tcW w:w="1838" w:type="dxa"/>
            <w:vMerge/>
            <w:noWrap/>
            <w:hideMark/>
          </w:tcPr>
          <w:p w14:paraId="44FE29D4"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65978221" w14:textId="0C6DA143"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(0.002)</w:t>
            </w:r>
          </w:p>
        </w:tc>
        <w:tc>
          <w:tcPr>
            <w:tcW w:w="1878" w:type="dxa"/>
            <w:noWrap/>
            <w:vAlign w:val="bottom"/>
          </w:tcPr>
          <w:p w14:paraId="00681D36" w14:textId="21E08772"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(0.005)</w:t>
            </w:r>
          </w:p>
        </w:tc>
        <w:tc>
          <w:tcPr>
            <w:tcW w:w="1878" w:type="dxa"/>
            <w:vAlign w:val="bottom"/>
          </w:tcPr>
          <w:p w14:paraId="35353F57" w14:textId="7B516DB2"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(0.003)</w:t>
            </w:r>
          </w:p>
        </w:tc>
        <w:tc>
          <w:tcPr>
            <w:tcW w:w="1879" w:type="dxa"/>
            <w:vAlign w:val="bottom"/>
          </w:tcPr>
          <w:p w14:paraId="56CBB237" w14:textId="2141D37B"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(0.007)</w:t>
            </w:r>
          </w:p>
        </w:tc>
      </w:tr>
      <w:tr w:rsidR="00654255" w:rsidRPr="002A0EED" w14:paraId="7AEC5F2C" w14:textId="77777777" w:rsidTr="002C39BE">
        <w:trPr>
          <w:trHeight w:hRule="exact" w:val="255"/>
          <w:jc w:val="center"/>
        </w:trPr>
        <w:tc>
          <w:tcPr>
            <w:tcW w:w="1838" w:type="dxa"/>
            <w:vMerge w:val="restart"/>
            <w:noWrap/>
            <w:hideMark/>
          </w:tcPr>
          <w:p w14:paraId="6A47BF12"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r w:rsidRPr="002A0EED">
              <w:rPr>
                <w:rFonts w:eastAsia="Times New Roman" w:cs="Calibri"/>
                <w:sz w:val="20"/>
                <w:szCs w:val="20"/>
                <w:lang w:eastAsia="nb-NO"/>
              </w:rPr>
              <w:t>Party in cabinet</w:t>
            </w:r>
          </w:p>
        </w:tc>
        <w:tc>
          <w:tcPr>
            <w:tcW w:w="1878" w:type="dxa"/>
            <w:noWrap/>
            <w:vAlign w:val="bottom"/>
          </w:tcPr>
          <w:p w14:paraId="5D7A0016" w14:textId="3A8191ED"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0.352***</w:t>
            </w:r>
          </w:p>
        </w:tc>
        <w:tc>
          <w:tcPr>
            <w:tcW w:w="1878" w:type="dxa"/>
            <w:noWrap/>
            <w:vAlign w:val="bottom"/>
          </w:tcPr>
          <w:p w14:paraId="2C623112" w14:textId="6CE312B0"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0.124</w:t>
            </w:r>
          </w:p>
        </w:tc>
        <w:tc>
          <w:tcPr>
            <w:tcW w:w="1878" w:type="dxa"/>
            <w:vAlign w:val="bottom"/>
          </w:tcPr>
          <w:p w14:paraId="4E015AA7" w14:textId="61A073E9"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-0.014</w:t>
            </w:r>
          </w:p>
        </w:tc>
        <w:tc>
          <w:tcPr>
            <w:tcW w:w="1879" w:type="dxa"/>
            <w:vAlign w:val="bottom"/>
          </w:tcPr>
          <w:p w14:paraId="24FF8DB7" w14:textId="7BF43FE5"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-0.562***</w:t>
            </w:r>
          </w:p>
        </w:tc>
      </w:tr>
      <w:tr w:rsidR="00654255" w:rsidRPr="002A0EED" w14:paraId="16D2EC5D" w14:textId="77777777" w:rsidTr="002C39BE">
        <w:trPr>
          <w:trHeight w:hRule="exact" w:val="255"/>
          <w:jc w:val="center"/>
        </w:trPr>
        <w:tc>
          <w:tcPr>
            <w:tcW w:w="1838" w:type="dxa"/>
            <w:vMerge/>
            <w:noWrap/>
            <w:hideMark/>
          </w:tcPr>
          <w:p w14:paraId="590C15F1"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3FB29B3D" w14:textId="287DEE4C"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(0.031)</w:t>
            </w:r>
          </w:p>
        </w:tc>
        <w:tc>
          <w:tcPr>
            <w:tcW w:w="1878" w:type="dxa"/>
            <w:noWrap/>
            <w:vAlign w:val="bottom"/>
          </w:tcPr>
          <w:p w14:paraId="41FA4116" w14:textId="60C9BD5F"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(0.129)</w:t>
            </w:r>
          </w:p>
        </w:tc>
        <w:tc>
          <w:tcPr>
            <w:tcW w:w="1878" w:type="dxa"/>
            <w:vAlign w:val="bottom"/>
          </w:tcPr>
          <w:p w14:paraId="389FBF3C" w14:textId="6D710DDB"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(0.028)</w:t>
            </w:r>
          </w:p>
        </w:tc>
        <w:tc>
          <w:tcPr>
            <w:tcW w:w="1879" w:type="dxa"/>
            <w:vAlign w:val="bottom"/>
          </w:tcPr>
          <w:p w14:paraId="63783D42" w14:textId="5DA47E6F"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(0.114)</w:t>
            </w:r>
          </w:p>
        </w:tc>
      </w:tr>
      <w:tr w:rsidR="00654255" w:rsidRPr="002A0EED" w14:paraId="4C89EE16" w14:textId="77777777" w:rsidTr="002C39BE">
        <w:trPr>
          <w:trHeight w:hRule="exact" w:val="255"/>
          <w:jc w:val="center"/>
        </w:trPr>
        <w:tc>
          <w:tcPr>
            <w:tcW w:w="1838" w:type="dxa"/>
            <w:vMerge w:val="restart"/>
            <w:noWrap/>
            <w:hideMark/>
          </w:tcPr>
          <w:p w14:paraId="34C26807"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r w:rsidRPr="002A0EED">
              <w:rPr>
                <w:rFonts w:eastAsia="Times New Roman" w:cs="Calibri"/>
                <w:sz w:val="20"/>
                <w:szCs w:val="20"/>
                <w:lang w:eastAsia="nb-NO"/>
              </w:rPr>
              <w:t>Party L-R extremity</w:t>
            </w:r>
          </w:p>
        </w:tc>
        <w:tc>
          <w:tcPr>
            <w:tcW w:w="1878" w:type="dxa"/>
            <w:noWrap/>
            <w:vAlign w:val="bottom"/>
          </w:tcPr>
          <w:p w14:paraId="211DAFE2" w14:textId="4E557751"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0.113**</w:t>
            </w:r>
          </w:p>
        </w:tc>
        <w:tc>
          <w:tcPr>
            <w:tcW w:w="1878" w:type="dxa"/>
            <w:noWrap/>
            <w:vAlign w:val="bottom"/>
          </w:tcPr>
          <w:p w14:paraId="0AF134B1" w14:textId="0D7765D1"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-0.171**</w:t>
            </w:r>
          </w:p>
        </w:tc>
        <w:tc>
          <w:tcPr>
            <w:tcW w:w="1878" w:type="dxa"/>
            <w:vAlign w:val="bottom"/>
          </w:tcPr>
          <w:p w14:paraId="627F17A1" w14:textId="15A0452C"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0.012</w:t>
            </w:r>
          </w:p>
        </w:tc>
        <w:tc>
          <w:tcPr>
            <w:tcW w:w="1879" w:type="dxa"/>
            <w:vAlign w:val="bottom"/>
          </w:tcPr>
          <w:p w14:paraId="40BA7792" w14:textId="17408A16"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0.023</w:t>
            </w:r>
          </w:p>
        </w:tc>
      </w:tr>
      <w:tr w:rsidR="00654255" w:rsidRPr="002A0EED" w14:paraId="468CAB06" w14:textId="77777777" w:rsidTr="002C39BE">
        <w:trPr>
          <w:trHeight w:hRule="exact" w:val="255"/>
          <w:jc w:val="center"/>
        </w:trPr>
        <w:tc>
          <w:tcPr>
            <w:tcW w:w="1838" w:type="dxa"/>
            <w:vMerge/>
            <w:noWrap/>
            <w:hideMark/>
          </w:tcPr>
          <w:p w14:paraId="627F97DC"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53F1B2E7" w14:textId="2D092DC2"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(0.048)</w:t>
            </w:r>
          </w:p>
        </w:tc>
        <w:tc>
          <w:tcPr>
            <w:tcW w:w="1878" w:type="dxa"/>
            <w:noWrap/>
            <w:vAlign w:val="bottom"/>
          </w:tcPr>
          <w:p w14:paraId="7A693BE7" w14:textId="67252D78"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(0.083)</w:t>
            </w:r>
          </w:p>
        </w:tc>
        <w:tc>
          <w:tcPr>
            <w:tcW w:w="1878" w:type="dxa"/>
            <w:vAlign w:val="bottom"/>
          </w:tcPr>
          <w:p w14:paraId="322C1404" w14:textId="0AFC02A1"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(0.053)</w:t>
            </w:r>
          </w:p>
        </w:tc>
        <w:tc>
          <w:tcPr>
            <w:tcW w:w="1879" w:type="dxa"/>
            <w:vAlign w:val="bottom"/>
          </w:tcPr>
          <w:p w14:paraId="6008A41C" w14:textId="1975B754"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(0.076)</w:t>
            </w:r>
          </w:p>
        </w:tc>
      </w:tr>
      <w:tr w:rsidR="00654255" w:rsidRPr="002A0EED" w14:paraId="04102EFD" w14:textId="77777777" w:rsidTr="002C39BE">
        <w:trPr>
          <w:trHeight w:hRule="exact" w:val="255"/>
          <w:jc w:val="center"/>
        </w:trPr>
        <w:tc>
          <w:tcPr>
            <w:tcW w:w="1838" w:type="dxa"/>
            <w:vMerge w:val="restart"/>
            <w:noWrap/>
          </w:tcPr>
          <w:p w14:paraId="1D89F1C1"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r w:rsidRPr="002A0EED">
              <w:rPr>
                <w:rFonts w:eastAsia="Times New Roman" w:cs="Calibri"/>
                <w:sz w:val="20"/>
                <w:szCs w:val="20"/>
                <w:lang w:eastAsia="nb-NO"/>
              </w:rPr>
              <w:t>Cabinet size</w:t>
            </w:r>
          </w:p>
        </w:tc>
        <w:tc>
          <w:tcPr>
            <w:tcW w:w="1878" w:type="dxa"/>
            <w:noWrap/>
            <w:vAlign w:val="bottom"/>
          </w:tcPr>
          <w:p w14:paraId="500C3428" w14:textId="250D66F0"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0.032***</w:t>
            </w:r>
          </w:p>
        </w:tc>
        <w:tc>
          <w:tcPr>
            <w:tcW w:w="1878" w:type="dxa"/>
            <w:noWrap/>
            <w:vAlign w:val="bottom"/>
          </w:tcPr>
          <w:p w14:paraId="7F39C176" w14:textId="4CE5AC48"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-0.007</w:t>
            </w:r>
          </w:p>
        </w:tc>
        <w:tc>
          <w:tcPr>
            <w:tcW w:w="1878" w:type="dxa"/>
            <w:vAlign w:val="bottom"/>
          </w:tcPr>
          <w:p w14:paraId="65BFD163" w14:textId="37E9BB37"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-0.019***</w:t>
            </w:r>
          </w:p>
        </w:tc>
        <w:tc>
          <w:tcPr>
            <w:tcW w:w="1879" w:type="dxa"/>
            <w:vAlign w:val="bottom"/>
          </w:tcPr>
          <w:p w14:paraId="0AD0B72F" w14:textId="0EFA8AA5"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0.077***</w:t>
            </w:r>
          </w:p>
        </w:tc>
      </w:tr>
      <w:tr w:rsidR="00654255" w:rsidRPr="002A0EED" w14:paraId="2644CB22" w14:textId="77777777" w:rsidTr="002C39BE">
        <w:trPr>
          <w:trHeight w:hRule="exact" w:val="255"/>
          <w:jc w:val="center"/>
        </w:trPr>
        <w:tc>
          <w:tcPr>
            <w:tcW w:w="1838" w:type="dxa"/>
            <w:vMerge/>
            <w:noWrap/>
          </w:tcPr>
          <w:p w14:paraId="7BE75A20"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757982FF" w14:textId="360BB296"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(0.007)</w:t>
            </w:r>
          </w:p>
        </w:tc>
        <w:tc>
          <w:tcPr>
            <w:tcW w:w="1878" w:type="dxa"/>
            <w:noWrap/>
            <w:vAlign w:val="bottom"/>
          </w:tcPr>
          <w:p w14:paraId="51A356C3" w14:textId="160568C9"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(0.013)</w:t>
            </w:r>
          </w:p>
        </w:tc>
        <w:tc>
          <w:tcPr>
            <w:tcW w:w="1878" w:type="dxa"/>
            <w:vAlign w:val="bottom"/>
          </w:tcPr>
          <w:p w14:paraId="024466DD" w14:textId="361CFD95"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(0.005)</w:t>
            </w:r>
          </w:p>
        </w:tc>
        <w:tc>
          <w:tcPr>
            <w:tcW w:w="1879" w:type="dxa"/>
            <w:vAlign w:val="bottom"/>
          </w:tcPr>
          <w:p w14:paraId="152ACE9B" w14:textId="572FEE62"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(0.027)</w:t>
            </w:r>
          </w:p>
        </w:tc>
      </w:tr>
      <w:tr w:rsidR="00654255" w:rsidRPr="002A0EED" w14:paraId="1B9E424B" w14:textId="77777777" w:rsidTr="002C39BE">
        <w:trPr>
          <w:trHeight w:hRule="exact" w:val="255"/>
          <w:jc w:val="center"/>
        </w:trPr>
        <w:tc>
          <w:tcPr>
            <w:tcW w:w="1838" w:type="dxa"/>
            <w:vMerge w:val="restart"/>
            <w:noWrap/>
            <w:hideMark/>
          </w:tcPr>
          <w:p w14:paraId="38319205"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r w:rsidRPr="002A0EED">
              <w:rPr>
                <w:rFonts w:eastAsia="Times New Roman" w:cs="Calibri"/>
                <w:sz w:val="20"/>
                <w:szCs w:val="20"/>
                <w:lang w:eastAsia="nb-NO"/>
              </w:rPr>
              <w:t>Cabinet color</w:t>
            </w:r>
          </w:p>
        </w:tc>
        <w:tc>
          <w:tcPr>
            <w:tcW w:w="1878" w:type="dxa"/>
            <w:noWrap/>
            <w:vAlign w:val="bottom"/>
          </w:tcPr>
          <w:p w14:paraId="60BBAC45" w14:textId="76E00049"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-0.176***</w:t>
            </w:r>
          </w:p>
        </w:tc>
        <w:tc>
          <w:tcPr>
            <w:tcW w:w="1878" w:type="dxa"/>
            <w:noWrap/>
            <w:vAlign w:val="bottom"/>
          </w:tcPr>
          <w:p w14:paraId="1ACCC6D5" w14:textId="33CB5871"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0.478***</w:t>
            </w:r>
          </w:p>
        </w:tc>
        <w:tc>
          <w:tcPr>
            <w:tcW w:w="1878" w:type="dxa"/>
            <w:vAlign w:val="bottom"/>
          </w:tcPr>
          <w:p w14:paraId="3CF4A535" w14:textId="515F72DF"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-0.148***</w:t>
            </w:r>
          </w:p>
        </w:tc>
        <w:tc>
          <w:tcPr>
            <w:tcW w:w="1879" w:type="dxa"/>
            <w:vAlign w:val="bottom"/>
          </w:tcPr>
          <w:p w14:paraId="1072B534" w14:textId="4578ECFA"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0.777***</w:t>
            </w:r>
          </w:p>
        </w:tc>
      </w:tr>
      <w:tr w:rsidR="00654255" w:rsidRPr="002A0EED" w14:paraId="05C2DE74" w14:textId="77777777" w:rsidTr="002C39BE">
        <w:trPr>
          <w:trHeight w:hRule="exact" w:val="255"/>
          <w:jc w:val="center"/>
        </w:trPr>
        <w:tc>
          <w:tcPr>
            <w:tcW w:w="1838" w:type="dxa"/>
            <w:vMerge/>
            <w:noWrap/>
            <w:hideMark/>
          </w:tcPr>
          <w:p w14:paraId="2161E5C7"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43B8D56A" w14:textId="57AEC144"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(0.067)</w:t>
            </w:r>
          </w:p>
        </w:tc>
        <w:tc>
          <w:tcPr>
            <w:tcW w:w="1878" w:type="dxa"/>
            <w:noWrap/>
            <w:vAlign w:val="bottom"/>
          </w:tcPr>
          <w:p w14:paraId="24E02059" w14:textId="3DEA806A"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(0.105)</w:t>
            </w:r>
          </w:p>
        </w:tc>
        <w:tc>
          <w:tcPr>
            <w:tcW w:w="1878" w:type="dxa"/>
            <w:vAlign w:val="bottom"/>
          </w:tcPr>
          <w:p w14:paraId="4545ABD5" w14:textId="7322B5C1"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(0.056)</w:t>
            </w:r>
          </w:p>
        </w:tc>
        <w:tc>
          <w:tcPr>
            <w:tcW w:w="1879" w:type="dxa"/>
            <w:vAlign w:val="bottom"/>
          </w:tcPr>
          <w:p w14:paraId="1CDDD862" w14:textId="43622C6B"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(0.233)</w:t>
            </w:r>
          </w:p>
        </w:tc>
      </w:tr>
      <w:tr w:rsidR="00654255" w:rsidRPr="002A0EED" w14:paraId="602ADE0A" w14:textId="77777777" w:rsidTr="002C39BE">
        <w:trPr>
          <w:trHeight w:hRule="exact" w:val="255"/>
          <w:jc w:val="center"/>
        </w:trPr>
        <w:tc>
          <w:tcPr>
            <w:tcW w:w="1838" w:type="dxa"/>
            <w:vMerge w:val="restart"/>
            <w:noWrap/>
            <w:hideMark/>
          </w:tcPr>
          <w:p w14:paraId="1FDCBA1F" w14:textId="2929098B" w:rsidR="00654255" w:rsidRPr="002A0EED" w:rsidRDefault="00654255" w:rsidP="00654255">
            <w:pPr>
              <w:widowControl/>
              <w:autoSpaceDE/>
              <w:autoSpaceDN/>
              <w:spacing w:after="0" w:line="240" w:lineRule="auto"/>
              <w:jc w:val="center"/>
              <w:rPr>
                <w:rFonts w:eastAsia="Times New Roman" w:cs="Calibri"/>
                <w:sz w:val="20"/>
                <w:szCs w:val="20"/>
                <w:lang w:eastAsia="nb-NO"/>
              </w:rPr>
            </w:pPr>
            <w:r w:rsidRPr="002A0EED">
              <w:rPr>
                <w:rFonts w:eastAsia="Times New Roman" w:cs="Calibri"/>
                <w:sz w:val="20"/>
                <w:szCs w:val="20"/>
                <w:lang w:eastAsia="nb-NO"/>
              </w:rPr>
              <w:t>District size (</w:t>
            </w:r>
            <w:r w:rsidRPr="00926315">
              <w:rPr>
                <w:rFonts w:eastAsia="Times New Roman" w:cs="Calibri"/>
                <w:sz w:val="20"/>
                <w:szCs w:val="20"/>
                <w:lang w:eastAsia="nb-NO"/>
              </w:rPr>
              <w:t>population</w:t>
            </w:r>
            <w:r w:rsidRPr="002A0EED">
              <w:rPr>
                <w:rFonts w:eastAsia="Times New Roman" w:cs="Calibri"/>
                <w:sz w:val="20"/>
                <w:szCs w:val="20"/>
                <w:lang w:eastAsia="nb-NO"/>
              </w:rPr>
              <w:t>)</w:t>
            </w:r>
          </w:p>
        </w:tc>
        <w:tc>
          <w:tcPr>
            <w:tcW w:w="1878" w:type="dxa"/>
            <w:noWrap/>
            <w:vAlign w:val="bottom"/>
          </w:tcPr>
          <w:p w14:paraId="71DCF0A7" w14:textId="7269F8D1"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-0.000</w:t>
            </w:r>
          </w:p>
        </w:tc>
        <w:tc>
          <w:tcPr>
            <w:tcW w:w="1878" w:type="dxa"/>
            <w:noWrap/>
            <w:vAlign w:val="bottom"/>
          </w:tcPr>
          <w:p w14:paraId="44093C1E" w14:textId="246A4AC7"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-0.000</w:t>
            </w:r>
          </w:p>
        </w:tc>
        <w:tc>
          <w:tcPr>
            <w:tcW w:w="1878" w:type="dxa"/>
            <w:vAlign w:val="bottom"/>
          </w:tcPr>
          <w:p w14:paraId="315411B5" w14:textId="14252C0E"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0.000***</w:t>
            </w:r>
          </w:p>
        </w:tc>
        <w:tc>
          <w:tcPr>
            <w:tcW w:w="1879" w:type="dxa"/>
            <w:vAlign w:val="bottom"/>
          </w:tcPr>
          <w:p w14:paraId="0138192F" w14:textId="38566F68"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0.000*</w:t>
            </w:r>
          </w:p>
        </w:tc>
      </w:tr>
      <w:tr w:rsidR="00654255" w:rsidRPr="002A0EED" w14:paraId="659F0E18" w14:textId="77777777" w:rsidTr="002C39BE">
        <w:trPr>
          <w:trHeight w:hRule="exact" w:val="255"/>
          <w:jc w:val="center"/>
        </w:trPr>
        <w:tc>
          <w:tcPr>
            <w:tcW w:w="1838" w:type="dxa"/>
            <w:vMerge/>
            <w:noWrap/>
            <w:hideMark/>
          </w:tcPr>
          <w:p w14:paraId="679507CA" w14:textId="77777777" w:rsidR="00654255" w:rsidRPr="002A0EED" w:rsidRDefault="00654255" w:rsidP="00654255">
            <w:pPr>
              <w:widowControl/>
              <w:autoSpaceDE/>
              <w:autoSpaceDN/>
              <w:spacing w:after="0" w:line="240" w:lineRule="auto"/>
              <w:jc w:val="center"/>
              <w:rPr>
                <w:rFonts w:eastAsia="Times New Roman" w:cs="Calibri"/>
                <w:sz w:val="20"/>
                <w:szCs w:val="20"/>
                <w:lang w:eastAsia="nb-NO"/>
              </w:rPr>
            </w:pPr>
          </w:p>
        </w:tc>
        <w:tc>
          <w:tcPr>
            <w:tcW w:w="1878" w:type="dxa"/>
            <w:noWrap/>
            <w:vAlign w:val="bottom"/>
          </w:tcPr>
          <w:p w14:paraId="5B58B3BD" w14:textId="0AC0140E"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(0.000)</w:t>
            </w:r>
          </w:p>
        </w:tc>
        <w:tc>
          <w:tcPr>
            <w:tcW w:w="1878" w:type="dxa"/>
            <w:noWrap/>
            <w:vAlign w:val="bottom"/>
          </w:tcPr>
          <w:p w14:paraId="74F42DF4" w14:textId="5071D28C"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(0.000)</w:t>
            </w:r>
          </w:p>
        </w:tc>
        <w:tc>
          <w:tcPr>
            <w:tcW w:w="1878" w:type="dxa"/>
            <w:vAlign w:val="bottom"/>
          </w:tcPr>
          <w:p w14:paraId="5693D0BE" w14:textId="5E81E5F8"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(0.000)</w:t>
            </w:r>
          </w:p>
        </w:tc>
        <w:tc>
          <w:tcPr>
            <w:tcW w:w="1879" w:type="dxa"/>
            <w:vAlign w:val="bottom"/>
          </w:tcPr>
          <w:p w14:paraId="7FBBE076" w14:textId="609EA6AE"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(0.000)</w:t>
            </w:r>
          </w:p>
        </w:tc>
      </w:tr>
      <w:tr w:rsidR="00654255" w:rsidRPr="002A0EED" w14:paraId="51B2E4CF" w14:textId="77777777" w:rsidTr="002C39BE">
        <w:trPr>
          <w:trHeight w:hRule="exact" w:val="255"/>
          <w:jc w:val="center"/>
        </w:trPr>
        <w:tc>
          <w:tcPr>
            <w:tcW w:w="1838" w:type="dxa"/>
            <w:vMerge w:val="restart"/>
            <w:noWrap/>
            <w:hideMark/>
          </w:tcPr>
          <w:p w14:paraId="21EC990B"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proofErr w:type="spellStart"/>
            <w:r w:rsidRPr="002A0EED">
              <w:rPr>
                <w:rFonts w:eastAsia="Times New Roman" w:cs="Calibri"/>
                <w:sz w:val="20"/>
                <w:szCs w:val="20"/>
                <w:lang w:val="nb-NO" w:eastAsia="nb-NO"/>
              </w:rPr>
              <w:t>Distance</w:t>
            </w:r>
            <w:proofErr w:type="spellEnd"/>
            <w:r w:rsidRPr="002A0EED">
              <w:rPr>
                <w:rFonts w:eastAsia="Times New Roman" w:cs="Calibri"/>
                <w:sz w:val="20"/>
                <w:szCs w:val="20"/>
                <w:lang w:val="nb-NO" w:eastAsia="nb-NO"/>
              </w:rPr>
              <w:t xml:space="preserve"> to </w:t>
            </w:r>
            <w:proofErr w:type="spellStart"/>
            <w:r w:rsidRPr="002A0EED">
              <w:rPr>
                <w:rFonts w:eastAsia="Times New Roman" w:cs="Calibri"/>
                <w:sz w:val="20"/>
                <w:szCs w:val="20"/>
                <w:lang w:val="nb-NO" w:eastAsia="nb-NO"/>
              </w:rPr>
              <w:t>capital</w:t>
            </w:r>
            <w:proofErr w:type="spellEnd"/>
          </w:p>
        </w:tc>
        <w:tc>
          <w:tcPr>
            <w:tcW w:w="1878" w:type="dxa"/>
            <w:noWrap/>
            <w:vAlign w:val="bottom"/>
          </w:tcPr>
          <w:p w14:paraId="0CB80B2C" w14:textId="19BB0E27"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-0.381***</w:t>
            </w:r>
          </w:p>
        </w:tc>
        <w:tc>
          <w:tcPr>
            <w:tcW w:w="1878" w:type="dxa"/>
            <w:noWrap/>
            <w:vAlign w:val="bottom"/>
          </w:tcPr>
          <w:p w14:paraId="0B91581A" w14:textId="7102C540"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-0.513**</w:t>
            </w:r>
          </w:p>
        </w:tc>
        <w:tc>
          <w:tcPr>
            <w:tcW w:w="1878" w:type="dxa"/>
            <w:vAlign w:val="bottom"/>
          </w:tcPr>
          <w:p w14:paraId="61ED8B00" w14:textId="09BA712C"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-0.542**</w:t>
            </w:r>
          </w:p>
        </w:tc>
        <w:tc>
          <w:tcPr>
            <w:tcW w:w="1879" w:type="dxa"/>
            <w:vAlign w:val="bottom"/>
          </w:tcPr>
          <w:p w14:paraId="70FA699F" w14:textId="6887FC37"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-0.056</w:t>
            </w:r>
          </w:p>
        </w:tc>
      </w:tr>
      <w:tr w:rsidR="00654255" w:rsidRPr="002A0EED" w14:paraId="78E7A4A1" w14:textId="77777777" w:rsidTr="002C39BE">
        <w:trPr>
          <w:trHeight w:hRule="exact" w:val="255"/>
          <w:jc w:val="center"/>
        </w:trPr>
        <w:tc>
          <w:tcPr>
            <w:tcW w:w="1838" w:type="dxa"/>
            <w:vMerge/>
            <w:noWrap/>
            <w:hideMark/>
          </w:tcPr>
          <w:p w14:paraId="5700B057"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5079DCF6" w14:textId="11B9C250"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(0.136)</w:t>
            </w:r>
          </w:p>
        </w:tc>
        <w:tc>
          <w:tcPr>
            <w:tcW w:w="1878" w:type="dxa"/>
            <w:noWrap/>
            <w:vAlign w:val="bottom"/>
          </w:tcPr>
          <w:p w14:paraId="6E1E9DA9" w14:textId="6D57BEC1"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(0.248)</w:t>
            </w:r>
          </w:p>
        </w:tc>
        <w:tc>
          <w:tcPr>
            <w:tcW w:w="1878" w:type="dxa"/>
            <w:vAlign w:val="bottom"/>
          </w:tcPr>
          <w:p w14:paraId="2793437F" w14:textId="14D0C740"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(0.259)</w:t>
            </w:r>
          </w:p>
        </w:tc>
        <w:tc>
          <w:tcPr>
            <w:tcW w:w="1879" w:type="dxa"/>
            <w:vAlign w:val="bottom"/>
          </w:tcPr>
          <w:p w14:paraId="57913694" w14:textId="33AD8269"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(0.445)</w:t>
            </w:r>
          </w:p>
        </w:tc>
      </w:tr>
      <w:tr w:rsidR="00654255" w:rsidRPr="002A0EED" w14:paraId="051A39BF" w14:textId="77777777" w:rsidTr="002C39BE">
        <w:trPr>
          <w:trHeight w:hRule="exact" w:val="255"/>
          <w:jc w:val="center"/>
        </w:trPr>
        <w:tc>
          <w:tcPr>
            <w:tcW w:w="1838" w:type="dxa"/>
            <w:vMerge w:val="restart"/>
            <w:noWrap/>
            <w:hideMark/>
          </w:tcPr>
          <w:p w14:paraId="69A39EA9"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proofErr w:type="spellStart"/>
            <w:r w:rsidRPr="002A0EED">
              <w:rPr>
                <w:rFonts w:eastAsia="Times New Roman" w:cs="Calibri"/>
                <w:sz w:val="20"/>
                <w:szCs w:val="20"/>
                <w:lang w:val="nb-NO" w:eastAsia="nb-NO"/>
              </w:rPr>
              <w:t>Turnout</w:t>
            </w:r>
            <w:proofErr w:type="spellEnd"/>
          </w:p>
        </w:tc>
        <w:tc>
          <w:tcPr>
            <w:tcW w:w="1878" w:type="dxa"/>
            <w:noWrap/>
            <w:vAlign w:val="bottom"/>
          </w:tcPr>
          <w:p w14:paraId="450AA212" w14:textId="598C4EE3"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-0.002</w:t>
            </w:r>
          </w:p>
        </w:tc>
        <w:tc>
          <w:tcPr>
            <w:tcW w:w="1878" w:type="dxa"/>
            <w:noWrap/>
            <w:vAlign w:val="bottom"/>
          </w:tcPr>
          <w:p w14:paraId="43F85CDD" w14:textId="07707EE6"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0.009</w:t>
            </w:r>
          </w:p>
        </w:tc>
        <w:tc>
          <w:tcPr>
            <w:tcW w:w="1878" w:type="dxa"/>
            <w:vAlign w:val="bottom"/>
          </w:tcPr>
          <w:p w14:paraId="2A0F5956" w14:textId="62644C25"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-0.003</w:t>
            </w:r>
          </w:p>
        </w:tc>
        <w:tc>
          <w:tcPr>
            <w:tcW w:w="1879" w:type="dxa"/>
            <w:vAlign w:val="bottom"/>
          </w:tcPr>
          <w:p w14:paraId="29E303EC" w14:textId="2F5D7047"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0.006</w:t>
            </w:r>
          </w:p>
        </w:tc>
      </w:tr>
      <w:tr w:rsidR="00654255" w:rsidRPr="002A0EED" w14:paraId="5C84F1F5" w14:textId="77777777" w:rsidTr="002C39BE">
        <w:trPr>
          <w:trHeight w:hRule="exact" w:val="255"/>
          <w:jc w:val="center"/>
        </w:trPr>
        <w:tc>
          <w:tcPr>
            <w:tcW w:w="1838" w:type="dxa"/>
            <w:vMerge/>
            <w:noWrap/>
            <w:hideMark/>
          </w:tcPr>
          <w:p w14:paraId="5A261307"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01B4C7B1" w14:textId="28A4EFEB"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(0.002)</w:t>
            </w:r>
          </w:p>
        </w:tc>
        <w:tc>
          <w:tcPr>
            <w:tcW w:w="1878" w:type="dxa"/>
            <w:noWrap/>
            <w:vAlign w:val="bottom"/>
          </w:tcPr>
          <w:p w14:paraId="0F5D841B" w14:textId="189A101E"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(0.011)</w:t>
            </w:r>
          </w:p>
        </w:tc>
        <w:tc>
          <w:tcPr>
            <w:tcW w:w="1878" w:type="dxa"/>
            <w:vAlign w:val="bottom"/>
          </w:tcPr>
          <w:p w14:paraId="11A1B922" w14:textId="7DBAC0F7"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(0.011)</w:t>
            </w:r>
          </w:p>
        </w:tc>
        <w:tc>
          <w:tcPr>
            <w:tcW w:w="1879" w:type="dxa"/>
            <w:vAlign w:val="bottom"/>
          </w:tcPr>
          <w:p w14:paraId="0448161C" w14:textId="3E822CEA"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(0.063)</w:t>
            </w:r>
          </w:p>
        </w:tc>
      </w:tr>
      <w:tr w:rsidR="00654255" w:rsidRPr="002A0EED" w14:paraId="7DC3EAD8" w14:textId="77777777" w:rsidTr="002C39BE">
        <w:trPr>
          <w:trHeight w:hRule="exact" w:val="255"/>
          <w:jc w:val="center"/>
        </w:trPr>
        <w:tc>
          <w:tcPr>
            <w:tcW w:w="1838" w:type="dxa"/>
            <w:vMerge w:val="restart"/>
            <w:noWrap/>
            <w:hideMark/>
          </w:tcPr>
          <w:p w14:paraId="38BC0C72" w14:textId="77777777" w:rsidR="00654255" w:rsidRDefault="00654255" w:rsidP="00654255">
            <w:pPr>
              <w:widowControl/>
              <w:autoSpaceDE/>
              <w:autoSpaceDN/>
              <w:spacing w:after="0" w:line="240" w:lineRule="auto"/>
              <w:jc w:val="center"/>
              <w:rPr>
                <w:rFonts w:eastAsia="Times New Roman" w:cs="Calibri"/>
                <w:sz w:val="20"/>
                <w:szCs w:val="20"/>
                <w:lang w:eastAsia="nb-NO"/>
              </w:rPr>
            </w:pPr>
            <w:r w:rsidRPr="002A0EED">
              <w:rPr>
                <w:rFonts w:eastAsia="Times New Roman" w:cs="Calibri"/>
                <w:sz w:val="20"/>
                <w:szCs w:val="20"/>
                <w:lang w:eastAsia="nb-NO"/>
              </w:rPr>
              <w:t xml:space="preserve">Time counter </w:t>
            </w:r>
          </w:p>
          <w:p w14:paraId="73433046" w14:textId="073288F0" w:rsidR="00654255" w:rsidRPr="002A0EED" w:rsidRDefault="00654255" w:rsidP="00654255">
            <w:pPr>
              <w:widowControl/>
              <w:autoSpaceDE/>
              <w:autoSpaceDN/>
              <w:spacing w:after="0" w:line="240" w:lineRule="auto"/>
              <w:jc w:val="center"/>
              <w:rPr>
                <w:rFonts w:eastAsia="Times New Roman" w:cs="Calibri"/>
                <w:sz w:val="20"/>
                <w:szCs w:val="20"/>
                <w:lang w:eastAsia="nb-NO"/>
              </w:rPr>
            </w:pPr>
            <w:r w:rsidRPr="002A0EED">
              <w:rPr>
                <w:rFonts w:eastAsia="Times New Roman" w:cs="Calibri"/>
                <w:sz w:val="20"/>
                <w:szCs w:val="20"/>
                <w:lang w:eastAsia="nb-NO"/>
              </w:rPr>
              <w:t>(</w:t>
            </w:r>
            <w:r>
              <w:rPr>
                <w:rFonts w:eastAsia="Times New Roman" w:cs="Calibri"/>
                <w:sz w:val="20"/>
                <w:szCs w:val="20"/>
                <w:lang w:eastAsia="nb-NO"/>
              </w:rPr>
              <w:t>years</w:t>
            </w:r>
            <w:r w:rsidRPr="002A0EED">
              <w:rPr>
                <w:rFonts w:eastAsia="Times New Roman" w:cs="Calibri"/>
                <w:sz w:val="20"/>
                <w:szCs w:val="20"/>
                <w:lang w:eastAsia="nb-NO"/>
              </w:rPr>
              <w:t>)</w:t>
            </w:r>
          </w:p>
        </w:tc>
        <w:tc>
          <w:tcPr>
            <w:tcW w:w="1878" w:type="dxa"/>
            <w:noWrap/>
            <w:vAlign w:val="bottom"/>
          </w:tcPr>
          <w:p w14:paraId="739FD953" w14:textId="1D0FF84E"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0.001***</w:t>
            </w:r>
          </w:p>
        </w:tc>
        <w:tc>
          <w:tcPr>
            <w:tcW w:w="1878" w:type="dxa"/>
            <w:noWrap/>
            <w:vAlign w:val="bottom"/>
          </w:tcPr>
          <w:p w14:paraId="56613492" w14:textId="360DE438"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0.000</w:t>
            </w:r>
          </w:p>
        </w:tc>
        <w:tc>
          <w:tcPr>
            <w:tcW w:w="1878" w:type="dxa"/>
            <w:vAlign w:val="bottom"/>
          </w:tcPr>
          <w:p w14:paraId="6A2AA2C6" w14:textId="635E933B"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-0.000***</w:t>
            </w:r>
          </w:p>
        </w:tc>
        <w:tc>
          <w:tcPr>
            <w:tcW w:w="1879" w:type="dxa"/>
            <w:vAlign w:val="bottom"/>
          </w:tcPr>
          <w:p w14:paraId="00B368B0" w14:textId="347088C4"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-0.001***</w:t>
            </w:r>
          </w:p>
        </w:tc>
      </w:tr>
      <w:tr w:rsidR="00654255" w:rsidRPr="002A0EED" w14:paraId="13BFC43E" w14:textId="77777777" w:rsidTr="002C39BE">
        <w:trPr>
          <w:trHeight w:hRule="exact" w:val="255"/>
          <w:jc w:val="center"/>
        </w:trPr>
        <w:tc>
          <w:tcPr>
            <w:tcW w:w="1838" w:type="dxa"/>
            <w:vMerge/>
            <w:noWrap/>
            <w:hideMark/>
          </w:tcPr>
          <w:p w14:paraId="6015688A"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3058561E" w14:textId="77D466B3"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(0.000)</w:t>
            </w:r>
          </w:p>
        </w:tc>
        <w:tc>
          <w:tcPr>
            <w:tcW w:w="1878" w:type="dxa"/>
            <w:noWrap/>
            <w:vAlign w:val="bottom"/>
          </w:tcPr>
          <w:p w14:paraId="47EC8A86" w14:textId="5D6ACECA"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w:t>
            </w:r>
          </w:p>
        </w:tc>
        <w:tc>
          <w:tcPr>
            <w:tcW w:w="1878" w:type="dxa"/>
            <w:vAlign w:val="bottom"/>
          </w:tcPr>
          <w:p w14:paraId="588B1769" w14:textId="44B8C3F9"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(0.000)</w:t>
            </w:r>
          </w:p>
        </w:tc>
        <w:tc>
          <w:tcPr>
            <w:tcW w:w="1879" w:type="dxa"/>
            <w:vAlign w:val="bottom"/>
          </w:tcPr>
          <w:p w14:paraId="6B0E0417" w14:textId="4B44935F"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(0.000)</w:t>
            </w:r>
          </w:p>
        </w:tc>
      </w:tr>
      <w:tr w:rsidR="00654255" w:rsidRPr="002A0EED" w14:paraId="16BEB0E8" w14:textId="77777777" w:rsidTr="002C39BE">
        <w:trPr>
          <w:trHeight w:hRule="exact" w:val="255"/>
          <w:jc w:val="center"/>
        </w:trPr>
        <w:tc>
          <w:tcPr>
            <w:tcW w:w="1838" w:type="dxa"/>
            <w:vMerge w:val="restart"/>
            <w:noWrap/>
            <w:hideMark/>
          </w:tcPr>
          <w:p w14:paraId="2D5A9835"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proofErr w:type="spellStart"/>
            <w:r w:rsidRPr="002A0EED">
              <w:rPr>
                <w:rFonts w:eastAsia="Times New Roman" w:cs="Calibri"/>
                <w:sz w:val="20"/>
                <w:szCs w:val="20"/>
                <w:lang w:val="nb-NO" w:eastAsia="nb-NO"/>
              </w:rPr>
              <w:t>Months</w:t>
            </w:r>
            <w:proofErr w:type="spellEnd"/>
            <w:r w:rsidRPr="002A0EED">
              <w:rPr>
                <w:rFonts w:eastAsia="Times New Roman" w:cs="Calibri"/>
                <w:sz w:val="20"/>
                <w:szCs w:val="20"/>
                <w:lang w:val="nb-NO" w:eastAsia="nb-NO"/>
              </w:rPr>
              <w:t xml:space="preserve"> </w:t>
            </w:r>
            <w:proofErr w:type="spellStart"/>
            <w:r w:rsidRPr="002A0EED">
              <w:rPr>
                <w:rFonts w:eastAsia="Times New Roman" w:cs="Calibri"/>
                <w:sz w:val="20"/>
                <w:szCs w:val="20"/>
                <w:lang w:val="nb-NO" w:eastAsia="nb-NO"/>
              </w:rPr>
              <w:t>since</w:t>
            </w:r>
            <w:proofErr w:type="spellEnd"/>
            <w:r w:rsidRPr="002A0EED">
              <w:rPr>
                <w:rFonts w:eastAsia="Times New Roman" w:cs="Calibri"/>
                <w:sz w:val="20"/>
                <w:szCs w:val="20"/>
                <w:lang w:val="nb-NO" w:eastAsia="nb-NO"/>
              </w:rPr>
              <w:t xml:space="preserve"> </w:t>
            </w:r>
            <w:proofErr w:type="spellStart"/>
            <w:r w:rsidRPr="002A0EED">
              <w:rPr>
                <w:rFonts w:eastAsia="Times New Roman" w:cs="Calibri"/>
                <w:sz w:val="20"/>
                <w:szCs w:val="20"/>
                <w:lang w:val="nb-NO" w:eastAsia="nb-NO"/>
              </w:rPr>
              <w:t>prev</w:t>
            </w:r>
            <w:proofErr w:type="spellEnd"/>
            <w:r w:rsidRPr="002A0EED">
              <w:rPr>
                <w:rFonts w:eastAsia="Times New Roman" w:cs="Calibri"/>
                <w:sz w:val="20"/>
                <w:szCs w:val="20"/>
                <w:lang w:val="nb-NO" w:eastAsia="nb-NO"/>
              </w:rPr>
              <w:t xml:space="preserve"> </w:t>
            </w:r>
            <w:proofErr w:type="spellStart"/>
            <w:r w:rsidRPr="002A0EED">
              <w:rPr>
                <w:rFonts w:eastAsia="Times New Roman" w:cs="Calibri"/>
                <w:sz w:val="20"/>
                <w:szCs w:val="20"/>
                <w:lang w:val="nb-NO" w:eastAsia="nb-NO"/>
              </w:rPr>
              <w:t>election</w:t>
            </w:r>
            <w:proofErr w:type="spellEnd"/>
          </w:p>
        </w:tc>
        <w:tc>
          <w:tcPr>
            <w:tcW w:w="1878" w:type="dxa"/>
            <w:noWrap/>
            <w:vAlign w:val="bottom"/>
          </w:tcPr>
          <w:p w14:paraId="078DEBDE" w14:textId="6165626A"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-0.000</w:t>
            </w:r>
          </w:p>
        </w:tc>
        <w:tc>
          <w:tcPr>
            <w:tcW w:w="1878" w:type="dxa"/>
            <w:noWrap/>
            <w:vAlign w:val="bottom"/>
          </w:tcPr>
          <w:p w14:paraId="6A9E697B" w14:textId="35BAD8A2" w:rsidR="00654255" w:rsidRPr="00654255" w:rsidRDefault="00654255" w:rsidP="00654255">
            <w:pPr>
              <w:widowControl/>
              <w:autoSpaceDE/>
              <w:autoSpaceDN/>
              <w:spacing w:after="0" w:line="240" w:lineRule="auto"/>
              <w:jc w:val="center"/>
              <w:rPr>
                <w:rFonts w:eastAsia="Times New Roman" w:cs="Calibri"/>
                <w:sz w:val="20"/>
                <w:szCs w:val="20"/>
                <w:lang w:eastAsia="nb-NO"/>
              </w:rPr>
            </w:pPr>
          </w:p>
        </w:tc>
        <w:tc>
          <w:tcPr>
            <w:tcW w:w="1878" w:type="dxa"/>
            <w:vAlign w:val="bottom"/>
          </w:tcPr>
          <w:p w14:paraId="5A41789C" w14:textId="2BC4BF35"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-0.004***</w:t>
            </w:r>
          </w:p>
        </w:tc>
        <w:tc>
          <w:tcPr>
            <w:tcW w:w="1879" w:type="dxa"/>
            <w:vAlign w:val="bottom"/>
          </w:tcPr>
          <w:p w14:paraId="1CBCEC37" w14:textId="54A2663A" w:rsidR="00654255" w:rsidRPr="00654255" w:rsidRDefault="00654255" w:rsidP="00654255">
            <w:pPr>
              <w:widowControl/>
              <w:autoSpaceDE/>
              <w:autoSpaceDN/>
              <w:spacing w:after="0" w:line="240" w:lineRule="auto"/>
              <w:jc w:val="center"/>
              <w:rPr>
                <w:rFonts w:eastAsia="Times New Roman" w:cs="Calibri"/>
                <w:sz w:val="20"/>
                <w:szCs w:val="20"/>
                <w:lang w:eastAsia="nb-NO"/>
              </w:rPr>
            </w:pPr>
          </w:p>
        </w:tc>
      </w:tr>
      <w:tr w:rsidR="00654255" w:rsidRPr="002A0EED" w14:paraId="257163B6" w14:textId="77777777" w:rsidTr="002C39BE">
        <w:trPr>
          <w:trHeight w:hRule="exact" w:val="255"/>
          <w:jc w:val="center"/>
        </w:trPr>
        <w:tc>
          <w:tcPr>
            <w:tcW w:w="1838" w:type="dxa"/>
            <w:vMerge/>
            <w:noWrap/>
            <w:hideMark/>
          </w:tcPr>
          <w:p w14:paraId="2C956D3A"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7B8C25B4" w14:textId="25DE702C"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(0.001)</w:t>
            </w:r>
          </w:p>
        </w:tc>
        <w:tc>
          <w:tcPr>
            <w:tcW w:w="1878" w:type="dxa"/>
            <w:noWrap/>
            <w:vAlign w:val="bottom"/>
          </w:tcPr>
          <w:p w14:paraId="4A8F7036" w14:textId="08254AB9" w:rsidR="00654255" w:rsidRPr="00654255" w:rsidRDefault="00654255" w:rsidP="00654255">
            <w:pPr>
              <w:widowControl/>
              <w:autoSpaceDE/>
              <w:autoSpaceDN/>
              <w:spacing w:after="0" w:line="240" w:lineRule="auto"/>
              <w:jc w:val="center"/>
              <w:rPr>
                <w:rFonts w:eastAsia="Times New Roman" w:cs="Calibri"/>
                <w:sz w:val="20"/>
                <w:szCs w:val="20"/>
                <w:lang w:eastAsia="nb-NO"/>
              </w:rPr>
            </w:pPr>
          </w:p>
        </w:tc>
        <w:tc>
          <w:tcPr>
            <w:tcW w:w="1878" w:type="dxa"/>
            <w:vAlign w:val="bottom"/>
          </w:tcPr>
          <w:p w14:paraId="7BD0B156" w14:textId="5322A955"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(0.001)</w:t>
            </w:r>
          </w:p>
        </w:tc>
        <w:tc>
          <w:tcPr>
            <w:tcW w:w="1879" w:type="dxa"/>
            <w:vAlign w:val="bottom"/>
          </w:tcPr>
          <w:p w14:paraId="10303BC3" w14:textId="44D883C4" w:rsidR="00654255" w:rsidRPr="00654255" w:rsidRDefault="00654255" w:rsidP="00654255">
            <w:pPr>
              <w:widowControl/>
              <w:autoSpaceDE/>
              <w:autoSpaceDN/>
              <w:spacing w:after="0" w:line="240" w:lineRule="auto"/>
              <w:jc w:val="center"/>
              <w:rPr>
                <w:rFonts w:eastAsia="Times New Roman" w:cs="Calibri"/>
                <w:sz w:val="20"/>
                <w:szCs w:val="20"/>
                <w:lang w:eastAsia="nb-NO"/>
              </w:rPr>
            </w:pPr>
          </w:p>
        </w:tc>
      </w:tr>
      <w:tr w:rsidR="00654255" w:rsidRPr="002A0EED" w14:paraId="443FD474" w14:textId="77777777" w:rsidTr="002C39BE">
        <w:trPr>
          <w:trHeight w:hRule="exact" w:val="255"/>
          <w:jc w:val="center"/>
        </w:trPr>
        <w:tc>
          <w:tcPr>
            <w:tcW w:w="1838" w:type="dxa"/>
            <w:vMerge w:val="restart"/>
            <w:noWrap/>
          </w:tcPr>
          <w:p w14:paraId="0A0AF59E"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r w:rsidRPr="002A0EED">
              <w:rPr>
                <w:rFonts w:eastAsia="Times New Roman" w:cs="Calibri"/>
                <w:sz w:val="20"/>
                <w:szCs w:val="20"/>
                <w:lang w:val="nb-NO" w:eastAsia="nb-NO"/>
              </w:rPr>
              <w:t xml:space="preserve">Committee </w:t>
            </w:r>
            <w:proofErr w:type="spellStart"/>
            <w:r w:rsidRPr="002A0EED">
              <w:rPr>
                <w:rFonts w:eastAsia="Times New Roman" w:cs="Calibri"/>
                <w:sz w:val="20"/>
                <w:szCs w:val="20"/>
                <w:lang w:val="nb-NO" w:eastAsia="nb-NO"/>
              </w:rPr>
              <w:t>leadership</w:t>
            </w:r>
            <w:proofErr w:type="spellEnd"/>
          </w:p>
        </w:tc>
        <w:tc>
          <w:tcPr>
            <w:tcW w:w="1878" w:type="dxa"/>
            <w:noWrap/>
            <w:vAlign w:val="bottom"/>
          </w:tcPr>
          <w:p w14:paraId="617D6039" w14:textId="77777777" w:rsidR="00654255" w:rsidRPr="00654255" w:rsidRDefault="00654255" w:rsidP="00654255">
            <w:pPr>
              <w:widowControl/>
              <w:autoSpaceDE/>
              <w:autoSpaceDN/>
              <w:spacing w:after="0" w:line="240" w:lineRule="auto"/>
              <w:jc w:val="center"/>
              <w:rPr>
                <w:rFonts w:eastAsia="Times New Roman" w:cs="Calibri"/>
                <w:sz w:val="20"/>
                <w:szCs w:val="20"/>
                <w:lang w:eastAsia="nb-NO"/>
              </w:rPr>
            </w:pPr>
          </w:p>
        </w:tc>
        <w:tc>
          <w:tcPr>
            <w:tcW w:w="1878" w:type="dxa"/>
            <w:noWrap/>
            <w:vAlign w:val="bottom"/>
          </w:tcPr>
          <w:p w14:paraId="21E162E5" w14:textId="77777777" w:rsidR="00654255" w:rsidRPr="00654255" w:rsidRDefault="00654255" w:rsidP="00654255">
            <w:pPr>
              <w:widowControl/>
              <w:autoSpaceDE/>
              <w:autoSpaceDN/>
              <w:spacing w:after="0" w:line="240" w:lineRule="auto"/>
              <w:jc w:val="center"/>
              <w:rPr>
                <w:rFonts w:eastAsia="Times New Roman" w:cs="Calibri"/>
                <w:sz w:val="20"/>
                <w:szCs w:val="20"/>
                <w:lang w:eastAsia="nb-NO"/>
              </w:rPr>
            </w:pPr>
          </w:p>
        </w:tc>
        <w:tc>
          <w:tcPr>
            <w:tcW w:w="1878" w:type="dxa"/>
            <w:vAlign w:val="bottom"/>
          </w:tcPr>
          <w:p w14:paraId="5E9BAC27" w14:textId="32BC5EA4"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0.326***</w:t>
            </w:r>
          </w:p>
        </w:tc>
        <w:tc>
          <w:tcPr>
            <w:tcW w:w="1879" w:type="dxa"/>
            <w:vAlign w:val="bottom"/>
          </w:tcPr>
          <w:p w14:paraId="15284084" w14:textId="0ABCF4C2"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0.544***</w:t>
            </w:r>
          </w:p>
        </w:tc>
      </w:tr>
      <w:tr w:rsidR="00654255" w:rsidRPr="002A0EED" w14:paraId="3B8E6994" w14:textId="77777777" w:rsidTr="002C39BE">
        <w:trPr>
          <w:trHeight w:hRule="exact" w:val="255"/>
          <w:jc w:val="center"/>
        </w:trPr>
        <w:tc>
          <w:tcPr>
            <w:tcW w:w="1838" w:type="dxa"/>
            <w:vMerge/>
            <w:noWrap/>
          </w:tcPr>
          <w:p w14:paraId="5FC65170"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562F13B9" w14:textId="77777777" w:rsidR="00654255" w:rsidRPr="00654255" w:rsidRDefault="00654255" w:rsidP="00654255">
            <w:pPr>
              <w:widowControl/>
              <w:autoSpaceDE/>
              <w:autoSpaceDN/>
              <w:spacing w:after="0" w:line="240" w:lineRule="auto"/>
              <w:jc w:val="center"/>
              <w:rPr>
                <w:rFonts w:eastAsia="Times New Roman" w:cs="Calibri"/>
                <w:sz w:val="20"/>
                <w:szCs w:val="20"/>
                <w:lang w:eastAsia="nb-NO"/>
              </w:rPr>
            </w:pPr>
          </w:p>
        </w:tc>
        <w:tc>
          <w:tcPr>
            <w:tcW w:w="1878" w:type="dxa"/>
            <w:noWrap/>
            <w:vAlign w:val="bottom"/>
          </w:tcPr>
          <w:p w14:paraId="67147878" w14:textId="77777777" w:rsidR="00654255" w:rsidRPr="00654255" w:rsidRDefault="00654255" w:rsidP="00654255">
            <w:pPr>
              <w:widowControl/>
              <w:autoSpaceDE/>
              <w:autoSpaceDN/>
              <w:spacing w:after="0" w:line="240" w:lineRule="auto"/>
              <w:jc w:val="center"/>
              <w:rPr>
                <w:rFonts w:eastAsia="Times New Roman" w:cs="Calibri"/>
                <w:sz w:val="20"/>
                <w:szCs w:val="20"/>
                <w:lang w:eastAsia="nb-NO"/>
              </w:rPr>
            </w:pPr>
          </w:p>
        </w:tc>
        <w:tc>
          <w:tcPr>
            <w:tcW w:w="1878" w:type="dxa"/>
            <w:vAlign w:val="bottom"/>
          </w:tcPr>
          <w:p w14:paraId="175E92C0" w14:textId="2A296423"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(0.032)</w:t>
            </w:r>
          </w:p>
        </w:tc>
        <w:tc>
          <w:tcPr>
            <w:tcW w:w="1879" w:type="dxa"/>
            <w:vAlign w:val="bottom"/>
          </w:tcPr>
          <w:p w14:paraId="22308C98" w14:textId="64452484"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(0.129)</w:t>
            </w:r>
          </w:p>
        </w:tc>
      </w:tr>
      <w:tr w:rsidR="00654255" w:rsidRPr="002A0EED" w14:paraId="2E11468E" w14:textId="77777777" w:rsidTr="002C39BE">
        <w:trPr>
          <w:trHeight w:hRule="exact" w:val="255"/>
          <w:jc w:val="center"/>
        </w:trPr>
        <w:tc>
          <w:tcPr>
            <w:tcW w:w="1838" w:type="dxa"/>
            <w:vMerge w:val="restart"/>
            <w:noWrap/>
          </w:tcPr>
          <w:p w14:paraId="61751BBE"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r w:rsidRPr="002A0EED">
              <w:rPr>
                <w:rFonts w:eastAsia="Times New Roman" w:cs="Calibri"/>
                <w:sz w:val="20"/>
                <w:szCs w:val="20"/>
                <w:lang w:val="nb-NO" w:eastAsia="nb-NO"/>
              </w:rPr>
              <w:t>Committee, «hard»</w:t>
            </w:r>
          </w:p>
        </w:tc>
        <w:tc>
          <w:tcPr>
            <w:tcW w:w="1878" w:type="dxa"/>
            <w:noWrap/>
            <w:vAlign w:val="bottom"/>
          </w:tcPr>
          <w:p w14:paraId="64B64514" w14:textId="77777777" w:rsidR="00654255" w:rsidRPr="00654255" w:rsidRDefault="00654255" w:rsidP="00654255">
            <w:pPr>
              <w:widowControl/>
              <w:autoSpaceDE/>
              <w:autoSpaceDN/>
              <w:spacing w:after="0" w:line="240" w:lineRule="auto"/>
              <w:jc w:val="center"/>
              <w:rPr>
                <w:rFonts w:eastAsia="Times New Roman" w:cs="Calibri"/>
                <w:sz w:val="20"/>
                <w:szCs w:val="20"/>
                <w:lang w:eastAsia="nb-NO"/>
              </w:rPr>
            </w:pPr>
          </w:p>
        </w:tc>
        <w:tc>
          <w:tcPr>
            <w:tcW w:w="1878" w:type="dxa"/>
            <w:noWrap/>
            <w:vAlign w:val="bottom"/>
          </w:tcPr>
          <w:p w14:paraId="3F84F02D" w14:textId="77777777" w:rsidR="00654255" w:rsidRPr="00654255" w:rsidRDefault="00654255" w:rsidP="00654255">
            <w:pPr>
              <w:widowControl/>
              <w:autoSpaceDE/>
              <w:autoSpaceDN/>
              <w:spacing w:after="0" w:line="240" w:lineRule="auto"/>
              <w:jc w:val="center"/>
              <w:rPr>
                <w:rFonts w:eastAsia="Times New Roman" w:cs="Calibri"/>
                <w:sz w:val="20"/>
                <w:szCs w:val="20"/>
                <w:lang w:eastAsia="nb-NO"/>
              </w:rPr>
            </w:pPr>
          </w:p>
        </w:tc>
        <w:tc>
          <w:tcPr>
            <w:tcW w:w="1878" w:type="dxa"/>
            <w:vAlign w:val="bottom"/>
          </w:tcPr>
          <w:p w14:paraId="69FEB501" w14:textId="739A5272"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-0.358***</w:t>
            </w:r>
          </w:p>
        </w:tc>
        <w:tc>
          <w:tcPr>
            <w:tcW w:w="1879" w:type="dxa"/>
            <w:vAlign w:val="bottom"/>
          </w:tcPr>
          <w:p w14:paraId="6B72CC37" w14:textId="49D0E595"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-0.498***</w:t>
            </w:r>
          </w:p>
        </w:tc>
      </w:tr>
      <w:tr w:rsidR="00654255" w:rsidRPr="002A0EED" w14:paraId="645FA146" w14:textId="77777777" w:rsidTr="002C39BE">
        <w:trPr>
          <w:trHeight w:hRule="exact" w:val="255"/>
          <w:jc w:val="center"/>
        </w:trPr>
        <w:tc>
          <w:tcPr>
            <w:tcW w:w="1838" w:type="dxa"/>
            <w:vMerge/>
            <w:noWrap/>
          </w:tcPr>
          <w:p w14:paraId="67CC70B4"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290C8F4B" w14:textId="77777777" w:rsidR="00654255" w:rsidRPr="00654255" w:rsidRDefault="00654255" w:rsidP="00654255">
            <w:pPr>
              <w:widowControl/>
              <w:autoSpaceDE/>
              <w:autoSpaceDN/>
              <w:spacing w:after="0" w:line="240" w:lineRule="auto"/>
              <w:jc w:val="center"/>
              <w:rPr>
                <w:rFonts w:eastAsia="Times New Roman" w:cs="Calibri"/>
                <w:sz w:val="20"/>
                <w:szCs w:val="20"/>
                <w:lang w:eastAsia="nb-NO"/>
              </w:rPr>
            </w:pPr>
          </w:p>
        </w:tc>
        <w:tc>
          <w:tcPr>
            <w:tcW w:w="1878" w:type="dxa"/>
            <w:noWrap/>
            <w:vAlign w:val="bottom"/>
          </w:tcPr>
          <w:p w14:paraId="61E20B48" w14:textId="77777777" w:rsidR="00654255" w:rsidRPr="00654255" w:rsidRDefault="00654255" w:rsidP="00654255">
            <w:pPr>
              <w:widowControl/>
              <w:autoSpaceDE/>
              <w:autoSpaceDN/>
              <w:spacing w:after="0" w:line="240" w:lineRule="auto"/>
              <w:jc w:val="center"/>
              <w:rPr>
                <w:rFonts w:eastAsia="Times New Roman" w:cs="Calibri"/>
                <w:sz w:val="20"/>
                <w:szCs w:val="20"/>
                <w:lang w:eastAsia="nb-NO"/>
              </w:rPr>
            </w:pPr>
          </w:p>
        </w:tc>
        <w:tc>
          <w:tcPr>
            <w:tcW w:w="1878" w:type="dxa"/>
            <w:vAlign w:val="bottom"/>
          </w:tcPr>
          <w:p w14:paraId="37D7BD98" w14:textId="3674B306"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(0.042)</w:t>
            </w:r>
          </w:p>
        </w:tc>
        <w:tc>
          <w:tcPr>
            <w:tcW w:w="1879" w:type="dxa"/>
            <w:vAlign w:val="bottom"/>
          </w:tcPr>
          <w:p w14:paraId="6A915465" w14:textId="6DCFF974"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(0.149)</w:t>
            </w:r>
          </w:p>
        </w:tc>
      </w:tr>
      <w:tr w:rsidR="00654255" w:rsidRPr="002A0EED" w14:paraId="40EF82EA" w14:textId="77777777" w:rsidTr="002C39BE">
        <w:trPr>
          <w:trHeight w:hRule="exact" w:val="255"/>
          <w:jc w:val="center"/>
        </w:trPr>
        <w:tc>
          <w:tcPr>
            <w:tcW w:w="1838" w:type="dxa"/>
            <w:vMerge w:val="restart"/>
            <w:noWrap/>
            <w:hideMark/>
          </w:tcPr>
          <w:p w14:paraId="43BADA90"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proofErr w:type="spellStart"/>
            <w:r w:rsidRPr="002A0EED">
              <w:rPr>
                <w:rFonts w:eastAsia="Times New Roman" w:cs="Calibri"/>
                <w:sz w:val="20"/>
                <w:szCs w:val="20"/>
                <w:lang w:val="nb-NO" w:eastAsia="nb-NO"/>
              </w:rPr>
              <w:t>Constant</w:t>
            </w:r>
            <w:proofErr w:type="spellEnd"/>
          </w:p>
        </w:tc>
        <w:tc>
          <w:tcPr>
            <w:tcW w:w="1878" w:type="dxa"/>
            <w:noWrap/>
            <w:vAlign w:val="bottom"/>
          </w:tcPr>
          <w:p w14:paraId="725FA1DF" w14:textId="0219D95B"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-119.579***</w:t>
            </w:r>
          </w:p>
        </w:tc>
        <w:tc>
          <w:tcPr>
            <w:tcW w:w="1878" w:type="dxa"/>
            <w:noWrap/>
            <w:vAlign w:val="bottom"/>
          </w:tcPr>
          <w:p w14:paraId="59D1E6DD" w14:textId="0121BF7D"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-0.875</w:t>
            </w:r>
          </w:p>
        </w:tc>
        <w:tc>
          <w:tcPr>
            <w:tcW w:w="1878" w:type="dxa"/>
            <w:vAlign w:val="bottom"/>
          </w:tcPr>
          <w:p w14:paraId="64929A0E" w14:textId="6D9B0CB5"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77.717***</w:t>
            </w:r>
          </w:p>
        </w:tc>
        <w:tc>
          <w:tcPr>
            <w:tcW w:w="1879" w:type="dxa"/>
            <w:vAlign w:val="bottom"/>
          </w:tcPr>
          <w:p w14:paraId="672CE8E5" w14:textId="6394BA4A"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265.749***</w:t>
            </w:r>
          </w:p>
        </w:tc>
      </w:tr>
      <w:tr w:rsidR="00654255" w:rsidRPr="002A0EED" w14:paraId="2102E4C6" w14:textId="77777777" w:rsidTr="002C39BE">
        <w:trPr>
          <w:trHeight w:hRule="exact" w:val="255"/>
          <w:jc w:val="center"/>
        </w:trPr>
        <w:tc>
          <w:tcPr>
            <w:tcW w:w="1838" w:type="dxa"/>
            <w:vMerge/>
            <w:noWrap/>
            <w:hideMark/>
          </w:tcPr>
          <w:p w14:paraId="3F7E3029"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670A76F9" w14:textId="44C936E9"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(22.496)</w:t>
            </w:r>
          </w:p>
        </w:tc>
        <w:tc>
          <w:tcPr>
            <w:tcW w:w="1878" w:type="dxa"/>
            <w:noWrap/>
            <w:vAlign w:val="bottom"/>
          </w:tcPr>
          <w:p w14:paraId="178325BF" w14:textId="6DA4271C"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(1.543)</w:t>
            </w:r>
          </w:p>
        </w:tc>
        <w:tc>
          <w:tcPr>
            <w:tcW w:w="1878" w:type="dxa"/>
            <w:vAlign w:val="bottom"/>
          </w:tcPr>
          <w:p w14:paraId="1D4BCA75" w14:textId="5BD6103E"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(16.837)</w:t>
            </w:r>
          </w:p>
        </w:tc>
        <w:tc>
          <w:tcPr>
            <w:tcW w:w="1879" w:type="dxa"/>
            <w:vAlign w:val="bottom"/>
          </w:tcPr>
          <w:p w14:paraId="7FA2BB93" w14:textId="540C5B2B"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(71.006)</w:t>
            </w:r>
          </w:p>
        </w:tc>
      </w:tr>
      <w:tr w:rsidR="00654255" w:rsidRPr="002A0EED" w14:paraId="3964156B" w14:textId="77777777" w:rsidTr="002C39BE">
        <w:trPr>
          <w:trHeight w:hRule="exact" w:val="255"/>
          <w:jc w:val="center"/>
        </w:trPr>
        <w:tc>
          <w:tcPr>
            <w:tcW w:w="1838" w:type="dxa"/>
            <w:vMerge w:val="restart"/>
            <w:noWrap/>
            <w:hideMark/>
          </w:tcPr>
          <w:p w14:paraId="070F48D7"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r w:rsidRPr="002A0EED">
              <w:rPr>
                <w:rFonts w:eastAsia="Times New Roman" w:cs="Calibri"/>
                <w:sz w:val="20"/>
                <w:szCs w:val="20"/>
                <w:lang w:val="nb-NO" w:eastAsia="nb-NO"/>
              </w:rPr>
              <w:t>Ln Alpha</w:t>
            </w:r>
          </w:p>
        </w:tc>
        <w:tc>
          <w:tcPr>
            <w:tcW w:w="1878" w:type="dxa"/>
            <w:noWrap/>
            <w:vAlign w:val="bottom"/>
          </w:tcPr>
          <w:p w14:paraId="706A0977" w14:textId="4F591BB8"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0.596***</w:t>
            </w:r>
          </w:p>
        </w:tc>
        <w:tc>
          <w:tcPr>
            <w:tcW w:w="1878" w:type="dxa"/>
            <w:noWrap/>
            <w:vAlign w:val="bottom"/>
          </w:tcPr>
          <w:p w14:paraId="2EF9FE43" w14:textId="374FD161"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0.229***</w:t>
            </w:r>
          </w:p>
        </w:tc>
        <w:tc>
          <w:tcPr>
            <w:tcW w:w="1878" w:type="dxa"/>
            <w:vAlign w:val="bottom"/>
          </w:tcPr>
          <w:p w14:paraId="479C16B3" w14:textId="4EEC1E17"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0.577***</w:t>
            </w:r>
          </w:p>
        </w:tc>
        <w:tc>
          <w:tcPr>
            <w:tcW w:w="1879" w:type="dxa"/>
            <w:vAlign w:val="bottom"/>
          </w:tcPr>
          <w:p w14:paraId="4A1F9A02" w14:textId="0A695075"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0.047</w:t>
            </w:r>
          </w:p>
        </w:tc>
      </w:tr>
      <w:tr w:rsidR="00654255" w:rsidRPr="002A0EED" w14:paraId="387CB7EB" w14:textId="77777777" w:rsidTr="002C39BE">
        <w:trPr>
          <w:trHeight w:hRule="exact" w:val="255"/>
          <w:jc w:val="center"/>
        </w:trPr>
        <w:tc>
          <w:tcPr>
            <w:tcW w:w="1838" w:type="dxa"/>
            <w:vMerge/>
            <w:noWrap/>
            <w:hideMark/>
          </w:tcPr>
          <w:p w14:paraId="4F9689C7"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5D308450" w14:textId="0C768777"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(0.007)</w:t>
            </w:r>
          </w:p>
        </w:tc>
        <w:tc>
          <w:tcPr>
            <w:tcW w:w="1878" w:type="dxa"/>
            <w:noWrap/>
            <w:vAlign w:val="bottom"/>
          </w:tcPr>
          <w:p w14:paraId="2950D5EB" w14:textId="02A5C75C"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(0.073)</w:t>
            </w:r>
          </w:p>
        </w:tc>
        <w:tc>
          <w:tcPr>
            <w:tcW w:w="1878" w:type="dxa"/>
            <w:vAlign w:val="bottom"/>
          </w:tcPr>
          <w:p w14:paraId="1D2B5E95" w14:textId="5230E0E7"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(0.013)</w:t>
            </w:r>
          </w:p>
        </w:tc>
        <w:tc>
          <w:tcPr>
            <w:tcW w:w="1879" w:type="dxa"/>
            <w:vAlign w:val="bottom"/>
          </w:tcPr>
          <w:p w14:paraId="23D8352D" w14:textId="457B9785"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(0.076)</w:t>
            </w:r>
          </w:p>
        </w:tc>
      </w:tr>
      <w:tr w:rsidR="00654255" w:rsidRPr="002A0EED" w14:paraId="3E6DF95B" w14:textId="77777777" w:rsidTr="002C39BE">
        <w:trPr>
          <w:trHeight w:hRule="exact" w:val="255"/>
          <w:jc w:val="center"/>
        </w:trPr>
        <w:tc>
          <w:tcPr>
            <w:tcW w:w="1838" w:type="dxa"/>
            <w:vMerge w:val="restart"/>
            <w:noWrap/>
            <w:hideMark/>
          </w:tcPr>
          <w:p w14:paraId="23A89188"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r w:rsidRPr="002A0EED">
              <w:rPr>
                <w:rFonts w:eastAsia="Times New Roman" w:cs="Calibri"/>
                <w:sz w:val="20"/>
                <w:szCs w:val="20"/>
                <w:lang w:val="nb-NO" w:eastAsia="nb-NO"/>
              </w:rPr>
              <w:t xml:space="preserve">MP var </w:t>
            </w:r>
            <w:proofErr w:type="spellStart"/>
            <w:r w:rsidRPr="002A0EED">
              <w:rPr>
                <w:rFonts w:eastAsia="Times New Roman" w:cs="Calibri"/>
                <w:sz w:val="20"/>
                <w:szCs w:val="20"/>
                <w:lang w:val="nb-NO" w:eastAsia="nb-NO"/>
              </w:rPr>
              <w:t>const</w:t>
            </w:r>
            <w:proofErr w:type="spellEnd"/>
          </w:p>
        </w:tc>
        <w:tc>
          <w:tcPr>
            <w:tcW w:w="1878" w:type="dxa"/>
            <w:noWrap/>
            <w:vAlign w:val="bottom"/>
          </w:tcPr>
          <w:p w14:paraId="14E3DC1C" w14:textId="472D7E5A"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1.533***</w:t>
            </w:r>
          </w:p>
        </w:tc>
        <w:tc>
          <w:tcPr>
            <w:tcW w:w="1878" w:type="dxa"/>
            <w:noWrap/>
            <w:vAlign w:val="bottom"/>
          </w:tcPr>
          <w:p w14:paraId="047FDF83" w14:textId="58739716"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1.725***</w:t>
            </w:r>
          </w:p>
        </w:tc>
        <w:tc>
          <w:tcPr>
            <w:tcW w:w="1878" w:type="dxa"/>
            <w:vAlign w:val="bottom"/>
          </w:tcPr>
          <w:p w14:paraId="38AE670D" w14:textId="482398C8"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1.338***</w:t>
            </w:r>
          </w:p>
        </w:tc>
        <w:tc>
          <w:tcPr>
            <w:tcW w:w="1879" w:type="dxa"/>
            <w:vAlign w:val="bottom"/>
          </w:tcPr>
          <w:p w14:paraId="15B43BFC" w14:textId="2A90FE74"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1.582***</w:t>
            </w:r>
          </w:p>
        </w:tc>
      </w:tr>
      <w:tr w:rsidR="00654255" w:rsidRPr="002A0EED" w14:paraId="637B06AE" w14:textId="77777777" w:rsidTr="002C39BE">
        <w:trPr>
          <w:trHeight w:hRule="exact" w:val="255"/>
          <w:jc w:val="center"/>
        </w:trPr>
        <w:tc>
          <w:tcPr>
            <w:tcW w:w="1838" w:type="dxa"/>
            <w:vMerge/>
            <w:noWrap/>
            <w:hideMark/>
          </w:tcPr>
          <w:p w14:paraId="1C03E47D"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p>
        </w:tc>
        <w:tc>
          <w:tcPr>
            <w:tcW w:w="1878" w:type="dxa"/>
            <w:noWrap/>
            <w:vAlign w:val="bottom"/>
          </w:tcPr>
          <w:p w14:paraId="5C614D60" w14:textId="6905C61B"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(0.070)</w:t>
            </w:r>
          </w:p>
        </w:tc>
        <w:tc>
          <w:tcPr>
            <w:tcW w:w="1878" w:type="dxa"/>
            <w:noWrap/>
            <w:vAlign w:val="bottom"/>
          </w:tcPr>
          <w:p w14:paraId="1BE23E09" w14:textId="698F4457"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(0.163)</w:t>
            </w:r>
          </w:p>
        </w:tc>
        <w:tc>
          <w:tcPr>
            <w:tcW w:w="1878" w:type="dxa"/>
            <w:vAlign w:val="bottom"/>
          </w:tcPr>
          <w:p w14:paraId="517290CC" w14:textId="2F71905F"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(0.102)</w:t>
            </w:r>
          </w:p>
        </w:tc>
        <w:tc>
          <w:tcPr>
            <w:tcW w:w="1879" w:type="dxa"/>
            <w:vAlign w:val="bottom"/>
          </w:tcPr>
          <w:p w14:paraId="3329BE6C" w14:textId="7C7F2C9A"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(0.199)</w:t>
            </w:r>
          </w:p>
        </w:tc>
      </w:tr>
      <w:tr w:rsidR="00654255" w:rsidRPr="002A0EED" w14:paraId="3D52DC3C" w14:textId="77777777" w:rsidTr="002C39BE">
        <w:trPr>
          <w:trHeight w:hRule="exact" w:val="255"/>
          <w:jc w:val="center"/>
        </w:trPr>
        <w:tc>
          <w:tcPr>
            <w:tcW w:w="1838" w:type="dxa"/>
            <w:noWrap/>
            <w:hideMark/>
          </w:tcPr>
          <w:p w14:paraId="01BC2C10"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proofErr w:type="spellStart"/>
            <w:r w:rsidRPr="002A0EED">
              <w:rPr>
                <w:rFonts w:eastAsia="Times New Roman" w:cs="Calibri"/>
                <w:sz w:val="20"/>
                <w:szCs w:val="20"/>
                <w:lang w:val="nb-NO" w:eastAsia="nb-NO"/>
              </w:rPr>
              <w:t>Observations</w:t>
            </w:r>
            <w:proofErr w:type="spellEnd"/>
          </w:p>
        </w:tc>
        <w:tc>
          <w:tcPr>
            <w:tcW w:w="1878" w:type="dxa"/>
            <w:noWrap/>
            <w:vAlign w:val="bottom"/>
          </w:tcPr>
          <w:p w14:paraId="2AF3160A" w14:textId="49CEAFBA"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94659</w:t>
            </w:r>
          </w:p>
        </w:tc>
        <w:tc>
          <w:tcPr>
            <w:tcW w:w="1878" w:type="dxa"/>
            <w:noWrap/>
            <w:vAlign w:val="bottom"/>
          </w:tcPr>
          <w:p w14:paraId="4AA14843" w14:textId="1F1D523A"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1765</w:t>
            </w:r>
          </w:p>
        </w:tc>
        <w:tc>
          <w:tcPr>
            <w:tcW w:w="1878" w:type="dxa"/>
            <w:vAlign w:val="bottom"/>
          </w:tcPr>
          <w:p w14:paraId="285E1FE3" w14:textId="60236478"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28491</w:t>
            </w:r>
          </w:p>
        </w:tc>
        <w:tc>
          <w:tcPr>
            <w:tcW w:w="1879" w:type="dxa"/>
            <w:vAlign w:val="bottom"/>
          </w:tcPr>
          <w:p w14:paraId="3DFA105F" w14:textId="44FED14B"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1213</w:t>
            </w:r>
          </w:p>
        </w:tc>
      </w:tr>
      <w:tr w:rsidR="00654255" w:rsidRPr="002A0EED" w14:paraId="00E55243" w14:textId="77777777" w:rsidTr="002C39BE">
        <w:trPr>
          <w:trHeight w:hRule="exact" w:val="255"/>
          <w:jc w:val="center"/>
        </w:trPr>
        <w:tc>
          <w:tcPr>
            <w:tcW w:w="1838" w:type="dxa"/>
            <w:noWrap/>
            <w:hideMark/>
          </w:tcPr>
          <w:p w14:paraId="2ED7CDD4"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r w:rsidRPr="002A0EED">
              <w:rPr>
                <w:rFonts w:eastAsia="Times New Roman" w:cs="Calibri"/>
                <w:sz w:val="20"/>
                <w:szCs w:val="20"/>
                <w:lang w:val="nb-NO" w:eastAsia="nb-NO"/>
              </w:rPr>
              <w:t xml:space="preserve">No. </w:t>
            </w:r>
            <w:proofErr w:type="spellStart"/>
            <w:r w:rsidRPr="002A0EED">
              <w:rPr>
                <w:rFonts w:eastAsia="Times New Roman" w:cs="Calibri"/>
                <w:sz w:val="20"/>
                <w:szCs w:val="20"/>
                <w:lang w:val="nb-NO" w:eastAsia="nb-NO"/>
              </w:rPr>
              <w:t>of</w:t>
            </w:r>
            <w:proofErr w:type="spellEnd"/>
            <w:r w:rsidRPr="002A0EED">
              <w:rPr>
                <w:rFonts w:eastAsia="Times New Roman" w:cs="Calibri"/>
                <w:sz w:val="20"/>
                <w:szCs w:val="20"/>
                <w:lang w:val="nb-NO" w:eastAsia="nb-NO"/>
              </w:rPr>
              <w:t xml:space="preserve"> </w:t>
            </w:r>
            <w:proofErr w:type="spellStart"/>
            <w:r w:rsidRPr="002A0EED">
              <w:rPr>
                <w:rFonts w:eastAsia="Times New Roman" w:cs="Calibri"/>
                <w:sz w:val="20"/>
                <w:szCs w:val="20"/>
                <w:lang w:val="nb-NO" w:eastAsia="nb-NO"/>
              </w:rPr>
              <w:t>groups</w:t>
            </w:r>
            <w:proofErr w:type="spellEnd"/>
          </w:p>
        </w:tc>
        <w:tc>
          <w:tcPr>
            <w:tcW w:w="1878" w:type="dxa"/>
            <w:noWrap/>
            <w:vAlign w:val="bottom"/>
          </w:tcPr>
          <w:p w14:paraId="2800044D" w14:textId="41A7F105"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1065</w:t>
            </w:r>
          </w:p>
        </w:tc>
        <w:tc>
          <w:tcPr>
            <w:tcW w:w="1878" w:type="dxa"/>
            <w:noWrap/>
            <w:vAlign w:val="bottom"/>
          </w:tcPr>
          <w:p w14:paraId="23B1BFFD" w14:textId="4970F0EA"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960</w:t>
            </w:r>
          </w:p>
        </w:tc>
        <w:tc>
          <w:tcPr>
            <w:tcW w:w="1878" w:type="dxa"/>
            <w:vAlign w:val="bottom"/>
          </w:tcPr>
          <w:p w14:paraId="751F015B" w14:textId="338F841C"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406</w:t>
            </w:r>
          </w:p>
        </w:tc>
        <w:tc>
          <w:tcPr>
            <w:tcW w:w="1879" w:type="dxa"/>
            <w:vAlign w:val="bottom"/>
          </w:tcPr>
          <w:p w14:paraId="418405F5" w14:textId="6057F0BB"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339</w:t>
            </w:r>
          </w:p>
        </w:tc>
      </w:tr>
      <w:tr w:rsidR="00654255" w:rsidRPr="002A0EED" w14:paraId="18BBFDF1" w14:textId="77777777" w:rsidTr="002C39BE">
        <w:trPr>
          <w:trHeight w:hRule="exact" w:val="255"/>
          <w:jc w:val="center"/>
        </w:trPr>
        <w:tc>
          <w:tcPr>
            <w:tcW w:w="1838" w:type="dxa"/>
            <w:noWrap/>
            <w:hideMark/>
          </w:tcPr>
          <w:p w14:paraId="7891880A" w14:textId="77777777" w:rsidR="00654255" w:rsidRPr="002A0EED" w:rsidRDefault="00654255" w:rsidP="00654255">
            <w:pPr>
              <w:widowControl/>
              <w:autoSpaceDE/>
              <w:autoSpaceDN/>
              <w:spacing w:after="0" w:line="240" w:lineRule="auto"/>
              <w:jc w:val="center"/>
              <w:rPr>
                <w:rFonts w:eastAsia="Times New Roman" w:cs="Calibri"/>
                <w:sz w:val="20"/>
                <w:szCs w:val="20"/>
                <w:lang w:val="nb-NO" w:eastAsia="nb-NO"/>
              </w:rPr>
            </w:pPr>
            <w:r w:rsidRPr="002A0EED">
              <w:rPr>
                <w:rFonts w:eastAsia="Times New Roman" w:cs="Calibri"/>
                <w:sz w:val="20"/>
                <w:szCs w:val="20"/>
                <w:lang w:val="nb-NO" w:eastAsia="nb-NO"/>
              </w:rPr>
              <w:t xml:space="preserve">Log </w:t>
            </w:r>
            <w:proofErr w:type="spellStart"/>
            <w:r w:rsidRPr="002A0EED">
              <w:rPr>
                <w:rFonts w:eastAsia="Times New Roman" w:cs="Calibri"/>
                <w:sz w:val="20"/>
                <w:szCs w:val="20"/>
                <w:lang w:val="nb-NO" w:eastAsia="nb-NO"/>
              </w:rPr>
              <w:t>likelihood</w:t>
            </w:r>
            <w:proofErr w:type="spellEnd"/>
          </w:p>
        </w:tc>
        <w:tc>
          <w:tcPr>
            <w:tcW w:w="1878" w:type="dxa"/>
            <w:noWrap/>
            <w:vAlign w:val="bottom"/>
          </w:tcPr>
          <w:p w14:paraId="021CCE37" w14:textId="2E4A0EB8"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-175090</w:t>
            </w:r>
          </w:p>
        </w:tc>
        <w:tc>
          <w:tcPr>
            <w:tcW w:w="1878" w:type="dxa"/>
            <w:noWrap/>
            <w:vAlign w:val="bottom"/>
          </w:tcPr>
          <w:p w14:paraId="261FC642" w14:textId="6E734F97"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-4006</w:t>
            </w:r>
          </w:p>
        </w:tc>
        <w:tc>
          <w:tcPr>
            <w:tcW w:w="1878" w:type="dxa"/>
            <w:vAlign w:val="bottom"/>
          </w:tcPr>
          <w:p w14:paraId="2C05A740" w14:textId="095B70E0"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-60426</w:t>
            </w:r>
          </w:p>
        </w:tc>
        <w:tc>
          <w:tcPr>
            <w:tcW w:w="1879" w:type="dxa"/>
            <w:vAlign w:val="bottom"/>
          </w:tcPr>
          <w:p w14:paraId="6FEE017D" w14:textId="4477F664" w:rsidR="00654255" w:rsidRPr="00654255" w:rsidRDefault="00654255" w:rsidP="00654255">
            <w:pPr>
              <w:widowControl/>
              <w:autoSpaceDE/>
              <w:autoSpaceDN/>
              <w:spacing w:after="0" w:line="240" w:lineRule="auto"/>
              <w:jc w:val="center"/>
              <w:rPr>
                <w:rFonts w:eastAsia="Times New Roman" w:cs="Calibri"/>
                <w:sz w:val="20"/>
                <w:szCs w:val="20"/>
                <w:lang w:eastAsia="nb-NO"/>
              </w:rPr>
            </w:pPr>
            <w:r w:rsidRPr="00654255">
              <w:rPr>
                <w:rFonts w:eastAsia="Times New Roman" w:cs="Calibri"/>
                <w:sz w:val="20"/>
                <w:szCs w:val="20"/>
                <w:lang w:eastAsia="nb-NO"/>
              </w:rPr>
              <w:t>-2901</w:t>
            </w:r>
          </w:p>
        </w:tc>
      </w:tr>
    </w:tbl>
    <w:p w14:paraId="7AA689C9" w14:textId="77777777" w:rsidR="006036E0" w:rsidRDefault="006036E0" w:rsidP="006036E0">
      <w:pPr>
        <w:spacing w:after="0" w:line="240" w:lineRule="auto"/>
        <w:jc w:val="center"/>
        <w:rPr>
          <w:rFonts w:eastAsia="Times New Roman" w:cs="Calibri"/>
          <w:sz w:val="20"/>
          <w:szCs w:val="20"/>
          <w:lang w:eastAsia="nb-NO"/>
        </w:rPr>
      </w:pPr>
      <w:r w:rsidRPr="002D7BA5">
        <w:rPr>
          <w:rFonts w:eastAsia="Times New Roman" w:cs="Calibri"/>
          <w:sz w:val="20"/>
          <w:szCs w:val="20"/>
          <w:lang w:eastAsia="nb-NO"/>
        </w:rPr>
        <w:t>Standard errors in parentheses. *** p&lt;0.01, ** p&lt;0.05, * p&lt;0.1 Note 1: UK – Margin of votes. NO – List position</w:t>
      </w:r>
      <w:r>
        <w:rPr>
          <w:rFonts w:eastAsia="Times New Roman" w:cs="Calibri"/>
          <w:sz w:val="20"/>
          <w:szCs w:val="20"/>
          <w:lang w:eastAsia="nb-NO"/>
        </w:rPr>
        <w:t xml:space="preserve"> (inver</w:t>
      </w:r>
      <w:r w:rsidR="009D2F8A">
        <w:rPr>
          <w:rFonts w:eastAsia="Times New Roman" w:cs="Calibri"/>
          <w:sz w:val="20"/>
          <w:szCs w:val="20"/>
          <w:lang w:eastAsia="nb-NO"/>
        </w:rPr>
        <w:t>t</w:t>
      </w:r>
      <w:r>
        <w:rPr>
          <w:rFonts w:eastAsia="Times New Roman" w:cs="Calibri"/>
          <w:sz w:val="20"/>
          <w:szCs w:val="20"/>
          <w:lang w:eastAsia="nb-NO"/>
        </w:rPr>
        <w:t>ed)</w:t>
      </w:r>
      <w:r w:rsidRPr="002D7BA5">
        <w:rPr>
          <w:rFonts w:eastAsia="Times New Roman" w:cs="Calibri"/>
          <w:sz w:val="20"/>
          <w:szCs w:val="20"/>
          <w:lang w:eastAsia="nb-NO"/>
        </w:rPr>
        <w:t>.</w:t>
      </w:r>
    </w:p>
    <w:p w14:paraId="7F09BED2" w14:textId="726E19EF" w:rsidR="00CF5C00" w:rsidRDefault="00CF5C00" w:rsidP="006036E0">
      <w:pPr>
        <w:spacing w:after="0" w:line="240" w:lineRule="auto"/>
        <w:jc w:val="center"/>
        <w:sectPr w:rsidR="00CF5C00" w:rsidSect="00674288">
          <w:pgSz w:w="12240" w:h="15840"/>
          <w:pgMar w:top="720" w:right="720" w:bottom="720" w:left="720" w:header="720" w:footer="720" w:gutter="0"/>
          <w:cols w:space="720"/>
          <w:docGrid w:linePitch="360"/>
        </w:sectPr>
      </w:pPr>
      <w:r>
        <w:rPr>
          <w:rFonts w:eastAsia="Times New Roman" w:cs="Calibri"/>
          <w:sz w:val="20"/>
          <w:szCs w:val="20"/>
          <w:lang w:eastAsia="nb-NO"/>
        </w:rPr>
        <w:t>Note 2:  To get a better proxy of election context in Norway, we had to drop the legislative speech variable. The reason is that Norwegian elections are held in September, a period which has no legislative activity.</w:t>
      </w:r>
    </w:p>
    <w:p w14:paraId="23719A3B" w14:textId="77777777" w:rsidR="00585F3C" w:rsidRDefault="00585F3C">
      <w:pPr>
        <w:widowControl/>
        <w:autoSpaceDE/>
        <w:autoSpaceDN/>
        <w:spacing w:after="0" w:line="240" w:lineRule="auto"/>
        <w:jc w:val="left"/>
        <w:rPr>
          <w:rFonts w:cs="Garamond"/>
          <w:b/>
          <w:bCs/>
          <w:szCs w:val="24"/>
        </w:rPr>
      </w:pPr>
    </w:p>
    <w:p w14:paraId="087DC03B" w14:textId="2A6DD5C9" w:rsidR="005730D6" w:rsidRDefault="005730D6" w:rsidP="005730D6">
      <w:pPr>
        <w:adjustRightInd w:val="0"/>
        <w:spacing w:after="0"/>
        <w:rPr>
          <w:rFonts w:ascii="TimesNewRomanPSMT" w:hAnsi="TimesNewRomanPSMT" w:cs="TimesNewRomanPSMT"/>
          <w:szCs w:val="24"/>
        </w:rPr>
      </w:pPr>
      <w:r>
        <w:rPr>
          <w:rFonts w:cs="Garamond"/>
          <w:b/>
          <w:bCs/>
          <w:szCs w:val="24"/>
        </w:rPr>
        <w:t>Appendix B: Selection of news sources and corpus construction</w:t>
      </w:r>
    </w:p>
    <w:p w14:paraId="47910BEE" w14:textId="34CD701E" w:rsidR="00E050B2" w:rsidRDefault="00E050B2" w:rsidP="005730D6">
      <w:pPr>
        <w:adjustRightInd w:val="0"/>
        <w:spacing w:after="0"/>
        <w:rPr>
          <w:rFonts w:cs="Garamond"/>
          <w:szCs w:val="24"/>
        </w:rPr>
      </w:pPr>
      <w:r>
        <w:rPr>
          <w:szCs w:val="24"/>
        </w:rPr>
        <w:t xml:space="preserve">Our news corpus consists of all content </w:t>
      </w:r>
      <w:r w:rsidR="00EB4BF6">
        <w:rPr>
          <w:szCs w:val="24"/>
        </w:rPr>
        <w:t xml:space="preserve">published on paper </w:t>
      </w:r>
      <w:r>
        <w:rPr>
          <w:szCs w:val="24"/>
        </w:rPr>
        <w:t>by six newspapers</w:t>
      </w:r>
      <w:r w:rsidR="00EB4BF6">
        <w:rPr>
          <w:szCs w:val="24"/>
        </w:rPr>
        <w:t xml:space="preserve"> in Norway and the UK from 2000 until 2015/16</w:t>
      </w:r>
      <w:r w:rsidR="003E483C">
        <w:rPr>
          <w:szCs w:val="24"/>
        </w:rPr>
        <w:t>.</w:t>
      </w:r>
      <w:r w:rsidR="006B79BB" w:rsidRPr="006B79BB">
        <w:rPr>
          <w:szCs w:val="24"/>
        </w:rPr>
        <w:t xml:space="preserve"> </w:t>
      </w:r>
      <w:r w:rsidR="00326E1A">
        <w:rPr>
          <w:szCs w:val="24"/>
        </w:rPr>
        <w:t xml:space="preserve">There are obviously practical reasons why data collection </w:t>
      </w:r>
      <w:r w:rsidR="006B79BB">
        <w:rPr>
          <w:szCs w:val="24"/>
        </w:rPr>
        <w:t xml:space="preserve">was limited </w:t>
      </w:r>
      <w:r w:rsidR="00326E1A">
        <w:rPr>
          <w:szCs w:val="24"/>
        </w:rPr>
        <w:t xml:space="preserve">to newspapers. </w:t>
      </w:r>
      <w:r w:rsidR="00A46EF0">
        <w:rPr>
          <w:szCs w:val="24"/>
        </w:rPr>
        <w:t xml:space="preserve">Our </w:t>
      </w:r>
      <w:r w:rsidR="00326E1A">
        <w:rPr>
          <w:szCs w:val="24"/>
        </w:rPr>
        <w:t xml:space="preserve">ambition </w:t>
      </w:r>
      <w:r w:rsidR="00A46EF0">
        <w:rPr>
          <w:szCs w:val="24"/>
        </w:rPr>
        <w:t xml:space="preserve">has been to track </w:t>
      </w:r>
      <w:r w:rsidR="00326E1A">
        <w:rPr>
          <w:szCs w:val="24"/>
        </w:rPr>
        <w:t>news and politics continuously over a long period</w:t>
      </w:r>
      <w:r w:rsidR="00A46EF0">
        <w:rPr>
          <w:szCs w:val="24"/>
        </w:rPr>
        <w:t xml:space="preserve">, capturing a great number of MPs and election cycles within the two countries. This means that </w:t>
      </w:r>
      <w:r w:rsidR="00326E1A">
        <w:rPr>
          <w:szCs w:val="24"/>
        </w:rPr>
        <w:t xml:space="preserve">collecting and coding data from other outlets (broadcast news, online news and social media) </w:t>
      </w:r>
      <w:r w:rsidR="00A46EF0">
        <w:rPr>
          <w:szCs w:val="24"/>
        </w:rPr>
        <w:t xml:space="preserve">is </w:t>
      </w:r>
      <w:r w:rsidR="006B79BB">
        <w:rPr>
          <w:szCs w:val="24"/>
        </w:rPr>
        <w:t xml:space="preserve">practically </w:t>
      </w:r>
      <w:r w:rsidR="00326E1A">
        <w:rPr>
          <w:szCs w:val="24"/>
        </w:rPr>
        <w:t xml:space="preserve">impossible. It would require enormous resources, and </w:t>
      </w:r>
      <w:r w:rsidR="00A46EF0">
        <w:rPr>
          <w:szCs w:val="24"/>
        </w:rPr>
        <w:t xml:space="preserve">for some types of outlets long time-series are not available. </w:t>
      </w:r>
      <w:r w:rsidR="003E483C">
        <w:rPr>
          <w:szCs w:val="24"/>
        </w:rPr>
        <w:t>Besides</w:t>
      </w:r>
      <w:r w:rsidR="006B79BB">
        <w:rPr>
          <w:szCs w:val="24"/>
        </w:rPr>
        <w:t>, the literature on intermedia agenda-setting suggests that individual news sources often mimic each other (Vliegenthart and Walgrave 2019, 271-272), and that traditional media still play a leading role vis-à-vis emerging media (</w:t>
      </w:r>
      <w:proofErr w:type="spellStart"/>
      <w:r w:rsidR="006B79BB">
        <w:rPr>
          <w:szCs w:val="24"/>
        </w:rPr>
        <w:t>Su</w:t>
      </w:r>
      <w:proofErr w:type="spellEnd"/>
      <w:r w:rsidR="006B79BB">
        <w:rPr>
          <w:szCs w:val="24"/>
        </w:rPr>
        <w:t xml:space="preserve"> and Xiao 2021). We are therefore confident that our news corpus constitutes a valid basis from which to measure the news visibility of MPs</w:t>
      </w:r>
      <w:r w:rsidR="000738D7">
        <w:rPr>
          <w:szCs w:val="24"/>
        </w:rPr>
        <w:t xml:space="preserve">, and that it is </w:t>
      </w:r>
      <w:r w:rsidR="000738D7" w:rsidRPr="005E53B0">
        <w:rPr>
          <w:szCs w:val="24"/>
        </w:rPr>
        <w:t>reflective of</w:t>
      </w:r>
      <w:r w:rsidR="000738D7" w:rsidRPr="00834682">
        <w:rPr>
          <w:szCs w:val="24"/>
        </w:rPr>
        <w:t xml:space="preserve"> the information available to the public via the media in both countries</w:t>
      </w:r>
      <w:r w:rsidR="006B79BB">
        <w:rPr>
          <w:szCs w:val="24"/>
        </w:rPr>
        <w:t xml:space="preserve"> </w:t>
      </w:r>
    </w:p>
    <w:p w14:paraId="5B4446B6" w14:textId="34F8CB03" w:rsidR="005730D6" w:rsidRPr="00F72623" w:rsidRDefault="005730D6" w:rsidP="00F72623">
      <w:pPr>
        <w:adjustRightInd w:val="0"/>
        <w:spacing w:after="0"/>
        <w:ind w:firstLine="720"/>
        <w:rPr>
          <w:rFonts w:cs="Garamond"/>
          <w:szCs w:val="24"/>
        </w:rPr>
      </w:pPr>
      <w:r>
        <w:rPr>
          <w:rFonts w:cs="Garamond"/>
          <w:szCs w:val="24"/>
        </w:rPr>
        <w:t xml:space="preserve">The original selection of newspapers included the leading left-leaning broadsheet, the leading right-leaning broadsheet and one mass-market newspaper in each country, mimicking a recent comparative analysis of political journalism (de </w:t>
      </w:r>
      <w:proofErr w:type="spellStart"/>
      <w:r>
        <w:rPr>
          <w:rFonts w:cs="Garamond"/>
          <w:szCs w:val="24"/>
        </w:rPr>
        <w:t>Vreese</w:t>
      </w:r>
      <w:proofErr w:type="spellEnd"/>
      <w:r>
        <w:rPr>
          <w:rFonts w:cs="Garamond"/>
          <w:szCs w:val="24"/>
        </w:rPr>
        <w:t xml:space="preserve"> et al 2016). The three UK papers selected were thus The Guardian, The Times and The Sun. In the Norwegian case, there are however arguably no strong candidates for a left-leaning broadsheet with a sizeable and national circulation. The left-leaning broadsheet </w:t>
      </w:r>
      <w:proofErr w:type="spellStart"/>
      <w:r>
        <w:rPr>
          <w:rFonts w:cs="Garamond"/>
          <w:szCs w:val="24"/>
        </w:rPr>
        <w:t>Dagsavisen</w:t>
      </w:r>
      <w:proofErr w:type="spellEnd"/>
      <w:r>
        <w:rPr>
          <w:rFonts w:cs="Garamond"/>
          <w:szCs w:val="24"/>
        </w:rPr>
        <w:t xml:space="preserve">, which was part of the Norwegian sample in de </w:t>
      </w:r>
      <w:proofErr w:type="spellStart"/>
      <w:r>
        <w:rPr>
          <w:rFonts w:cs="Garamond"/>
          <w:szCs w:val="24"/>
        </w:rPr>
        <w:t>Vreese</w:t>
      </w:r>
      <w:proofErr w:type="spellEnd"/>
      <w:r>
        <w:rPr>
          <w:rFonts w:cs="Garamond"/>
          <w:szCs w:val="24"/>
        </w:rPr>
        <w:t xml:space="preserve"> et al. (2017), has a limited circulation which amounts to less than 10% of the leading right-leaning broadsheet Aftenposten. Furthermore, nearly all of its readers are located in the capital region (</w:t>
      </w:r>
      <w:proofErr w:type="spellStart"/>
      <w:r>
        <w:rPr>
          <w:rFonts w:cs="Garamond"/>
          <w:szCs w:val="24"/>
        </w:rPr>
        <w:t>Høst</w:t>
      </w:r>
      <w:proofErr w:type="spellEnd"/>
      <w:r>
        <w:rPr>
          <w:rFonts w:cs="Garamond"/>
          <w:szCs w:val="24"/>
        </w:rPr>
        <w:t xml:space="preserve"> 2019). We have therefore replaced </w:t>
      </w:r>
      <w:proofErr w:type="spellStart"/>
      <w:r>
        <w:rPr>
          <w:rFonts w:cs="Garamond"/>
          <w:szCs w:val="24"/>
        </w:rPr>
        <w:t>Dagsavisen</w:t>
      </w:r>
      <w:proofErr w:type="spellEnd"/>
      <w:r>
        <w:rPr>
          <w:rFonts w:cs="Garamond"/>
          <w:szCs w:val="24"/>
        </w:rPr>
        <w:t xml:space="preserve"> with Dagbladet, meaning that we capture a substantially larger share of the national news market. Although clearly not a left-leaning newspaper in the same way as </w:t>
      </w:r>
      <w:proofErr w:type="spellStart"/>
      <w:r>
        <w:rPr>
          <w:rFonts w:cs="Garamond"/>
          <w:szCs w:val="24"/>
        </w:rPr>
        <w:t>Dagsavisen</w:t>
      </w:r>
      <w:proofErr w:type="spellEnd"/>
      <w:r>
        <w:rPr>
          <w:rFonts w:cs="Garamond"/>
          <w:szCs w:val="24"/>
        </w:rPr>
        <w:t xml:space="preserve">, Dagbladet has over time moved to the left as illustrated by their editorial warnings against incumbent conservative coalitions in the period we study here (e.g., Pettersen 2009). In sum, we thus have Norwegian news data from Aftenposten, Dagbladet and VG. For each of these six sources, the corpus contains all news published in the period 2000 until 2015/16, summing to a total of 3.2 million news articles. Note that this excludes three types of news items. </w:t>
      </w:r>
    </w:p>
    <w:p w14:paraId="6559A58F" w14:textId="77777777" w:rsidR="005730D6" w:rsidRDefault="005730D6" w:rsidP="005730D6">
      <w:pPr>
        <w:adjustRightInd w:val="0"/>
        <w:spacing w:after="0"/>
        <w:ind w:firstLine="720"/>
        <w:rPr>
          <w:rFonts w:cs="Garamond"/>
          <w:szCs w:val="24"/>
        </w:rPr>
      </w:pPr>
      <w:r>
        <w:rPr>
          <w:rFonts w:cs="Garamond"/>
          <w:szCs w:val="24"/>
        </w:rPr>
        <w:t xml:space="preserve">First, items with a word count below 30 have been removed from the corpus, because they nearly always refer </w:t>
      </w:r>
      <w:r>
        <w:rPr>
          <w:rFonts w:cs="Garamond"/>
          <w:szCs w:val="24"/>
        </w:rPr>
        <w:lastRenderedPageBreak/>
        <w:t>to longer articles on other pages in the newspaper. Second, the newspapers from Norway and the UK contained a varying number of duplicate articles (within the same day). To increase the validity of comparisons, duplicate entries have been removed based on the cosine similarity of article pairs published on the same day by the same newspaper. When article pairs have a similarity of 0.85 or above, one of the articles is (at random) removed from the dataset. These similarity scores have been based on the first 300 words of each article. This cutoff was chosen to reduce computational complexity, and to make comparisons between short and long articles more equal. We for example encountered cases where one article contained more words than the other, but where the articles were still clearly duplicates of each other. Had we used the full article text of both documents, their cosine similarity might not have been high enough to detect them as duplicates.</w:t>
      </w:r>
    </w:p>
    <w:p w14:paraId="3B3138F0" w14:textId="06552230" w:rsidR="005730D6" w:rsidRDefault="005730D6" w:rsidP="005730D6">
      <w:pPr>
        <w:adjustRightInd w:val="0"/>
        <w:spacing w:after="0"/>
        <w:ind w:firstLine="720"/>
        <w:rPr>
          <w:rFonts w:cs="Garamond"/>
          <w:szCs w:val="24"/>
        </w:rPr>
      </w:pPr>
      <w:r>
        <w:rPr>
          <w:rFonts w:cs="Garamond"/>
          <w:szCs w:val="24"/>
        </w:rPr>
        <w:t>Third, before querying the corpus</w:t>
      </w:r>
      <w:r w:rsidR="00DB42F0">
        <w:rPr>
          <w:rFonts w:cs="Garamond"/>
          <w:szCs w:val="24"/>
        </w:rPr>
        <w:t xml:space="preserve"> for the presence of MPs</w:t>
      </w:r>
      <w:r>
        <w:rPr>
          <w:rFonts w:cs="Garamond"/>
          <w:szCs w:val="24"/>
        </w:rPr>
        <w:t>, we also removed news stories that deal mainly with sports and entertainment. To remove these stories, first a sample of around 6,000 Norwegian and 12,000 English articles has been coded by student assistants. The number of articles differs per language, because of the need to obtain similar performance in both languages, which required more human-labeled data in English. These articles have been classified into the following categories: “Culture/art events and entertainment,” “Sporting events and athletes” and “Miscellaneous.” If articles fall into any of these three categories, they are considered irrelevant. The miscellaneous category contains all articles that cannot be classified in any of the other categories in the codebook. The hand-coded articles are then used as input for a multinomial Naive Bayes classifier. To classify the articles as (</w:t>
      </w:r>
      <w:proofErr w:type="spellStart"/>
      <w:r>
        <w:rPr>
          <w:rFonts w:cs="Garamond"/>
          <w:szCs w:val="24"/>
        </w:rPr>
        <w:t>ir</w:t>
      </w:r>
      <w:proofErr w:type="spellEnd"/>
      <w:r>
        <w:rPr>
          <w:rFonts w:cs="Garamond"/>
          <w:szCs w:val="24"/>
        </w:rPr>
        <w:t xml:space="preserve">)relevant, they have first been parsed using Natural Language Processing (NLP). This has been implemented using the R package </w:t>
      </w:r>
      <w:proofErr w:type="spellStart"/>
      <w:r>
        <w:rPr>
          <w:rFonts w:cs="Garamond"/>
          <w:szCs w:val="24"/>
        </w:rPr>
        <w:t>UDPipe</w:t>
      </w:r>
      <w:proofErr w:type="spellEnd"/>
      <w:r>
        <w:rPr>
          <w:rFonts w:cs="Garamond"/>
          <w:szCs w:val="24"/>
        </w:rPr>
        <w:t xml:space="preserve"> (</w:t>
      </w:r>
      <w:proofErr w:type="spellStart"/>
      <w:r>
        <w:rPr>
          <w:rFonts w:cs="Garamond"/>
          <w:szCs w:val="24"/>
        </w:rPr>
        <w:t>Straka</w:t>
      </w:r>
      <w:proofErr w:type="spellEnd"/>
      <w:r>
        <w:rPr>
          <w:rFonts w:cs="Garamond"/>
          <w:szCs w:val="24"/>
        </w:rPr>
        <w:t xml:space="preserve"> &amp; </w:t>
      </w:r>
      <w:proofErr w:type="spellStart"/>
      <w:r>
        <w:rPr>
          <w:rFonts w:cs="Garamond"/>
          <w:szCs w:val="24"/>
        </w:rPr>
        <w:t>Straková</w:t>
      </w:r>
      <w:proofErr w:type="spellEnd"/>
      <w:r>
        <w:rPr>
          <w:rFonts w:cs="Garamond"/>
          <w:szCs w:val="24"/>
        </w:rPr>
        <w:t>, 2017) in combination with version 2.3 of the English EWT and Norwegian Bokmål Universal Dependencies (</w:t>
      </w:r>
      <w:proofErr w:type="spellStart"/>
      <w:r>
        <w:rPr>
          <w:rFonts w:cs="Garamond"/>
          <w:szCs w:val="24"/>
        </w:rPr>
        <w:t>Nivre</w:t>
      </w:r>
      <w:proofErr w:type="spellEnd"/>
      <w:r>
        <w:rPr>
          <w:rFonts w:cs="Garamond"/>
          <w:szCs w:val="24"/>
        </w:rPr>
        <w:t xml:space="preserve"> et al., 2018). This process results in lemmatized (dictionary-form) words, which were combined with the Universal Part-of-speech (UPOS) tags also provided by the NLP procedure. These two elements (the lemma of a word, and its UPOS tag) have been combined to construct features (“words” in a broad sense) in the format </w:t>
      </w:r>
      <w:proofErr w:type="spellStart"/>
      <w:r>
        <w:rPr>
          <w:rFonts w:cs="Garamond"/>
          <w:szCs w:val="24"/>
        </w:rPr>
        <w:t>lemma_UPOS</w:t>
      </w:r>
      <w:proofErr w:type="spellEnd"/>
      <w:r>
        <w:rPr>
          <w:rFonts w:cs="Garamond"/>
          <w:szCs w:val="24"/>
        </w:rPr>
        <w:t xml:space="preserve">. These features have been weighted using the TF-IDF weighting scheme (Jones, 1972). Then, a 3 by 5 nested cross-validation procedure has been conducted to get the best performing Naive Bayes model for both languages. The 3 outer folds have been used for performance estimation of the final model, and the 5 inner folds of each outer fold for parameter optimization. In this case, parameter optimization consists of only a </w:t>
      </w:r>
      <w:r>
        <w:rPr>
          <w:rFonts w:cs="Garamond"/>
          <w:szCs w:val="24"/>
        </w:rPr>
        <w:lastRenderedPageBreak/>
        <w:t>single parameter, for feature selection. Features are selected based on the chi2 measure to determine which features are most and least strongly associated with the irrelevant topics. Using the absolute chi2 values, the top x-</w:t>
      </w:r>
      <w:proofErr w:type="spellStart"/>
      <w:r>
        <w:rPr>
          <w:rFonts w:cs="Garamond"/>
          <w:szCs w:val="24"/>
        </w:rPr>
        <w:t>th</w:t>
      </w:r>
      <w:proofErr w:type="spellEnd"/>
      <w:r>
        <w:rPr>
          <w:rFonts w:cs="Garamond"/>
          <w:szCs w:val="24"/>
        </w:rPr>
        <w:t xml:space="preserve"> percentile of features are kept to construct a model. Through the nested cross-validation procedure described above, the optimum cutoff values for feature selection are determined to be 0.994 for both English and Norwegian. Using these parameters, the final models achieve a precision of 0.93 for Norwegian and 0.94 for English. Precision is used as optimization measure to avoid as much as possible that relevant articles are classified as irrelevant, allowing for some irrelevant articles to remain among the final set of documents used for the analyses in the paper.</w:t>
      </w:r>
    </w:p>
    <w:p w14:paraId="53AA1941" w14:textId="77777777" w:rsidR="005730D6" w:rsidRPr="00605E44" w:rsidRDefault="005730D6" w:rsidP="005730D6">
      <w:pPr>
        <w:adjustRightInd w:val="0"/>
        <w:spacing w:after="0"/>
        <w:rPr>
          <w:rFonts w:ascii="TimesNewRomanPSMT" w:hAnsi="TimesNewRomanPSMT" w:cs="TimesNewRomanPSMT"/>
          <w:i/>
          <w:iCs/>
          <w:szCs w:val="24"/>
        </w:rPr>
      </w:pPr>
      <w:r w:rsidRPr="00605E44">
        <w:rPr>
          <w:rFonts w:cs="Garamond"/>
          <w:i/>
          <w:iCs/>
          <w:szCs w:val="24"/>
        </w:rPr>
        <w:t>References appendix B</w:t>
      </w:r>
    </w:p>
    <w:p w14:paraId="3F97C7F4" w14:textId="7C44A4D3" w:rsidR="005730D6" w:rsidRPr="00A47055" w:rsidRDefault="005730D6" w:rsidP="00F72623">
      <w:pPr>
        <w:adjustRightInd w:val="0"/>
        <w:spacing w:after="0"/>
        <w:ind w:firstLine="720"/>
        <w:rPr>
          <w:rFonts w:cs="TimesNewRomanPSMT"/>
          <w:szCs w:val="24"/>
          <w:lang w:val="nb-NO"/>
        </w:rPr>
      </w:pPr>
      <w:r w:rsidRPr="00294B93">
        <w:rPr>
          <w:rFonts w:cs="Garamond"/>
          <w:szCs w:val="24"/>
        </w:rPr>
        <w:t xml:space="preserve">De </w:t>
      </w:r>
      <w:proofErr w:type="spellStart"/>
      <w:r w:rsidRPr="00294B93">
        <w:rPr>
          <w:rFonts w:cs="Garamond"/>
          <w:szCs w:val="24"/>
        </w:rPr>
        <w:t>Vreese</w:t>
      </w:r>
      <w:proofErr w:type="spellEnd"/>
      <w:r w:rsidRPr="00294B93">
        <w:rPr>
          <w:rFonts w:cs="Garamond"/>
          <w:szCs w:val="24"/>
        </w:rPr>
        <w:t xml:space="preserve">, C., </w:t>
      </w:r>
      <w:proofErr w:type="spellStart"/>
      <w:r w:rsidRPr="00294B93">
        <w:rPr>
          <w:rFonts w:cs="Garamond"/>
          <w:szCs w:val="24"/>
        </w:rPr>
        <w:t>Esser</w:t>
      </w:r>
      <w:proofErr w:type="spellEnd"/>
      <w:r w:rsidRPr="00294B93">
        <w:rPr>
          <w:rFonts w:cs="Garamond"/>
          <w:szCs w:val="24"/>
        </w:rPr>
        <w:t xml:space="preserve">, F., &amp; </w:t>
      </w:r>
      <w:proofErr w:type="spellStart"/>
      <w:r w:rsidRPr="00294B93">
        <w:rPr>
          <w:rFonts w:cs="Garamond"/>
          <w:szCs w:val="24"/>
        </w:rPr>
        <w:t>Hopmann</w:t>
      </w:r>
      <w:proofErr w:type="spellEnd"/>
      <w:r w:rsidRPr="00294B93">
        <w:rPr>
          <w:rFonts w:cs="Garamond"/>
          <w:szCs w:val="24"/>
        </w:rPr>
        <w:t xml:space="preserve">, D. N. (Eds.). </w:t>
      </w:r>
      <w:r w:rsidRPr="00A47055">
        <w:rPr>
          <w:rFonts w:cs="Garamond"/>
          <w:szCs w:val="24"/>
        </w:rPr>
        <w:t xml:space="preserve">(2016). Comparing political journalism. </w:t>
      </w:r>
      <w:proofErr w:type="spellStart"/>
      <w:r w:rsidRPr="00A47055">
        <w:rPr>
          <w:rFonts w:cs="Garamond"/>
          <w:szCs w:val="24"/>
          <w:lang w:val="nb-NO"/>
        </w:rPr>
        <w:t>Routledge</w:t>
      </w:r>
      <w:proofErr w:type="spellEnd"/>
      <w:r w:rsidRPr="00A47055">
        <w:rPr>
          <w:rFonts w:cs="Garamond"/>
          <w:szCs w:val="24"/>
          <w:lang w:val="nb-NO"/>
        </w:rPr>
        <w:t>.</w:t>
      </w:r>
    </w:p>
    <w:p w14:paraId="3CDEA05A" w14:textId="3D6A4D86" w:rsidR="005730D6" w:rsidRPr="00A47055" w:rsidRDefault="005730D6" w:rsidP="00F72623">
      <w:pPr>
        <w:adjustRightInd w:val="0"/>
        <w:spacing w:after="0"/>
        <w:ind w:firstLine="720"/>
        <w:rPr>
          <w:rFonts w:cs="TimesNewRomanPSMT"/>
          <w:szCs w:val="24"/>
        </w:rPr>
      </w:pPr>
      <w:r w:rsidRPr="00A47055">
        <w:rPr>
          <w:rFonts w:cs="Garamond"/>
          <w:szCs w:val="24"/>
          <w:lang w:val="nb-NO"/>
        </w:rPr>
        <w:t xml:space="preserve">Høst, S. (2019). Papiraviser og betalte nettaviser 2018. Statistikk og kommentarer. </w:t>
      </w:r>
      <w:r w:rsidRPr="00A47055">
        <w:rPr>
          <w:rFonts w:cs="Garamond"/>
          <w:szCs w:val="24"/>
        </w:rPr>
        <w:t xml:space="preserve">Rapport nr. 90/2019, </w:t>
      </w:r>
      <w:proofErr w:type="spellStart"/>
      <w:r w:rsidRPr="00A47055">
        <w:rPr>
          <w:rFonts w:cs="Garamond"/>
          <w:szCs w:val="24"/>
        </w:rPr>
        <w:t>Høgskulen</w:t>
      </w:r>
      <w:proofErr w:type="spellEnd"/>
      <w:r w:rsidRPr="00A47055">
        <w:rPr>
          <w:rFonts w:cs="Garamond"/>
          <w:szCs w:val="24"/>
        </w:rPr>
        <w:t xml:space="preserve"> i </w:t>
      </w:r>
      <w:proofErr w:type="spellStart"/>
      <w:r w:rsidRPr="00A47055">
        <w:rPr>
          <w:rFonts w:cs="Garamond"/>
          <w:szCs w:val="24"/>
        </w:rPr>
        <w:t>Volda</w:t>
      </w:r>
      <w:proofErr w:type="spellEnd"/>
      <w:r w:rsidRPr="00A47055">
        <w:rPr>
          <w:rFonts w:cs="Garamond"/>
          <w:szCs w:val="24"/>
        </w:rPr>
        <w:t>.</w:t>
      </w:r>
    </w:p>
    <w:p w14:paraId="43BA65D3" w14:textId="006A031B" w:rsidR="005730D6" w:rsidRPr="00A47055" w:rsidRDefault="005730D6" w:rsidP="00F72623">
      <w:pPr>
        <w:adjustRightInd w:val="0"/>
        <w:spacing w:after="0"/>
        <w:ind w:firstLine="720"/>
        <w:rPr>
          <w:rFonts w:cs="TimesNewRomanPSMT"/>
          <w:szCs w:val="24"/>
        </w:rPr>
      </w:pPr>
      <w:r w:rsidRPr="00A47055">
        <w:rPr>
          <w:rFonts w:cs="Garamond"/>
          <w:szCs w:val="24"/>
        </w:rPr>
        <w:t xml:space="preserve">Jones, K. S. (1972). A statistical interpretation of term specificity and its application in retrieval. </w:t>
      </w:r>
      <w:r w:rsidRPr="00A47055">
        <w:rPr>
          <w:rFonts w:cs="Garamond"/>
          <w:i/>
          <w:iCs/>
          <w:szCs w:val="24"/>
        </w:rPr>
        <w:t>Journal of Documentation</w:t>
      </w:r>
      <w:r w:rsidRPr="00A47055">
        <w:rPr>
          <w:rFonts w:cs="Garamond"/>
          <w:szCs w:val="24"/>
        </w:rPr>
        <w:t xml:space="preserve">, </w:t>
      </w:r>
      <w:r w:rsidRPr="00A47055">
        <w:rPr>
          <w:rFonts w:cs="Garamond"/>
          <w:i/>
          <w:iCs/>
          <w:szCs w:val="24"/>
        </w:rPr>
        <w:t>28</w:t>
      </w:r>
      <w:r w:rsidRPr="00A47055">
        <w:rPr>
          <w:rFonts w:cs="Garamond"/>
          <w:szCs w:val="24"/>
        </w:rPr>
        <w:t>, 11–21.</w:t>
      </w:r>
    </w:p>
    <w:p w14:paraId="60E13448" w14:textId="3DBBC592" w:rsidR="005730D6" w:rsidRPr="00A47055" w:rsidRDefault="005730D6" w:rsidP="00F72623">
      <w:pPr>
        <w:adjustRightInd w:val="0"/>
        <w:spacing w:after="0"/>
        <w:ind w:firstLine="720"/>
        <w:rPr>
          <w:rFonts w:cs="TimesNewRomanPSMT"/>
          <w:szCs w:val="24"/>
        </w:rPr>
      </w:pPr>
      <w:proofErr w:type="spellStart"/>
      <w:r w:rsidRPr="00A47055">
        <w:rPr>
          <w:rFonts w:cs="Times-Roman"/>
          <w:szCs w:val="24"/>
        </w:rPr>
        <w:t>Nivre</w:t>
      </w:r>
      <w:proofErr w:type="spellEnd"/>
      <w:r w:rsidRPr="00A47055">
        <w:rPr>
          <w:rFonts w:cs="Times-Roman"/>
          <w:szCs w:val="24"/>
        </w:rPr>
        <w:t xml:space="preserve">, J., Abrams, M., </w:t>
      </w:r>
      <w:proofErr w:type="spellStart"/>
      <w:r w:rsidRPr="00A47055">
        <w:rPr>
          <w:rFonts w:cs="Times-Roman"/>
          <w:szCs w:val="24"/>
        </w:rPr>
        <w:t>Agić</w:t>
      </w:r>
      <w:proofErr w:type="spellEnd"/>
      <w:r w:rsidRPr="00A47055">
        <w:rPr>
          <w:rFonts w:cs="Times-Roman"/>
          <w:szCs w:val="24"/>
        </w:rPr>
        <w:t>, Ž., et al., (2018). Universal Dependencies 2.</w:t>
      </w:r>
      <w:r w:rsidRPr="00A47055">
        <w:rPr>
          <w:rFonts w:cs="Garamond"/>
          <w:szCs w:val="24"/>
        </w:rPr>
        <w:t>3, LINDAT/CLARIAH-CZ digital library at the Institute of Formal and Applied Linguistics (ÚFAL), Faculty of Mathematics and Physics, Charles University,  http://hdl.handle.net/11234/1-2895.</w:t>
      </w:r>
    </w:p>
    <w:p w14:paraId="3A9F85D3" w14:textId="2EE2AF78" w:rsidR="005730D6" w:rsidRPr="00A47055" w:rsidRDefault="005730D6" w:rsidP="00F72623">
      <w:pPr>
        <w:adjustRightInd w:val="0"/>
        <w:spacing w:after="0"/>
        <w:ind w:firstLine="720"/>
        <w:rPr>
          <w:rFonts w:cs="TimesNewRomanPSMT"/>
          <w:szCs w:val="24"/>
          <w:lang w:val="nb-NO"/>
        </w:rPr>
      </w:pPr>
      <w:r w:rsidRPr="00A47055">
        <w:rPr>
          <w:rFonts w:cs="Garamond"/>
          <w:szCs w:val="24"/>
          <w:lang w:val="nb-NO"/>
        </w:rPr>
        <w:t>Pettersen, Ø. B. (2009). Pressen og partiene-partitilhørighet i 2005. En analyse av Aftenposten, Dagsavisen, Dagbladets og Dagens Næringslivs leder- og kommentarartikler under valgkampen i 2005. Masteroppgave, Institutt for medier og kommunikasjon, Universitetet i Oslo.</w:t>
      </w:r>
    </w:p>
    <w:p w14:paraId="77AA4443" w14:textId="488B0178" w:rsidR="00F72623" w:rsidRDefault="00A47055" w:rsidP="00F72623">
      <w:pPr>
        <w:spacing w:after="0"/>
        <w:ind w:firstLine="720"/>
        <w:rPr>
          <w:rFonts w:cs="Garamond"/>
          <w:szCs w:val="24"/>
        </w:rPr>
      </w:pPr>
      <w:r w:rsidRPr="00294B93">
        <w:rPr>
          <w:rFonts w:cs="Garamond"/>
          <w:szCs w:val="24"/>
          <w:lang w:val="nb-NO"/>
        </w:rPr>
        <w:t xml:space="preserve">Vliegenthart, R., &amp; Walgrave, S. (2019). </w:t>
      </w:r>
      <w:r w:rsidR="00F72623" w:rsidRPr="00294B93">
        <w:rPr>
          <w:rFonts w:cs="Garamond"/>
          <w:szCs w:val="24"/>
          <w:lang w:val="nb-NO"/>
        </w:rPr>
        <w:t>«</w:t>
      </w:r>
      <w:r w:rsidRPr="00294B93">
        <w:rPr>
          <w:rFonts w:cs="Garamond"/>
          <w:szCs w:val="24"/>
          <w:lang w:val="nb-NO"/>
        </w:rPr>
        <w:t>The media agenda</w:t>
      </w:r>
      <w:r w:rsidR="00F72623" w:rsidRPr="00294B93">
        <w:rPr>
          <w:rFonts w:cs="Garamond"/>
          <w:szCs w:val="24"/>
          <w:lang w:val="nb-NO"/>
        </w:rPr>
        <w:t>»</w:t>
      </w:r>
      <w:r w:rsidRPr="00294B93">
        <w:rPr>
          <w:rFonts w:cs="Garamond"/>
          <w:szCs w:val="24"/>
          <w:lang w:val="nb-NO"/>
        </w:rPr>
        <w:t>. </w:t>
      </w:r>
      <w:r w:rsidR="00F72623" w:rsidRPr="00294B93">
        <w:rPr>
          <w:rFonts w:cs="Garamond"/>
          <w:szCs w:val="24"/>
          <w:lang w:val="nb-NO"/>
        </w:rPr>
        <w:t xml:space="preserve">In </w:t>
      </w:r>
      <w:proofErr w:type="spellStart"/>
      <w:r w:rsidRPr="00294B93">
        <w:rPr>
          <w:rFonts w:cs="Garamond"/>
          <w:i/>
          <w:iCs/>
          <w:szCs w:val="24"/>
          <w:lang w:val="nb-NO"/>
        </w:rPr>
        <w:t>Comparative</w:t>
      </w:r>
      <w:proofErr w:type="spellEnd"/>
      <w:r w:rsidRPr="00294B93">
        <w:rPr>
          <w:rFonts w:cs="Garamond"/>
          <w:i/>
          <w:iCs/>
          <w:szCs w:val="24"/>
          <w:lang w:val="nb-NO"/>
        </w:rPr>
        <w:t xml:space="preserve"> Policy Agendas: </w:t>
      </w:r>
      <w:proofErr w:type="spellStart"/>
      <w:r w:rsidRPr="00294B93">
        <w:rPr>
          <w:rFonts w:cs="Garamond"/>
          <w:i/>
          <w:iCs/>
          <w:szCs w:val="24"/>
          <w:lang w:val="nb-NO"/>
        </w:rPr>
        <w:t>Theory</w:t>
      </w:r>
      <w:proofErr w:type="spellEnd"/>
      <w:r w:rsidRPr="00294B93">
        <w:rPr>
          <w:rFonts w:cs="Garamond"/>
          <w:i/>
          <w:iCs/>
          <w:szCs w:val="24"/>
          <w:lang w:val="nb-NO"/>
        </w:rPr>
        <w:t>, Tools, Data</w:t>
      </w:r>
      <w:r w:rsidR="00F72623" w:rsidRPr="00294B93">
        <w:rPr>
          <w:rFonts w:cs="Garamond"/>
          <w:i/>
          <w:iCs/>
          <w:szCs w:val="24"/>
          <w:lang w:val="nb-NO"/>
        </w:rPr>
        <w:t xml:space="preserve">, </w:t>
      </w:r>
      <w:r w:rsidR="00F72623" w:rsidRPr="00294B93">
        <w:rPr>
          <w:rFonts w:cs="Arial"/>
          <w:color w:val="222222"/>
          <w:szCs w:val="24"/>
          <w:shd w:val="clear" w:color="auto" w:fill="FFFFFF"/>
          <w:lang w:val="nb-NO"/>
        </w:rPr>
        <w:t xml:space="preserve">eds. </w:t>
      </w:r>
      <w:r w:rsidR="00F72623" w:rsidRPr="00F72623">
        <w:rPr>
          <w:rFonts w:cs="Garamond"/>
          <w:szCs w:val="24"/>
        </w:rPr>
        <w:t>Baumgartner, F. R., Breunig, C., &amp; Grossman, E., Oxford University Press.</w:t>
      </w:r>
    </w:p>
    <w:p w14:paraId="6A6D6A50" w14:textId="1EAE08F9" w:rsidR="00041ED3" w:rsidRPr="00A47055" w:rsidRDefault="005730D6" w:rsidP="00F72623">
      <w:pPr>
        <w:spacing w:after="0"/>
        <w:ind w:firstLine="720"/>
        <w:rPr>
          <w:rFonts w:cs="Garamond"/>
          <w:szCs w:val="24"/>
        </w:rPr>
      </w:pPr>
      <w:proofErr w:type="spellStart"/>
      <w:r w:rsidRPr="00F72623">
        <w:rPr>
          <w:rFonts w:cs="Garamond"/>
          <w:szCs w:val="24"/>
        </w:rPr>
        <w:t>Straka</w:t>
      </w:r>
      <w:proofErr w:type="spellEnd"/>
      <w:r w:rsidRPr="00F72623">
        <w:rPr>
          <w:rFonts w:cs="Garamond"/>
          <w:szCs w:val="24"/>
        </w:rPr>
        <w:t xml:space="preserve">, M., &amp; </w:t>
      </w:r>
      <w:proofErr w:type="spellStart"/>
      <w:r w:rsidRPr="00F72623">
        <w:rPr>
          <w:rFonts w:cs="Garamond"/>
          <w:szCs w:val="24"/>
        </w:rPr>
        <w:t>Straková</w:t>
      </w:r>
      <w:proofErr w:type="spellEnd"/>
      <w:r w:rsidRPr="00F72623">
        <w:rPr>
          <w:rFonts w:cs="Garamond"/>
          <w:szCs w:val="24"/>
        </w:rPr>
        <w:t xml:space="preserve">, J. (2017). </w:t>
      </w:r>
      <w:r w:rsidRPr="00294B93">
        <w:rPr>
          <w:rFonts w:cs="Garamond"/>
          <w:szCs w:val="24"/>
        </w:rPr>
        <w:t xml:space="preserve">Tokenizing, POS tagging, lemmatizing and parsing UD 2.0 with </w:t>
      </w:r>
      <w:proofErr w:type="spellStart"/>
      <w:r w:rsidRPr="00294B93">
        <w:rPr>
          <w:rFonts w:cs="Garamond"/>
          <w:szCs w:val="24"/>
        </w:rPr>
        <w:t>UDPipe</w:t>
      </w:r>
      <w:proofErr w:type="spellEnd"/>
      <w:r w:rsidRPr="00294B93">
        <w:rPr>
          <w:rFonts w:cs="Garamond"/>
          <w:szCs w:val="24"/>
        </w:rPr>
        <w:t xml:space="preserve">. </w:t>
      </w:r>
      <w:r w:rsidRPr="00A47055">
        <w:rPr>
          <w:rFonts w:cs="Garamond"/>
          <w:szCs w:val="24"/>
        </w:rPr>
        <w:t xml:space="preserve">Proceedings of the </w:t>
      </w:r>
      <w:proofErr w:type="spellStart"/>
      <w:r w:rsidRPr="00A47055">
        <w:rPr>
          <w:rFonts w:cs="Garamond"/>
          <w:szCs w:val="24"/>
        </w:rPr>
        <w:t>CoNLL</w:t>
      </w:r>
      <w:proofErr w:type="spellEnd"/>
      <w:r w:rsidRPr="00A47055">
        <w:rPr>
          <w:rFonts w:cs="Garamond"/>
          <w:szCs w:val="24"/>
        </w:rPr>
        <w:t xml:space="preserve"> 2017 Shared Task: Multilingual Parsing from Raw Text to Universal Dependencies, 88–99.</w:t>
      </w:r>
    </w:p>
    <w:p w14:paraId="159AF4DA" w14:textId="789379FA" w:rsidR="00A47055" w:rsidRPr="00294B93" w:rsidRDefault="00A47055" w:rsidP="00F72623">
      <w:pPr>
        <w:spacing w:after="0"/>
        <w:ind w:firstLine="720"/>
        <w:rPr>
          <w:rFonts w:cs="Garamond"/>
          <w:szCs w:val="24"/>
        </w:rPr>
      </w:pPr>
      <w:proofErr w:type="spellStart"/>
      <w:r w:rsidRPr="00A47055">
        <w:rPr>
          <w:rFonts w:cs="Garamond"/>
          <w:szCs w:val="24"/>
        </w:rPr>
        <w:t>Su</w:t>
      </w:r>
      <w:proofErr w:type="spellEnd"/>
      <w:r w:rsidRPr="00A47055">
        <w:rPr>
          <w:rFonts w:cs="Garamond"/>
          <w:szCs w:val="24"/>
        </w:rPr>
        <w:t>, Y., &amp; Xiao, X. (2021). Mapping the intermedia agenda setting (IAS) literature. </w:t>
      </w:r>
      <w:r w:rsidRPr="00294B93">
        <w:rPr>
          <w:rFonts w:cs="Garamond"/>
          <w:i/>
          <w:iCs/>
          <w:szCs w:val="24"/>
        </w:rPr>
        <w:t>The Agenda Setting Journal. Theory, Practice, Critique,</w:t>
      </w:r>
      <w:r w:rsidRPr="00294B93">
        <w:rPr>
          <w:rFonts w:cs="Garamond"/>
          <w:szCs w:val="24"/>
        </w:rPr>
        <w:t xml:space="preserve"> 5(1): 56-83.</w:t>
      </w:r>
    </w:p>
    <w:p w14:paraId="337A6263" w14:textId="162C86FE" w:rsidR="00A6040D" w:rsidRDefault="00A6040D" w:rsidP="00A6040D">
      <w:pPr>
        <w:adjustRightInd w:val="0"/>
        <w:spacing w:after="0"/>
        <w:rPr>
          <w:rFonts w:cs="Garamond"/>
          <w:b/>
          <w:bCs/>
          <w:szCs w:val="24"/>
        </w:rPr>
      </w:pPr>
      <w:r>
        <w:rPr>
          <w:rFonts w:cs="Garamond"/>
          <w:b/>
          <w:bCs/>
          <w:szCs w:val="24"/>
        </w:rPr>
        <w:lastRenderedPageBreak/>
        <w:t xml:space="preserve">Appendix C: </w:t>
      </w:r>
      <w:r w:rsidR="00605E44">
        <w:rPr>
          <w:rFonts w:cs="Garamond"/>
          <w:b/>
          <w:bCs/>
          <w:szCs w:val="24"/>
        </w:rPr>
        <w:t>Committee leadership and “s</w:t>
      </w:r>
      <w:r w:rsidR="00A10984">
        <w:rPr>
          <w:rFonts w:cs="Garamond"/>
          <w:b/>
          <w:bCs/>
          <w:szCs w:val="24"/>
        </w:rPr>
        <w:t>oft vs hard</w:t>
      </w:r>
      <w:r w:rsidR="00605E44">
        <w:rPr>
          <w:rFonts w:cs="Garamond"/>
          <w:b/>
          <w:bCs/>
          <w:szCs w:val="24"/>
        </w:rPr>
        <w:t>”</w:t>
      </w:r>
      <w:r w:rsidR="00A10984">
        <w:rPr>
          <w:rFonts w:cs="Garamond"/>
          <w:b/>
          <w:bCs/>
          <w:szCs w:val="24"/>
        </w:rPr>
        <w:t xml:space="preserve"> committees</w:t>
      </w:r>
    </w:p>
    <w:p w14:paraId="5FB73162" w14:textId="19156517" w:rsidR="00605E44" w:rsidRDefault="00605E44" w:rsidP="00A6040D">
      <w:pPr>
        <w:adjustRightInd w:val="0"/>
        <w:spacing w:after="0"/>
      </w:pPr>
      <w:r>
        <w:t>As explained in the manuscript, two aspects of parliamentary committe</w:t>
      </w:r>
      <w:r w:rsidR="00D666F9">
        <w:t>e</w:t>
      </w:r>
      <w:r>
        <w:t>s were included in the modelling of the Norwegian MPs</w:t>
      </w:r>
      <w:r w:rsidR="002D5E8B">
        <w:t>’</w:t>
      </w:r>
      <w:r>
        <w:t xml:space="preserve"> news visibility. The first simply distinguishes between regular committee members (0) and </w:t>
      </w:r>
      <w:r w:rsidR="00ED675B">
        <w:t xml:space="preserve">committee leaders (1). The second variable relates to the </w:t>
      </w:r>
      <w:r w:rsidR="001716E8">
        <w:t xml:space="preserve">distinction in the </w:t>
      </w:r>
      <w:r w:rsidR="00ED675B">
        <w:t xml:space="preserve">literature </w:t>
      </w:r>
      <w:r w:rsidR="001716E8">
        <w:t xml:space="preserve">between </w:t>
      </w:r>
      <w:r w:rsidR="00ED675B">
        <w:t>soft vs hard, or masculine vs feminine, policy areas (</w:t>
      </w:r>
      <w:proofErr w:type="spellStart"/>
      <w:r w:rsidR="00ED675B">
        <w:t>eg.</w:t>
      </w:r>
      <w:proofErr w:type="spellEnd"/>
      <w:r w:rsidR="00ED675B">
        <w:t xml:space="preserve"> </w:t>
      </w:r>
      <w:proofErr w:type="spellStart"/>
      <w:r w:rsidR="00ED675B">
        <w:t>Krook</w:t>
      </w:r>
      <w:proofErr w:type="spellEnd"/>
      <w:r w:rsidR="00ED675B">
        <w:t xml:space="preserve"> and O’Brien, 2012; Bäck and Debus, 2019). We have tried to </w:t>
      </w:r>
      <w:r>
        <w:t xml:space="preserve">follow </w:t>
      </w:r>
      <w:r w:rsidR="00ED675B">
        <w:t xml:space="preserve">the categorization applied in previous research, where </w:t>
      </w:r>
      <w:r>
        <w:t xml:space="preserve">social welfare, health, </w:t>
      </w:r>
      <w:r w:rsidR="00ED675B">
        <w:t xml:space="preserve">education as well as </w:t>
      </w:r>
      <w:r>
        <w:t xml:space="preserve">arts and culture </w:t>
      </w:r>
      <w:r w:rsidR="00ED675B">
        <w:t xml:space="preserve">usually are defined </w:t>
      </w:r>
      <w:r>
        <w:t xml:space="preserve">as </w:t>
      </w:r>
      <w:r w:rsidR="00ED675B">
        <w:t xml:space="preserve">soft or </w:t>
      </w:r>
      <w:r>
        <w:t>feminine policy areas.</w:t>
      </w:r>
      <w:r w:rsidR="00ED675B">
        <w:t xml:space="preserve"> </w:t>
      </w:r>
      <w:r w:rsidR="00FC57A3">
        <w:t>E</w:t>
      </w:r>
      <w:r w:rsidR="00ED675B">
        <w:t xml:space="preserve">ducation is handled by a joint education and science committee, </w:t>
      </w:r>
      <w:r w:rsidR="00FC57A3">
        <w:t>which makes this the only policy area deviating from previous categorizations. Note that the overlapping committee names below reflect changes in the committee structure within our period of investigat</w:t>
      </w:r>
      <w:r w:rsidR="00294B93">
        <w:t>i</w:t>
      </w:r>
      <w:r w:rsidR="00FC57A3">
        <w:t xml:space="preserve">on.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7"/>
        <w:gridCol w:w="1560"/>
      </w:tblGrid>
      <w:tr w:rsidR="00FC57A3" w:rsidRPr="003418F9" w14:paraId="14F3E82B" w14:textId="77777777" w:rsidTr="003418F9">
        <w:trPr>
          <w:trHeight w:hRule="exact" w:val="301"/>
        </w:trPr>
        <w:tc>
          <w:tcPr>
            <w:tcW w:w="9067" w:type="dxa"/>
            <w:shd w:val="clear" w:color="auto" w:fill="auto"/>
            <w:noWrap/>
            <w:vAlign w:val="bottom"/>
            <w:hideMark/>
          </w:tcPr>
          <w:p w14:paraId="47B6C7E0" w14:textId="49563B71" w:rsidR="00FC57A3" w:rsidRPr="003418F9" w:rsidRDefault="00FC57A3" w:rsidP="00705F67">
            <w:pPr>
              <w:widowControl/>
              <w:autoSpaceDE/>
              <w:autoSpaceDN/>
              <w:spacing w:after="0" w:line="240" w:lineRule="auto"/>
              <w:jc w:val="lef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 xml:space="preserve">Transport- og kommunikasjonskomiteen (transport, </w:t>
            </w:r>
            <w:proofErr w:type="spellStart"/>
            <w:r w:rsidRPr="003418F9">
              <w:rPr>
                <w:rFonts w:eastAsia="Times New Roman" w:cs="Times New Roman"/>
                <w:color w:val="000000"/>
                <w:sz w:val="20"/>
                <w:szCs w:val="20"/>
                <w:lang w:val="nb-NO" w:eastAsia="nb-NO"/>
              </w:rPr>
              <w:t>communications</w:t>
            </w:r>
            <w:proofErr w:type="spellEnd"/>
            <w:r w:rsidRPr="003418F9">
              <w:rPr>
                <w:rFonts w:eastAsia="Times New Roman" w:cs="Times New Roman"/>
                <w:color w:val="000000"/>
                <w:sz w:val="20"/>
                <w:szCs w:val="20"/>
                <w:lang w:val="nb-NO" w:eastAsia="nb-NO"/>
              </w:rPr>
              <w:t>)</w:t>
            </w:r>
          </w:p>
        </w:tc>
        <w:tc>
          <w:tcPr>
            <w:tcW w:w="1560" w:type="dxa"/>
            <w:shd w:val="clear" w:color="auto" w:fill="auto"/>
            <w:noWrap/>
            <w:vAlign w:val="bottom"/>
            <w:hideMark/>
          </w:tcPr>
          <w:p w14:paraId="4A1EA6DA" w14:textId="696811ED" w:rsidR="00FC57A3" w:rsidRPr="003418F9" w:rsidRDefault="00FC57A3" w:rsidP="00705F67">
            <w:pPr>
              <w:widowControl/>
              <w:autoSpaceDE/>
              <w:autoSpaceDN/>
              <w:spacing w:after="0" w:line="240" w:lineRule="auto"/>
              <w:jc w:val="righ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Hard</w:t>
            </w:r>
          </w:p>
        </w:tc>
      </w:tr>
      <w:tr w:rsidR="00FC57A3" w:rsidRPr="003418F9" w14:paraId="3A4ABC08" w14:textId="77777777" w:rsidTr="003418F9">
        <w:trPr>
          <w:trHeight w:hRule="exact" w:val="301"/>
        </w:trPr>
        <w:tc>
          <w:tcPr>
            <w:tcW w:w="9067" w:type="dxa"/>
            <w:shd w:val="clear" w:color="auto" w:fill="auto"/>
            <w:noWrap/>
            <w:vAlign w:val="bottom"/>
            <w:hideMark/>
          </w:tcPr>
          <w:p w14:paraId="6C1E6D78" w14:textId="306E194C" w:rsidR="00FC57A3" w:rsidRPr="003418F9" w:rsidRDefault="00FC57A3" w:rsidP="00705F67">
            <w:pPr>
              <w:widowControl/>
              <w:autoSpaceDE/>
              <w:autoSpaceDN/>
              <w:spacing w:after="0" w:line="240" w:lineRule="auto"/>
              <w:jc w:val="lef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Familie- kultur- og administrasjonskomiteen (</w:t>
            </w:r>
            <w:proofErr w:type="spellStart"/>
            <w:r w:rsidRPr="003418F9">
              <w:rPr>
                <w:rFonts w:eastAsia="Times New Roman" w:cs="Times New Roman"/>
                <w:color w:val="000000"/>
                <w:sz w:val="20"/>
                <w:szCs w:val="20"/>
                <w:lang w:val="nb-NO" w:eastAsia="nb-NO"/>
              </w:rPr>
              <w:t>family</w:t>
            </w:r>
            <w:proofErr w:type="spellEnd"/>
            <w:r w:rsidRPr="003418F9">
              <w:rPr>
                <w:rFonts w:eastAsia="Times New Roman" w:cs="Times New Roman"/>
                <w:color w:val="000000"/>
                <w:sz w:val="20"/>
                <w:szCs w:val="20"/>
                <w:lang w:val="nb-NO" w:eastAsia="nb-NO"/>
              </w:rPr>
              <w:t xml:space="preserve">, </w:t>
            </w:r>
            <w:proofErr w:type="spellStart"/>
            <w:r w:rsidRPr="003418F9">
              <w:rPr>
                <w:rFonts w:eastAsia="Times New Roman" w:cs="Times New Roman"/>
                <w:color w:val="000000"/>
                <w:sz w:val="20"/>
                <w:szCs w:val="20"/>
                <w:lang w:val="nb-NO" w:eastAsia="nb-NO"/>
              </w:rPr>
              <w:t>culture</w:t>
            </w:r>
            <w:proofErr w:type="spellEnd"/>
            <w:r w:rsidRPr="003418F9">
              <w:rPr>
                <w:rFonts w:eastAsia="Times New Roman" w:cs="Times New Roman"/>
                <w:color w:val="000000"/>
                <w:sz w:val="20"/>
                <w:szCs w:val="20"/>
                <w:lang w:val="nb-NO" w:eastAsia="nb-NO"/>
              </w:rPr>
              <w:t xml:space="preserve">, </w:t>
            </w:r>
            <w:proofErr w:type="spellStart"/>
            <w:r w:rsidRPr="003418F9">
              <w:rPr>
                <w:rFonts w:eastAsia="Times New Roman" w:cs="Times New Roman"/>
                <w:color w:val="000000"/>
                <w:sz w:val="20"/>
                <w:szCs w:val="20"/>
                <w:lang w:val="nb-NO" w:eastAsia="nb-NO"/>
              </w:rPr>
              <w:t>administration</w:t>
            </w:r>
            <w:proofErr w:type="spellEnd"/>
            <w:r w:rsidRPr="003418F9">
              <w:rPr>
                <w:rFonts w:eastAsia="Times New Roman" w:cs="Times New Roman"/>
                <w:color w:val="000000"/>
                <w:sz w:val="20"/>
                <w:szCs w:val="20"/>
                <w:lang w:val="nb-NO" w:eastAsia="nb-NO"/>
              </w:rPr>
              <w:t>)</w:t>
            </w:r>
          </w:p>
        </w:tc>
        <w:tc>
          <w:tcPr>
            <w:tcW w:w="1560" w:type="dxa"/>
            <w:shd w:val="clear" w:color="auto" w:fill="auto"/>
            <w:noWrap/>
            <w:vAlign w:val="bottom"/>
            <w:hideMark/>
          </w:tcPr>
          <w:p w14:paraId="665A891B" w14:textId="5D157B38" w:rsidR="00FC57A3" w:rsidRPr="003418F9" w:rsidRDefault="00FC57A3" w:rsidP="00705F67">
            <w:pPr>
              <w:widowControl/>
              <w:autoSpaceDE/>
              <w:autoSpaceDN/>
              <w:spacing w:after="0" w:line="240" w:lineRule="auto"/>
              <w:jc w:val="righ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Soft</w:t>
            </w:r>
          </w:p>
        </w:tc>
      </w:tr>
      <w:tr w:rsidR="00FC57A3" w:rsidRPr="003418F9" w14:paraId="3AEEEFE3" w14:textId="77777777" w:rsidTr="003418F9">
        <w:trPr>
          <w:trHeight w:hRule="exact" w:val="301"/>
        </w:trPr>
        <w:tc>
          <w:tcPr>
            <w:tcW w:w="9067" w:type="dxa"/>
            <w:shd w:val="clear" w:color="auto" w:fill="auto"/>
            <w:noWrap/>
            <w:vAlign w:val="bottom"/>
            <w:hideMark/>
          </w:tcPr>
          <w:p w14:paraId="601C55F9" w14:textId="12F56508" w:rsidR="00FC57A3" w:rsidRPr="003418F9" w:rsidRDefault="00FC57A3" w:rsidP="00FC57A3">
            <w:pPr>
              <w:widowControl/>
              <w:autoSpaceDE/>
              <w:autoSpaceDN/>
              <w:spacing w:after="0" w:line="240" w:lineRule="auto"/>
              <w:jc w:val="lef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Kommunal- og forvaltningskomiteen (</w:t>
            </w:r>
            <w:proofErr w:type="spellStart"/>
            <w:r w:rsidRPr="003418F9">
              <w:rPr>
                <w:rFonts w:eastAsia="Times New Roman" w:cs="Times New Roman"/>
                <w:color w:val="000000"/>
                <w:sz w:val="20"/>
                <w:szCs w:val="20"/>
                <w:lang w:val="nb-NO" w:eastAsia="nb-NO"/>
              </w:rPr>
              <w:t>local</w:t>
            </w:r>
            <w:proofErr w:type="spellEnd"/>
            <w:r w:rsidRPr="003418F9">
              <w:rPr>
                <w:rFonts w:eastAsia="Times New Roman" w:cs="Times New Roman"/>
                <w:color w:val="000000"/>
                <w:sz w:val="20"/>
                <w:szCs w:val="20"/>
                <w:lang w:val="nb-NO" w:eastAsia="nb-NO"/>
              </w:rPr>
              <w:t xml:space="preserve"> </w:t>
            </w:r>
            <w:proofErr w:type="spellStart"/>
            <w:r w:rsidRPr="003418F9">
              <w:rPr>
                <w:rFonts w:eastAsia="Times New Roman" w:cs="Times New Roman"/>
                <w:color w:val="000000"/>
                <w:sz w:val="20"/>
                <w:szCs w:val="20"/>
                <w:lang w:val="nb-NO" w:eastAsia="nb-NO"/>
              </w:rPr>
              <w:t>government</w:t>
            </w:r>
            <w:proofErr w:type="spellEnd"/>
            <w:r w:rsidRPr="003418F9">
              <w:rPr>
                <w:rFonts w:eastAsia="Times New Roman" w:cs="Times New Roman"/>
                <w:color w:val="000000"/>
                <w:sz w:val="20"/>
                <w:szCs w:val="20"/>
                <w:lang w:val="nb-NO" w:eastAsia="nb-NO"/>
              </w:rPr>
              <w:t xml:space="preserve">, </w:t>
            </w:r>
            <w:proofErr w:type="spellStart"/>
            <w:r w:rsidRPr="003418F9">
              <w:rPr>
                <w:rFonts w:eastAsia="Times New Roman" w:cs="Times New Roman"/>
                <w:color w:val="000000"/>
                <w:sz w:val="20"/>
                <w:szCs w:val="20"/>
                <w:lang w:val="nb-NO" w:eastAsia="nb-NO"/>
              </w:rPr>
              <w:t>public</w:t>
            </w:r>
            <w:proofErr w:type="spellEnd"/>
            <w:r w:rsidRPr="003418F9">
              <w:rPr>
                <w:rFonts w:eastAsia="Times New Roman" w:cs="Times New Roman"/>
                <w:color w:val="000000"/>
                <w:sz w:val="20"/>
                <w:szCs w:val="20"/>
                <w:lang w:val="nb-NO" w:eastAsia="nb-NO"/>
              </w:rPr>
              <w:t xml:space="preserve"> </w:t>
            </w:r>
            <w:proofErr w:type="spellStart"/>
            <w:r w:rsidRPr="003418F9">
              <w:rPr>
                <w:rFonts w:eastAsia="Times New Roman" w:cs="Times New Roman"/>
                <w:color w:val="000000"/>
                <w:sz w:val="20"/>
                <w:szCs w:val="20"/>
                <w:lang w:val="nb-NO" w:eastAsia="nb-NO"/>
              </w:rPr>
              <w:t>administration</w:t>
            </w:r>
            <w:proofErr w:type="spellEnd"/>
            <w:r w:rsidRPr="003418F9">
              <w:rPr>
                <w:rFonts w:eastAsia="Times New Roman" w:cs="Times New Roman"/>
                <w:color w:val="000000"/>
                <w:sz w:val="20"/>
                <w:szCs w:val="20"/>
                <w:lang w:val="nb-NO" w:eastAsia="nb-NO"/>
              </w:rPr>
              <w:t>)</w:t>
            </w:r>
          </w:p>
        </w:tc>
        <w:tc>
          <w:tcPr>
            <w:tcW w:w="1560" w:type="dxa"/>
            <w:shd w:val="clear" w:color="auto" w:fill="auto"/>
            <w:noWrap/>
            <w:hideMark/>
          </w:tcPr>
          <w:p w14:paraId="3A1B0DD8" w14:textId="18CE4EC9" w:rsidR="00FC57A3" w:rsidRPr="003418F9" w:rsidRDefault="00FC57A3" w:rsidP="00FC57A3">
            <w:pPr>
              <w:widowControl/>
              <w:autoSpaceDE/>
              <w:autoSpaceDN/>
              <w:spacing w:after="0" w:line="240" w:lineRule="auto"/>
              <w:jc w:val="righ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Hard</w:t>
            </w:r>
          </w:p>
        </w:tc>
      </w:tr>
      <w:tr w:rsidR="00FC57A3" w:rsidRPr="003418F9" w14:paraId="02D0B672" w14:textId="77777777" w:rsidTr="003418F9">
        <w:trPr>
          <w:trHeight w:hRule="exact" w:val="301"/>
        </w:trPr>
        <w:tc>
          <w:tcPr>
            <w:tcW w:w="9067" w:type="dxa"/>
            <w:shd w:val="clear" w:color="auto" w:fill="auto"/>
            <w:noWrap/>
            <w:vAlign w:val="bottom"/>
            <w:hideMark/>
          </w:tcPr>
          <w:p w14:paraId="7B7597D3" w14:textId="62924080" w:rsidR="00FC57A3" w:rsidRPr="003418F9" w:rsidRDefault="00FC57A3" w:rsidP="00FC57A3">
            <w:pPr>
              <w:widowControl/>
              <w:autoSpaceDE/>
              <w:autoSpaceDN/>
              <w:spacing w:after="0" w:line="240" w:lineRule="auto"/>
              <w:jc w:val="lef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 xml:space="preserve">Næringskomiteen (business, </w:t>
            </w:r>
            <w:proofErr w:type="spellStart"/>
            <w:r w:rsidRPr="003418F9">
              <w:rPr>
                <w:rFonts w:eastAsia="Times New Roman" w:cs="Times New Roman"/>
                <w:color w:val="000000"/>
                <w:sz w:val="20"/>
                <w:szCs w:val="20"/>
                <w:lang w:val="nb-NO" w:eastAsia="nb-NO"/>
              </w:rPr>
              <w:t>industry</w:t>
            </w:r>
            <w:proofErr w:type="spellEnd"/>
            <w:r w:rsidRPr="003418F9">
              <w:rPr>
                <w:rFonts w:eastAsia="Times New Roman" w:cs="Times New Roman"/>
                <w:color w:val="000000"/>
                <w:sz w:val="20"/>
                <w:szCs w:val="20"/>
                <w:lang w:val="nb-NO" w:eastAsia="nb-NO"/>
              </w:rPr>
              <w:t>)</w:t>
            </w:r>
          </w:p>
        </w:tc>
        <w:tc>
          <w:tcPr>
            <w:tcW w:w="1560" w:type="dxa"/>
            <w:shd w:val="clear" w:color="auto" w:fill="auto"/>
            <w:noWrap/>
            <w:hideMark/>
          </w:tcPr>
          <w:p w14:paraId="694E7AFA" w14:textId="529908B8" w:rsidR="00FC57A3" w:rsidRPr="003418F9" w:rsidRDefault="00FC57A3" w:rsidP="00FC57A3">
            <w:pPr>
              <w:widowControl/>
              <w:autoSpaceDE/>
              <w:autoSpaceDN/>
              <w:spacing w:after="0" w:line="240" w:lineRule="auto"/>
              <w:jc w:val="righ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Hard</w:t>
            </w:r>
          </w:p>
        </w:tc>
      </w:tr>
      <w:tr w:rsidR="00FC57A3" w:rsidRPr="003418F9" w14:paraId="47523D6F" w14:textId="77777777" w:rsidTr="003418F9">
        <w:trPr>
          <w:trHeight w:hRule="exact" w:val="301"/>
        </w:trPr>
        <w:tc>
          <w:tcPr>
            <w:tcW w:w="9067" w:type="dxa"/>
            <w:shd w:val="clear" w:color="auto" w:fill="auto"/>
            <w:noWrap/>
            <w:vAlign w:val="bottom"/>
            <w:hideMark/>
          </w:tcPr>
          <w:p w14:paraId="1BF3DCED" w14:textId="75FCF6E7" w:rsidR="00FC57A3" w:rsidRPr="003418F9" w:rsidRDefault="00FC57A3" w:rsidP="00FC57A3">
            <w:pPr>
              <w:widowControl/>
              <w:autoSpaceDE/>
              <w:autoSpaceDN/>
              <w:spacing w:after="0" w:line="240" w:lineRule="auto"/>
              <w:jc w:val="lef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Utenrikskomiteen (</w:t>
            </w:r>
            <w:proofErr w:type="spellStart"/>
            <w:r w:rsidRPr="003418F9">
              <w:rPr>
                <w:rFonts w:eastAsia="Times New Roman" w:cs="Times New Roman"/>
                <w:color w:val="000000"/>
                <w:sz w:val="20"/>
                <w:szCs w:val="20"/>
                <w:lang w:val="nb-NO" w:eastAsia="nb-NO"/>
              </w:rPr>
              <w:t>foreign</w:t>
            </w:r>
            <w:proofErr w:type="spellEnd"/>
            <w:r w:rsidRPr="003418F9">
              <w:rPr>
                <w:rFonts w:eastAsia="Times New Roman" w:cs="Times New Roman"/>
                <w:color w:val="000000"/>
                <w:sz w:val="20"/>
                <w:szCs w:val="20"/>
                <w:lang w:val="nb-NO" w:eastAsia="nb-NO"/>
              </w:rPr>
              <w:t xml:space="preserve"> </w:t>
            </w:r>
            <w:proofErr w:type="spellStart"/>
            <w:r w:rsidRPr="003418F9">
              <w:rPr>
                <w:rFonts w:eastAsia="Times New Roman" w:cs="Times New Roman"/>
                <w:color w:val="000000"/>
                <w:sz w:val="20"/>
                <w:szCs w:val="20"/>
                <w:lang w:val="nb-NO" w:eastAsia="nb-NO"/>
              </w:rPr>
              <w:t>affairs</w:t>
            </w:r>
            <w:proofErr w:type="spellEnd"/>
            <w:r w:rsidRPr="003418F9">
              <w:rPr>
                <w:rFonts w:eastAsia="Times New Roman" w:cs="Times New Roman"/>
                <w:color w:val="000000"/>
                <w:sz w:val="20"/>
                <w:szCs w:val="20"/>
                <w:lang w:val="nb-NO" w:eastAsia="nb-NO"/>
              </w:rPr>
              <w:t>)</w:t>
            </w:r>
          </w:p>
        </w:tc>
        <w:tc>
          <w:tcPr>
            <w:tcW w:w="1560" w:type="dxa"/>
            <w:shd w:val="clear" w:color="auto" w:fill="auto"/>
            <w:noWrap/>
            <w:hideMark/>
          </w:tcPr>
          <w:p w14:paraId="756F3BB3" w14:textId="46C8056B" w:rsidR="00FC57A3" w:rsidRPr="003418F9" w:rsidRDefault="00FC57A3" w:rsidP="00FC57A3">
            <w:pPr>
              <w:widowControl/>
              <w:autoSpaceDE/>
              <w:autoSpaceDN/>
              <w:spacing w:after="0" w:line="240" w:lineRule="auto"/>
              <w:jc w:val="righ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Hard</w:t>
            </w:r>
          </w:p>
        </w:tc>
      </w:tr>
      <w:tr w:rsidR="00FC57A3" w:rsidRPr="003418F9" w14:paraId="7459FBAA" w14:textId="77777777" w:rsidTr="003418F9">
        <w:trPr>
          <w:trHeight w:hRule="exact" w:val="301"/>
        </w:trPr>
        <w:tc>
          <w:tcPr>
            <w:tcW w:w="9067" w:type="dxa"/>
            <w:shd w:val="clear" w:color="auto" w:fill="auto"/>
            <w:noWrap/>
            <w:vAlign w:val="bottom"/>
            <w:hideMark/>
          </w:tcPr>
          <w:p w14:paraId="390BAB75" w14:textId="67EB828F" w:rsidR="00FC57A3" w:rsidRPr="003418F9" w:rsidRDefault="00FC57A3" w:rsidP="00FC57A3">
            <w:pPr>
              <w:widowControl/>
              <w:autoSpaceDE/>
              <w:autoSpaceDN/>
              <w:spacing w:after="0" w:line="240" w:lineRule="auto"/>
              <w:jc w:val="lef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Kirke- utdannings- og forskningskomiteen (</w:t>
            </w:r>
            <w:proofErr w:type="spellStart"/>
            <w:r w:rsidRPr="003418F9">
              <w:rPr>
                <w:rFonts w:eastAsia="Times New Roman" w:cs="Times New Roman"/>
                <w:color w:val="000000"/>
                <w:sz w:val="20"/>
                <w:szCs w:val="20"/>
                <w:lang w:val="nb-NO" w:eastAsia="nb-NO"/>
              </w:rPr>
              <w:t>education</w:t>
            </w:r>
            <w:proofErr w:type="spellEnd"/>
            <w:r w:rsidRPr="003418F9">
              <w:rPr>
                <w:rFonts w:eastAsia="Times New Roman" w:cs="Times New Roman"/>
                <w:color w:val="000000"/>
                <w:sz w:val="20"/>
                <w:szCs w:val="20"/>
                <w:lang w:val="nb-NO" w:eastAsia="nb-NO"/>
              </w:rPr>
              <w:t xml:space="preserve">, </w:t>
            </w:r>
            <w:proofErr w:type="spellStart"/>
            <w:r w:rsidRPr="003418F9">
              <w:rPr>
                <w:rFonts w:eastAsia="Times New Roman" w:cs="Times New Roman"/>
                <w:color w:val="000000"/>
                <w:sz w:val="20"/>
                <w:szCs w:val="20"/>
                <w:lang w:val="nb-NO" w:eastAsia="nb-NO"/>
              </w:rPr>
              <w:t>research</w:t>
            </w:r>
            <w:proofErr w:type="spellEnd"/>
            <w:r w:rsidRPr="003418F9">
              <w:rPr>
                <w:rFonts w:eastAsia="Times New Roman" w:cs="Times New Roman"/>
                <w:color w:val="000000"/>
                <w:sz w:val="20"/>
                <w:szCs w:val="20"/>
                <w:lang w:val="nb-NO" w:eastAsia="nb-NO"/>
              </w:rPr>
              <w:t>)</w:t>
            </w:r>
          </w:p>
        </w:tc>
        <w:tc>
          <w:tcPr>
            <w:tcW w:w="1560" w:type="dxa"/>
            <w:shd w:val="clear" w:color="auto" w:fill="auto"/>
            <w:noWrap/>
            <w:hideMark/>
          </w:tcPr>
          <w:p w14:paraId="0FBD8312" w14:textId="36EC6A6E" w:rsidR="00FC57A3" w:rsidRPr="003418F9" w:rsidRDefault="00FC57A3" w:rsidP="00FC57A3">
            <w:pPr>
              <w:widowControl/>
              <w:autoSpaceDE/>
              <w:autoSpaceDN/>
              <w:spacing w:after="0" w:line="240" w:lineRule="auto"/>
              <w:jc w:val="righ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Hard</w:t>
            </w:r>
          </w:p>
        </w:tc>
      </w:tr>
      <w:tr w:rsidR="00FC57A3" w:rsidRPr="003418F9" w14:paraId="6888A907" w14:textId="77777777" w:rsidTr="003418F9">
        <w:trPr>
          <w:trHeight w:hRule="exact" w:val="301"/>
        </w:trPr>
        <w:tc>
          <w:tcPr>
            <w:tcW w:w="9067" w:type="dxa"/>
            <w:shd w:val="clear" w:color="auto" w:fill="auto"/>
            <w:noWrap/>
            <w:vAlign w:val="bottom"/>
            <w:hideMark/>
          </w:tcPr>
          <w:p w14:paraId="3B189674" w14:textId="572BD21A" w:rsidR="00FC57A3" w:rsidRPr="003418F9" w:rsidRDefault="00FC57A3" w:rsidP="00FC57A3">
            <w:pPr>
              <w:widowControl/>
              <w:autoSpaceDE/>
              <w:autoSpaceDN/>
              <w:spacing w:after="0" w:line="240" w:lineRule="auto"/>
              <w:jc w:val="left"/>
              <w:rPr>
                <w:rFonts w:eastAsia="Times New Roman" w:cs="Times New Roman"/>
                <w:color w:val="000000"/>
                <w:sz w:val="20"/>
                <w:szCs w:val="20"/>
                <w:lang w:val="nn-NO" w:eastAsia="nb-NO"/>
              </w:rPr>
            </w:pPr>
            <w:r w:rsidRPr="003418F9">
              <w:rPr>
                <w:rFonts w:eastAsia="Times New Roman" w:cs="Times New Roman"/>
                <w:color w:val="000000"/>
                <w:sz w:val="20"/>
                <w:szCs w:val="20"/>
                <w:lang w:val="nn-NO" w:eastAsia="nb-NO"/>
              </w:rPr>
              <w:t>Kontroll- og konstitusjonskomiteen (</w:t>
            </w:r>
            <w:proofErr w:type="spellStart"/>
            <w:r w:rsidRPr="003418F9">
              <w:rPr>
                <w:rFonts w:eastAsia="Times New Roman" w:cs="Times New Roman"/>
                <w:color w:val="000000"/>
                <w:sz w:val="20"/>
                <w:szCs w:val="20"/>
                <w:lang w:val="nn-NO" w:eastAsia="nb-NO"/>
              </w:rPr>
              <w:t>scrutiny</w:t>
            </w:r>
            <w:proofErr w:type="spellEnd"/>
            <w:r w:rsidRPr="003418F9">
              <w:rPr>
                <w:rFonts w:eastAsia="Times New Roman" w:cs="Times New Roman"/>
                <w:color w:val="000000"/>
                <w:sz w:val="20"/>
                <w:szCs w:val="20"/>
                <w:lang w:val="nn-NO" w:eastAsia="nb-NO"/>
              </w:rPr>
              <w:t xml:space="preserve">, </w:t>
            </w:r>
            <w:proofErr w:type="spellStart"/>
            <w:r w:rsidRPr="003418F9">
              <w:rPr>
                <w:rFonts w:eastAsia="Times New Roman" w:cs="Times New Roman"/>
                <w:color w:val="000000"/>
                <w:sz w:val="20"/>
                <w:szCs w:val="20"/>
                <w:lang w:val="nn-NO" w:eastAsia="nb-NO"/>
              </w:rPr>
              <w:t>constitutional</w:t>
            </w:r>
            <w:proofErr w:type="spellEnd"/>
            <w:r w:rsidRPr="003418F9">
              <w:rPr>
                <w:rFonts w:eastAsia="Times New Roman" w:cs="Times New Roman"/>
                <w:color w:val="000000"/>
                <w:sz w:val="20"/>
                <w:szCs w:val="20"/>
                <w:lang w:val="nn-NO" w:eastAsia="nb-NO"/>
              </w:rPr>
              <w:t xml:space="preserve"> </w:t>
            </w:r>
            <w:proofErr w:type="spellStart"/>
            <w:r w:rsidRPr="003418F9">
              <w:rPr>
                <w:rFonts w:eastAsia="Times New Roman" w:cs="Times New Roman"/>
                <w:color w:val="000000"/>
                <w:sz w:val="20"/>
                <w:szCs w:val="20"/>
                <w:lang w:val="nn-NO" w:eastAsia="nb-NO"/>
              </w:rPr>
              <w:t>affairs</w:t>
            </w:r>
            <w:proofErr w:type="spellEnd"/>
            <w:r w:rsidRPr="003418F9">
              <w:rPr>
                <w:rFonts w:eastAsia="Times New Roman" w:cs="Times New Roman"/>
                <w:color w:val="000000"/>
                <w:sz w:val="20"/>
                <w:szCs w:val="20"/>
                <w:lang w:val="nn-NO" w:eastAsia="nb-NO"/>
              </w:rPr>
              <w:t>)</w:t>
            </w:r>
          </w:p>
        </w:tc>
        <w:tc>
          <w:tcPr>
            <w:tcW w:w="1560" w:type="dxa"/>
            <w:shd w:val="clear" w:color="auto" w:fill="auto"/>
            <w:noWrap/>
            <w:hideMark/>
          </w:tcPr>
          <w:p w14:paraId="3950B6FC" w14:textId="0D58D2EA" w:rsidR="00FC57A3" w:rsidRPr="003418F9" w:rsidRDefault="00FC57A3" w:rsidP="00FC57A3">
            <w:pPr>
              <w:widowControl/>
              <w:autoSpaceDE/>
              <w:autoSpaceDN/>
              <w:spacing w:after="0" w:line="240" w:lineRule="auto"/>
              <w:jc w:val="righ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Hard</w:t>
            </w:r>
          </w:p>
        </w:tc>
      </w:tr>
      <w:tr w:rsidR="00FC57A3" w:rsidRPr="003418F9" w14:paraId="21CE7ADC" w14:textId="77777777" w:rsidTr="003418F9">
        <w:trPr>
          <w:trHeight w:hRule="exact" w:val="301"/>
        </w:trPr>
        <w:tc>
          <w:tcPr>
            <w:tcW w:w="9067" w:type="dxa"/>
            <w:shd w:val="clear" w:color="auto" w:fill="auto"/>
            <w:noWrap/>
            <w:vAlign w:val="bottom"/>
            <w:hideMark/>
          </w:tcPr>
          <w:p w14:paraId="5DC95652" w14:textId="7C321DBD" w:rsidR="00FC57A3" w:rsidRPr="003418F9" w:rsidRDefault="00FC57A3" w:rsidP="00FC57A3">
            <w:pPr>
              <w:widowControl/>
              <w:autoSpaceDE/>
              <w:autoSpaceDN/>
              <w:spacing w:after="0" w:line="240" w:lineRule="auto"/>
              <w:jc w:val="lef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Justiskomiteen (</w:t>
            </w:r>
            <w:proofErr w:type="spellStart"/>
            <w:r w:rsidRPr="003418F9">
              <w:rPr>
                <w:rFonts w:eastAsia="Times New Roman" w:cs="Times New Roman"/>
                <w:color w:val="000000"/>
                <w:sz w:val="20"/>
                <w:szCs w:val="20"/>
                <w:lang w:val="nb-NO" w:eastAsia="nb-NO"/>
              </w:rPr>
              <w:t>justice</w:t>
            </w:r>
            <w:proofErr w:type="spellEnd"/>
            <w:r w:rsidRPr="003418F9">
              <w:rPr>
                <w:rFonts w:eastAsia="Times New Roman" w:cs="Times New Roman"/>
                <w:color w:val="000000"/>
                <w:sz w:val="20"/>
                <w:szCs w:val="20"/>
                <w:lang w:val="nb-NO" w:eastAsia="nb-NO"/>
              </w:rPr>
              <w:t>)</w:t>
            </w:r>
          </w:p>
        </w:tc>
        <w:tc>
          <w:tcPr>
            <w:tcW w:w="1560" w:type="dxa"/>
            <w:shd w:val="clear" w:color="auto" w:fill="auto"/>
            <w:noWrap/>
            <w:hideMark/>
          </w:tcPr>
          <w:p w14:paraId="10016D65" w14:textId="4C61735A" w:rsidR="00FC57A3" w:rsidRPr="003418F9" w:rsidRDefault="00FC57A3" w:rsidP="00FC57A3">
            <w:pPr>
              <w:widowControl/>
              <w:autoSpaceDE/>
              <w:autoSpaceDN/>
              <w:spacing w:after="0" w:line="240" w:lineRule="auto"/>
              <w:jc w:val="righ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Hard</w:t>
            </w:r>
          </w:p>
        </w:tc>
      </w:tr>
      <w:tr w:rsidR="00FC57A3" w:rsidRPr="003418F9" w14:paraId="6D00DF12" w14:textId="77777777" w:rsidTr="003418F9">
        <w:trPr>
          <w:trHeight w:hRule="exact" w:val="301"/>
        </w:trPr>
        <w:tc>
          <w:tcPr>
            <w:tcW w:w="9067" w:type="dxa"/>
            <w:shd w:val="clear" w:color="auto" w:fill="auto"/>
            <w:noWrap/>
            <w:vAlign w:val="bottom"/>
            <w:hideMark/>
          </w:tcPr>
          <w:p w14:paraId="094C021F" w14:textId="092BC11B" w:rsidR="00FC57A3" w:rsidRPr="003418F9" w:rsidRDefault="00FC57A3" w:rsidP="00705F67">
            <w:pPr>
              <w:widowControl/>
              <w:autoSpaceDE/>
              <w:autoSpaceDN/>
              <w:spacing w:after="0" w:line="240" w:lineRule="auto"/>
              <w:jc w:val="left"/>
              <w:rPr>
                <w:rFonts w:eastAsia="Times New Roman" w:cs="Times New Roman"/>
                <w:color w:val="000000"/>
                <w:sz w:val="20"/>
                <w:szCs w:val="20"/>
                <w:lang w:val="nn-NO" w:eastAsia="nb-NO"/>
              </w:rPr>
            </w:pPr>
            <w:r w:rsidRPr="003418F9">
              <w:rPr>
                <w:rFonts w:eastAsia="Times New Roman" w:cs="Times New Roman"/>
                <w:color w:val="000000"/>
                <w:sz w:val="20"/>
                <w:szCs w:val="20"/>
                <w:lang w:val="nn-NO" w:eastAsia="nb-NO"/>
              </w:rPr>
              <w:t>Arbeids- og sosialkomiteen (</w:t>
            </w:r>
            <w:proofErr w:type="spellStart"/>
            <w:r w:rsidRPr="003418F9">
              <w:rPr>
                <w:rFonts w:eastAsia="Times New Roman" w:cs="Times New Roman"/>
                <w:color w:val="000000"/>
                <w:sz w:val="20"/>
                <w:szCs w:val="20"/>
                <w:lang w:val="nn-NO" w:eastAsia="nb-NO"/>
              </w:rPr>
              <w:t>labour</w:t>
            </w:r>
            <w:proofErr w:type="spellEnd"/>
            <w:r w:rsidRPr="003418F9">
              <w:rPr>
                <w:rFonts w:eastAsia="Times New Roman" w:cs="Times New Roman"/>
                <w:color w:val="000000"/>
                <w:sz w:val="20"/>
                <w:szCs w:val="20"/>
                <w:lang w:val="nn-NO" w:eastAsia="nb-NO"/>
              </w:rPr>
              <w:t xml:space="preserve">, </w:t>
            </w:r>
            <w:proofErr w:type="spellStart"/>
            <w:r w:rsidRPr="003418F9">
              <w:rPr>
                <w:rFonts w:eastAsia="Times New Roman" w:cs="Times New Roman"/>
                <w:color w:val="000000"/>
                <w:sz w:val="20"/>
                <w:szCs w:val="20"/>
                <w:lang w:val="nn-NO" w:eastAsia="nb-NO"/>
              </w:rPr>
              <w:t>social</w:t>
            </w:r>
            <w:proofErr w:type="spellEnd"/>
            <w:r w:rsidRPr="003418F9">
              <w:rPr>
                <w:rFonts w:eastAsia="Times New Roman" w:cs="Times New Roman"/>
                <w:color w:val="000000"/>
                <w:sz w:val="20"/>
                <w:szCs w:val="20"/>
                <w:lang w:val="nn-NO" w:eastAsia="nb-NO"/>
              </w:rPr>
              <w:t xml:space="preserve"> </w:t>
            </w:r>
            <w:proofErr w:type="spellStart"/>
            <w:r w:rsidRPr="003418F9">
              <w:rPr>
                <w:rFonts w:eastAsia="Times New Roman" w:cs="Times New Roman"/>
                <w:color w:val="000000"/>
                <w:sz w:val="20"/>
                <w:szCs w:val="20"/>
                <w:lang w:val="nn-NO" w:eastAsia="nb-NO"/>
              </w:rPr>
              <w:t>affairs</w:t>
            </w:r>
            <w:proofErr w:type="spellEnd"/>
            <w:r w:rsidRPr="003418F9">
              <w:rPr>
                <w:rFonts w:eastAsia="Times New Roman" w:cs="Times New Roman"/>
                <w:color w:val="000000"/>
                <w:sz w:val="20"/>
                <w:szCs w:val="20"/>
                <w:lang w:val="nn-NO" w:eastAsia="nb-NO"/>
              </w:rPr>
              <w:t>)</w:t>
            </w:r>
          </w:p>
        </w:tc>
        <w:tc>
          <w:tcPr>
            <w:tcW w:w="1560" w:type="dxa"/>
            <w:shd w:val="clear" w:color="auto" w:fill="auto"/>
            <w:noWrap/>
            <w:vAlign w:val="bottom"/>
            <w:hideMark/>
          </w:tcPr>
          <w:p w14:paraId="43FA1B94" w14:textId="4F4B0FB9" w:rsidR="00FC57A3" w:rsidRPr="003418F9" w:rsidRDefault="00FC57A3" w:rsidP="00705F67">
            <w:pPr>
              <w:widowControl/>
              <w:autoSpaceDE/>
              <w:autoSpaceDN/>
              <w:spacing w:after="0" w:line="240" w:lineRule="auto"/>
              <w:jc w:val="righ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Soft</w:t>
            </w:r>
          </w:p>
        </w:tc>
      </w:tr>
      <w:tr w:rsidR="00FC57A3" w:rsidRPr="003418F9" w14:paraId="394DCB69" w14:textId="77777777" w:rsidTr="003418F9">
        <w:trPr>
          <w:trHeight w:hRule="exact" w:val="301"/>
        </w:trPr>
        <w:tc>
          <w:tcPr>
            <w:tcW w:w="9067" w:type="dxa"/>
            <w:shd w:val="clear" w:color="auto" w:fill="auto"/>
            <w:noWrap/>
            <w:vAlign w:val="bottom"/>
            <w:hideMark/>
          </w:tcPr>
          <w:p w14:paraId="557A9B5E" w14:textId="64CBB8DB" w:rsidR="00FC57A3" w:rsidRPr="003418F9" w:rsidRDefault="00FC57A3" w:rsidP="00705F67">
            <w:pPr>
              <w:widowControl/>
              <w:autoSpaceDE/>
              <w:autoSpaceDN/>
              <w:spacing w:after="0" w:line="240" w:lineRule="auto"/>
              <w:jc w:val="left"/>
              <w:rPr>
                <w:rFonts w:eastAsia="Times New Roman" w:cs="Times New Roman"/>
                <w:color w:val="000000"/>
                <w:sz w:val="20"/>
                <w:szCs w:val="20"/>
                <w:lang w:val="nn-NO" w:eastAsia="nb-NO"/>
              </w:rPr>
            </w:pPr>
            <w:r w:rsidRPr="003418F9">
              <w:rPr>
                <w:rFonts w:eastAsia="Times New Roman" w:cs="Times New Roman"/>
                <w:color w:val="000000"/>
                <w:sz w:val="20"/>
                <w:szCs w:val="20"/>
                <w:lang w:val="nn-NO" w:eastAsia="nb-NO"/>
              </w:rPr>
              <w:t xml:space="preserve">Den </w:t>
            </w:r>
            <w:proofErr w:type="spellStart"/>
            <w:r w:rsidRPr="003418F9">
              <w:rPr>
                <w:rFonts w:eastAsia="Times New Roman" w:cs="Times New Roman"/>
                <w:color w:val="000000"/>
                <w:sz w:val="20"/>
                <w:szCs w:val="20"/>
                <w:lang w:val="nn-NO" w:eastAsia="nb-NO"/>
              </w:rPr>
              <w:t>utvidede</w:t>
            </w:r>
            <w:proofErr w:type="spellEnd"/>
            <w:r w:rsidRPr="003418F9">
              <w:rPr>
                <w:rFonts w:eastAsia="Times New Roman" w:cs="Times New Roman"/>
                <w:color w:val="000000"/>
                <w:sz w:val="20"/>
                <w:szCs w:val="20"/>
                <w:lang w:val="nn-NO" w:eastAsia="nb-NO"/>
              </w:rPr>
              <w:t xml:space="preserve"> </w:t>
            </w:r>
            <w:proofErr w:type="spellStart"/>
            <w:r w:rsidRPr="003418F9">
              <w:rPr>
                <w:rFonts w:eastAsia="Times New Roman" w:cs="Times New Roman"/>
                <w:color w:val="000000"/>
                <w:sz w:val="20"/>
                <w:szCs w:val="20"/>
                <w:lang w:val="nn-NO" w:eastAsia="nb-NO"/>
              </w:rPr>
              <w:t>utenrikskomité</w:t>
            </w:r>
            <w:proofErr w:type="spellEnd"/>
            <w:r w:rsidRPr="003418F9">
              <w:rPr>
                <w:rFonts w:eastAsia="Times New Roman" w:cs="Times New Roman"/>
                <w:color w:val="000000"/>
                <w:sz w:val="20"/>
                <w:szCs w:val="20"/>
                <w:lang w:val="nn-NO" w:eastAsia="nb-NO"/>
              </w:rPr>
              <w:t xml:space="preserve"> (foreign </w:t>
            </w:r>
            <w:proofErr w:type="spellStart"/>
            <w:r w:rsidRPr="003418F9">
              <w:rPr>
                <w:rFonts w:eastAsia="Times New Roman" w:cs="Times New Roman"/>
                <w:color w:val="000000"/>
                <w:sz w:val="20"/>
                <w:szCs w:val="20"/>
                <w:lang w:val="nn-NO" w:eastAsia="nb-NO"/>
              </w:rPr>
              <w:t>affairs</w:t>
            </w:r>
            <w:proofErr w:type="spellEnd"/>
            <w:r w:rsidRPr="003418F9">
              <w:rPr>
                <w:rFonts w:eastAsia="Times New Roman" w:cs="Times New Roman"/>
                <w:color w:val="000000"/>
                <w:sz w:val="20"/>
                <w:szCs w:val="20"/>
                <w:lang w:val="nn-NO" w:eastAsia="nb-NO"/>
              </w:rPr>
              <w:t>)</w:t>
            </w:r>
          </w:p>
        </w:tc>
        <w:tc>
          <w:tcPr>
            <w:tcW w:w="1560" w:type="dxa"/>
            <w:shd w:val="clear" w:color="auto" w:fill="auto"/>
            <w:noWrap/>
            <w:vAlign w:val="bottom"/>
            <w:hideMark/>
          </w:tcPr>
          <w:p w14:paraId="5BA7394B" w14:textId="12A7908A" w:rsidR="00FC57A3" w:rsidRPr="003418F9" w:rsidRDefault="00FC57A3" w:rsidP="00705F67">
            <w:pPr>
              <w:widowControl/>
              <w:autoSpaceDE/>
              <w:autoSpaceDN/>
              <w:spacing w:after="0" w:line="240" w:lineRule="auto"/>
              <w:jc w:val="righ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Hard</w:t>
            </w:r>
          </w:p>
        </w:tc>
      </w:tr>
      <w:tr w:rsidR="00FC57A3" w:rsidRPr="003418F9" w14:paraId="5C969634" w14:textId="77777777" w:rsidTr="003418F9">
        <w:trPr>
          <w:trHeight w:hRule="exact" w:val="301"/>
        </w:trPr>
        <w:tc>
          <w:tcPr>
            <w:tcW w:w="9067" w:type="dxa"/>
            <w:shd w:val="clear" w:color="auto" w:fill="auto"/>
            <w:noWrap/>
            <w:vAlign w:val="bottom"/>
            <w:hideMark/>
          </w:tcPr>
          <w:p w14:paraId="78815AD3" w14:textId="27FBA46B" w:rsidR="00FC57A3" w:rsidRPr="003418F9" w:rsidRDefault="00FC57A3" w:rsidP="00705F67">
            <w:pPr>
              <w:widowControl/>
              <w:autoSpaceDE/>
              <w:autoSpaceDN/>
              <w:spacing w:after="0" w:line="240" w:lineRule="auto"/>
              <w:jc w:val="left"/>
              <w:rPr>
                <w:rFonts w:eastAsia="Times New Roman" w:cs="Times New Roman"/>
                <w:color w:val="000000"/>
                <w:sz w:val="20"/>
                <w:szCs w:val="20"/>
                <w:lang w:val="nn-NO" w:eastAsia="nb-NO"/>
              </w:rPr>
            </w:pPr>
            <w:r w:rsidRPr="003418F9">
              <w:rPr>
                <w:rFonts w:eastAsia="Times New Roman" w:cs="Times New Roman"/>
                <w:color w:val="000000"/>
                <w:sz w:val="20"/>
                <w:szCs w:val="20"/>
                <w:lang w:val="nn-NO" w:eastAsia="nb-NO"/>
              </w:rPr>
              <w:t>Familie- og kulturkomiteen (</w:t>
            </w:r>
            <w:proofErr w:type="spellStart"/>
            <w:r w:rsidRPr="003418F9">
              <w:rPr>
                <w:rFonts w:eastAsia="Times New Roman" w:cs="Times New Roman"/>
                <w:color w:val="000000"/>
                <w:sz w:val="20"/>
                <w:szCs w:val="20"/>
                <w:lang w:val="nn-NO" w:eastAsia="nb-NO"/>
              </w:rPr>
              <w:t>family</w:t>
            </w:r>
            <w:proofErr w:type="spellEnd"/>
            <w:r w:rsidRPr="003418F9">
              <w:rPr>
                <w:rFonts w:eastAsia="Times New Roman" w:cs="Times New Roman"/>
                <w:color w:val="000000"/>
                <w:sz w:val="20"/>
                <w:szCs w:val="20"/>
                <w:lang w:val="nn-NO" w:eastAsia="nb-NO"/>
              </w:rPr>
              <w:t xml:space="preserve">, </w:t>
            </w:r>
            <w:proofErr w:type="spellStart"/>
            <w:r w:rsidRPr="003418F9">
              <w:rPr>
                <w:rFonts w:eastAsia="Times New Roman" w:cs="Times New Roman"/>
                <w:color w:val="000000"/>
                <w:sz w:val="20"/>
                <w:szCs w:val="20"/>
                <w:lang w:val="nn-NO" w:eastAsia="nb-NO"/>
              </w:rPr>
              <w:t>cultural</w:t>
            </w:r>
            <w:proofErr w:type="spellEnd"/>
            <w:r w:rsidRPr="003418F9">
              <w:rPr>
                <w:rFonts w:eastAsia="Times New Roman" w:cs="Times New Roman"/>
                <w:color w:val="000000"/>
                <w:sz w:val="20"/>
                <w:szCs w:val="20"/>
                <w:lang w:val="nn-NO" w:eastAsia="nb-NO"/>
              </w:rPr>
              <w:t xml:space="preserve"> </w:t>
            </w:r>
            <w:proofErr w:type="spellStart"/>
            <w:r w:rsidRPr="003418F9">
              <w:rPr>
                <w:rFonts w:eastAsia="Times New Roman" w:cs="Times New Roman"/>
                <w:color w:val="000000"/>
                <w:sz w:val="20"/>
                <w:szCs w:val="20"/>
                <w:lang w:val="nn-NO" w:eastAsia="nb-NO"/>
              </w:rPr>
              <w:t>affairs</w:t>
            </w:r>
            <w:proofErr w:type="spellEnd"/>
            <w:r w:rsidRPr="003418F9">
              <w:rPr>
                <w:rFonts w:eastAsia="Times New Roman" w:cs="Times New Roman"/>
                <w:color w:val="000000"/>
                <w:sz w:val="20"/>
                <w:szCs w:val="20"/>
                <w:lang w:val="nn-NO" w:eastAsia="nb-NO"/>
              </w:rPr>
              <w:t>)</w:t>
            </w:r>
          </w:p>
        </w:tc>
        <w:tc>
          <w:tcPr>
            <w:tcW w:w="1560" w:type="dxa"/>
            <w:shd w:val="clear" w:color="auto" w:fill="auto"/>
            <w:noWrap/>
            <w:vAlign w:val="bottom"/>
            <w:hideMark/>
          </w:tcPr>
          <w:p w14:paraId="15864F22" w14:textId="49826132" w:rsidR="00FC57A3" w:rsidRPr="003418F9" w:rsidRDefault="00FC57A3" w:rsidP="00705F67">
            <w:pPr>
              <w:widowControl/>
              <w:autoSpaceDE/>
              <w:autoSpaceDN/>
              <w:spacing w:after="0" w:line="240" w:lineRule="auto"/>
              <w:jc w:val="righ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Soft</w:t>
            </w:r>
          </w:p>
        </w:tc>
      </w:tr>
      <w:tr w:rsidR="00FC57A3" w:rsidRPr="003418F9" w14:paraId="35F11501" w14:textId="77777777" w:rsidTr="003418F9">
        <w:trPr>
          <w:trHeight w:hRule="exact" w:val="301"/>
        </w:trPr>
        <w:tc>
          <w:tcPr>
            <w:tcW w:w="9067" w:type="dxa"/>
            <w:shd w:val="clear" w:color="auto" w:fill="auto"/>
            <w:noWrap/>
            <w:vAlign w:val="bottom"/>
            <w:hideMark/>
          </w:tcPr>
          <w:p w14:paraId="180D3457" w14:textId="745EB7D3" w:rsidR="00FC57A3" w:rsidRPr="003418F9" w:rsidRDefault="00FC57A3" w:rsidP="00FC57A3">
            <w:pPr>
              <w:widowControl/>
              <w:autoSpaceDE/>
              <w:autoSpaceDN/>
              <w:spacing w:after="0" w:line="240" w:lineRule="auto"/>
              <w:jc w:val="lef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Kommunalkomiteen (</w:t>
            </w:r>
            <w:proofErr w:type="spellStart"/>
            <w:r w:rsidRPr="003418F9">
              <w:rPr>
                <w:rFonts w:eastAsia="Times New Roman" w:cs="Times New Roman"/>
                <w:color w:val="000000"/>
                <w:sz w:val="20"/>
                <w:szCs w:val="20"/>
                <w:lang w:val="nb-NO" w:eastAsia="nb-NO"/>
              </w:rPr>
              <w:t>local</w:t>
            </w:r>
            <w:proofErr w:type="spellEnd"/>
            <w:r w:rsidRPr="003418F9">
              <w:rPr>
                <w:rFonts w:eastAsia="Times New Roman" w:cs="Times New Roman"/>
                <w:color w:val="000000"/>
                <w:sz w:val="20"/>
                <w:szCs w:val="20"/>
                <w:lang w:val="nb-NO" w:eastAsia="nb-NO"/>
              </w:rPr>
              <w:t xml:space="preserve"> </w:t>
            </w:r>
            <w:proofErr w:type="spellStart"/>
            <w:r w:rsidRPr="003418F9">
              <w:rPr>
                <w:rFonts w:eastAsia="Times New Roman" w:cs="Times New Roman"/>
                <w:color w:val="000000"/>
                <w:sz w:val="20"/>
                <w:szCs w:val="20"/>
                <w:lang w:val="nb-NO" w:eastAsia="nb-NO"/>
              </w:rPr>
              <w:t>government</w:t>
            </w:r>
            <w:proofErr w:type="spellEnd"/>
            <w:r w:rsidRPr="003418F9">
              <w:rPr>
                <w:rFonts w:eastAsia="Times New Roman" w:cs="Times New Roman"/>
                <w:color w:val="000000"/>
                <w:sz w:val="20"/>
                <w:szCs w:val="20"/>
                <w:lang w:val="nb-NO" w:eastAsia="nb-NO"/>
              </w:rPr>
              <w:t>)</w:t>
            </w:r>
          </w:p>
        </w:tc>
        <w:tc>
          <w:tcPr>
            <w:tcW w:w="1560" w:type="dxa"/>
            <w:shd w:val="clear" w:color="auto" w:fill="auto"/>
            <w:noWrap/>
            <w:hideMark/>
          </w:tcPr>
          <w:p w14:paraId="4D9DB337" w14:textId="7D6271A2" w:rsidR="00FC57A3" w:rsidRPr="003418F9" w:rsidRDefault="00FC57A3" w:rsidP="00FC57A3">
            <w:pPr>
              <w:widowControl/>
              <w:autoSpaceDE/>
              <w:autoSpaceDN/>
              <w:spacing w:after="0" w:line="240" w:lineRule="auto"/>
              <w:jc w:val="righ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Hard</w:t>
            </w:r>
          </w:p>
        </w:tc>
      </w:tr>
      <w:tr w:rsidR="00FC57A3" w:rsidRPr="003418F9" w14:paraId="52FFDB4A" w14:textId="77777777" w:rsidTr="003418F9">
        <w:trPr>
          <w:trHeight w:hRule="exact" w:val="301"/>
        </w:trPr>
        <w:tc>
          <w:tcPr>
            <w:tcW w:w="9067" w:type="dxa"/>
            <w:shd w:val="clear" w:color="auto" w:fill="auto"/>
            <w:noWrap/>
            <w:vAlign w:val="bottom"/>
            <w:hideMark/>
          </w:tcPr>
          <w:p w14:paraId="7CBFA0E6" w14:textId="73AB0636" w:rsidR="00FC57A3" w:rsidRPr="003418F9" w:rsidRDefault="00FC57A3" w:rsidP="00FC57A3">
            <w:pPr>
              <w:widowControl/>
              <w:autoSpaceDE/>
              <w:autoSpaceDN/>
              <w:spacing w:after="0" w:line="240" w:lineRule="auto"/>
              <w:jc w:val="lef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Energi- og miljøkomiteen (</w:t>
            </w:r>
            <w:proofErr w:type="spellStart"/>
            <w:r w:rsidRPr="003418F9">
              <w:rPr>
                <w:rFonts w:eastAsia="Times New Roman" w:cs="Times New Roman"/>
                <w:color w:val="000000"/>
                <w:sz w:val="20"/>
                <w:szCs w:val="20"/>
                <w:lang w:val="nb-NO" w:eastAsia="nb-NO"/>
              </w:rPr>
              <w:t>energy</w:t>
            </w:r>
            <w:proofErr w:type="spellEnd"/>
            <w:r w:rsidRPr="003418F9">
              <w:rPr>
                <w:rFonts w:eastAsia="Times New Roman" w:cs="Times New Roman"/>
                <w:color w:val="000000"/>
                <w:sz w:val="20"/>
                <w:szCs w:val="20"/>
                <w:lang w:val="nb-NO" w:eastAsia="nb-NO"/>
              </w:rPr>
              <w:t xml:space="preserve">, </w:t>
            </w:r>
            <w:proofErr w:type="spellStart"/>
            <w:r w:rsidRPr="003418F9">
              <w:rPr>
                <w:rFonts w:eastAsia="Times New Roman" w:cs="Times New Roman"/>
                <w:color w:val="000000"/>
                <w:sz w:val="20"/>
                <w:szCs w:val="20"/>
                <w:lang w:val="nb-NO" w:eastAsia="nb-NO"/>
              </w:rPr>
              <w:t>environment</w:t>
            </w:r>
            <w:proofErr w:type="spellEnd"/>
            <w:r w:rsidRPr="003418F9">
              <w:rPr>
                <w:rFonts w:eastAsia="Times New Roman" w:cs="Times New Roman"/>
                <w:color w:val="000000"/>
                <w:sz w:val="20"/>
                <w:szCs w:val="20"/>
                <w:lang w:val="nb-NO" w:eastAsia="nb-NO"/>
              </w:rPr>
              <w:t>)</w:t>
            </w:r>
          </w:p>
        </w:tc>
        <w:tc>
          <w:tcPr>
            <w:tcW w:w="1560" w:type="dxa"/>
            <w:shd w:val="clear" w:color="auto" w:fill="auto"/>
            <w:noWrap/>
            <w:hideMark/>
          </w:tcPr>
          <w:p w14:paraId="5E8C9A14" w14:textId="6C8589BB" w:rsidR="00FC57A3" w:rsidRPr="003418F9" w:rsidRDefault="00FC57A3" w:rsidP="00FC57A3">
            <w:pPr>
              <w:widowControl/>
              <w:autoSpaceDE/>
              <w:autoSpaceDN/>
              <w:spacing w:after="0" w:line="240" w:lineRule="auto"/>
              <w:jc w:val="righ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Hard</w:t>
            </w:r>
          </w:p>
        </w:tc>
      </w:tr>
      <w:tr w:rsidR="00FC57A3" w:rsidRPr="003418F9" w14:paraId="3F7DF6ED" w14:textId="77777777" w:rsidTr="003418F9">
        <w:trPr>
          <w:trHeight w:hRule="exact" w:val="301"/>
        </w:trPr>
        <w:tc>
          <w:tcPr>
            <w:tcW w:w="9067" w:type="dxa"/>
            <w:shd w:val="clear" w:color="auto" w:fill="auto"/>
            <w:noWrap/>
            <w:vAlign w:val="bottom"/>
            <w:hideMark/>
          </w:tcPr>
          <w:p w14:paraId="3C8C808C" w14:textId="6B05673B" w:rsidR="00FC57A3" w:rsidRPr="003418F9" w:rsidRDefault="00FC57A3" w:rsidP="00FC57A3">
            <w:pPr>
              <w:widowControl/>
              <w:autoSpaceDE/>
              <w:autoSpaceDN/>
              <w:spacing w:after="0" w:line="240" w:lineRule="auto"/>
              <w:jc w:val="lef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 xml:space="preserve">Samferdselskomiteen (transport, </w:t>
            </w:r>
            <w:proofErr w:type="spellStart"/>
            <w:r w:rsidRPr="003418F9">
              <w:rPr>
                <w:rFonts w:eastAsia="Times New Roman" w:cs="Times New Roman"/>
                <w:color w:val="000000"/>
                <w:sz w:val="20"/>
                <w:szCs w:val="20"/>
                <w:lang w:val="nb-NO" w:eastAsia="nb-NO"/>
              </w:rPr>
              <w:t>communications</w:t>
            </w:r>
            <w:proofErr w:type="spellEnd"/>
            <w:r w:rsidRPr="003418F9">
              <w:rPr>
                <w:rFonts w:eastAsia="Times New Roman" w:cs="Times New Roman"/>
                <w:color w:val="000000"/>
                <w:sz w:val="20"/>
                <w:szCs w:val="20"/>
                <w:lang w:val="nb-NO" w:eastAsia="nb-NO"/>
              </w:rPr>
              <w:t>)</w:t>
            </w:r>
          </w:p>
        </w:tc>
        <w:tc>
          <w:tcPr>
            <w:tcW w:w="1560" w:type="dxa"/>
            <w:shd w:val="clear" w:color="auto" w:fill="auto"/>
            <w:noWrap/>
            <w:hideMark/>
          </w:tcPr>
          <w:p w14:paraId="752C4C74" w14:textId="0F0F0FBE" w:rsidR="00FC57A3" w:rsidRPr="003418F9" w:rsidRDefault="00FC57A3" w:rsidP="00FC57A3">
            <w:pPr>
              <w:widowControl/>
              <w:autoSpaceDE/>
              <w:autoSpaceDN/>
              <w:spacing w:after="0" w:line="240" w:lineRule="auto"/>
              <w:jc w:val="righ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Hard</w:t>
            </w:r>
          </w:p>
        </w:tc>
      </w:tr>
      <w:tr w:rsidR="00FC57A3" w:rsidRPr="003418F9" w14:paraId="7E5CEF3E" w14:textId="77777777" w:rsidTr="003418F9">
        <w:trPr>
          <w:trHeight w:hRule="exact" w:val="301"/>
        </w:trPr>
        <w:tc>
          <w:tcPr>
            <w:tcW w:w="9067" w:type="dxa"/>
            <w:shd w:val="clear" w:color="auto" w:fill="auto"/>
            <w:noWrap/>
            <w:vAlign w:val="bottom"/>
            <w:hideMark/>
          </w:tcPr>
          <w:p w14:paraId="5E76B471" w14:textId="3861833E" w:rsidR="00FC57A3" w:rsidRPr="003418F9" w:rsidRDefault="00FC57A3" w:rsidP="00FC57A3">
            <w:pPr>
              <w:widowControl/>
              <w:autoSpaceDE/>
              <w:autoSpaceDN/>
              <w:spacing w:after="0" w:line="240" w:lineRule="auto"/>
              <w:jc w:val="lef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Forsvarskomiteen (</w:t>
            </w:r>
            <w:proofErr w:type="spellStart"/>
            <w:r w:rsidRPr="003418F9">
              <w:rPr>
                <w:rFonts w:eastAsia="Times New Roman" w:cs="Times New Roman"/>
                <w:color w:val="000000"/>
                <w:sz w:val="20"/>
                <w:szCs w:val="20"/>
                <w:lang w:val="nb-NO" w:eastAsia="nb-NO"/>
              </w:rPr>
              <w:t>defence</w:t>
            </w:r>
            <w:proofErr w:type="spellEnd"/>
            <w:r w:rsidRPr="003418F9">
              <w:rPr>
                <w:rFonts w:eastAsia="Times New Roman" w:cs="Times New Roman"/>
                <w:color w:val="000000"/>
                <w:sz w:val="20"/>
                <w:szCs w:val="20"/>
                <w:lang w:val="nb-NO" w:eastAsia="nb-NO"/>
              </w:rPr>
              <w:t>)</w:t>
            </w:r>
          </w:p>
        </w:tc>
        <w:tc>
          <w:tcPr>
            <w:tcW w:w="1560" w:type="dxa"/>
            <w:shd w:val="clear" w:color="auto" w:fill="auto"/>
            <w:noWrap/>
            <w:hideMark/>
          </w:tcPr>
          <w:p w14:paraId="0AF544CC" w14:textId="38155C94" w:rsidR="00FC57A3" w:rsidRPr="003418F9" w:rsidRDefault="00FC57A3" w:rsidP="00FC57A3">
            <w:pPr>
              <w:widowControl/>
              <w:autoSpaceDE/>
              <w:autoSpaceDN/>
              <w:spacing w:after="0" w:line="240" w:lineRule="auto"/>
              <w:jc w:val="righ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Hard</w:t>
            </w:r>
          </w:p>
        </w:tc>
      </w:tr>
      <w:tr w:rsidR="00FC57A3" w:rsidRPr="003418F9" w14:paraId="687A0F8C" w14:textId="77777777" w:rsidTr="003418F9">
        <w:trPr>
          <w:trHeight w:hRule="exact" w:val="301"/>
        </w:trPr>
        <w:tc>
          <w:tcPr>
            <w:tcW w:w="9067" w:type="dxa"/>
            <w:shd w:val="clear" w:color="auto" w:fill="auto"/>
            <w:noWrap/>
            <w:vAlign w:val="bottom"/>
            <w:hideMark/>
          </w:tcPr>
          <w:p w14:paraId="4E531303" w14:textId="47FE5AF2" w:rsidR="00FC57A3" w:rsidRPr="003418F9" w:rsidRDefault="00FC57A3" w:rsidP="00705F67">
            <w:pPr>
              <w:widowControl/>
              <w:autoSpaceDE/>
              <w:autoSpaceDN/>
              <w:spacing w:after="0" w:line="240" w:lineRule="auto"/>
              <w:jc w:val="lef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Sosialkomiteen (</w:t>
            </w:r>
            <w:proofErr w:type="spellStart"/>
            <w:r w:rsidRPr="003418F9">
              <w:rPr>
                <w:rFonts w:eastAsia="Times New Roman" w:cs="Times New Roman"/>
                <w:color w:val="000000"/>
                <w:sz w:val="20"/>
                <w:szCs w:val="20"/>
                <w:lang w:val="nb-NO" w:eastAsia="nb-NO"/>
              </w:rPr>
              <w:t>social</w:t>
            </w:r>
            <w:proofErr w:type="spellEnd"/>
            <w:r w:rsidRPr="003418F9">
              <w:rPr>
                <w:rFonts w:eastAsia="Times New Roman" w:cs="Times New Roman"/>
                <w:color w:val="000000"/>
                <w:sz w:val="20"/>
                <w:szCs w:val="20"/>
                <w:lang w:val="nb-NO" w:eastAsia="nb-NO"/>
              </w:rPr>
              <w:t xml:space="preserve"> </w:t>
            </w:r>
            <w:proofErr w:type="spellStart"/>
            <w:r w:rsidRPr="003418F9">
              <w:rPr>
                <w:rFonts w:eastAsia="Times New Roman" w:cs="Times New Roman"/>
                <w:color w:val="000000"/>
                <w:sz w:val="20"/>
                <w:szCs w:val="20"/>
                <w:lang w:val="nb-NO" w:eastAsia="nb-NO"/>
              </w:rPr>
              <w:t>affairs</w:t>
            </w:r>
            <w:proofErr w:type="spellEnd"/>
            <w:r w:rsidRPr="003418F9">
              <w:rPr>
                <w:rFonts w:eastAsia="Times New Roman" w:cs="Times New Roman"/>
                <w:color w:val="000000"/>
                <w:sz w:val="20"/>
                <w:szCs w:val="20"/>
                <w:lang w:val="nb-NO" w:eastAsia="nb-NO"/>
              </w:rPr>
              <w:t>)</w:t>
            </w:r>
          </w:p>
        </w:tc>
        <w:tc>
          <w:tcPr>
            <w:tcW w:w="1560" w:type="dxa"/>
            <w:shd w:val="clear" w:color="auto" w:fill="auto"/>
            <w:noWrap/>
            <w:vAlign w:val="bottom"/>
            <w:hideMark/>
          </w:tcPr>
          <w:p w14:paraId="640D2CBC" w14:textId="5B7F6299" w:rsidR="00FC57A3" w:rsidRPr="003418F9" w:rsidRDefault="00FC57A3" w:rsidP="00705F67">
            <w:pPr>
              <w:widowControl/>
              <w:autoSpaceDE/>
              <w:autoSpaceDN/>
              <w:spacing w:after="0" w:line="240" w:lineRule="auto"/>
              <w:jc w:val="righ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Soft</w:t>
            </w:r>
          </w:p>
        </w:tc>
      </w:tr>
      <w:tr w:rsidR="00FC57A3" w:rsidRPr="003418F9" w14:paraId="676FB294" w14:textId="77777777" w:rsidTr="003418F9">
        <w:trPr>
          <w:trHeight w:hRule="exact" w:val="301"/>
        </w:trPr>
        <w:tc>
          <w:tcPr>
            <w:tcW w:w="9067" w:type="dxa"/>
            <w:shd w:val="clear" w:color="auto" w:fill="auto"/>
            <w:noWrap/>
            <w:vAlign w:val="bottom"/>
            <w:hideMark/>
          </w:tcPr>
          <w:p w14:paraId="2DB3533D" w14:textId="7670C2D6" w:rsidR="00FC57A3" w:rsidRPr="003418F9" w:rsidRDefault="00FC57A3" w:rsidP="00FC57A3">
            <w:pPr>
              <w:widowControl/>
              <w:autoSpaceDE/>
              <w:autoSpaceDN/>
              <w:spacing w:after="0" w:line="240" w:lineRule="auto"/>
              <w:jc w:val="left"/>
              <w:rPr>
                <w:rFonts w:eastAsia="Times New Roman" w:cs="Times New Roman"/>
                <w:color w:val="000000"/>
                <w:sz w:val="20"/>
                <w:szCs w:val="20"/>
                <w:lang w:val="nn-NO" w:eastAsia="nb-NO"/>
              </w:rPr>
            </w:pPr>
            <w:proofErr w:type="spellStart"/>
            <w:r w:rsidRPr="003418F9">
              <w:rPr>
                <w:rFonts w:eastAsia="Times New Roman" w:cs="Times New Roman"/>
                <w:color w:val="000000"/>
                <w:sz w:val="20"/>
                <w:szCs w:val="20"/>
                <w:lang w:val="nn-NO" w:eastAsia="nb-NO"/>
              </w:rPr>
              <w:t>Utenriks</w:t>
            </w:r>
            <w:proofErr w:type="spellEnd"/>
            <w:r w:rsidRPr="003418F9">
              <w:rPr>
                <w:rFonts w:eastAsia="Times New Roman" w:cs="Times New Roman"/>
                <w:color w:val="000000"/>
                <w:sz w:val="20"/>
                <w:szCs w:val="20"/>
                <w:lang w:val="nn-NO" w:eastAsia="nb-NO"/>
              </w:rPr>
              <w:t xml:space="preserve">- og forsvarskomiteen (foreign </w:t>
            </w:r>
            <w:proofErr w:type="spellStart"/>
            <w:r w:rsidRPr="003418F9">
              <w:rPr>
                <w:rFonts w:eastAsia="Times New Roman" w:cs="Times New Roman"/>
                <w:color w:val="000000"/>
                <w:sz w:val="20"/>
                <w:szCs w:val="20"/>
                <w:lang w:val="nn-NO" w:eastAsia="nb-NO"/>
              </w:rPr>
              <w:t>affairs</w:t>
            </w:r>
            <w:proofErr w:type="spellEnd"/>
            <w:r w:rsidRPr="003418F9">
              <w:rPr>
                <w:rFonts w:eastAsia="Times New Roman" w:cs="Times New Roman"/>
                <w:color w:val="000000"/>
                <w:sz w:val="20"/>
                <w:szCs w:val="20"/>
                <w:lang w:val="nn-NO" w:eastAsia="nb-NO"/>
              </w:rPr>
              <w:t xml:space="preserve">, </w:t>
            </w:r>
            <w:proofErr w:type="spellStart"/>
            <w:r w:rsidRPr="003418F9">
              <w:rPr>
                <w:rFonts w:eastAsia="Times New Roman" w:cs="Times New Roman"/>
                <w:color w:val="000000"/>
                <w:sz w:val="20"/>
                <w:szCs w:val="20"/>
                <w:lang w:val="nn-NO" w:eastAsia="nb-NO"/>
              </w:rPr>
              <w:t>defence</w:t>
            </w:r>
            <w:proofErr w:type="spellEnd"/>
            <w:r w:rsidRPr="003418F9">
              <w:rPr>
                <w:rFonts w:eastAsia="Times New Roman" w:cs="Times New Roman"/>
                <w:color w:val="000000"/>
                <w:sz w:val="20"/>
                <w:szCs w:val="20"/>
                <w:lang w:val="nn-NO" w:eastAsia="nb-NO"/>
              </w:rPr>
              <w:t>)</w:t>
            </w:r>
          </w:p>
        </w:tc>
        <w:tc>
          <w:tcPr>
            <w:tcW w:w="1560" w:type="dxa"/>
            <w:shd w:val="clear" w:color="auto" w:fill="auto"/>
            <w:noWrap/>
            <w:hideMark/>
          </w:tcPr>
          <w:p w14:paraId="538D1BC8" w14:textId="43F9C83D" w:rsidR="00FC57A3" w:rsidRPr="003418F9" w:rsidRDefault="00FC57A3" w:rsidP="00FC57A3">
            <w:pPr>
              <w:widowControl/>
              <w:autoSpaceDE/>
              <w:autoSpaceDN/>
              <w:spacing w:after="0" w:line="240" w:lineRule="auto"/>
              <w:jc w:val="righ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Hard</w:t>
            </w:r>
          </w:p>
        </w:tc>
      </w:tr>
      <w:tr w:rsidR="00FC57A3" w:rsidRPr="003418F9" w14:paraId="112B0951" w14:textId="77777777" w:rsidTr="003418F9">
        <w:trPr>
          <w:trHeight w:hRule="exact" w:val="301"/>
        </w:trPr>
        <w:tc>
          <w:tcPr>
            <w:tcW w:w="9067" w:type="dxa"/>
            <w:shd w:val="clear" w:color="auto" w:fill="auto"/>
            <w:noWrap/>
            <w:vAlign w:val="bottom"/>
            <w:hideMark/>
          </w:tcPr>
          <w:p w14:paraId="4322B953" w14:textId="450811DE" w:rsidR="00FC57A3" w:rsidRPr="003418F9" w:rsidRDefault="00FC57A3" w:rsidP="00FC57A3">
            <w:pPr>
              <w:widowControl/>
              <w:autoSpaceDE/>
              <w:autoSpaceDN/>
              <w:spacing w:after="0" w:line="240" w:lineRule="auto"/>
              <w:jc w:val="lef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Finanskomiteen (</w:t>
            </w:r>
            <w:proofErr w:type="spellStart"/>
            <w:r w:rsidRPr="003418F9">
              <w:rPr>
                <w:rFonts w:eastAsia="Times New Roman" w:cs="Times New Roman"/>
                <w:color w:val="000000"/>
                <w:sz w:val="20"/>
                <w:szCs w:val="20"/>
                <w:lang w:val="nb-NO" w:eastAsia="nb-NO"/>
              </w:rPr>
              <w:t>finance</w:t>
            </w:r>
            <w:proofErr w:type="spellEnd"/>
            <w:r w:rsidR="004273E3" w:rsidRPr="003418F9">
              <w:rPr>
                <w:rFonts w:eastAsia="Times New Roman" w:cs="Times New Roman"/>
                <w:color w:val="000000"/>
                <w:sz w:val="20"/>
                <w:szCs w:val="20"/>
                <w:lang w:val="nb-NO" w:eastAsia="nb-NO"/>
              </w:rPr>
              <w:t xml:space="preserve">, </w:t>
            </w:r>
            <w:proofErr w:type="spellStart"/>
            <w:r w:rsidR="004273E3" w:rsidRPr="003418F9">
              <w:rPr>
                <w:rFonts w:eastAsia="Times New Roman" w:cs="Times New Roman"/>
                <w:color w:val="000000"/>
                <w:sz w:val="20"/>
                <w:szCs w:val="20"/>
                <w:lang w:val="nb-NO" w:eastAsia="nb-NO"/>
              </w:rPr>
              <w:t>economic</w:t>
            </w:r>
            <w:proofErr w:type="spellEnd"/>
            <w:r w:rsidR="004273E3" w:rsidRPr="003418F9">
              <w:rPr>
                <w:rFonts w:eastAsia="Times New Roman" w:cs="Times New Roman"/>
                <w:color w:val="000000"/>
                <w:sz w:val="20"/>
                <w:szCs w:val="20"/>
                <w:lang w:val="nb-NO" w:eastAsia="nb-NO"/>
              </w:rPr>
              <w:t xml:space="preserve"> </w:t>
            </w:r>
            <w:proofErr w:type="spellStart"/>
            <w:r w:rsidR="004273E3" w:rsidRPr="003418F9">
              <w:rPr>
                <w:rFonts w:eastAsia="Times New Roman" w:cs="Times New Roman"/>
                <w:color w:val="000000"/>
                <w:sz w:val="20"/>
                <w:szCs w:val="20"/>
                <w:lang w:val="nb-NO" w:eastAsia="nb-NO"/>
              </w:rPr>
              <w:t>affairs</w:t>
            </w:r>
            <w:proofErr w:type="spellEnd"/>
            <w:r w:rsidR="004273E3" w:rsidRPr="003418F9">
              <w:rPr>
                <w:rFonts w:eastAsia="Times New Roman" w:cs="Times New Roman"/>
                <w:color w:val="000000"/>
                <w:sz w:val="20"/>
                <w:szCs w:val="20"/>
                <w:lang w:val="nb-NO" w:eastAsia="nb-NO"/>
              </w:rPr>
              <w:t>)</w:t>
            </w:r>
          </w:p>
        </w:tc>
        <w:tc>
          <w:tcPr>
            <w:tcW w:w="1560" w:type="dxa"/>
            <w:shd w:val="clear" w:color="auto" w:fill="auto"/>
            <w:noWrap/>
            <w:hideMark/>
          </w:tcPr>
          <w:p w14:paraId="262C6BA9" w14:textId="357E6B65" w:rsidR="00FC57A3" w:rsidRPr="003418F9" w:rsidRDefault="00FC57A3" w:rsidP="00FC57A3">
            <w:pPr>
              <w:widowControl/>
              <w:autoSpaceDE/>
              <w:autoSpaceDN/>
              <w:spacing w:after="0" w:line="240" w:lineRule="auto"/>
              <w:jc w:val="righ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Hard</w:t>
            </w:r>
          </w:p>
        </w:tc>
      </w:tr>
      <w:tr w:rsidR="00FC57A3" w:rsidRPr="003418F9" w14:paraId="326720DE" w14:textId="77777777" w:rsidTr="003418F9">
        <w:trPr>
          <w:trHeight w:hRule="exact" w:val="301"/>
        </w:trPr>
        <w:tc>
          <w:tcPr>
            <w:tcW w:w="9067" w:type="dxa"/>
            <w:shd w:val="clear" w:color="auto" w:fill="auto"/>
            <w:noWrap/>
            <w:vAlign w:val="bottom"/>
            <w:hideMark/>
          </w:tcPr>
          <w:p w14:paraId="3B111083" w14:textId="309D01EE" w:rsidR="00FC57A3" w:rsidRPr="003418F9" w:rsidRDefault="00FC57A3" w:rsidP="00705F67">
            <w:pPr>
              <w:widowControl/>
              <w:autoSpaceDE/>
              <w:autoSpaceDN/>
              <w:spacing w:after="0" w:line="240" w:lineRule="auto"/>
              <w:jc w:val="lef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Helse- og omsorgskomiteen</w:t>
            </w:r>
            <w:r w:rsidR="004273E3" w:rsidRPr="003418F9">
              <w:rPr>
                <w:rFonts w:eastAsia="Times New Roman" w:cs="Times New Roman"/>
                <w:color w:val="000000"/>
                <w:sz w:val="20"/>
                <w:szCs w:val="20"/>
                <w:lang w:val="nb-NO" w:eastAsia="nb-NO"/>
              </w:rPr>
              <w:t xml:space="preserve"> (</w:t>
            </w:r>
            <w:proofErr w:type="spellStart"/>
            <w:r w:rsidR="004273E3" w:rsidRPr="003418F9">
              <w:rPr>
                <w:rFonts w:eastAsia="Times New Roman" w:cs="Times New Roman"/>
                <w:color w:val="000000"/>
                <w:sz w:val="20"/>
                <w:szCs w:val="20"/>
                <w:lang w:val="nb-NO" w:eastAsia="nb-NO"/>
              </w:rPr>
              <w:t>health</w:t>
            </w:r>
            <w:proofErr w:type="spellEnd"/>
            <w:r w:rsidR="004273E3" w:rsidRPr="003418F9">
              <w:rPr>
                <w:rFonts w:eastAsia="Times New Roman" w:cs="Times New Roman"/>
                <w:color w:val="000000"/>
                <w:sz w:val="20"/>
                <w:szCs w:val="20"/>
                <w:lang w:val="nb-NO" w:eastAsia="nb-NO"/>
              </w:rPr>
              <w:t xml:space="preserve">, </w:t>
            </w:r>
            <w:proofErr w:type="spellStart"/>
            <w:r w:rsidR="004273E3" w:rsidRPr="003418F9">
              <w:rPr>
                <w:rFonts w:eastAsia="Times New Roman" w:cs="Times New Roman"/>
                <w:color w:val="000000"/>
                <w:sz w:val="20"/>
                <w:szCs w:val="20"/>
                <w:lang w:val="nb-NO" w:eastAsia="nb-NO"/>
              </w:rPr>
              <w:t>care</w:t>
            </w:r>
            <w:proofErr w:type="spellEnd"/>
            <w:r w:rsidR="004273E3" w:rsidRPr="003418F9">
              <w:rPr>
                <w:rFonts w:eastAsia="Times New Roman" w:cs="Times New Roman"/>
                <w:color w:val="000000"/>
                <w:sz w:val="20"/>
                <w:szCs w:val="20"/>
                <w:lang w:val="nb-NO" w:eastAsia="nb-NO"/>
              </w:rPr>
              <w:t xml:space="preserve"> services)</w:t>
            </w:r>
          </w:p>
        </w:tc>
        <w:tc>
          <w:tcPr>
            <w:tcW w:w="1560" w:type="dxa"/>
            <w:shd w:val="clear" w:color="auto" w:fill="auto"/>
            <w:noWrap/>
            <w:vAlign w:val="bottom"/>
            <w:hideMark/>
          </w:tcPr>
          <w:p w14:paraId="18B35240" w14:textId="168AB811" w:rsidR="00FC57A3" w:rsidRPr="003418F9" w:rsidRDefault="00FC57A3" w:rsidP="00705F67">
            <w:pPr>
              <w:widowControl/>
              <w:autoSpaceDE/>
              <w:autoSpaceDN/>
              <w:spacing w:after="0" w:line="240" w:lineRule="auto"/>
              <w:jc w:val="righ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Soft</w:t>
            </w:r>
          </w:p>
        </w:tc>
      </w:tr>
      <w:tr w:rsidR="00FC57A3" w:rsidRPr="003418F9" w14:paraId="3DFAB415" w14:textId="77777777" w:rsidTr="003418F9">
        <w:trPr>
          <w:trHeight w:hRule="exact" w:val="301"/>
        </w:trPr>
        <w:tc>
          <w:tcPr>
            <w:tcW w:w="9067" w:type="dxa"/>
            <w:shd w:val="clear" w:color="auto" w:fill="auto"/>
            <w:noWrap/>
            <w:vAlign w:val="bottom"/>
            <w:hideMark/>
          </w:tcPr>
          <w:p w14:paraId="3964A04B" w14:textId="55034B68" w:rsidR="00FC57A3" w:rsidRPr="003418F9" w:rsidRDefault="00FC57A3" w:rsidP="00705F67">
            <w:pPr>
              <w:widowControl/>
              <w:autoSpaceDE/>
              <w:autoSpaceDN/>
              <w:spacing w:after="0" w:line="240" w:lineRule="auto"/>
              <w:jc w:val="left"/>
              <w:rPr>
                <w:rFonts w:eastAsia="Times New Roman" w:cs="Times New Roman"/>
                <w:color w:val="000000"/>
                <w:sz w:val="20"/>
                <w:szCs w:val="20"/>
                <w:lang w:val="nn-NO" w:eastAsia="nb-NO"/>
              </w:rPr>
            </w:pPr>
            <w:r w:rsidRPr="003418F9">
              <w:rPr>
                <w:rFonts w:eastAsia="Times New Roman" w:cs="Times New Roman"/>
                <w:color w:val="000000"/>
                <w:sz w:val="20"/>
                <w:szCs w:val="20"/>
                <w:lang w:val="nn-NO" w:eastAsia="nb-NO"/>
              </w:rPr>
              <w:t xml:space="preserve">Den </w:t>
            </w:r>
            <w:proofErr w:type="spellStart"/>
            <w:r w:rsidRPr="003418F9">
              <w:rPr>
                <w:rFonts w:eastAsia="Times New Roman" w:cs="Times New Roman"/>
                <w:color w:val="000000"/>
                <w:sz w:val="20"/>
                <w:szCs w:val="20"/>
                <w:lang w:val="nn-NO" w:eastAsia="nb-NO"/>
              </w:rPr>
              <w:t>utvidede</w:t>
            </w:r>
            <w:proofErr w:type="spellEnd"/>
            <w:r w:rsidRPr="003418F9">
              <w:rPr>
                <w:rFonts w:eastAsia="Times New Roman" w:cs="Times New Roman"/>
                <w:color w:val="000000"/>
                <w:sz w:val="20"/>
                <w:szCs w:val="20"/>
                <w:lang w:val="nn-NO" w:eastAsia="nb-NO"/>
              </w:rPr>
              <w:t xml:space="preserve"> </w:t>
            </w:r>
            <w:proofErr w:type="spellStart"/>
            <w:r w:rsidRPr="003418F9">
              <w:rPr>
                <w:rFonts w:eastAsia="Times New Roman" w:cs="Times New Roman"/>
                <w:color w:val="000000"/>
                <w:sz w:val="20"/>
                <w:szCs w:val="20"/>
                <w:lang w:val="nn-NO" w:eastAsia="nb-NO"/>
              </w:rPr>
              <w:t>utenriks</w:t>
            </w:r>
            <w:proofErr w:type="spellEnd"/>
            <w:r w:rsidRPr="003418F9">
              <w:rPr>
                <w:rFonts w:eastAsia="Times New Roman" w:cs="Times New Roman"/>
                <w:color w:val="000000"/>
                <w:sz w:val="20"/>
                <w:szCs w:val="20"/>
                <w:lang w:val="nn-NO" w:eastAsia="nb-NO"/>
              </w:rPr>
              <w:t>- og forsvarskomité</w:t>
            </w:r>
            <w:r w:rsidR="004273E3" w:rsidRPr="003418F9">
              <w:rPr>
                <w:rFonts w:eastAsia="Times New Roman" w:cs="Times New Roman"/>
                <w:color w:val="000000"/>
                <w:sz w:val="20"/>
                <w:szCs w:val="20"/>
                <w:lang w:val="nn-NO" w:eastAsia="nb-NO"/>
              </w:rPr>
              <w:t xml:space="preserve"> (foreign </w:t>
            </w:r>
            <w:proofErr w:type="spellStart"/>
            <w:r w:rsidR="004273E3" w:rsidRPr="003418F9">
              <w:rPr>
                <w:rFonts w:eastAsia="Times New Roman" w:cs="Times New Roman"/>
                <w:color w:val="000000"/>
                <w:sz w:val="20"/>
                <w:szCs w:val="20"/>
                <w:lang w:val="nn-NO" w:eastAsia="nb-NO"/>
              </w:rPr>
              <w:t>affairs</w:t>
            </w:r>
            <w:proofErr w:type="spellEnd"/>
            <w:r w:rsidR="004273E3" w:rsidRPr="003418F9">
              <w:rPr>
                <w:rFonts w:eastAsia="Times New Roman" w:cs="Times New Roman"/>
                <w:color w:val="000000"/>
                <w:sz w:val="20"/>
                <w:szCs w:val="20"/>
                <w:lang w:val="nn-NO" w:eastAsia="nb-NO"/>
              </w:rPr>
              <w:t xml:space="preserve">, </w:t>
            </w:r>
            <w:proofErr w:type="spellStart"/>
            <w:r w:rsidR="004273E3" w:rsidRPr="003418F9">
              <w:rPr>
                <w:rFonts w:eastAsia="Times New Roman" w:cs="Times New Roman"/>
                <w:color w:val="000000"/>
                <w:sz w:val="20"/>
                <w:szCs w:val="20"/>
                <w:lang w:val="nn-NO" w:eastAsia="nb-NO"/>
              </w:rPr>
              <w:t>defence</w:t>
            </w:r>
            <w:proofErr w:type="spellEnd"/>
            <w:r w:rsidR="004273E3" w:rsidRPr="003418F9">
              <w:rPr>
                <w:rFonts w:eastAsia="Times New Roman" w:cs="Times New Roman"/>
                <w:color w:val="000000"/>
                <w:sz w:val="20"/>
                <w:szCs w:val="20"/>
                <w:lang w:val="nn-NO" w:eastAsia="nb-NO"/>
              </w:rPr>
              <w:t>)</w:t>
            </w:r>
          </w:p>
        </w:tc>
        <w:tc>
          <w:tcPr>
            <w:tcW w:w="1560" w:type="dxa"/>
            <w:shd w:val="clear" w:color="auto" w:fill="auto"/>
            <w:noWrap/>
            <w:vAlign w:val="bottom"/>
            <w:hideMark/>
          </w:tcPr>
          <w:p w14:paraId="64662733" w14:textId="45EC2277" w:rsidR="00FC57A3" w:rsidRPr="003418F9" w:rsidRDefault="00FC57A3" w:rsidP="00705F67">
            <w:pPr>
              <w:widowControl/>
              <w:autoSpaceDE/>
              <w:autoSpaceDN/>
              <w:spacing w:after="0" w:line="240" w:lineRule="auto"/>
              <w:jc w:val="right"/>
              <w:rPr>
                <w:rFonts w:eastAsia="Times New Roman" w:cs="Times New Roman"/>
                <w:color w:val="000000"/>
                <w:sz w:val="20"/>
                <w:szCs w:val="20"/>
                <w:lang w:val="nb-NO" w:eastAsia="nb-NO"/>
              </w:rPr>
            </w:pPr>
            <w:r w:rsidRPr="003418F9">
              <w:rPr>
                <w:rFonts w:eastAsia="Times New Roman" w:cs="Times New Roman"/>
                <w:color w:val="000000"/>
                <w:sz w:val="20"/>
                <w:szCs w:val="20"/>
                <w:lang w:val="nb-NO" w:eastAsia="nb-NO"/>
              </w:rPr>
              <w:t>Hard</w:t>
            </w:r>
          </w:p>
        </w:tc>
      </w:tr>
    </w:tbl>
    <w:p w14:paraId="23AC5BF6" w14:textId="77777777" w:rsidR="003418F9" w:rsidRDefault="003418F9" w:rsidP="00605E44">
      <w:pPr>
        <w:adjustRightInd w:val="0"/>
        <w:spacing w:after="0"/>
        <w:rPr>
          <w:rFonts w:cs="Garamond"/>
          <w:i/>
          <w:iCs/>
          <w:szCs w:val="24"/>
        </w:rPr>
      </w:pPr>
    </w:p>
    <w:p w14:paraId="27C6BDA5" w14:textId="51AAE1FC" w:rsidR="00605E44" w:rsidRPr="00605E44" w:rsidRDefault="00605E44" w:rsidP="00605E44">
      <w:pPr>
        <w:adjustRightInd w:val="0"/>
        <w:spacing w:after="0"/>
        <w:rPr>
          <w:rFonts w:ascii="TimesNewRomanPSMT" w:hAnsi="TimesNewRomanPSMT" w:cs="TimesNewRomanPSMT"/>
          <w:i/>
          <w:iCs/>
          <w:szCs w:val="24"/>
        </w:rPr>
      </w:pPr>
      <w:r w:rsidRPr="00605E44">
        <w:rPr>
          <w:rFonts w:cs="Garamond"/>
          <w:i/>
          <w:iCs/>
          <w:szCs w:val="24"/>
        </w:rPr>
        <w:t>References appendix C</w:t>
      </w:r>
    </w:p>
    <w:p w14:paraId="040A637A" w14:textId="529665FC" w:rsidR="00605E44" w:rsidRPr="003418F9" w:rsidRDefault="008E4B2A" w:rsidP="003418F9">
      <w:pPr>
        <w:adjustRightInd w:val="0"/>
        <w:spacing w:after="0"/>
        <w:rPr>
          <w:rFonts w:cs="Garamond"/>
          <w:sz w:val="22"/>
        </w:rPr>
      </w:pPr>
      <w:r>
        <w:rPr>
          <w:rFonts w:cs="Garamond"/>
          <w:sz w:val="22"/>
        </w:rPr>
        <w:tab/>
      </w:r>
      <w:r w:rsidR="00605E44" w:rsidRPr="003418F9">
        <w:rPr>
          <w:rFonts w:cs="Garamond"/>
          <w:sz w:val="22"/>
        </w:rPr>
        <w:t>Bäck, H., &amp; Debus, M. (2019). When do women speak? A comparative analysis of the role of gender in legislative debates. </w:t>
      </w:r>
      <w:r w:rsidR="00605E44" w:rsidRPr="00FF28EC">
        <w:rPr>
          <w:rFonts w:cs="Garamond"/>
          <w:i/>
          <w:iCs/>
          <w:sz w:val="22"/>
        </w:rPr>
        <w:t>Political Studies,</w:t>
      </w:r>
      <w:r w:rsidR="00605E44" w:rsidRPr="003418F9">
        <w:rPr>
          <w:rFonts w:cs="Garamond"/>
          <w:sz w:val="22"/>
        </w:rPr>
        <w:t> 67(3), 576-596.</w:t>
      </w:r>
    </w:p>
    <w:p w14:paraId="6952EB48" w14:textId="28649206" w:rsidR="00A6040D" w:rsidRPr="003418F9" w:rsidRDefault="008E4B2A" w:rsidP="003418F9">
      <w:pPr>
        <w:adjustRightInd w:val="0"/>
        <w:spacing w:after="0"/>
        <w:rPr>
          <w:rFonts w:cs="Garamond"/>
          <w:sz w:val="22"/>
        </w:rPr>
      </w:pPr>
      <w:r>
        <w:rPr>
          <w:rFonts w:cs="Garamond"/>
          <w:sz w:val="22"/>
        </w:rPr>
        <w:tab/>
      </w:r>
      <w:proofErr w:type="spellStart"/>
      <w:r w:rsidR="00605E44" w:rsidRPr="003418F9">
        <w:rPr>
          <w:rFonts w:cs="Garamond"/>
          <w:sz w:val="22"/>
        </w:rPr>
        <w:t>Krook</w:t>
      </w:r>
      <w:proofErr w:type="spellEnd"/>
      <w:r w:rsidR="00FF28EC">
        <w:rPr>
          <w:rFonts w:cs="Garamond"/>
          <w:sz w:val="22"/>
        </w:rPr>
        <w:t xml:space="preserve">, </w:t>
      </w:r>
      <w:r w:rsidR="00605E44" w:rsidRPr="003418F9">
        <w:rPr>
          <w:rFonts w:cs="Garamond"/>
          <w:sz w:val="22"/>
        </w:rPr>
        <w:t>M</w:t>
      </w:r>
      <w:r w:rsidR="00FF28EC">
        <w:rPr>
          <w:rFonts w:cs="Garamond"/>
          <w:sz w:val="22"/>
        </w:rPr>
        <w:t xml:space="preserve">. </w:t>
      </w:r>
      <w:r w:rsidR="00605E44" w:rsidRPr="003418F9">
        <w:rPr>
          <w:rFonts w:cs="Garamond"/>
          <w:sz w:val="22"/>
        </w:rPr>
        <w:t>L</w:t>
      </w:r>
      <w:r w:rsidR="00FF28EC">
        <w:rPr>
          <w:rFonts w:cs="Garamond"/>
          <w:sz w:val="22"/>
        </w:rPr>
        <w:t>.</w:t>
      </w:r>
      <w:r w:rsidR="00605E44" w:rsidRPr="003418F9">
        <w:rPr>
          <w:rFonts w:cs="Garamond"/>
          <w:sz w:val="22"/>
        </w:rPr>
        <w:t xml:space="preserve"> </w:t>
      </w:r>
      <w:r w:rsidR="00FF28EC">
        <w:rPr>
          <w:rFonts w:cs="Garamond"/>
          <w:sz w:val="22"/>
        </w:rPr>
        <w:t xml:space="preserve">&amp; </w:t>
      </w:r>
      <w:r w:rsidR="00605E44" w:rsidRPr="003418F9">
        <w:rPr>
          <w:rFonts w:cs="Garamond"/>
          <w:sz w:val="22"/>
        </w:rPr>
        <w:t>O’Brien</w:t>
      </w:r>
      <w:r w:rsidR="00FF28EC">
        <w:rPr>
          <w:rFonts w:cs="Garamond"/>
          <w:sz w:val="22"/>
        </w:rPr>
        <w:t>,</w:t>
      </w:r>
      <w:r w:rsidR="00605E44" w:rsidRPr="003418F9">
        <w:rPr>
          <w:rFonts w:cs="Garamond"/>
          <w:sz w:val="22"/>
        </w:rPr>
        <w:t xml:space="preserve"> D</w:t>
      </w:r>
      <w:r w:rsidR="00FF28EC">
        <w:rPr>
          <w:rFonts w:cs="Garamond"/>
          <w:sz w:val="22"/>
        </w:rPr>
        <w:t xml:space="preserve">. </w:t>
      </w:r>
      <w:r w:rsidR="00605E44" w:rsidRPr="003418F9">
        <w:rPr>
          <w:rFonts w:cs="Garamond"/>
          <w:sz w:val="22"/>
        </w:rPr>
        <w:t>Z</w:t>
      </w:r>
      <w:r w:rsidR="00FF28EC">
        <w:rPr>
          <w:rFonts w:cs="Garamond"/>
          <w:sz w:val="22"/>
        </w:rPr>
        <w:t>.</w:t>
      </w:r>
      <w:r w:rsidR="00605E44" w:rsidRPr="003418F9">
        <w:rPr>
          <w:rFonts w:cs="Garamond"/>
          <w:sz w:val="22"/>
        </w:rPr>
        <w:t xml:space="preserve"> (2012)</w:t>
      </w:r>
      <w:r w:rsidR="00FF28EC">
        <w:rPr>
          <w:rFonts w:cs="Garamond"/>
          <w:sz w:val="22"/>
        </w:rPr>
        <w:t>.</w:t>
      </w:r>
      <w:r w:rsidR="00605E44" w:rsidRPr="003418F9">
        <w:rPr>
          <w:rFonts w:cs="Garamond"/>
          <w:sz w:val="22"/>
        </w:rPr>
        <w:t xml:space="preserve"> All the President’s Men? The Appointment of </w:t>
      </w:r>
      <w:r w:rsidR="00294B93">
        <w:rPr>
          <w:rFonts w:cs="Garamond"/>
          <w:sz w:val="22"/>
        </w:rPr>
        <w:t>Women</w:t>
      </w:r>
      <w:r w:rsidR="00605E44" w:rsidRPr="003418F9">
        <w:rPr>
          <w:rFonts w:cs="Garamond"/>
          <w:sz w:val="22"/>
        </w:rPr>
        <w:t xml:space="preserve"> Cabinet Ministers Worldwide. </w:t>
      </w:r>
      <w:r w:rsidR="00605E44" w:rsidRPr="00FF28EC">
        <w:rPr>
          <w:rFonts w:cs="Garamond"/>
          <w:i/>
          <w:iCs/>
          <w:sz w:val="22"/>
        </w:rPr>
        <w:t>The Journal of Politics</w:t>
      </w:r>
      <w:r w:rsidR="00605E44" w:rsidRPr="003418F9">
        <w:rPr>
          <w:rFonts w:cs="Garamond"/>
          <w:sz w:val="22"/>
        </w:rPr>
        <w:t xml:space="preserve"> 74: 840–855.</w:t>
      </w:r>
    </w:p>
    <w:sectPr w:rsidR="00A6040D" w:rsidRPr="003418F9" w:rsidSect="00416195">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B19F0" w14:textId="77777777" w:rsidR="008D0D05" w:rsidRDefault="008D0D05" w:rsidP="00C2040F">
      <w:pPr>
        <w:spacing w:after="0" w:line="240" w:lineRule="auto"/>
      </w:pPr>
      <w:r>
        <w:separator/>
      </w:r>
    </w:p>
  </w:endnote>
  <w:endnote w:type="continuationSeparator" w:id="0">
    <w:p w14:paraId="0604EFC9" w14:textId="77777777" w:rsidR="008D0D05" w:rsidRDefault="008D0D05" w:rsidP="00C2040F">
      <w:pPr>
        <w:spacing w:after="0" w:line="240" w:lineRule="auto"/>
      </w:pPr>
      <w:r>
        <w:continuationSeparator/>
      </w:r>
    </w:p>
  </w:endnote>
  <w:endnote w:type="continuationNotice" w:id="1">
    <w:p w14:paraId="017809FB" w14:textId="77777777" w:rsidR="008D0D05" w:rsidRDefault="008D0D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131717"/>
      <w:docPartObj>
        <w:docPartGallery w:val="Page Numbers (Bottom of Page)"/>
        <w:docPartUnique/>
      </w:docPartObj>
    </w:sdtPr>
    <w:sdtEndPr/>
    <w:sdtContent>
      <w:p w14:paraId="1F8E2299" w14:textId="5500BB77" w:rsidR="00705F67" w:rsidRDefault="00705F67">
        <w:pPr>
          <w:pStyle w:val="Bunntekst"/>
          <w:jc w:val="center"/>
        </w:pPr>
        <w:r>
          <w:fldChar w:fldCharType="begin"/>
        </w:r>
        <w:r>
          <w:instrText>PAGE   \* MERGEFORMAT</w:instrText>
        </w:r>
        <w:r>
          <w:fldChar w:fldCharType="separate"/>
        </w:r>
        <w:r>
          <w:rPr>
            <w:lang w:val="nb-NO"/>
          </w:rPr>
          <w:t>2</w:t>
        </w:r>
        <w:r>
          <w:fldChar w:fldCharType="end"/>
        </w:r>
      </w:p>
    </w:sdtContent>
  </w:sdt>
  <w:p w14:paraId="6F7D3735" w14:textId="77777777" w:rsidR="00705F67" w:rsidRDefault="00705F6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99181" w14:textId="77777777" w:rsidR="008D0D05" w:rsidRDefault="008D0D05" w:rsidP="00C2040F">
      <w:pPr>
        <w:spacing w:after="0" w:line="240" w:lineRule="auto"/>
      </w:pPr>
      <w:r>
        <w:separator/>
      </w:r>
    </w:p>
  </w:footnote>
  <w:footnote w:type="continuationSeparator" w:id="0">
    <w:p w14:paraId="1BF49E68" w14:textId="77777777" w:rsidR="008D0D05" w:rsidRDefault="008D0D05" w:rsidP="00C2040F">
      <w:pPr>
        <w:spacing w:after="0" w:line="240" w:lineRule="auto"/>
      </w:pPr>
      <w:r>
        <w:continuationSeparator/>
      </w:r>
    </w:p>
  </w:footnote>
  <w:footnote w:type="continuationNotice" w:id="1">
    <w:p w14:paraId="15E91D24" w14:textId="77777777" w:rsidR="008D0D05" w:rsidRDefault="008D0D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F589A"/>
    <w:multiLevelType w:val="hybridMultilevel"/>
    <w:tmpl w:val="E78222BC"/>
    <w:lvl w:ilvl="0" w:tplc="AC748982">
      <w:numFmt w:val="bullet"/>
      <w:lvlText w:val="-"/>
      <w:lvlJc w:val="left"/>
      <w:pPr>
        <w:ind w:left="720" w:hanging="360"/>
      </w:pPr>
      <w:rPr>
        <w:rFonts w:ascii="Garamond" w:eastAsia="Georgia" w:hAnsi="Garamond" w:cs="Georgi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50B7055"/>
    <w:multiLevelType w:val="hybridMultilevel"/>
    <w:tmpl w:val="6E288470"/>
    <w:lvl w:ilvl="0" w:tplc="ADAAF666">
      <w:start w:val="13"/>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5E76E61"/>
    <w:multiLevelType w:val="hybridMultilevel"/>
    <w:tmpl w:val="92C4ED3A"/>
    <w:lvl w:ilvl="0" w:tplc="1BB67C7E">
      <w:start w:val="10"/>
      <w:numFmt w:val="bullet"/>
      <w:lvlText w:val="-"/>
      <w:lvlJc w:val="left"/>
      <w:pPr>
        <w:ind w:left="720" w:hanging="360"/>
      </w:pPr>
      <w:rPr>
        <w:rFonts w:ascii="Garamond" w:eastAsia="Georgia" w:hAnsi="Garamond" w:cs="Georgi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8582CE2"/>
    <w:multiLevelType w:val="hybridMultilevel"/>
    <w:tmpl w:val="2C5ABD2A"/>
    <w:lvl w:ilvl="0" w:tplc="72465152">
      <w:start w:val="2000"/>
      <w:numFmt w:val="bullet"/>
      <w:lvlText w:val="-"/>
      <w:lvlJc w:val="left"/>
      <w:pPr>
        <w:ind w:left="720" w:hanging="360"/>
      </w:pPr>
      <w:rPr>
        <w:rFonts w:ascii="Garamond" w:eastAsia="Georgia" w:hAnsi="Garamond" w:cs="Georgi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9FD5C99"/>
    <w:multiLevelType w:val="hybridMultilevel"/>
    <w:tmpl w:val="C1880276"/>
    <w:lvl w:ilvl="0" w:tplc="10CCBBA8">
      <w:start w:val="2000"/>
      <w:numFmt w:val="bullet"/>
      <w:lvlText w:val="-"/>
      <w:lvlJc w:val="left"/>
      <w:pPr>
        <w:ind w:left="720" w:hanging="360"/>
      </w:pPr>
      <w:rPr>
        <w:rFonts w:ascii="Garamond" w:eastAsia="Georgia" w:hAnsi="Garamond" w:cs="Georgi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0FF"/>
    <w:rsid w:val="00002AEB"/>
    <w:rsid w:val="000043B2"/>
    <w:rsid w:val="00006797"/>
    <w:rsid w:val="00010B6E"/>
    <w:rsid w:val="000144F7"/>
    <w:rsid w:val="00023BFF"/>
    <w:rsid w:val="00024FA9"/>
    <w:rsid w:val="0002758B"/>
    <w:rsid w:val="000361BF"/>
    <w:rsid w:val="00040978"/>
    <w:rsid w:val="00041ED3"/>
    <w:rsid w:val="00042653"/>
    <w:rsid w:val="00047C0D"/>
    <w:rsid w:val="000613C3"/>
    <w:rsid w:val="00065438"/>
    <w:rsid w:val="0007224C"/>
    <w:rsid w:val="000738D7"/>
    <w:rsid w:val="00077D7F"/>
    <w:rsid w:val="000830BF"/>
    <w:rsid w:val="00084502"/>
    <w:rsid w:val="00087024"/>
    <w:rsid w:val="00093698"/>
    <w:rsid w:val="00096415"/>
    <w:rsid w:val="000B062A"/>
    <w:rsid w:val="000B12FE"/>
    <w:rsid w:val="000B1E03"/>
    <w:rsid w:val="000B6219"/>
    <w:rsid w:val="000C4D93"/>
    <w:rsid w:val="000C640C"/>
    <w:rsid w:val="000C797D"/>
    <w:rsid w:val="000D1CC4"/>
    <w:rsid w:val="000D3AA9"/>
    <w:rsid w:val="000D5606"/>
    <w:rsid w:val="000E1143"/>
    <w:rsid w:val="000E7644"/>
    <w:rsid w:val="000E7A54"/>
    <w:rsid w:val="000F3CE1"/>
    <w:rsid w:val="000F76F7"/>
    <w:rsid w:val="00107D4D"/>
    <w:rsid w:val="0011035A"/>
    <w:rsid w:val="0011041E"/>
    <w:rsid w:val="001116E1"/>
    <w:rsid w:val="00114B14"/>
    <w:rsid w:val="0011619F"/>
    <w:rsid w:val="00117670"/>
    <w:rsid w:val="00117B57"/>
    <w:rsid w:val="00122A1E"/>
    <w:rsid w:val="00125FD2"/>
    <w:rsid w:val="00132E51"/>
    <w:rsid w:val="0014355F"/>
    <w:rsid w:val="00156C45"/>
    <w:rsid w:val="00161571"/>
    <w:rsid w:val="00165272"/>
    <w:rsid w:val="001704DC"/>
    <w:rsid w:val="001716E8"/>
    <w:rsid w:val="00175205"/>
    <w:rsid w:val="001836CB"/>
    <w:rsid w:val="001910C5"/>
    <w:rsid w:val="0019227D"/>
    <w:rsid w:val="00194875"/>
    <w:rsid w:val="001949D8"/>
    <w:rsid w:val="001974FE"/>
    <w:rsid w:val="001A656C"/>
    <w:rsid w:val="001B07B8"/>
    <w:rsid w:val="001B32AD"/>
    <w:rsid w:val="001B4844"/>
    <w:rsid w:val="001B4ABE"/>
    <w:rsid w:val="001C7AF3"/>
    <w:rsid w:val="001D189A"/>
    <w:rsid w:val="001D23EF"/>
    <w:rsid w:val="001D378C"/>
    <w:rsid w:val="001D4007"/>
    <w:rsid w:val="001E45E1"/>
    <w:rsid w:val="001E52F7"/>
    <w:rsid w:val="001E7E66"/>
    <w:rsid w:val="001F0DB8"/>
    <w:rsid w:val="001F4F61"/>
    <w:rsid w:val="001F5B15"/>
    <w:rsid w:val="001F6AA3"/>
    <w:rsid w:val="00200178"/>
    <w:rsid w:val="00200789"/>
    <w:rsid w:val="00202D99"/>
    <w:rsid w:val="00211E4B"/>
    <w:rsid w:val="00221936"/>
    <w:rsid w:val="00225509"/>
    <w:rsid w:val="00226592"/>
    <w:rsid w:val="00227D0D"/>
    <w:rsid w:val="00233B14"/>
    <w:rsid w:val="00234EFB"/>
    <w:rsid w:val="00236FD5"/>
    <w:rsid w:val="00252A2E"/>
    <w:rsid w:val="002546BE"/>
    <w:rsid w:val="00267E06"/>
    <w:rsid w:val="00273FD4"/>
    <w:rsid w:val="0027760C"/>
    <w:rsid w:val="0028577F"/>
    <w:rsid w:val="00287CF5"/>
    <w:rsid w:val="002927E4"/>
    <w:rsid w:val="00294B93"/>
    <w:rsid w:val="002A0EED"/>
    <w:rsid w:val="002A1DA9"/>
    <w:rsid w:val="002A26B9"/>
    <w:rsid w:val="002A47FE"/>
    <w:rsid w:val="002C4D33"/>
    <w:rsid w:val="002D01C2"/>
    <w:rsid w:val="002D116F"/>
    <w:rsid w:val="002D1F9F"/>
    <w:rsid w:val="002D5E8B"/>
    <w:rsid w:val="002E57DD"/>
    <w:rsid w:val="002E7704"/>
    <w:rsid w:val="002E7DFD"/>
    <w:rsid w:val="002F2F33"/>
    <w:rsid w:val="002F6689"/>
    <w:rsid w:val="00303960"/>
    <w:rsid w:val="00303A88"/>
    <w:rsid w:val="00310BEF"/>
    <w:rsid w:val="0031601A"/>
    <w:rsid w:val="00321C2D"/>
    <w:rsid w:val="00325177"/>
    <w:rsid w:val="00326E1A"/>
    <w:rsid w:val="00330D93"/>
    <w:rsid w:val="00335099"/>
    <w:rsid w:val="00335E08"/>
    <w:rsid w:val="003418F9"/>
    <w:rsid w:val="003434A0"/>
    <w:rsid w:val="00350EE3"/>
    <w:rsid w:val="00354F78"/>
    <w:rsid w:val="00361672"/>
    <w:rsid w:val="00365C66"/>
    <w:rsid w:val="00370A8C"/>
    <w:rsid w:val="00384492"/>
    <w:rsid w:val="00385760"/>
    <w:rsid w:val="00391FA2"/>
    <w:rsid w:val="003A05EB"/>
    <w:rsid w:val="003A4887"/>
    <w:rsid w:val="003A53C1"/>
    <w:rsid w:val="003A68F4"/>
    <w:rsid w:val="003B12B0"/>
    <w:rsid w:val="003B2767"/>
    <w:rsid w:val="003B500E"/>
    <w:rsid w:val="003C4AD7"/>
    <w:rsid w:val="003C5986"/>
    <w:rsid w:val="003C7E5A"/>
    <w:rsid w:val="003D093E"/>
    <w:rsid w:val="003D2B50"/>
    <w:rsid w:val="003E1F55"/>
    <w:rsid w:val="003E483C"/>
    <w:rsid w:val="003F3AC8"/>
    <w:rsid w:val="00407CCB"/>
    <w:rsid w:val="004115E1"/>
    <w:rsid w:val="004126A2"/>
    <w:rsid w:val="004134F8"/>
    <w:rsid w:val="00416195"/>
    <w:rsid w:val="0042387D"/>
    <w:rsid w:val="004273E3"/>
    <w:rsid w:val="00427B03"/>
    <w:rsid w:val="004344AC"/>
    <w:rsid w:val="00435BAA"/>
    <w:rsid w:val="00435CA1"/>
    <w:rsid w:val="00437923"/>
    <w:rsid w:val="004454BD"/>
    <w:rsid w:val="00446DC2"/>
    <w:rsid w:val="00456A5A"/>
    <w:rsid w:val="00460D90"/>
    <w:rsid w:val="00463667"/>
    <w:rsid w:val="00466872"/>
    <w:rsid w:val="00480D56"/>
    <w:rsid w:val="004836CD"/>
    <w:rsid w:val="00483DAF"/>
    <w:rsid w:val="00492928"/>
    <w:rsid w:val="004978C8"/>
    <w:rsid w:val="004A142C"/>
    <w:rsid w:val="004A281B"/>
    <w:rsid w:val="004A35C3"/>
    <w:rsid w:val="004A6248"/>
    <w:rsid w:val="004C08A5"/>
    <w:rsid w:val="004C6DD5"/>
    <w:rsid w:val="004D5EC1"/>
    <w:rsid w:val="004D6C59"/>
    <w:rsid w:val="004D7228"/>
    <w:rsid w:val="004F04F9"/>
    <w:rsid w:val="004F218C"/>
    <w:rsid w:val="0050253A"/>
    <w:rsid w:val="005041D6"/>
    <w:rsid w:val="005052A3"/>
    <w:rsid w:val="00506602"/>
    <w:rsid w:val="00507CDC"/>
    <w:rsid w:val="00511A52"/>
    <w:rsid w:val="00512598"/>
    <w:rsid w:val="00515980"/>
    <w:rsid w:val="00517186"/>
    <w:rsid w:val="005207E3"/>
    <w:rsid w:val="005300CC"/>
    <w:rsid w:val="0053330E"/>
    <w:rsid w:val="00533DAB"/>
    <w:rsid w:val="00534E9D"/>
    <w:rsid w:val="005373D4"/>
    <w:rsid w:val="00547DF0"/>
    <w:rsid w:val="0055421A"/>
    <w:rsid w:val="005570FF"/>
    <w:rsid w:val="00562678"/>
    <w:rsid w:val="00566119"/>
    <w:rsid w:val="00571213"/>
    <w:rsid w:val="005730D6"/>
    <w:rsid w:val="00585F3C"/>
    <w:rsid w:val="00586576"/>
    <w:rsid w:val="0058666C"/>
    <w:rsid w:val="005871DB"/>
    <w:rsid w:val="005906DF"/>
    <w:rsid w:val="00594C1A"/>
    <w:rsid w:val="005A60C3"/>
    <w:rsid w:val="005A6B66"/>
    <w:rsid w:val="005A6FBE"/>
    <w:rsid w:val="005B4D57"/>
    <w:rsid w:val="005B5F15"/>
    <w:rsid w:val="005C1652"/>
    <w:rsid w:val="005C42FA"/>
    <w:rsid w:val="005F01C5"/>
    <w:rsid w:val="005F3645"/>
    <w:rsid w:val="005F3B49"/>
    <w:rsid w:val="005F4862"/>
    <w:rsid w:val="005F4FC8"/>
    <w:rsid w:val="006036E0"/>
    <w:rsid w:val="00605E44"/>
    <w:rsid w:val="0061495B"/>
    <w:rsid w:val="00621C64"/>
    <w:rsid w:val="00623D76"/>
    <w:rsid w:val="006253BA"/>
    <w:rsid w:val="00625AD6"/>
    <w:rsid w:val="006328F5"/>
    <w:rsid w:val="00634C64"/>
    <w:rsid w:val="00636260"/>
    <w:rsid w:val="00640FDA"/>
    <w:rsid w:val="006411A8"/>
    <w:rsid w:val="006422A2"/>
    <w:rsid w:val="00642B2F"/>
    <w:rsid w:val="00643F7C"/>
    <w:rsid w:val="0064449A"/>
    <w:rsid w:val="0064501F"/>
    <w:rsid w:val="00647249"/>
    <w:rsid w:val="00647C8E"/>
    <w:rsid w:val="00647E28"/>
    <w:rsid w:val="006529CB"/>
    <w:rsid w:val="00654255"/>
    <w:rsid w:val="00667B93"/>
    <w:rsid w:val="00670D2A"/>
    <w:rsid w:val="006732C1"/>
    <w:rsid w:val="00674288"/>
    <w:rsid w:val="00696305"/>
    <w:rsid w:val="00696B06"/>
    <w:rsid w:val="006A168F"/>
    <w:rsid w:val="006A577C"/>
    <w:rsid w:val="006B158B"/>
    <w:rsid w:val="006B2F2E"/>
    <w:rsid w:val="006B40E0"/>
    <w:rsid w:val="006B540F"/>
    <w:rsid w:val="006B6474"/>
    <w:rsid w:val="006B79BB"/>
    <w:rsid w:val="006B7FB1"/>
    <w:rsid w:val="006C2B64"/>
    <w:rsid w:val="006C40A5"/>
    <w:rsid w:val="006D3C5F"/>
    <w:rsid w:val="006D5E47"/>
    <w:rsid w:val="006D7FFC"/>
    <w:rsid w:val="006E257A"/>
    <w:rsid w:val="006E3490"/>
    <w:rsid w:val="006E3526"/>
    <w:rsid w:val="006E6C74"/>
    <w:rsid w:val="006F02BA"/>
    <w:rsid w:val="006F1AC7"/>
    <w:rsid w:val="006F2C68"/>
    <w:rsid w:val="006F3997"/>
    <w:rsid w:val="006F7CE2"/>
    <w:rsid w:val="00701557"/>
    <w:rsid w:val="00702597"/>
    <w:rsid w:val="00705F67"/>
    <w:rsid w:val="00712D98"/>
    <w:rsid w:val="007203FD"/>
    <w:rsid w:val="007245A8"/>
    <w:rsid w:val="007248CD"/>
    <w:rsid w:val="00726234"/>
    <w:rsid w:val="00743D81"/>
    <w:rsid w:val="0075048B"/>
    <w:rsid w:val="007525FD"/>
    <w:rsid w:val="00754E5A"/>
    <w:rsid w:val="007555B0"/>
    <w:rsid w:val="00763761"/>
    <w:rsid w:val="00763A53"/>
    <w:rsid w:val="00765503"/>
    <w:rsid w:val="007670C5"/>
    <w:rsid w:val="007705EB"/>
    <w:rsid w:val="00771B74"/>
    <w:rsid w:val="007760BF"/>
    <w:rsid w:val="007827ED"/>
    <w:rsid w:val="0078320B"/>
    <w:rsid w:val="0078492F"/>
    <w:rsid w:val="0078513D"/>
    <w:rsid w:val="00794022"/>
    <w:rsid w:val="0079721D"/>
    <w:rsid w:val="007A3C18"/>
    <w:rsid w:val="007A7A35"/>
    <w:rsid w:val="007B0458"/>
    <w:rsid w:val="007B18E5"/>
    <w:rsid w:val="007B3ABE"/>
    <w:rsid w:val="007B6529"/>
    <w:rsid w:val="007B7A06"/>
    <w:rsid w:val="007C3EB5"/>
    <w:rsid w:val="007C4BEC"/>
    <w:rsid w:val="007C4DB0"/>
    <w:rsid w:val="007C5C85"/>
    <w:rsid w:val="007C77D9"/>
    <w:rsid w:val="007D05C5"/>
    <w:rsid w:val="007D077A"/>
    <w:rsid w:val="007D0DCD"/>
    <w:rsid w:val="007D1A6C"/>
    <w:rsid w:val="007D1C1F"/>
    <w:rsid w:val="007D2B93"/>
    <w:rsid w:val="007E2F0F"/>
    <w:rsid w:val="007E751B"/>
    <w:rsid w:val="007F331E"/>
    <w:rsid w:val="00800BF9"/>
    <w:rsid w:val="0080374C"/>
    <w:rsid w:val="00803BA5"/>
    <w:rsid w:val="008057DF"/>
    <w:rsid w:val="00812598"/>
    <w:rsid w:val="0082142A"/>
    <w:rsid w:val="00821D03"/>
    <w:rsid w:val="00823751"/>
    <w:rsid w:val="00824EF3"/>
    <w:rsid w:val="00826D9F"/>
    <w:rsid w:val="00841E45"/>
    <w:rsid w:val="00844260"/>
    <w:rsid w:val="00844FFA"/>
    <w:rsid w:val="008455EB"/>
    <w:rsid w:val="0085320A"/>
    <w:rsid w:val="00861F08"/>
    <w:rsid w:val="00866708"/>
    <w:rsid w:val="00872CA3"/>
    <w:rsid w:val="0087324B"/>
    <w:rsid w:val="008801B1"/>
    <w:rsid w:val="008841B6"/>
    <w:rsid w:val="00886B84"/>
    <w:rsid w:val="00890045"/>
    <w:rsid w:val="008958B6"/>
    <w:rsid w:val="008A091A"/>
    <w:rsid w:val="008A0AE1"/>
    <w:rsid w:val="008A62C9"/>
    <w:rsid w:val="008B6A9C"/>
    <w:rsid w:val="008C0F26"/>
    <w:rsid w:val="008C161B"/>
    <w:rsid w:val="008C1A88"/>
    <w:rsid w:val="008C3310"/>
    <w:rsid w:val="008C3EFF"/>
    <w:rsid w:val="008C595E"/>
    <w:rsid w:val="008C7697"/>
    <w:rsid w:val="008D0D05"/>
    <w:rsid w:val="008D2D22"/>
    <w:rsid w:val="008E2E99"/>
    <w:rsid w:val="008E32EE"/>
    <w:rsid w:val="008E4B2A"/>
    <w:rsid w:val="008F227A"/>
    <w:rsid w:val="008F44F8"/>
    <w:rsid w:val="008F61F6"/>
    <w:rsid w:val="009002FB"/>
    <w:rsid w:val="00904EE1"/>
    <w:rsid w:val="00905040"/>
    <w:rsid w:val="009060CD"/>
    <w:rsid w:val="00906946"/>
    <w:rsid w:val="009072A8"/>
    <w:rsid w:val="00914790"/>
    <w:rsid w:val="00915777"/>
    <w:rsid w:val="009206FA"/>
    <w:rsid w:val="00924105"/>
    <w:rsid w:val="00926315"/>
    <w:rsid w:val="00927E36"/>
    <w:rsid w:val="009306ED"/>
    <w:rsid w:val="0093411F"/>
    <w:rsid w:val="0093475C"/>
    <w:rsid w:val="00946B6A"/>
    <w:rsid w:val="00954E35"/>
    <w:rsid w:val="00962ED2"/>
    <w:rsid w:val="00973DF3"/>
    <w:rsid w:val="00977654"/>
    <w:rsid w:val="009944C5"/>
    <w:rsid w:val="009964FB"/>
    <w:rsid w:val="009966B9"/>
    <w:rsid w:val="00997C2C"/>
    <w:rsid w:val="009A4B86"/>
    <w:rsid w:val="009B3247"/>
    <w:rsid w:val="009B73B7"/>
    <w:rsid w:val="009C0A12"/>
    <w:rsid w:val="009D0C26"/>
    <w:rsid w:val="009D2F8A"/>
    <w:rsid w:val="009D63AE"/>
    <w:rsid w:val="009D6EF0"/>
    <w:rsid w:val="009E45B7"/>
    <w:rsid w:val="009E688F"/>
    <w:rsid w:val="00A008BF"/>
    <w:rsid w:val="00A00B1B"/>
    <w:rsid w:val="00A05248"/>
    <w:rsid w:val="00A10984"/>
    <w:rsid w:val="00A10BAD"/>
    <w:rsid w:val="00A136B6"/>
    <w:rsid w:val="00A1771D"/>
    <w:rsid w:val="00A2054A"/>
    <w:rsid w:val="00A24B57"/>
    <w:rsid w:val="00A25F37"/>
    <w:rsid w:val="00A321A9"/>
    <w:rsid w:val="00A417D4"/>
    <w:rsid w:val="00A42252"/>
    <w:rsid w:val="00A423E2"/>
    <w:rsid w:val="00A46EF0"/>
    <w:rsid w:val="00A47055"/>
    <w:rsid w:val="00A47BCF"/>
    <w:rsid w:val="00A516B8"/>
    <w:rsid w:val="00A52E99"/>
    <w:rsid w:val="00A54326"/>
    <w:rsid w:val="00A57A22"/>
    <w:rsid w:val="00A6040D"/>
    <w:rsid w:val="00A63393"/>
    <w:rsid w:val="00A74980"/>
    <w:rsid w:val="00A763C9"/>
    <w:rsid w:val="00A901E1"/>
    <w:rsid w:val="00A92825"/>
    <w:rsid w:val="00A93D99"/>
    <w:rsid w:val="00AA2286"/>
    <w:rsid w:val="00AA358D"/>
    <w:rsid w:val="00AA3F1D"/>
    <w:rsid w:val="00AA40FA"/>
    <w:rsid w:val="00AB16A9"/>
    <w:rsid w:val="00AB1E85"/>
    <w:rsid w:val="00AB35E7"/>
    <w:rsid w:val="00AB52F3"/>
    <w:rsid w:val="00AB667E"/>
    <w:rsid w:val="00AC0F48"/>
    <w:rsid w:val="00AC1E43"/>
    <w:rsid w:val="00AD2186"/>
    <w:rsid w:val="00AE4861"/>
    <w:rsid w:val="00AE53F5"/>
    <w:rsid w:val="00AE6B9D"/>
    <w:rsid w:val="00AF33B1"/>
    <w:rsid w:val="00AF623F"/>
    <w:rsid w:val="00B0146B"/>
    <w:rsid w:val="00B1478D"/>
    <w:rsid w:val="00B159CA"/>
    <w:rsid w:val="00B31F72"/>
    <w:rsid w:val="00B41DE1"/>
    <w:rsid w:val="00B62E0A"/>
    <w:rsid w:val="00B66319"/>
    <w:rsid w:val="00B7066C"/>
    <w:rsid w:val="00B71F87"/>
    <w:rsid w:val="00B804F7"/>
    <w:rsid w:val="00B92B15"/>
    <w:rsid w:val="00B9389E"/>
    <w:rsid w:val="00BA0CC6"/>
    <w:rsid w:val="00BA1FE2"/>
    <w:rsid w:val="00BA2F64"/>
    <w:rsid w:val="00BA481A"/>
    <w:rsid w:val="00BA7396"/>
    <w:rsid w:val="00BA765A"/>
    <w:rsid w:val="00BB0D1D"/>
    <w:rsid w:val="00BB0D29"/>
    <w:rsid w:val="00BB1853"/>
    <w:rsid w:val="00BB3426"/>
    <w:rsid w:val="00BB3805"/>
    <w:rsid w:val="00BC0072"/>
    <w:rsid w:val="00BC1922"/>
    <w:rsid w:val="00BC33E5"/>
    <w:rsid w:val="00BC37AE"/>
    <w:rsid w:val="00BC7D6F"/>
    <w:rsid w:val="00BD1532"/>
    <w:rsid w:val="00BD3C24"/>
    <w:rsid w:val="00BD50ED"/>
    <w:rsid w:val="00BD56A4"/>
    <w:rsid w:val="00BD5CF7"/>
    <w:rsid w:val="00BD67B6"/>
    <w:rsid w:val="00BE1B70"/>
    <w:rsid w:val="00BE1D74"/>
    <w:rsid w:val="00BF117B"/>
    <w:rsid w:val="00BF5A61"/>
    <w:rsid w:val="00C006EF"/>
    <w:rsid w:val="00C025EB"/>
    <w:rsid w:val="00C04802"/>
    <w:rsid w:val="00C0708C"/>
    <w:rsid w:val="00C10EA5"/>
    <w:rsid w:val="00C13E7C"/>
    <w:rsid w:val="00C15B20"/>
    <w:rsid w:val="00C2040F"/>
    <w:rsid w:val="00C21C04"/>
    <w:rsid w:val="00C21CE3"/>
    <w:rsid w:val="00C244E8"/>
    <w:rsid w:val="00C3050C"/>
    <w:rsid w:val="00C402D8"/>
    <w:rsid w:val="00C42AC2"/>
    <w:rsid w:val="00C43EFE"/>
    <w:rsid w:val="00C4527A"/>
    <w:rsid w:val="00C63B4C"/>
    <w:rsid w:val="00C66BC3"/>
    <w:rsid w:val="00C73585"/>
    <w:rsid w:val="00C77533"/>
    <w:rsid w:val="00C82C57"/>
    <w:rsid w:val="00C91C87"/>
    <w:rsid w:val="00C94010"/>
    <w:rsid w:val="00C940A1"/>
    <w:rsid w:val="00C96328"/>
    <w:rsid w:val="00C970D5"/>
    <w:rsid w:val="00CA2BF6"/>
    <w:rsid w:val="00CA4CC4"/>
    <w:rsid w:val="00CA7476"/>
    <w:rsid w:val="00CA7A27"/>
    <w:rsid w:val="00CB3A50"/>
    <w:rsid w:val="00CC08BB"/>
    <w:rsid w:val="00CC0E40"/>
    <w:rsid w:val="00CC2A7B"/>
    <w:rsid w:val="00CD0269"/>
    <w:rsid w:val="00CD18A7"/>
    <w:rsid w:val="00CD55FA"/>
    <w:rsid w:val="00CD7FB7"/>
    <w:rsid w:val="00CE26FA"/>
    <w:rsid w:val="00CF5C00"/>
    <w:rsid w:val="00D06C32"/>
    <w:rsid w:val="00D0783D"/>
    <w:rsid w:val="00D1172B"/>
    <w:rsid w:val="00D17F2D"/>
    <w:rsid w:val="00D233B9"/>
    <w:rsid w:val="00D25DF9"/>
    <w:rsid w:val="00D27E89"/>
    <w:rsid w:val="00D31C85"/>
    <w:rsid w:val="00D424B1"/>
    <w:rsid w:val="00D452FA"/>
    <w:rsid w:val="00D50DD5"/>
    <w:rsid w:val="00D52582"/>
    <w:rsid w:val="00D5391B"/>
    <w:rsid w:val="00D53A33"/>
    <w:rsid w:val="00D6173D"/>
    <w:rsid w:val="00D63E53"/>
    <w:rsid w:val="00D666F9"/>
    <w:rsid w:val="00D704C3"/>
    <w:rsid w:val="00D71B4A"/>
    <w:rsid w:val="00D81A75"/>
    <w:rsid w:val="00D869D2"/>
    <w:rsid w:val="00D908CC"/>
    <w:rsid w:val="00DA0CCF"/>
    <w:rsid w:val="00DA2D20"/>
    <w:rsid w:val="00DA4A0E"/>
    <w:rsid w:val="00DA4A1A"/>
    <w:rsid w:val="00DB119B"/>
    <w:rsid w:val="00DB42F0"/>
    <w:rsid w:val="00DB4CC8"/>
    <w:rsid w:val="00DB7702"/>
    <w:rsid w:val="00DC556A"/>
    <w:rsid w:val="00DC6B03"/>
    <w:rsid w:val="00DD1581"/>
    <w:rsid w:val="00DD5749"/>
    <w:rsid w:val="00DD7554"/>
    <w:rsid w:val="00DE2DCF"/>
    <w:rsid w:val="00DE369E"/>
    <w:rsid w:val="00DE6A62"/>
    <w:rsid w:val="00DF126F"/>
    <w:rsid w:val="00DF7BF8"/>
    <w:rsid w:val="00E050B2"/>
    <w:rsid w:val="00E05F8A"/>
    <w:rsid w:val="00E13955"/>
    <w:rsid w:val="00E14833"/>
    <w:rsid w:val="00E231DC"/>
    <w:rsid w:val="00E26C25"/>
    <w:rsid w:val="00E30609"/>
    <w:rsid w:val="00E3279F"/>
    <w:rsid w:val="00E35A8E"/>
    <w:rsid w:val="00E5609C"/>
    <w:rsid w:val="00E63001"/>
    <w:rsid w:val="00E64A7E"/>
    <w:rsid w:val="00E715C3"/>
    <w:rsid w:val="00E75D18"/>
    <w:rsid w:val="00E80836"/>
    <w:rsid w:val="00E842F4"/>
    <w:rsid w:val="00E863FF"/>
    <w:rsid w:val="00E87746"/>
    <w:rsid w:val="00E905FA"/>
    <w:rsid w:val="00E9269D"/>
    <w:rsid w:val="00E93486"/>
    <w:rsid w:val="00E96EF4"/>
    <w:rsid w:val="00EA092E"/>
    <w:rsid w:val="00EA1FD1"/>
    <w:rsid w:val="00EA3F2B"/>
    <w:rsid w:val="00EA5353"/>
    <w:rsid w:val="00EB0336"/>
    <w:rsid w:val="00EB1FA3"/>
    <w:rsid w:val="00EB21B7"/>
    <w:rsid w:val="00EB2E57"/>
    <w:rsid w:val="00EB3028"/>
    <w:rsid w:val="00EB32E9"/>
    <w:rsid w:val="00EB4BF6"/>
    <w:rsid w:val="00EB5BB0"/>
    <w:rsid w:val="00EB5BDA"/>
    <w:rsid w:val="00ED675B"/>
    <w:rsid w:val="00EE327D"/>
    <w:rsid w:val="00EF356A"/>
    <w:rsid w:val="00EF6E80"/>
    <w:rsid w:val="00F0033D"/>
    <w:rsid w:val="00F03073"/>
    <w:rsid w:val="00F03116"/>
    <w:rsid w:val="00F119CD"/>
    <w:rsid w:val="00F1272C"/>
    <w:rsid w:val="00F127B8"/>
    <w:rsid w:val="00F16FF4"/>
    <w:rsid w:val="00F1721B"/>
    <w:rsid w:val="00F24117"/>
    <w:rsid w:val="00F30D3C"/>
    <w:rsid w:val="00F316F9"/>
    <w:rsid w:val="00F31740"/>
    <w:rsid w:val="00F349BC"/>
    <w:rsid w:val="00F378E7"/>
    <w:rsid w:val="00F47DD5"/>
    <w:rsid w:val="00F50353"/>
    <w:rsid w:val="00F549BC"/>
    <w:rsid w:val="00F5507F"/>
    <w:rsid w:val="00F6462C"/>
    <w:rsid w:val="00F64F35"/>
    <w:rsid w:val="00F70449"/>
    <w:rsid w:val="00F706D0"/>
    <w:rsid w:val="00F72623"/>
    <w:rsid w:val="00F80567"/>
    <w:rsid w:val="00F80FDE"/>
    <w:rsid w:val="00F84419"/>
    <w:rsid w:val="00F92158"/>
    <w:rsid w:val="00FA6DBC"/>
    <w:rsid w:val="00FB3CFD"/>
    <w:rsid w:val="00FB3E51"/>
    <w:rsid w:val="00FB3FCD"/>
    <w:rsid w:val="00FB592B"/>
    <w:rsid w:val="00FC57A3"/>
    <w:rsid w:val="00FC6BF3"/>
    <w:rsid w:val="00FD2361"/>
    <w:rsid w:val="00FD6502"/>
    <w:rsid w:val="00FE2364"/>
    <w:rsid w:val="00FE2524"/>
    <w:rsid w:val="00FE63C6"/>
    <w:rsid w:val="00FF23A5"/>
    <w:rsid w:val="00FF28EC"/>
    <w:rsid w:val="00FF2D49"/>
    <w:rsid w:val="00FF3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4429C"/>
  <w15:chartTrackingRefBased/>
  <w15:docId w15:val="{CB7C5D4D-AA82-8841-B101-54F04835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1"/>
    <w:qFormat/>
    <w:rsid w:val="00C63B4C"/>
    <w:pPr>
      <w:widowControl w:val="0"/>
      <w:autoSpaceDE w:val="0"/>
      <w:autoSpaceDN w:val="0"/>
      <w:spacing w:after="240" w:line="480" w:lineRule="auto"/>
      <w:jc w:val="both"/>
    </w:pPr>
    <w:rPr>
      <w:rFonts w:ascii="Garamond" w:eastAsia="Georgia" w:hAnsi="Garamond" w:cs="Georgia"/>
      <w:szCs w:val="22"/>
    </w:rPr>
  </w:style>
  <w:style w:type="paragraph" w:styleId="Overskrift1">
    <w:name w:val="heading 1"/>
    <w:basedOn w:val="Normal"/>
    <w:link w:val="Overskrift1Tegn"/>
    <w:uiPriority w:val="9"/>
    <w:qFormat/>
    <w:rsid w:val="001A656C"/>
    <w:pPr>
      <w:spacing w:before="360" w:after="0"/>
      <w:outlineLvl w:val="0"/>
    </w:pPr>
    <w:rPr>
      <w:b/>
      <w:bCs/>
      <w:sz w:val="28"/>
      <w:szCs w:val="28"/>
    </w:rPr>
  </w:style>
  <w:style w:type="paragraph" w:styleId="Overskrift2">
    <w:name w:val="heading 2"/>
    <w:basedOn w:val="Normal"/>
    <w:link w:val="Overskrift2Tegn"/>
    <w:uiPriority w:val="9"/>
    <w:unhideWhenUsed/>
    <w:qFormat/>
    <w:rsid w:val="001A656C"/>
    <w:pPr>
      <w:spacing w:before="120" w:after="0"/>
      <w:outlineLvl w:val="1"/>
    </w:pPr>
    <w:rPr>
      <w:b/>
      <w:bCs/>
      <w:szCs w:val="24"/>
    </w:rPr>
  </w:style>
  <w:style w:type="paragraph" w:styleId="Overskrift3">
    <w:name w:val="heading 3"/>
    <w:basedOn w:val="Normal"/>
    <w:next w:val="Normal"/>
    <w:link w:val="Overskrift3Tegn"/>
    <w:uiPriority w:val="9"/>
    <w:unhideWhenUsed/>
    <w:qFormat/>
    <w:rsid w:val="00211E4B"/>
    <w:pPr>
      <w:keepNext/>
      <w:keepLines/>
      <w:spacing w:before="40" w:after="0"/>
      <w:outlineLvl w:val="2"/>
    </w:pPr>
    <w:rPr>
      <w:rFonts w:eastAsiaTheme="majorEastAsia" w:cstheme="majorBidi"/>
      <w:i/>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A656C"/>
    <w:rPr>
      <w:rFonts w:ascii="Garamond" w:eastAsia="Georgia" w:hAnsi="Garamond" w:cs="Georgia"/>
      <w:b/>
      <w:bCs/>
      <w:sz w:val="28"/>
      <w:szCs w:val="28"/>
    </w:rPr>
  </w:style>
  <w:style w:type="character" w:customStyle="1" w:styleId="Overskrift2Tegn">
    <w:name w:val="Overskrift 2 Tegn"/>
    <w:basedOn w:val="Standardskriftforavsnitt"/>
    <w:link w:val="Overskrift2"/>
    <w:uiPriority w:val="9"/>
    <w:rsid w:val="001A656C"/>
    <w:rPr>
      <w:rFonts w:ascii="Garamond" w:eastAsia="Georgia" w:hAnsi="Garamond" w:cs="Georgia"/>
      <w:b/>
      <w:bCs/>
    </w:rPr>
  </w:style>
  <w:style w:type="character" w:styleId="Merknadsreferanse">
    <w:name w:val="annotation reference"/>
    <w:basedOn w:val="Standardskriftforavsnitt"/>
    <w:uiPriority w:val="99"/>
    <w:semiHidden/>
    <w:unhideWhenUsed/>
    <w:rsid w:val="005570FF"/>
    <w:rPr>
      <w:sz w:val="16"/>
      <w:szCs w:val="16"/>
    </w:rPr>
  </w:style>
  <w:style w:type="paragraph" w:styleId="Merknadstekst">
    <w:name w:val="annotation text"/>
    <w:basedOn w:val="Normal"/>
    <w:link w:val="MerknadstekstTegn"/>
    <w:uiPriority w:val="99"/>
    <w:unhideWhenUsed/>
    <w:rsid w:val="005570FF"/>
    <w:rPr>
      <w:sz w:val="20"/>
      <w:szCs w:val="20"/>
    </w:rPr>
  </w:style>
  <w:style w:type="character" w:customStyle="1" w:styleId="MerknadstekstTegn">
    <w:name w:val="Merknadstekst Tegn"/>
    <w:basedOn w:val="Standardskriftforavsnitt"/>
    <w:link w:val="Merknadstekst"/>
    <w:uiPriority w:val="99"/>
    <w:rsid w:val="005570FF"/>
    <w:rPr>
      <w:rFonts w:ascii="Georgia" w:eastAsia="Georgia" w:hAnsi="Georgia" w:cs="Georgia"/>
      <w:sz w:val="20"/>
      <w:szCs w:val="20"/>
    </w:rPr>
  </w:style>
  <w:style w:type="paragraph" w:styleId="Bobletekst">
    <w:name w:val="Balloon Text"/>
    <w:basedOn w:val="Normal"/>
    <w:link w:val="BobletekstTegn"/>
    <w:uiPriority w:val="99"/>
    <w:semiHidden/>
    <w:unhideWhenUsed/>
    <w:rsid w:val="005570FF"/>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5570FF"/>
    <w:rPr>
      <w:rFonts w:ascii="Times New Roman" w:eastAsia="Georgia" w:hAnsi="Times New Roman" w:cs="Times New Roman"/>
      <w:sz w:val="18"/>
      <w:szCs w:val="18"/>
    </w:rPr>
  </w:style>
  <w:style w:type="paragraph" w:styleId="Fotnotetekst">
    <w:name w:val="footnote text"/>
    <w:basedOn w:val="Normal"/>
    <w:link w:val="FotnotetekstTegn"/>
    <w:uiPriority w:val="99"/>
    <w:semiHidden/>
    <w:unhideWhenUsed/>
    <w:rsid w:val="00C2040F"/>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C2040F"/>
    <w:rPr>
      <w:rFonts w:ascii="Georgia" w:eastAsia="Georgia" w:hAnsi="Georgia" w:cs="Georgia"/>
      <w:sz w:val="20"/>
      <w:szCs w:val="20"/>
    </w:rPr>
  </w:style>
  <w:style w:type="character" w:styleId="Fotnotereferanse">
    <w:name w:val="footnote reference"/>
    <w:basedOn w:val="Standardskriftforavsnitt"/>
    <w:uiPriority w:val="99"/>
    <w:semiHidden/>
    <w:unhideWhenUsed/>
    <w:rsid w:val="00C2040F"/>
    <w:rPr>
      <w:vertAlign w:val="superscript"/>
    </w:rPr>
  </w:style>
  <w:style w:type="paragraph" w:customStyle="1" w:styleId="Normal-2">
    <w:name w:val="Normal - 2"/>
    <w:rsid w:val="001A656C"/>
    <w:pPr>
      <w:ind w:firstLine="720"/>
    </w:pPr>
    <w:rPr>
      <w:rFonts w:ascii="Garamond" w:eastAsia="Georgia" w:hAnsi="Garamond" w:cs="Georgia"/>
      <w:bCs/>
    </w:rPr>
  </w:style>
  <w:style w:type="paragraph" w:styleId="Tittel">
    <w:name w:val="Title"/>
    <w:basedOn w:val="Normal"/>
    <w:next w:val="Normal"/>
    <w:link w:val="TittelTegn"/>
    <w:uiPriority w:val="10"/>
    <w:qFormat/>
    <w:rsid w:val="00CD55FA"/>
    <w:pPr>
      <w:spacing w:after="0" w:line="240" w:lineRule="auto"/>
      <w:contextualSpacing/>
      <w:jc w:val="center"/>
    </w:pPr>
    <w:rPr>
      <w:rFonts w:eastAsiaTheme="majorEastAsia" w:cstheme="majorBidi"/>
      <w:spacing w:val="-10"/>
      <w:kern w:val="28"/>
      <w:sz w:val="36"/>
      <w:szCs w:val="56"/>
    </w:rPr>
  </w:style>
  <w:style w:type="character" w:customStyle="1" w:styleId="TittelTegn">
    <w:name w:val="Tittel Tegn"/>
    <w:basedOn w:val="Standardskriftforavsnitt"/>
    <w:link w:val="Tittel"/>
    <w:uiPriority w:val="10"/>
    <w:rsid w:val="00CD55FA"/>
    <w:rPr>
      <w:rFonts w:ascii="Garamond" w:eastAsiaTheme="majorEastAsia" w:hAnsi="Garamond" w:cstheme="majorBidi"/>
      <w:spacing w:val="-10"/>
      <w:kern w:val="28"/>
      <w:sz w:val="36"/>
      <w:szCs w:val="56"/>
    </w:rPr>
  </w:style>
  <w:style w:type="table" w:styleId="Vanligtabell2">
    <w:name w:val="Plain Table 2"/>
    <w:basedOn w:val="Vanligtabell"/>
    <w:uiPriority w:val="42"/>
    <w:rsid w:val="00BE1B70"/>
    <w:pPr>
      <w:widowControl w:val="0"/>
      <w:autoSpaceDE w:val="0"/>
      <w:autoSpaceDN w:val="0"/>
    </w:pPr>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rutenett">
    <w:name w:val="Table Grid"/>
    <w:basedOn w:val="Vanligtabell"/>
    <w:uiPriority w:val="39"/>
    <w:rsid w:val="006B540F"/>
    <w:rPr>
      <w:rFonts w:ascii="Garamond" w:hAnsi="Garamond"/>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D704C3"/>
    <w:pPr>
      <w:spacing w:after="0" w:line="240" w:lineRule="auto"/>
      <w:jc w:val="center"/>
    </w:pPr>
    <w:rPr>
      <w:i/>
      <w:iCs/>
    </w:rPr>
  </w:style>
  <w:style w:type="table" w:styleId="Tabelltemaer">
    <w:name w:val="Table Theme"/>
    <w:basedOn w:val="Vanligtabell"/>
    <w:uiPriority w:val="99"/>
    <w:rsid w:val="006B540F"/>
    <w:pPr>
      <w:widowControl w:val="0"/>
      <w:autoSpaceDE w:val="0"/>
      <w:autoSpaceDN w:val="0"/>
      <w:spacing w:after="240" w:line="48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DA0CCF"/>
    <w:rPr>
      <w:sz w:val="22"/>
      <w:szCs w:val="22"/>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754E5A"/>
    <w:pPr>
      <w:widowControl/>
      <w:autoSpaceDE/>
      <w:autoSpaceDN/>
      <w:spacing w:after="160" w:line="259" w:lineRule="auto"/>
      <w:ind w:left="720"/>
      <w:contextualSpacing/>
      <w:jc w:val="left"/>
    </w:pPr>
    <w:rPr>
      <w:rFonts w:asciiTheme="minorHAnsi" w:eastAsiaTheme="minorHAnsi" w:hAnsiTheme="minorHAnsi" w:cstheme="minorBidi"/>
      <w:sz w:val="22"/>
      <w:lang w:val="nb-NO"/>
    </w:rPr>
  </w:style>
  <w:style w:type="paragraph" w:customStyle="1" w:styleId="xmsonormal">
    <w:name w:val="x_msonormal"/>
    <w:basedOn w:val="Normal"/>
    <w:rsid w:val="00754E5A"/>
    <w:pPr>
      <w:widowControl/>
      <w:autoSpaceDE/>
      <w:autoSpaceDN/>
      <w:spacing w:after="0" w:line="240" w:lineRule="auto"/>
      <w:jc w:val="left"/>
    </w:pPr>
    <w:rPr>
      <w:rFonts w:ascii="Calibri" w:eastAsiaTheme="minorHAnsi" w:hAnsi="Calibri" w:cs="Calibri"/>
      <w:sz w:val="22"/>
      <w:lang w:val="nb-NO" w:eastAsia="nb-NO"/>
    </w:rPr>
  </w:style>
  <w:style w:type="paragraph" w:styleId="Brdtekst">
    <w:name w:val="Body Text"/>
    <w:basedOn w:val="Normal"/>
    <w:link w:val="BrdtekstTegn"/>
    <w:uiPriority w:val="1"/>
    <w:qFormat/>
    <w:rsid w:val="00211E4B"/>
    <w:pPr>
      <w:spacing w:line="360" w:lineRule="auto"/>
    </w:pPr>
    <w:rPr>
      <w:rFonts w:ascii="Georgia" w:hAnsi="Georgia"/>
      <w:sz w:val="22"/>
    </w:rPr>
  </w:style>
  <w:style w:type="character" w:customStyle="1" w:styleId="BrdtekstTegn">
    <w:name w:val="Brødtekst Tegn"/>
    <w:basedOn w:val="Standardskriftforavsnitt"/>
    <w:link w:val="Brdtekst"/>
    <w:uiPriority w:val="1"/>
    <w:rsid w:val="00211E4B"/>
    <w:rPr>
      <w:rFonts w:ascii="Georgia" w:eastAsia="Georgia" w:hAnsi="Georgia" w:cs="Georgia"/>
      <w:sz w:val="22"/>
      <w:szCs w:val="22"/>
    </w:rPr>
  </w:style>
  <w:style w:type="character" w:customStyle="1" w:styleId="Overskrift3Tegn">
    <w:name w:val="Overskrift 3 Tegn"/>
    <w:basedOn w:val="Standardskriftforavsnitt"/>
    <w:link w:val="Overskrift3"/>
    <w:uiPriority w:val="9"/>
    <w:rsid w:val="00211E4B"/>
    <w:rPr>
      <w:rFonts w:ascii="Garamond" w:eastAsiaTheme="majorEastAsia" w:hAnsi="Garamond" w:cstheme="majorBidi"/>
      <w:i/>
    </w:rPr>
  </w:style>
  <w:style w:type="paragraph" w:customStyle="1" w:styleId="Figureheading">
    <w:name w:val="Figure heading"/>
    <w:basedOn w:val="Normal"/>
    <w:qFormat/>
    <w:rsid w:val="00D704C3"/>
    <w:pPr>
      <w:spacing w:line="240" w:lineRule="auto"/>
      <w:jc w:val="center"/>
    </w:pPr>
    <w:rPr>
      <w:rFonts w:cstheme="minorHAnsi"/>
      <w:i/>
      <w:iCs/>
    </w:rPr>
  </w:style>
  <w:style w:type="paragraph" w:styleId="Topptekst">
    <w:name w:val="header"/>
    <w:basedOn w:val="Normal"/>
    <w:link w:val="TopptekstTegn"/>
    <w:uiPriority w:val="99"/>
    <w:unhideWhenUsed/>
    <w:rsid w:val="0020017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00178"/>
    <w:rPr>
      <w:rFonts w:ascii="Garamond" w:eastAsia="Georgia" w:hAnsi="Garamond" w:cs="Georgia"/>
      <w:szCs w:val="22"/>
    </w:rPr>
  </w:style>
  <w:style w:type="paragraph" w:styleId="Bunntekst">
    <w:name w:val="footer"/>
    <w:basedOn w:val="Normal"/>
    <w:link w:val="BunntekstTegn"/>
    <w:uiPriority w:val="99"/>
    <w:unhideWhenUsed/>
    <w:rsid w:val="0020017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00178"/>
    <w:rPr>
      <w:rFonts w:ascii="Garamond" w:eastAsia="Georgia" w:hAnsi="Garamond" w:cs="Georgia"/>
      <w:szCs w:val="22"/>
    </w:rPr>
  </w:style>
  <w:style w:type="paragraph" w:customStyle="1" w:styleId="Figur">
    <w:name w:val="Figur"/>
    <w:basedOn w:val="Tableheading"/>
    <w:link w:val="FigurTegn"/>
    <w:qFormat/>
    <w:rsid w:val="007760BF"/>
  </w:style>
  <w:style w:type="character" w:customStyle="1" w:styleId="FigurTegn">
    <w:name w:val="Figur Tegn"/>
    <w:basedOn w:val="Standardskriftforavsnitt"/>
    <w:link w:val="Figur"/>
    <w:rsid w:val="007760BF"/>
    <w:rPr>
      <w:rFonts w:ascii="Garamond" w:eastAsia="Georgia" w:hAnsi="Garamond" w:cs="Georgia"/>
      <w:i/>
      <w:i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1324">
      <w:bodyDiv w:val="1"/>
      <w:marLeft w:val="0"/>
      <w:marRight w:val="0"/>
      <w:marTop w:val="0"/>
      <w:marBottom w:val="0"/>
      <w:divBdr>
        <w:top w:val="none" w:sz="0" w:space="0" w:color="auto"/>
        <w:left w:val="none" w:sz="0" w:space="0" w:color="auto"/>
        <w:bottom w:val="none" w:sz="0" w:space="0" w:color="auto"/>
        <w:right w:val="none" w:sz="0" w:space="0" w:color="auto"/>
      </w:divBdr>
    </w:div>
    <w:div w:id="81881750">
      <w:bodyDiv w:val="1"/>
      <w:marLeft w:val="0"/>
      <w:marRight w:val="0"/>
      <w:marTop w:val="0"/>
      <w:marBottom w:val="0"/>
      <w:divBdr>
        <w:top w:val="none" w:sz="0" w:space="0" w:color="auto"/>
        <w:left w:val="none" w:sz="0" w:space="0" w:color="auto"/>
        <w:bottom w:val="none" w:sz="0" w:space="0" w:color="auto"/>
        <w:right w:val="none" w:sz="0" w:space="0" w:color="auto"/>
      </w:divBdr>
    </w:div>
    <w:div w:id="112336219">
      <w:bodyDiv w:val="1"/>
      <w:marLeft w:val="0"/>
      <w:marRight w:val="0"/>
      <w:marTop w:val="0"/>
      <w:marBottom w:val="0"/>
      <w:divBdr>
        <w:top w:val="none" w:sz="0" w:space="0" w:color="auto"/>
        <w:left w:val="none" w:sz="0" w:space="0" w:color="auto"/>
        <w:bottom w:val="none" w:sz="0" w:space="0" w:color="auto"/>
        <w:right w:val="none" w:sz="0" w:space="0" w:color="auto"/>
      </w:divBdr>
    </w:div>
    <w:div w:id="245070259">
      <w:bodyDiv w:val="1"/>
      <w:marLeft w:val="0"/>
      <w:marRight w:val="0"/>
      <w:marTop w:val="0"/>
      <w:marBottom w:val="0"/>
      <w:divBdr>
        <w:top w:val="none" w:sz="0" w:space="0" w:color="auto"/>
        <w:left w:val="none" w:sz="0" w:space="0" w:color="auto"/>
        <w:bottom w:val="none" w:sz="0" w:space="0" w:color="auto"/>
        <w:right w:val="none" w:sz="0" w:space="0" w:color="auto"/>
      </w:divBdr>
      <w:divsChild>
        <w:div w:id="1613978767">
          <w:marLeft w:val="0"/>
          <w:marRight w:val="0"/>
          <w:marTop w:val="0"/>
          <w:marBottom w:val="0"/>
          <w:divBdr>
            <w:top w:val="none" w:sz="0" w:space="0" w:color="auto"/>
            <w:left w:val="none" w:sz="0" w:space="0" w:color="auto"/>
            <w:bottom w:val="none" w:sz="0" w:space="0" w:color="auto"/>
            <w:right w:val="none" w:sz="0" w:space="0" w:color="auto"/>
          </w:divBdr>
        </w:div>
      </w:divsChild>
    </w:div>
    <w:div w:id="462039910">
      <w:bodyDiv w:val="1"/>
      <w:marLeft w:val="0"/>
      <w:marRight w:val="0"/>
      <w:marTop w:val="0"/>
      <w:marBottom w:val="0"/>
      <w:divBdr>
        <w:top w:val="none" w:sz="0" w:space="0" w:color="auto"/>
        <w:left w:val="none" w:sz="0" w:space="0" w:color="auto"/>
        <w:bottom w:val="none" w:sz="0" w:space="0" w:color="auto"/>
        <w:right w:val="none" w:sz="0" w:space="0" w:color="auto"/>
      </w:divBdr>
      <w:divsChild>
        <w:div w:id="2076312810">
          <w:marLeft w:val="0"/>
          <w:marRight w:val="0"/>
          <w:marTop w:val="0"/>
          <w:marBottom w:val="0"/>
          <w:divBdr>
            <w:top w:val="none" w:sz="0" w:space="0" w:color="auto"/>
            <w:left w:val="none" w:sz="0" w:space="0" w:color="auto"/>
            <w:bottom w:val="none" w:sz="0" w:space="0" w:color="auto"/>
            <w:right w:val="none" w:sz="0" w:space="0" w:color="auto"/>
          </w:divBdr>
          <w:divsChild>
            <w:div w:id="1503273336">
              <w:marLeft w:val="0"/>
              <w:marRight w:val="0"/>
              <w:marTop w:val="0"/>
              <w:marBottom w:val="0"/>
              <w:divBdr>
                <w:top w:val="none" w:sz="0" w:space="0" w:color="auto"/>
                <w:left w:val="none" w:sz="0" w:space="0" w:color="auto"/>
                <w:bottom w:val="none" w:sz="0" w:space="0" w:color="auto"/>
                <w:right w:val="none" w:sz="0" w:space="0" w:color="auto"/>
              </w:divBdr>
              <w:divsChild>
                <w:div w:id="10387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676510">
      <w:bodyDiv w:val="1"/>
      <w:marLeft w:val="0"/>
      <w:marRight w:val="0"/>
      <w:marTop w:val="0"/>
      <w:marBottom w:val="0"/>
      <w:divBdr>
        <w:top w:val="none" w:sz="0" w:space="0" w:color="auto"/>
        <w:left w:val="none" w:sz="0" w:space="0" w:color="auto"/>
        <w:bottom w:val="none" w:sz="0" w:space="0" w:color="auto"/>
        <w:right w:val="none" w:sz="0" w:space="0" w:color="auto"/>
      </w:divBdr>
    </w:div>
    <w:div w:id="678581467">
      <w:bodyDiv w:val="1"/>
      <w:marLeft w:val="0"/>
      <w:marRight w:val="0"/>
      <w:marTop w:val="0"/>
      <w:marBottom w:val="0"/>
      <w:divBdr>
        <w:top w:val="none" w:sz="0" w:space="0" w:color="auto"/>
        <w:left w:val="none" w:sz="0" w:space="0" w:color="auto"/>
        <w:bottom w:val="none" w:sz="0" w:space="0" w:color="auto"/>
        <w:right w:val="none" w:sz="0" w:space="0" w:color="auto"/>
      </w:divBdr>
      <w:divsChild>
        <w:div w:id="213588177">
          <w:marLeft w:val="0"/>
          <w:marRight w:val="0"/>
          <w:marTop w:val="0"/>
          <w:marBottom w:val="0"/>
          <w:divBdr>
            <w:top w:val="none" w:sz="0" w:space="0" w:color="auto"/>
            <w:left w:val="none" w:sz="0" w:space="0" w:color="auto"/>
            <w:bottom w:val="none" w:sz="0" w:space="0" w:color="auto"/>
            <w:right w:val="none" w:sz="0" w:space="0" w:color="auto"/>
          </w:divBdr>
          <w:divsChild>
            <w:div w:id="747918626">
              <w:marLeft w:val="0"/>
              <w:marRight w:val="0"/>
              <w:marTop w:val="0"/>
              <w:marBottom w:val="0"/>
              <w:divBdr>
                <w:top w:val="none" w:sz="0" w:space="0" w:color="auto"/>
                <w:left w:val="none" w:sz="0" w:space="0" w:color="auto"/>
                <w:bottom w:val="none" w:sz="0" w:space="0" w:color="auto"/>
                <w:right w:val="none" w:sz="0" w:space="0" w:color="auto"/>
              </w:divBdr>
              <w:divsChild>
                <w:div w:id="9845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56390">
      <w:bodyDiv w:val="1"/>
      <w:marLeft w:val="0"/>
      <w:marRight w:val="0"/>
      <w:marTop w:val="0"/>
      <w:marBottom w:val="0"/>
      <w:divBdr>
        <w:top w:val="none" w:sz="0" w:space="0" w:color="auto"/>
        <w:left w:val="none" w:sz="0" w:space="0" w:color="auto"/>
        <w:bottom w:val="none" w:sz="0" w:space="0" w:color="auto"/>
        <w:right w:val="none" w:sz="0" w:space="0" w:color="auto"/>
      </w:divBdr>
    </w:div>
    <w:div w:id="962999809">
      <w:bodyDiv w:val="1"/>
      <w:marLeft w:val="0"/>
      <w:marRight w:val="0"/>
      <w:marTop w:val="0"/>
      <w:marBottom w:val="0"/>
      <w:divBdr>
        <w:top w:val="none" w:sz="0" w:space="0" w:color="auto"/>
        <w:left w:val="none" w:sz="0" w:space="0" w:color="auto"/>
        <w:bottom w:val="none" w:sz="0" w:space="0" w:color="auto"/>
        <w:right w:val="none" w:sz="0" w:space="0" w:color="auto"/>
      </w:divBdr>
    </w:div>
    <w:div w:id="1038044123">
      <w:bodyDiv w:val="1"/>
      <w:marLeft w:val="0"/>
      <w:marRight w:val="0"/>
      <w:marTop w:val="0"/>
      <w:marBottom w:val="0"/>
      <w:divBdr>
        <w:top w:val="none" w:sz="0" w:space="0" w:color="auto"/>
        <w:left w:val="none" w:sz="0" w:space="0" w:color="auto"/>
        <w:bottom w:val="none" w:sz="0" w:space="0" w:color="auto"/>
        <w:right w:val="none" w:sz="0" w:space="0" w:color="auto"/>
      </w:divBdr>
    </w:div>
    <w:div w:id="1098871737">
      <w:bodyDiv w:val="1"/>
      <w:marLeft w:val="0"/>
      <w:marRight w:val="0"/>
      <w:marTop w:val="0"/>
      <w:marBottom w:val="0"/>
      <w:divBdr>
        <w:top w:val="none" w:sz="0" w:space="0" w:color="auto"/>
        <w:left w:val="none" w:sz="0" w:space="0" w:color="auto"/>
        <w:bottom w:val="none" w:sz="0" w:space="0" w:color="auto"/>
        <w:right w:val="none" w:sz="0" w:space="0" w:color="auto"/>
      </w:divBdr>
    </w:div>
    <w:div w:id="1146244775">
      <w:bodyDiv w:val="1"/>
      <w:marLeft w:val="0"/>
      <w:marRight w:val="0"/>
      <w:marTop w:val="0"/>
      <w:marBottom w:val="0"/>
      <w:divBdr>
        <w:top w:val="none" w:sz="0" w:space="0" w:color="auto"/>
        <w:left w:val="none" w:sz="0" w:space="0" w:color="auto"/>
        <w:bottom w:val="none" w:sz="0" w:space="0" w:color="auto"/>
        <w:right w:val="none" w:sz="0" w:space="0" w:color="auto"/>
      </w:divBdr>
    </w:div>
    <w:div w:id="1151216468">
      <w:bodyDiv w:val="1"/>
      <w:marLeft w:val="0"/>
      <w:marRight w:val="0"/>
      <w:marTop w:val="0"/>
      <w:marBottom w:val="0"/>
      <w:divBdr>
        <w:top w:val="none" w:sz="0" w:space="0" w:color="auto"/>
        <w:left w:val="none" w:sz="0" w:space="0" w:color="auto"/>
        <w:bottom w:val="none" w:sz="0" w:space="0" w:color="auto"/>
        <w:right w:val="none" w:sz="0" w:space="0" w:color="auto"/>
      </w:divBdr>
    </w:div>
    <w:div w:id="1259485334">
      <w:bodyDiv w:val="1"/>
      <w:marLeft w:val="0"/>
      <w:marRight w:val="0"/>
      <w:marTop w:val="0"/>
      <w:marBottom w:val="0"/>
      <w:divBdr>
        <w:top w:val="none" w:sz="0" w:space="0" w:color="auto"/>
        <w:left w:val="none" w:sz="0" w:space="0" w:color="auto"/>
        <w:bottom w:val="none" w:sz="0" w:space="0" w:color="auto"/>
        <w:right w:val="none" w:sz="0" w:space="0" w:color="auto"/>
      </w:divBdr>
      <w:divsChild>
        <w:div w:id="616914742">
          <w:marLeft w:val="0"/>
          <w:marRight w:val="0"/>
          <w:marTop w:val="0"/>
          <w:marBottom w:val="0"/>
          <w:divBdr>
            <w:top w:val="none" w:sz="0" w:space="0" w:color="auto"/>
            <w:left w:val="none" w:sz="0" w:space="0" w:color="auto"/>
            <w:bottom w:val="none" w:sz="0" w:space="0" w:color="auto"/>
            <w:right w:val="none" w:sz="0" w:space="0" w:color="auto"/>
          </w:divBdr>
          <w:divsChild>
            <w:div w:id="1518077349">
              <w:marLeft w:val="0"/>
              <w:marRight w:val="0"/>
              <w:marTop w:val="0"/>
              <w:marBottom w:val="0"/>
              <w:divBdr>
                <w:top w:val="none" w:sz="0" w:space="0" w:color="auto"/>
                <w:left w:val="none" w:sz="0" w:space="0" w:color="auto"/>
                <w:bottom w:val="none" w:sz="0" w:space="0" w:color="auto"/>
                <w:right w:val="none" w:sz="0" w:space="0" w:color="auto"/>
              </w:divBdr>
              <w:divsChild>
                <w:div w:id="85499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6491">
      <w:bodyDiv w:val="1"/>
      <w:marLeft w:val="0"/>
      <w:marRight w:val="0"/>
      <w:marTop w:val="0"/>
      <w:marBottom w:val="0"/>
      <w:divBdr>
        <w:top w:val="none" w:sz="0" w:space="0" w:color="auto"/>
        <w:left w:val="none" w:sz="0" w:space="0" w:color="auto"/>
        <w:bottom w:val="none" w:sz="0" w:space="0" w:color="auto"/>
        <w:right w:val="none" w:sz="0" w:space="0" w:color="auto"/>
      </w:divBdr>
    </w:div>
    <w:div w:id="1501237636">
      <w:bodyDiv w:val="1"/>
      <w:marLeft w:val="0"/>
      <w:marRight w:val="0"/>
      <w:marTop w:val="0"/>
      <w:marBottom w:val="0"/>
      <w:divBdr>
        <w:top w:val="none" w:sz="0" w:space="0" w:color="auto"/>
        <w:left w:val="none" w:sz="0" w:space="0" w:color="auto"/>
        <w:bottom w:val="none" w:sz="0" w:space="0" w:color="auto"/>
        <w:right w:val="none" w:sz="0" w:space="0" w:color="auto"/>
      </w:divBdr>
    </w:div>
    <w:div w:id="1595898679">
      <w:bodyDiv w:val="1"/>
      <w:marLeft w:val="0"/>
      <w:marRight w:val="0"/>
      <w:marTop w:val="0"/>
      <w:marBottom w:val="0"/>
      <w:divBdr>
        <w:top w:val="none" w:sz="0" w:space="0" w:color="auto"/>
        <w:left w:val="none" w:sz="0" w:space="0" w:color="auto"/>
        <w:bottom w:val="none" w:sz="0" w:space="0" w:color="auto"/>
        <w:right w:val="none" w:sz="0" w:space="0" w:color="auto"/>
      </w:divBdr>
    </w:div>
    <w:div w:id="1619143193">
      <w:bodyDiv w:val="1"/>
      <w:marLeft w:val="0"/>
      <w:marRight w:val="0"/>
      <w:marTop w:val="0"/>
      <w:marBottom w:val="0"/>
      <w:divBdr>
        <w:top w:val="none" w:sz="0" w:space="0" w:color="auto"/>
        <w:left w:val="none" w:sz="0" w:space="0" w:color="auto"/>
        <w:bottom w:val="none" w:sz="0" w:space="0" w:color="auto"/>
        <w:right w:val="none" w:sz="0" w:space="0" w:color="auto"/>
      </w:divBdr>
    </w:div>
    <w:div w:id="1623075437">
      <w:bodyDiv w:val="1"/>
      <w:marLeft w:val="0"/>
      <w:marRight w:val="0"/>
      <w:marTop w:val="0"/>
      <w:marBottom w:val="0"/>
      <w:divBdr>
        <w:top w:val="none" w:sz="0" w:space="0" w:color="auto"/>
        <w:left w:val="none" w:sz="0" w:space="0" w:color="auto"/>
        <w:bottom w:val="none" w:sz="0" w:space="0" w:color="auto"/>
        <w:right w:val="none" w:sz="0" w:space="0" w:color="auto"/>
      </w:divBdr>
    </w:div>
    <w:div w:id="1691375359">
      <w:bodyDiv w:val="1"/>
      <w:marLeft w:val="0"/>
      <w:marRight w:val="0"/>
      <w:marTop w:val="0"/>
      <w:marBottom w:val="0"/>
      <w:divBdr>
        <w:top w:val="none" w:sz="0" w:space="0" w:color="auto"/>
        <w:left w:val="none" w:sz="0" w:space="0" w:color="auto"/>
        <w:bottom w:val="none" w:sz="0" w:space="0" w:color="auto"/>
        <w:right w:val="none" w:sz="0" w:space="0" w:color="auto"/>
      </w:divBdr>
    </w:div>
    <w:div w:id="1735471435">
      <w:bodyDiv w:val="1"/>
      <w:marLeft w:val="0"/>
      <w:marRight w:val="0"/>
      <w:marTop w:val="0"/>
      <w:marBottom w:val="0"/>
      <w:divBdr>
        <w:top w:val="none" w:sz="0" w:space="0" w:color="auto"/>
        <w:left w:val="none" w:sz="0" w:space="0" w:color="auto"/>
        <w:bottom w:val="none" w:sz="0" w:space="0" w:color="auto"/>
        <w:right w:val="none" w:sz="0" w:space="0" w:color="auto"/>
      </w:divBdr>
    </w:div>
    <w:div w:id="1811941511">
      <w:bodyDiv w:val="1"/>
      <w:marLeft w:val="0"/>
      <w:marRight w:val="0"/>
      <w:marTop w:val="0"/>
      <w:marBottom w:val="0"/>
      <w:divBdr>
        <w:top w:val="none" w:sz="0" w:space="0" w:color="auto"/>
        <w:left w:val="none" w:sz="0" w:space="0" w:color="auto"/>
        <w:bottom w:val="none" w:sz="0" w:space="0" w:color="auto"/>
        <w:right w:val="none" w:sz="0" w:space="0" w:color="auto"/>
      </w:divBdr>
    </w:div>
    <w:div w:id="1812407534">
      <w:bodyDiv w:val="1"/>
      <w:marLeft w:val="0"/>
      <w:marRight w:val="0"/>
      <w:marTop w:val="0"/>
      <w:marBottom w:val="0"/>
      <w:divBdr>
        <w:top w:val="none" w:sz="0" w:space="0" w:color="auto"/>
        <w:left w:val="none" w:sz="0" w:space="0" w:color="auto"/>
        <w:bottom w:val="none" w:sz="0" w:space="0" w:color="auto"/>
        <w:right w:val="none" w:sz="0" w:space="0" w:color="auto"/>
      </w:divBdr>
    </w:div>
    <w:div w:id="2107726504">
      <w:bodyDiv w:val="1"/>
      <w:marLeft w:val="0"/>
      <w:marRight w:val="0"/>
      <w:marTop w:val="0"/>
      <w:marBottom w:val="0"/>
      <w:divBdr>
        <w:top w:val="none" w:sz="0" w:space="0" w:color="auto"/>
        <w:left w:val="none" w:sz="0" w:space="0" w:color="auto"/>
        <w:bottom w:val="none" w:sz="0" w:space="0" w:color="auto"/>
        <w:right w:val="none" w:sz="0" w:space="0" w:color="auto"/>
      </w:divBdr>
    </w:div>
    <w:div w:id="212746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CF6FF-0F9A-D34B-83A7-32DE4266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10939</TotalTime>
  <Pages>13</Pages>
  <Words>3718</Words>
  <Characters>19711</Characters>
  <Application>Microsoft Office Word</Application>
  <DocSecurity>0</DocSecurity>
  <Lines>164</Lines>
  <Paragraphs>46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Gunnar Thesen</cp:lastModifiedBy>
  <cp:revision>122</cp:revision>
  <dcterms:created xsi:type="dcterms:W3CDTF">2020-12-04T14:55:00Z</dcterms:created>
  <dcterms:modified xsi:type="dcterms:W3CDTF">2022-06-04T09:55:00Z</dcterms:modified>
</cp:coreProperties>
</file>