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2F" w:rsidRDefault="00001A2F" w:rsidP="00001C06">
      <w:pPr>
        <w:pStyle w:val="Heading1"/>
        <w:rPr>
          <w:rFonts w:ascii="Calibri" w:eastAsiaTheme="minorHAnsi" w:hAnsi="Calibri" w:cstheme="minorBidi"/>
          <w:b/>
          <w:sz w:val="22"/>
          <w:szCs w:val="21"/>
          <w:lang w:eastAsia="en-US"/>
        </w:rPr>
      </w:pPr>
    </w:p>
    <w:p w:rsidR="00001C06" w:rsidRPr="00E07827" w:rsidRDefault="00E07827" w:rsidP="00001C06">
      <w:pPr>
        <w:pStyle w:val="Heading1"/>
        <w:rPr>
          <w:rFonts w:ascii="Calibri" w:eastAsiaTheme="minorHAnsi" w:hAnsi="Calibri" w:cstheme="minorBidi"/>
          <w:b/>
          <w:sz w:val="22"/>
          <w:szCs w:val="21"/>
          <w:lang w:eastAsia="en-US"/>
        </w:rPr>
      </w:pPr>
      <w:r w:rsidRPr="00E07827">
        <w:rPr>
          <w:rFonts w:ascii="Calibri" w:eastAsiaTheme="minorHAnsi" w:hAnsi="Calibri" w:cstheme="minorBidi"/>
          <w:b/>
          <w:sz w:val="22"/>
          <w:szCs w:val="21"/>
          <w:lang w:eastAsia="en-US"/>
        </w:rPr>
        <w:t xml:space="preserve">Supplementary </w:t>
      </w:r>
      <w:r w:rsidR="00001C06" w:rsidRPr="00E07827">
        <w:rPr>
          <w:rFonts w:ascii="Calibri" w:eastAsiaTheme="minorHAnsi" w:hAnsi="Calibri" w:cstheme="minorBidi"/>
          <w:b/>
          <w:sz w:val="22"/>
          <w:szCs w:val="21"/>
          <w:lang w:eastAsia="en-US"/>
        </w:rPr>
        <w:t>Appendix</w:t>
      </w:r>
    </w:p>
    <w:p w:rsidR="008E66B8" w:rsidRPr="00755B9A" w:rsidRDefault="008E66B8" w:rsidP="00001C06">
      <w:pPr>
        <w:pStyle w:val="Heading1"/>
        <w:jc w:val="both"/>
        <w:rPr>
          <w:rFonts w:ascii="Calibri" w:eastAsiaTheme="minorHAnsi" w:hAnsi="Calibri" w:cstheme="minorBidi"/>
          <w:sz w:val="22"/>
          <w:szCs w:val="21"/>
          <w:lang w:eastAsia="en-US"/>
        </w:rPr>
      </w:pPr>
      <w:r w:rsidRPr="00755B9A">
        <w:rPr>
          <w:rFonts w:ascii="Calibri" w:eastAsiaTheme="minorHAnsi" w:hAnsi="Calibri" w:cstheme="minorBidi"/>
          <w:sz w:val="22"/>
          <w:szCs w:val="21"/>
          <w:lang w:eastAsia="en-US"/>
        </w:rPr>
        <w:t xml:space="preserve">To assess the validity of the gold standard method of measuring food and energy intake, regressions of two independent measures of energy balance, for each individual, were examined. These were; </w:t>
      </w:r>
      <w:r w:rsidR="00275C77" w:rsidRPr="00286CCF">
        <w:rPr>
          <w:rFonts w:ascii="Calibri" w:eastAsiaTheme="minorHAnsi" w:hAnsi="Calibri" w:cstheme="minorBidi"/>
          <w:color w:val="FF0000"/>
          <w:sz w:val="22"/>
          <w:szCs w:val="21"/>
          <w:lang w:eastAsia="en-US"/>
        </w:rPr>
        <w:t xml:space="preserve">(1) the average daily </w:t>
      </w:r>
      <w:r w:rsidR="00B777E3" w:rsidRPr="00286CCF">
        <w:rPr>
          <w:rFonts w:ascii="Calibri" w:eastAsiaTheme="minorHAnsi" w:hAnsi="Calibri" w:cstheme="minorBidi"/>
          <w:color w:val="FF0000"/>
          <w:sz w:val="22"/>
          <w:szCs w:val="21"/>
          <w:lang w:eastAsia="en-US"/>
        </w:rPr>
        <w:t xml:space="preserve">rate </w:t>
      </w:r>
      <w:r w:rsidR="00275C77" w:rsidRPr="00286CCF">
        <w:rPr>
          <w:rFonts w:ascii="Calibri" w:eastAsiaTheme="minorHAnsi" w:hAnsi="Calibri" w:cstheme="minorBidi"/>
          <w:color w:val="FF0000"/>
          <w:sz w:val="22"/>
          <w:szCs w:val="21"/>
          <w:lang w:eastAsia="en-US"/>
        </w:rPr>
        <w:t xml:space="preserve">of weight change, which was calculated from </w:t>
      </w:r>
      <w:r w:rsidRPr="00286CCF">
        <w:rPr>
          <w:rFonts w:ascii="Calibri" w:eastAsiaTheme="minorHAnsi" w:hAnsi="Calibri" w:cstheme="minorBidi"/>
          <w:color w:val="FF0000"/>
          <w:sz w:val="22"/>
          <w:szCs w:val="21"/>
          <w:lang w:eastAsia="en-US"/>
        </w:rPr>
        <w:t>the regression slopes of daily change in body weight</w:t>
      </w:r>
      <w:r w:rsidR="00B777E3" w:rsidRPr="00286CCF">
        <w:rPr>
          <w:rFonts w:ascii="Calibri" w:eastAsiaTheme="minorHAnsi" w:hAnsi="Calibri" w:cstheme="minorBidi"/>
          <w:color w:val="FF0000"/>
          <w:sz w:val="22"/>
          <w:szCs w:val="21"/>
          <w:lang w:eastAsia="en-US"/>
        </w:rPr>
        <w:t xml:space="preserve"> and</w:t>
      </w:r>
      <w:r w:rsidR="00275C77" w:rsidRPr="00286CCF">
        <w:rPr>
          <w:rFonts w:ascii="Calibri" w:eastAsiaTheme="minorHAnsi" w:hAnsi="Calibri" w:cstheme="minorBidi"/>
          <w:color w:val="FF0000"/>
          <w:sz w:val="22"/>
          <w:szCs w:val="21"/>
          <w:lang w:eastAsia="en-US"/>
        </w:rPr>
        <w:t xml:space="preserve"> (2) </w:t>
      </w:r>
      <w:r w:rsidR="00E07827" w:rsidRPr="00286CCF">
        <w:rPr>
          <w:rFonts w:ascii="Calibri" w:eastAsiaTheme="minorHAnsi" w:hAnsi="Calibri" w:cstheme="minorBidi"/>
          <w:color w:val="FF0000"/>
          <w:sz w:val="22"/>
          <w:szCs w:val="21"/>
          <w:lang w:eastAsia="en-US"/>
        </w:rPr>
        <w:t>t</w:t>
      </w:r>
      <w:r w:rsidRPr="00286CCF">
        <w:rPr>
          <w:rFonts w:ascii="Calibri" w:eastAsiaTheme="minorHAnsi" w:hAnsi="Calibri" w:cstheme="minorBidi"/>
          <w:color w:val="FF0000"/>
          <w:sz w:val="22"/>
          <w:szCs w:val="21"/>
          <w:lang w:eastAsia="en-US"/>
        </w:rPr>
        <w:t>he difference between energy intake and energy expenditure. Energy intake was from the laboratory weighed intake method and energy expenditure from the double labelled water measurement.</w:t>
      </w:r>
      <w:r w:rsidRPr="00755B9A">
        <w:rPr>
          <w:rFonts w:ascii="Calibri" w:eastAsiaTheme="minorHAnsi" w:hAnsi="Calibri" w:cstheme="minorBidi"/>
          <w:sz w:val="22"/>
          <w:szCs w:val="21"/>
          <w:lang w:eastAsia="en-US"/>
        </w:rPr>
        <w:t xml:space="preserve"> If the estimates of energy intake were biased, then the regression line would not go through zero energy balance at zero rate of weight change per </w:t>
      </w:r>
      <w:proofErr w:type="gramStart"/>
      <w:r w:rsidRPr="00755B9A">
        <w:rPr>
          <w:rFonts w:ascii="Calibri" w:eastAsiaTheme="minorHAnsi" w:hAnsi="Calibri" w:cstheme="minorBidi"/>
          <w:sz w:val="22"/>
          <w:szCs w:val="21"/>
          <w:lang w:eastAsia="en-US"/>
        </w:rPr>
        <w:t>day</w:t>
      </w:r>
      <w:r w:rsidR="00A24D26" w:rsidRPr="00A24D26">
        <w:rPr>
          <w:rFonts w:ascii="Calibri" w:eastAsiaTheme="minorHAnsi" w:hAnsi="Calibri" w:cstheme="minorBidi"/>
          <w:color w:val="FF0000"/>
          <w:sz w:val="22"/>
          <w:szCs w:val="21"/>
          <w:lang w:eastAsia="en-US"/>
        </w:rPr>
        <w:t>, that</w:t>
      </w:r>
      <w:proofErr w:type="gramEnd"/>
      <w:r w:rsidR="00A24D26" w:rsidRPr="00A24D26">
        <w:rPr>
          <w:rFonts w:ascii="Calibri" w:eastAsiaTheme="minorHAnsi" w:hAnsi="Calibri" w:cstheme="minorBidi"/>
          <w:color w:val="FF0000"/>
          <w:sz w:val="22"/>
          <w:szCs w:val="21"/>
          <w:lang w:eastAsia="en-US"/>
        </w:rPr>
        <w:t xml:space="preserve"> is</w:t>
      </w:r>
      <w:r w:rsidR="00A24D26">
        <w:rPr>
          <w:rFonts w:ascii="Calibri" w:eastAsiaTheme="minorHAnsi" w:hAnsi="Calibri" w:cstheme="minorBidi"/>
          <w:color w:val="FF0000"/>
          <w:sz w:val="22"/>
          <w:szCs w:val="21"/>
          <w:lang w:eastAsia="en-US"/>
        </w:rPr>
        <w:t xml:space="preserve"> the </w:t>
      </w:r>
      <w:r w:rsidR="00A24D26" w:rsidRPr="00286CCF">
        <w:rPr>
          <w:rFonts w:ascii="Calibri" w:hAnsi="Calibri"/>
          <w:color w:val="FF0000"/>
          <w:szCs w:val="21"/>
        </w:rPr>
        <w:t xml:space="preserve">intercepts of the </w:t>
      </w:r>
      <w:r w:rsidR="00A24D26">
        <w:rPr>
          <w:rFonts w:ascii="Calibri" w:hAnsi="Calibri"/>
          <w:color w:val="FF0000"/>
          <w:szCs w:val="21"/>
        </w:rPr>
        <w:t>regression lines</w:t>
      </w:r>
      <w:r w:rsidR="00A24D26" w:rsidRPr="00A24D26">
        <w:rPr>
          <w:rFonts w:ascii="Calibri" w:eastAsiaTheme="minorHAnsi" w:hAnsi="Calibri" w:cstheme="minorBidi"/>
          <w:color w:val="FF0000"/>
          <w:sz w:val="22"/>
          <w:szCs w:val="21"/>
          <w:lang w:eastAsia="en-US"/>
        </w:rPr>
        <w:t xml:space="preserve"> </w:t>
      </w:r>
      <w:r w:rsidR="00A24D26">
        <w:rPr>
          <w:rFonts w:ascii="Calibri" w:eastAsiaTheme="minorHAnsi" w:hAnsi="Calibri" w:cstheme="minorBidi"/>
          <w:color w:val="FF0000"/>
          <w:sz w:val="22"/>
          <w:szCs w:val="21"/>
          <w:lang w:eastAsia="en-US"/>
        </w:rPr>
        <w:t>with the Y axis would be significantly different from zero</w:t>
      </w:r>
      <w:r w:rsidRPr="00755B9A">
        <w:rPr>
          <w:rFonts w:ascii="Calibri" w:eastAsiaTheme="minorHAnsi" w:hAnsi="Calibri" w:cstheme="minorBidi"/>
          <w:sz w:val="22"/>
          <w:szCs w:val="21"/>
          <w:lang w:eastAsia="en-US"/>
        </w:rPr>
        <w:t>.</w:t>
      </w:r>
    </w:p>
    <w:p w:rsidR="008E66B8" w:rsidRPr="00755B9A" w:rsidRDefault="008E66B8" w:rsidP="00001C06">
      <w:pPr>
        <w:pStyle w:val="Heading1"/>
        <w:jc w:val="both"/>
        <w:rPr>
          <w:rFonts w:ascii="Calibri" w:eastAsiaTheme="minorHAnsi" w:hAnsi="Calibri" w:cstheme="minorBidi"/>
          <w:sz w:val="22"/>
          <w:szCs w:val="21"/>
          <w:lang w:eastAsia="en-US"/>
        </w:rPr>
      </w:pPr>
    </w:p>
    <w:p w:rsidR="00755B9A" w:rsidRDefault="00755B9A" w:rsidP="00873BB9">
      <w:pPr>
        <w:jc w:val="both"/>
        <w:rPr>
          <w:rFonts w:ascii="Calibri" w:hAnsi="Calibri"/>
          <w:color w:val="FF0000"/>
          <w:szCs w:val="21"/>
        </w:rPr>
      </w:pPr>
      <w:r w:rsidRPr="00286CCF">
        <w:rPr>
          <w:rFonts w:ascii="Calibri" w:hAnsi="Calibri"/>
          <w:color w:val="FF0000"/>
          <w:szCs w:val="21"/>
        </w:rPr>
        <w:t xml:space="preserve">The intercepts of the </w:t>
      </w:r>
      <w:r w:rsidR="008D4157">
        <w:rPr>
          <w:rFonts w:ascii="Calibri" w:hAnsi="Calibri"/>
          <w:color w:val="FF0000"/>
          <w:szCs w:val="21"/>
        </w:rPr>
        <w:t xml:space="preserve">regression lines of </w:t>
      </w:r>
      <w:r w:rsidRPr="00286CCF">
        <w:rPr>
          <w:rFonts w:ascii="Calibri" w:hAnsi="Calibri"/>
          <w:color w:val="FF0000"/>
          <w:szCs w:val="21"/>
        </w:rPr>
        <w:t xml:space="preserve">average rate of weight change and energy balance </w:t>
      </w:r>
      <w:r w:rsidR="00001A2F">
        <w:rPr>
          <w:rFonts w:ascii="Calibri" w:hAnsi="Calibri"/>
          <w:color w:val="FF0000"/>
          <w:szCs w:val="21"/>
        </w:rPr>
        <w:t xml:space="preserve">(Energy Intake – Energy Expenditure) </w:t>
      </w:r>
      <w:r w:rsidRPr="002E7393">
        <w:rPr>
          <w:rFonts w:ascii="Calibri" w:hAnsi="Calibri"/>
          <w:color w:val="FF0000"/>
          <w:szCs w:val="21"/>
          <w:u w:val="single"/>
        </w:rPr>
        <w:t>did</w:t>
      </w:r>
      <w:r w:rsidRPr="00286CCF">
        <w:rPr>
          <w:rFonts w:ascii="Calibri" w:hAnsi="Calibri"/>
          <w:color w:val="FF0000"/>
          <w:szCs w:val="21"/>
        </w:rPr>
        <w:t xml:space="preserve"> differ significantly from zero for all </w:t>
      </w:r>
      <w:bookmarkStart w:id="0" w:name="_GoBack"/>
      <w:bookmarkEnd w:id="0"/>
      <w:r w:rsidRPr="00286CCF">
        <w:rPr>
          <w:rFonts w:ascii="Calibri" w:hAnsi="Calibri"/>
          <w:color w:val="FF0000"/>
          <w:szCs w:val="21"/>
        </w:rPr>
        <w:t xml:space="preserve">subjects </w:t>
      </w:r>
      <w:r w:rsidR="00B777E3" w:rsidRPr="00286CCF">
        <w:rPr>
          <w:rFonts w:ascii="Calibri" w:hAnsi="Calibri"/>
          <w:color w:val="FF0000"/>
          <w:szCs w:val="21"/>
        </w:rPr>
        <w:t xml:space="preserve">combined </w:t>
      </w:r>
      <w:r w:rsidRPr="00286CCF">
        <w:rPr>
          <w:rFonts w:ascii="Calibri" w:hAnsi="Calibri"/>
          <w:color w:val="FF0000"/>
          <w:szCs w:val="21"/>
        </w:rPr>
        <w:t>(</w:t>
      </w:r>
      <w:r w:rsidR="00A24D26">
        <w:rPr>
          <w:rFonts w:ascii="Calibri" w:hAnsi="Calibri"/>
          <w:color w:val="FF0000"/>
          <w:szCs w:val="21"/>
        </w:rPr>
        <w:noBreakHyphen/>
        <w:t>0.0</w:t>
      </w:r>
      <w:r w:rsidR="00AA3925">
        <w:rPr>
          <w:rFonts w:ascii="Calibri" w:hAnsi="Calibri"/>
          <w:color w:val="FF0000"/>
          <w:szCs w:val="21"/>
        </w:rPr>
        <w:t xml:space="preserve">19g/d, </w:t>
      </w:r>
      <w:r w:rsidR="00275C77" w:rsidRPr="00286CCF">
        <w:rPr>
          <w:rFonts w:ascii="Calibri" w:hAnsi="Calibri"/>
          <w:color w:val="FF0000"/>
          <w:szCs w:val="21"/>
        </w:rPr>
        <w:t>p = 0.</w:t>
      </w:r>
      <w:r w:rsidR="00B777E3" w:rsidRPr="00286CCF">
        <w:rPr>
          <w:rFonts w:ascii="Calibri" w:hAnsi="Calibri"/>
          <w:color w:val="FF0000"/>
          <w:szCs w:val="21"/>
        </w:rPr>
        <w:t>0</w:t>
      </w:r>
      <w:r w:rsidR="00001A2F">
        <w:rPr>
          <w:rFonts w:ascii="Calibri" w:hAnsi="Calibri"/>
          <w:color w:val="FF0000"/>
          <w:szCs w:val="21"/>
        </w:rPr>
        <w:t>39</w:t>
      </w:r>
      <w:r w:rsidRPr="00286CCF">
        <w:rPr>
          <w:rFonts w:ascii="Calibri" w:hAnsi="Calibri"/>
          <w:color w:val="FF0000"/>
          <w:szCs w:val="21"/>
        </w:rPr>
        <w:t>, Figure 1</w:t>
      </w:r>
      <w:r w:rsidR="00E5205D" w:rsidRPr="00286CCF">
        <w:rPr>
          <w:color w:val="FF0000"/>
        </w:rPr>
        <w:t xml:space="preserve"> of this appendix</w:t>
      </w:r>
      <w:r w:rsidRPr="00286CCF">
        <w:rPr>
          <w:rFonts w:ascii="Calibri" w:hAnsi="Calibri"/>
          <w:color w:val="FF0000"/>
          <w:szCs w:val="21"/>
        </w:rPr>
        <w:t xml:space="preserve">), </w:t>
      </w:r>
      <w:r w:rsidR="00001A2F">
        <w:rPr>
          <w:rFonts w:ascii="Calibri" w:hAnsi="Calibri"/>
          <w:color w:val="FF0000"/>
          <w:szCs w:val="21"/>
        </w:rPr>
        <w:t>and for the overweight subjects (BMI &gt; 25kg/m</w:t>
      </w:r>
      <w:r w:rsidR="00001A2F" w:rsidRPr="00001A2F">
        <w:rPr>
          <w:rFonts w:ascii="Calibri" w:hAnsi="Calibri"/>
          <w:color w:val="FF0000"/>
          <w:szCs w:val="21"/>
          <w:vertAlign w:val="superscript"/>
        </w:rPr>
        <w:t>2</w:t>
      </w:r>
      <w:r w:rsidR="00001A2F">
        <w:rPr>
          <w:rFonts w:ascii="Calibri" w:hAnsi="Calibri"/>
          <w:color w:val="FF0000"/>
          <w:szCs w:val="21"/>
        </w:rPr>
        <w:t>)(</w:t>
      </w:r>
      <w:r w:rsidR="00A24D26">
        <w:rPr>
          <w:rFonts w:ascii="Calibri" w:hAnsi="Calibri"/>
          <w:color w:val="FF0000"/>
          <w:szCs w:val="21"/>
        </w:rPr>
        <w:noBreakHyphen/>
        <w:t>0.0</w:t>
      </w:r>
      <w:r w:rsidR="00AA3925">
        <w:rPr>
          <w:rFonts w:ascii="Calibri" w:hAnsi="Calibri"/>
          <w:color w:val="FF0000"/>
          <w:szCs w:val="21"/>
        </w:rPr>
        <w:t xml:space="preserve">38g/d, </w:t>
      </w:r>
      <w:r w:rsidR="00001A2F">
        <w:rPr>
          <w:rFonts w:ascii="Calibri" w:hAnsi="Calibri"/>
          <w:color w:val="FF0000"/>
          <w:szCs w:val="21"/>
        </w:rPr>
        <w:t>p=0.023, Figure 3 of this appendix). The intercepts were not significantly different from zero for the lean subjects (BMI</w:t>
      </w:r>
      <w:r w:rsidR="00001A2F" w:rsidRPr="00286CCF">
        <w:rPr>
          <w:rFonts w:ascii="Calibri" w:hAnsi="Calibri"/>
          <w:color w:val="FF0000"/>
          <w:szCs w:val="21"/>
        </w:rPr>
        <w:t xml:space="preserve"> </w:t>
      </w:r>
      <w:r w:rsidR="00001A2F" w:rsidRPr="00286CCF">
        <w:rPr>
          <w:rFonts w:ascii="Calibri" w:hAnsi="Calibri" w:cs="Calibri"/>
          <w:color w:val="FF0000"/>
          <w:szCs w:val="21"/>
        </w:rPr>
        <w:t>≤</w:t>
      </w:r>
      <w:r w:rsidR="00001A2F" w:rsidRPr="00286CCF">
        <w:rPr>
          <w:rFonts w:ascii="Calibri" w:hAnsi="Calibri"/>
          <w:color w:val="FF0000"/>
          <w:szCs w:val="21"/>
        </w:rPr>
        <w:t xml:space="preserve"> 25kg/m</w:t>
      </w:r>
      <w:r w:rsidR="00001A2F" w:rsidRPr="00286CCF">
        <w:rPr>
          <w:rFonts w:ascii="Calibri" w:hAnsi="Calibri"/>
          <w:color w:val="FF0000"/>
          <w:szCs w:val="21"/>
          <w:vertAlign w:val="superscript"/>
        </w:rPr>
        <w:t>2</w:t>
      </w:r>
      <w:r w:rsidR="00001A2F" w:rsidRPr="00286CCF">
        <w:rPr>
          <w:rFonts w:ascii="Calibri" w:hAnsi="Calibri"/>
          <w:color w:val="FF0000"/>
          <w:szCs w:val="21"/>
        </w:rPr>
        <w:t>)</w:t>
      </w:r>
      <w:r w:rsidR="00001A2F">
        <w:rPr>
          <w:rFonts w:ascii="Calibri" w:hAnsi="Calibri"/>
          <w:color w:val="FF0000"/>
          <w:szCs w:val="21"/>
        </w:rPr>
        <w:t xml:space="preserve"> </w:t>
      </w:r>
      <w:r w:rsidR="00001A2F" w:rsidRPr="00286CCF">
        <w:rPr>
          <w:rFonts w:ascii="Calibri" w:hAnsi="Calibri"/>
          <w:color w:val="FF0000"/>
          <w:szCs w:val="21"/>
        </w:rPr>
        <w:t>(p = 0.</w:t>
      </w:r>
      <w:r w:rsidR="00001A2F">
        <w:rPr>
          <w:rFonts w:ascii="Calibri" w:hAnsi="Calibri"/>
          <w:color w:val="FF0000"/>
          <w:szCs w:val="21"/>
        </w:rPr>
        <w:t>750</w:t>
      </w:r>
      <w:r w:rsidR="00001A2F" w:rsidRPr="00286CCF">
        <w:rPr>
          <w:rFonts w:ascii="Calibri" w:hAnsi="Calibri"/>
          <w:color w:val="FF0000"/>
          <w:szCs w:val="21"/>
        </w:rPr>
        <w:t>, Figure 3</w:t>
      </w:r>
      <w:r w:rsidR="00001A2F" w:rsidRPr="00286CCF">
        <w:rPr>
          <w:color w:val="FF0000"/>
        </w:rPr>
        <w:t xml:space="preserve"> of this appendix</w:t>
      </w:r>
      <w:r w:rsidR="00001A2F" w:rsidRPr="00286CCF">
        <w:rPr>
          <w:rFonts w:ascii="Calibri" w:hAnsi="Calibri"/>
          <w:color w:val="FF0000"/>
          <w:szCs w:val="21"/>
        </w:rPr>
        <w:t>)</w:t>
      </w:r>
      <w:r w:rsidR="00001A2F">
        <w:rPr>
          <w:rFonts w:ascii="Calibri" w:hAnsi="Calibri"/>
          <w:color w:val="FF0000"/>
          <w:szCs w:val="21"/>
        </w:rPr>
        <w:t xml:space="preserve">, or for </w:t>
      </w:r>
      <w:r w:rsidRPr="00286CCF">
        <w:rPr>
          <w:rFonts w:ascii="Calibri" w:hAnsi="Calibri"/>
          <w:color w:val="FF0000"/>
          <w:szCs w:val="21"/>
        </w:rPr>
        <w:t>males or females (</w:t>
      </w:r>
      <w:r w:rsidR="00275C77" w:rsidRPr="00286CCF">
        <w:rPr>
          <w:rFonts w:ascii="Calibri" w:hAnsi="Calibri"/>
          <w:color w:val="FF0000"/>
          <w:szCs w:val="21"/>
        </w:rPr>
        <w:t>p = 0.</w:t>
      </w:r>
      <w:r w:rsidR="00001A2F">
        <w:rPr>
          <w:rFonts w:ascii="Calibri" w:hAnsi="Calibri"/>
          <w:color w:val="FF0000"/>
          <w:szCs w:val="21"/>
        </w:rPr>
        <w:t>183</w:t>
      </w:r>
      <w:r w:rsidR="00275C77" w:rsidRPr="00286CCF">
        <w:rPr>
          <w:rFonts w:ascii="Calibri" w:hAnsi="Calibri"/>
          <w:color w:val="FF0000"/>
          <w:szCs w:val="21"/>
        </w:rPr>
        <w:t xml:space="preserve"> and p = 0.</w:t>
      </w:r>
      <w:r w:rsidR="00001A2F">
        <w:rPr>
          <w:rFonts w:ascii="Calibri" w:hAnsi="Calibri"/>
          <w:color w:val="FF0000"/>
          <w:szCs w:val="21"/>
        </w:rPr>
        <w:t>074</w:t>
      </w:r>
      <w:r w:rsidR="00275C77" w:rsidRPr="00286CCF">
        <w:rPr>
          <w:rFonts w:ascii="Calibri" w:hAnsi="Calibri"/>
          <w:color w:val="FF0000"/>
          <w:szCs w:val="21"/>
        </w:rPr>
        <w:t xml:space="preserve"> respectively</w:t>
      </w:r>
      <w:r w:rsidRPr="00286CCF">
        <w:rPr>
          <w:rFonts w:ascii="Calibri" w:hAnsi="Calibri"/>
          <w:color w:val="FF0000"/>
          <w:szCs w:val="21"/>
        </w:rPr>
        <w:t>, Figure 2</w:t>
      </w:r>
      <w:r w:rsidR="00E5205D" w:rsidRPr="00286CCF">
        <w:rPr>
          <w:color w:val="FF0000"/>
        </w:rPr>
        <w:t xml:space="preserve"> of this appendix</w:t>
      </w:r>
      <w:r w:rsidRPr="00286CCF">
        <w:rPr>
          <w:rFonts w:ascii="Calibri" w:hAnsi="Calibri"/>
          <w:color w:val="FF0000"/>
          <w:szCs w:val="21"/>
        </w:rPr>
        <w:t>)</w:t>
      </w:r>
      <w:r w:rsidR="00001A2F">
        <w:rPr>
          <w:rFonts w:ascii="Calibri" w:hAnsi="Calibri"/>
          <w:color w:val="FF0000"/>
          <w:szCs w:val="21"/>
        </w:rPr>
        <w:t xml:space="preserve">. </w:t>
      </w:r>
      <w:r w:rsidR="00E9414A" w:rsidRPr="00286CCF">
        <w:rPr>
          <w:rFonts w:ascii="Calibri" w:hAnsi="Calibri"/>
          <w:color w:val="FF0000"/>
          <w:szCs w:val="21"/>
        </w:rPr>
        <w:t xml:space="preserve"> </w:t>
      </w:r>
    </w:p>
    <w:p w:rsidR="00FD7701" w:rsidRDefault="006F122B" w:rsidP="00873BB9">
      <w:pPr>
        <w:jc w:val="both"/>
        <w:rPr>
          <w:rFonts w:ascii="Calibri" w:hAnsi="Calibri"/>
          <w:color w:val="FF0000"/>
          <w:szCs w:val="21"/>
        </w:rPr>
      </w:pPr>
      <w:r w:rsidRPr="006F122B">
        <w:rPr>
          <w:color w:val="FF0000"/>
        </w:rPr>
        <w:t>T</w:t>
      </w:r>
      <w:r>
        <w:rPr>
          <w:color w:val="FF0000"/>
        </w:rPr>
        <w:t>he simple linear regression</w:t>
      </w:r>
      <w:r w:rsidR="00274E6A">
        <w:rPr>
          <w:color w:val="FF0000"/>
        </w:rPr>
        <w:t>s</w:t>
      </w:r>
      <w:r>
        <w:rPr>
          <w:color w:val="FF0000"/>
        </w:rPr>
        <w:t xml:space="preserve"> were calculated assuming that the </w:t>
      </w:r>
      <w:r w:rsidR="00274E6A">
        <w:rPr>
          <w:color w:val="FF0000"/>
        </w:rPr>
        <w:t>relationship between en</w:t>
      </w:r>
      <w:r w:rsidR="009B760A">
        <w:rPr>
          <w:color w:val="FF0000"/>
        </w:rPr>
        <w:t>ergy balance and weight change is the</w:t>
      </w:r>
      <w:r w:rsidR="00274E6A">
        <w:rPr>
          <w:color w:val="FF0000"/>
        </w:rPr>
        <w:t xml:space="preserve"> same under the conditions of positive and negative energy balances. This is not necessarily the case, as the energy</w:t>
      </w:r>
      <w:r w:rsidR="00AD16F7">
        <w:rPr>
          <w:color w:val="FF0000"/>
        </w:rPr>
        <w:t xml:space="preserve"> cost </w:t>
      </w:r>
      <w:r w:rsidR="00274E6A">
        <w:rPr>
          <w:color w:val="FF0000"/>
        </w:rPr>
        <w:t xml:space="preserve">of weight gain is higher than the energy </w:t>
      </w:r>
      <w:r w:rsidR="00AD16F7">
        <w:rPr>
          <w:color w:val="FF0000"/>
        </w:rPr>
        <w:t>co</w:t>
      </w:r>
      <w:r w:rsidR="00274E6A">
        <w:rPr>
          <w:color w:val="FF0000"/>
        </w:rPr>
        <w:t>st of weight loss (</w:t>
      </w:r>
      <w:r w:rsidR="00274E6A" w:rsidRPr="00001A2F">
        <w:rPr>
          <w:color w:val="FF0000"/>
        </w:rPr>
        <w:t xml:space="preserve">Forbes et al. 1986; </w:t>
      </w:r>
      <w:r w:rsidR="00274E6A">
        <w:rPr>
          <w:color w:val="FF0000"/>
        </w:rPr>
        <w:t xml:space="preserve">Hall 2007), and it </w:t>
      </w:r>
      <w:r w:rsidR="00FD7701">
        <w:rPr>
          <w:color w:val="FF0000"/>
        </w:rPr>
        <w:t xml:space="preserve">may </w:t>
      </w:r>
      <w:r w:rsidR="00274E6A">
        <w:rPr>
          <w:color w:val="FF0000"/>
        </w:rPr>
        <w:t xml:space="preserve">have been more appropriate to have used segmented linear regression analysis. </w:t>
      </w:r>
      <w:r w:rsidR="00FD7701">
        <w:rPr>
          <w:color w:val="FF0000"/>
        </w:rPr>
        <w:t>However, doing so by c</w:t>
      </w:r>
      <w:r w:rsidR="00274E6A">
        <w:rPr>
          <w:color w:val="FF0000"/>
        </w:rPr>
        <w:t>alculating the regressions for</w:t>
      </w:r>
      <w:r w:rsidR="002E7393">
        <w:rPr>
          <w:color w:val="FF0000"/>
        </w:rPr>
        <w:t xml:space="preserve"> subjects who were in </w:t>
      </w:r>
      <w:r w:rsidR="00274E6A">
        <w:rPr>
          <w:color w:val="FF0000"/>
        </w:rPr>
        <w:t xml:space="preserve">positive and negative energy balance separately </w:t>
      </w:r>
      <w:r w:rsidR="00FD7701">
        <w:rPr>
          <w:color w:val="FF0000"/>
        </w:rPr>
        <w:t xml:space="preserve">would have resulted </w:t>
      </w:r>
      <w:r w:rsidR="00274E6A">
        <w:rPr>
          <w:color w:val="FF0000"/>
        </w:rPr>
        <w:t>in small numbers of subjects in each regression. Furthermore, some subjects, especially those near the boundary between weight gain and weight loss</w:t>
      </w:r>
      <w:r w:rsidR="00873BB9">
        <w:rPr>
          <w:color w:val="FF0000"/>
        </w:rPr>
        <w:t>,</w:t>
      </w:r>
      <w:r w:rsidR="00274E6A">
        <w:rPr>
          <w:color w:val="FF0000"/>
        </w:rPr>
        <w:t xml:space="preserve"> may be </w:t>
      </w:r>
      <w:r w:rsidR="00E006E3">
        <w:rPr>
          <w:color w:val="FF0000"/>
        </w:rPr>
        <w:t>incorrectly classified.</w:t>
      </w:r>
      <w:r w:rsidR="00FD7701">
        <w:rPr>
          <w:color w:val="FF0000"/>
        </w:rPr>
        <w:t xml:space="preserve"> With these caveats, th</w:t>
      </w:r>
      <w:r w:rsidR="00FD7701" w:rsidRPr="00286CCF">
        <w:rPr>
          <w:rFonts w:ascii="Calibri" w:hAnsi="Calibri"/>
          <w:color w:val="FF0000"/>
          <w:szCs w:val="21"/>
        </w:rPr>
        <w:t>e intercepts of the average rate of weight change and energy balance did not differ significantly from zero for</w:t>
      </w:r>
      <w:r w:rsidR="00FD7701">
        <w:rPr>
          <w:rFonts w:ascii="Calibri" w:hAnsi="Calibri"/>
          <w:color w:val="FF0000"/>
          <w:szCs w:val="21"/>
        </w:rPr>
        <w:t xml:space="preserve"> any of the groups of subjects when the regressions were calculated separately for those in positive and negative energy balance (Table 1 of this Appendix).</w:t>
      </w:r>
    </w:p>
    <w:p w:rsidR="00FD7701" w:rsidRDefault="00FD7701" w:rsidP="00E5205D">
      <w:pPr>
        <w:rPr>
          <w:rFonts w:ascii="Calibri" w:hAnsi="Calibri"/>
          <w:color w:val="FF0000"/>
          <w:szCs w:val="21"/>
        </w:rPr>
      </w:pP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1848"/>
        <w:gridCol w:w="1848"/>
        <w:gridCol w:w="1232"/>
        <w:gridCol w:w="1701"/>
        <w:gridCol w:w="1417"/>
        <w:gridCol w:w="1559"/>
      </w:tblGrid>
      <w:tr w:rsidR="00726EB5" w:rsidTr="00726EB5"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Table 1</w:t>
            </w:r>
          </w:p>
        </w:tc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</w:p>
        </w:tc>
        <w:tc>
          <w:tcPr>
            <w:tcW w:w="1232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726EB5" w:rsidRDefault="00726EB5" w:rsidP="00100D92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</w:p>
        </w:tc>
      </w:tr>
      <w:tr w:rsidR="00726EB5" w:rsidTr="00726EB5"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Subjects</w:t>
            </w:r>
          </w:p>
        </w:tc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Energy balance</w:t>
            </w:r>
          </w:p>
        </w:tc>
        <w:tc>
          <w:tcPr>
            <w:tcW w:w="1232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1701" w:type="dxa"/>
          </w:tcPr>
          <w:p w:rsidR="00726EB5" w:rsidRDefault="00726EB5" w:rsidP="00726EB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Regression</w:t>
            </w:r>
          </w:p>
        </w:tc>
        <w:tc>
          <w:tcPr>
            <w:tcW w:w="1417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Significance value of regression</w:t>
            </w:r>
          </w:p>
        </w:tc>
        <w:tc>
          <w:tcPr>
            <w:tcW w:w="1559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Significance value of intercept</w:t>
            </w:r>
          </w:p>
        </w:tc>
      </w:tr>
      <w:tr w:rsidR="00726EB5" w:rsidTr="00726EB5">
        <w:tc>
          <w:tcPr>
            <w:tcW w:w="1848" w:type="dxa"/>
          </w:tcPr>
          <w:p w:rsidR="00726EB5" w:rsidRPr="008C1EE9" w:rsidRDefault="00726EB5" w:rsidP="008B2D2B">
            <w:pPr>
              <w:jc w:val="center"/>
              <w:rPr>
                <w:rFonts w:ascii="Calibri" w:hAnsi="Calibri"/>
                <w:color w:val="FF0000"/>
                <w:szCs w:val="21"/>
              </w:rPr>
            </w:pPr>
            <w:r>
              <w:rPr>
                <w:rFonts w:ascii="Calibri" w:hAnsi="Calibri"/>
                <w:color w:val="FF0000"/>
                <w:szCs w:val="21"/>
              </w:rPr>
              <w:t>All subjects</w:t>
            </w:r>
          </w:p>
        </w:tc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Positive</w:t>
            </w:r>
          </w:p>
        </w:tc>
        <w:tc>
          <w:tcPr>
            <w:tcW w:w="1232" w:type="dxa"/>
          </w:tcPr>
          <w:p w:rsidR="00726EB5" w:rsidRP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1701" w:type="dxa"/>
          </w:tcPr>
          <w:p w:rsidR="00726EB5" w:rsidRPr="00726EB5" w:rsidRDefault="00061284" w:rsidP="00100D9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+0.009 R=0.179</w:t>
            </w:r>
          </w:p>
        </w:tc>
        <w:tc>
          <w:tcPr>
            <w:tcW w:w="1417" w:type="dxa"/>
          </w:tcPr>
          <w:p w:rsidR="00726EB5" w:rsidRPr="00726EB5" w:rsidRDefault="00061284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0.334</w:t>
            </w:r>
          </w:p>
        </w:tc>
        <w:tc>
          <w:tcPr>
            <w:tcW w:w="1559" w:type="dxa"/>
          </w:tcPr>
          <w:p w:rsidR="00726EB5" w:rsidRPr="00726EB5" w:rsidRDefault="00061284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0.846</w:t>
            </w:r>
          </w:p>
        </w:tc>
      </w:tr>
      <w:tr w:rsidR="00726EB5" w:rsidTr="00726EB5"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rFonts w:ascii="Calibri" w:hAnsi="Calibri"/>
                <w:color w:val="FF0000"/>
                <w:szCs w:val="21"/>
              </w:rPr>
              <w:t>All subjects</w:t>
            </w:r>
          </w:p>
        </w:tc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Negative</w:t>
            </w:r>
          </w:p>
        </w:tc>
        <w:tc>
          <w:tcPr>
            <w:tcW w:w="1232" w:type="dxa"/>
          </w:tcPr>
          <w:p w:rsidR="00726EB5" w:rsidRP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31</w:t>
            </w:r>
          </w:p>
        </w:tc>
        <w:tc>
          <w:tcPr>
            <w:tcW w:w="1701" w:type="dxa"/>
          </w:tcPr>
          <w:p w:rsidR="00726EB5" w:rsidRPr="00726EB5" w:rsidRDefault="00061284" w:rsidP="00100D9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+0.029 R=0.669</w:t>
            </w:r>
          </w:p>
        </w:tc>
        <w:tc>
          <w:tcPr>
            <w:tcW w:w="1417" w:type="dxa"/>
          </w:tcPr>
          <w:p w:rsidR="00726EB5" w:rsidRPr="00726EB5" w:rsidRDefault="00061284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&lt;0.001</w:t>
            </w:r>
          </w:p>
        </w:tc>
        <w:tc>
          <w:tcPr>
            <w:tcW w:w="1559" w:type="dxa"/>
          </w:tcPr>
          <w:p w:rsidR="00726EB5" w:rsidRPr="00726EB5" w:rsidRDefault="00061284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0.658</w:t>
            </w:r>
          </w:p>
        </w:tc>
      </w:tr>
      <w:tr w:rsidR="00726EB5" w:rsidTr="00726EB5"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Males</w:t>
            </w:r>
          </w:p>
        </w:tc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Positive</w:t>
            </w:r>
          </w:p>
        </w:tc>
        <w:tc>
          <w:tcPr>
            <w:tcW w:w="1232" w:type="dxa"/>
          </w:tcPr>
          <w:p w:rsidR="00726EB5" w:rsidRP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701" w:type="dxa"/>
          </w:tcPr>
          <w:p w:rsidR="00726EB5" w:rsidRPr="00726EB5" w:rsidRDefault="00061284" w:rsidP="00100D9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+0.012 R=0.167</w:t>
            </w:r>
          </w:p>
        </w:tc>
        <w:tc>
          <w:tcPr>
            <w:tcW w:w="1417" w:type="dxa"/>
          </w:tcPr>
          <w:p w:rsidR="00726EB5" w:rsidRPr="00726EB5" w:rsidRDefault="00061284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0.552</w:t>
            </w:r>
          </w:p>
        </w:tc>
        <w:tc>
          <w:tcPr>
            <w:tcW w:w="1559" w:type="dxa"/>
          </w:tcPr>
          <w:p w:rsidR="00726EB5" w:rsidRPr="00726EB5" w:rsidRDefault="00061284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0.811</w:t>
            </w:r>
          </w:p>
        </w:tc>
      </w:tr>
      <w:tr w:rsidR="00726EB5" w:rsidTr="00726EB5"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Males</w:t>
            </w:r>
          </w:p>
        </w:tc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Negative</w:t>
            </w:r>
          </w:p>
        </w:tc>
        <w:tc>
          <w:tcPr>
            <w:tcW w:w="1232" w:type="dxa"/>
          </w:tcPr>
          <w:p w:rsidR="00726EB5" w:rsidRP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701" w:type="dxa"/>
          </w:tcPr>
          <w:p w:rsidR="00726EB5" w:rsidRPr="00726EB5" w:rsidRDefault="00061284" w:rsidP="00100D9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+0.036 R=0.689</w:t>
            </w:r>
          </w:p>
        </w:tc>
        <w:tc>
          <w:tcPr>
            <w:tcW w:w="1417" w:type="dxa"/>
          </w:tcPr>
          <w:p w:rsidR="00726EB5" w:rsidRPr="00726EB5" w:rsidRDefault="00BF4F7C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0.005</w:t>
            </w:r>
          </w:p>
        </w:tc>
        <w:tc>
          <w:tcPr>
            <w:tcW w:w="1559" w:type="dxa"/>
          </w:tcPr>
          <w:p w:rsidR="00726EB5" w:rsidRPr="00726EB5" w:rsidRDefault="00BF4F7C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0.672</w:t>
            </w:r>
          </w:p>
        </w:tc>
      </w:tr>
      <w:tr w:rsidR="00726EB5" w:rsidTr="00726EB5"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Females</w:t>
            </w:r>
          </w:p>
        </w:tc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Positive</w:t>
            </w:r>
          </w:p>
        </w:tc>
        <w:tc>
          <w:tcPr>
            <w:tcW w:w="1232" w:type="dxa"/>
          </w:tcPr>
          <w:p w:rsidR="00726EB5" w:rsidRP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F4F7C">
              <w:rPr>
                <w:color w:val="FF0000"/>
              </w:rPr>
              <w:t>6</w:t>
            </w:r>
          </w:p>
        </w:tc>
        <w:tc>
          <w:tcPr>
            <w:tcW w:w="1701" w:type="dxa"/>
          </w:tcPr>
          <w:p w:rsidR="00726EB5" w:rsidRPr="00726EB5" w:rsidRDefault="00061284" w:rsidP="00BF4F7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+0.</w:t>
            </w:r>
            <w:r w:rsidR="00BF4F7C">
              <w:rPr>
                <w:color w:val="FF0000"/>
              </w:rPr>
              <w:t>007 R=0.314</w:t>
            </w:r>
          </w:p>
        </w:tc>
        <w:tc>
          <w:tcPr>
            <w:tcW w:w="1417" w:type="dxa"/>
          </w:tcPr>
          <w:p w:rsidR="00726EB5" w:rsidRPr="00726EB5" w:rsidRDefault="00BF4F7C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0.236</w:t>
            </w:r>
          </w:p>
        </w:tc>
        <w:tc>
          <w:tcPr>
            <w:tcW w:w="1559" w:type="dxa"/>
          </w:tcPr>
          <w:p w:rsidR="00726EB5" w:rsidRPr="00726EB5" w:rsidRDefault="00BF4F7C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0.196</w:t>
            </w:r>
          </w:p>
        </w:tc>
      </w:tr>
      <w:tr w:rsidR="00726EB5" w:rsidTr="00726EB5"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Females</w:t>
            </w:r>
          </w:p>
        </w:tc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Negative</w:t>
            </w:r>
          </w:p>
        </w:tc>
        <w:tc>
          <w:tcPr>
            <w:tcW w:w="1232" w:type="dxa"/>
          </w:tcPr>
          <w:p w:rsidR="00726EB5" w:rsidRP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F4F7C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:rsidR="00726EB5" w:rsidRPr="00726EB5" w:rsidRDefault="00061284" w:rsidP="00100D9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+0.025 R=0.667</w:t>
            </w:r>
          </w:p>
        </w:tc>
        <w:tc>
          <w:tcPr>
            <w:tcW w:w="1417" w:type="dxa"/>
          </w:tcPr>
          <w:p w:rsidR="00726EB5" w:rsidRPr="00726EB5" w:rsidRDefault="00061284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0.013</w:t>
            </w:r>
          </w:p>
        </w:tc>
        <w:tc>
          <w:tcPr>
            <w:tcW w:w="1559" w:type="dxa"/>
          </w:tcPr>
          <w:p w:rsidR="00726EB5" w:rsidRPr="00726EB5" w:rsidRDefault="00061284" w:rsidP="0006128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0.367</w:t>
            </w:r>
          </w:p>
        </w:tc>
      </w:tr>
      <w:tr w:rsidR="00726EB5" w:rsidTr="00726EB5"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Lean</w:t>
            </w:r>
          </w:p>
        </w:tc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Positive</w:t>
            </w:r>
          </w:p>
        </w:tc>
        <w:tc>
          <w:tcPr>
            <w:tcW w:w="1232" w:type="dxa"/>
          </w:tcPr>
          <w:p w:rsidR="00726EB5" w:rsidRP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701" w:type="dxa"/>
          </w:tcPr>
          <w:p w:rsidR="00726EB5" w:rsidRPr="00726EB5" w:rsidRDefault="00061284" w:rsidP="00100D9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+0.018 R=0.390</w:t>
            </w:r>
          </w:p>
        </w:tc>
        <w:tc>
          <w:tcPr>
            <w:tcW w:w="1417" w:type="dxa"/>
          </w:tcPr>
          <w:p w:rsidR="00726EB5" w:rsidRPr="00726EB5" w:rsidRDefault="00061284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0.187</w:t>
            </w:r>
          </w:p>
        </w:tc>
        <w:tc>
          <w:tcPr>
            <w:tcW w:w="1559" w:type="dxa"/>
          </w:tcPr>
          <w:p w:rsidR="00726EB5" w:rsidRPr="00726EB5" w:rsidRDefault="00061284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0.718</w:t>
            </w:r>
          </w:p>
        </w:tc>
      </w:tr>
      <w:tr w:rsidR="00726EB5" w:rsidTr="00726EB5"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Lean</w:t>
            </w:r>
          </w:p>
        </w:tc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Negative</w:t>
            </w:r>
          </w:p>
        </w:tc>
        <w:tc>
          <w:tcPr>
            <w:tcW w:w="1232" w:type="dxa"/>
          </w:tcPr>
          <w:p w:rsidR="00726EB5" w:rsidRP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1701" w:type="dxa"/>
          </w:tcPr>
          <w:p w:rsidR="00726EB5" w:rsidRPr="00726EB5" w:rsidRDefault="00061284" w:rsidP="00100D9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+0.026 R=0.578</w:t>
            </w:r>
          </w:p>
        </w:tc>
        <w:tc>
          <w:tcPr>
            <w:tcW w:w="1417" w:type="dxa"/>
          </w:tcPr>
          <w:p w:rsidR="00726EB5" w:rsidRPr="00726EB5" w:rsidRDefault="00061284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0.030</w:t>
            </w:r>
          </w:p>
        </w:tc>
        <w:tc>
          <w:tcPr>
            <w:tcW w:w="1559" w:type="dxa"/>
          </w:tcPr>
          <w:p w:rsidR="00726EB5" w:rsidRPr="00726EB5" w:rsidRDefault="00061284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0.875</w:t>
            </w:r>
          </w:p>
        </w:tc>
      </w:tr>
      <w:tr w:rsidR="00726EB5" w:rsidTr="00726EB5"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Overweight</w:t>
            </w:r>
          </w:p>
        </w:tc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Positive</w:t>
            </w:r>
          </w:p>
        </w:tc>
        <w:tc>
          <w:tcPr>
            <w:tcW w:w="1232" w:type="dxa"/>
          </w:tcPr>
          <w:p w:rsidR="00726EB5" w:rsidRP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1701" w:type="dxa"/>
          </w:tcPr>
          <w:p w:rsidR="00726EB5" w:rsidRPr="00726EB5" w:rsidRDefault="00061284" w:rsidP="00100D9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+0.005 R=0.097</w:t>
            </w:r>
          </w:p>
        </w:tc>
        <w:tc>
          <w:tcPr>
            <w:tcW w:w="1417" w:type="dxa"/>
          </w:tcPr>
          <w:p w:rsidR="00726EB5" w:rsidRPr="00726EB5" w:rsidRDefault="00061284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0.701</w:t>
            </w:r>
          </w:p>
        </w:tc>
        <w:tc>
          <w:tcPr>
            <w:tcW w:w="1559" w:type="dxa"/>
          </w:tcPr>
          <w:p w:rsidR="00726EB5" w:rsidRPr="00726EB5" w:rsidRDefault="00061284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0.931</w:t>
            </w:r>
          </w:p>
        </w:tc>
      </w:tr>
      <w:tr w:rsidR="00726EB5" w:rsidTr="00726EB5"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Overweight</w:t>
            </w:r>
          </w:p>
        </w:tc>
        <w:tc>
          <w:tcPr>
            <w:tcW w:w="1848" w:type="dxa"/>
          </w:tcPr>
          <w:p w:rsid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Negative</w:t>
            </w:r>
          </w:p>
        </w:tc>
        <w:tc>
          <w:tcPr>
            <w:tcW w:w="1232" w:type="dxa"/>
          </w:tcPr>
          <w:p w:rsidR="00726EB5" w:rsidRPr="00726EB5" w:rsidRDefault="00726EB5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1701" w:type="dxa"/>
          </w:tcPr>
          <w:p w:rsidR="00726EB5" w:rsidRPr="00726EB5" w:rsidRDefault="00061284" w:rsidP="00100D9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+0.033 R=0.813</w:t>
            </w:r>
          </w:p>
        </w:tc>
        <w:tc>
          <w:tcPr>
            <w:tcW w:w="1417" w:type="dxa"/>
          </w:tcPr>
          <w:p w:rsidR="00726EB5" w:rsidRPr="00726EB5" w:rsidRDefault="00061284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&lt;0.001</w:t>
            </w:r>
          </w:p>
        </w:tc>
        <w:tc>
          <w:tcPr>
            <w:tcW w:w="1559" w:type="dxa"/>
          </w:tcPr>
          <w:p w:rsidR="00726EB5" w:rsidRPr="00726EB5" w:rsidRDefault="00061284" w:rsidP="008B2D2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0.637</w:t>
            </w:r>
          </w:p>
        </w:tc>
      </w:tr>
    </w:tbl>
    <w:p w:rsidR="00FD7701" w:rsidRPr="00FD7701" w:rsidRDefault="00FD7701" w:rsidP="00E5205D">
      <w:pPr>
        <w:rPr>
          <w:color w:val="FF0000"/>
        </w:rPr>
      </w:pPr>
    </w:p>
    <w:p w:rsidR="00FD7701" w:rsidRDefault="00FD7701" w:rsidP="00E5205D">
      <w:pPr>
        <w:rPr>
          <w:rFonts w:ascii="Calibri" w:hAnsi="Calibri"/>
          <w:color w:val="FF0000"/>
          <w:szCs w:val="21"/>
        </w:rPr>
      </w:pPr>
    </w:p>
    <w:p w:rsidR="00FD7701" w:rsidRPr="006F122B" w:rsidRDefault="00FD7701" w:rsidP="00E5205D">
      <w:pPr>
        <w:rPr>
          <w:color w:val="FF0000"/>
        </w:rPr>
      </w:pPr>
    </w:p>
    <w:p w:rsidR="00E5205D" w:rsidRDefault="00E5205D" w:rsidP="00E5205D">
      <w:r>
        <w:t>A s</w:t>
      </w:r>
      <w:r w:rsidRPr="00680F67">
        <w:t xml:space="preserve">catter plot of the </w:t>
      </w:r>
      <w:r w:rsidRPr="00680F67">
        <w:rPr>
          <w:i/>
        </w:rPr>
        <w:t>observation</w:t>
      </w:r>
      <w:r w:rsidRPr="00680F67">
        <w:t xml:space="preserve"> </w:t>
      </w:r>
      <w:r w:rsidRPr="00680F67">
        <w:rPr>
          <w:i/>
        </w:rPr>
        <w:t>effect</w:t>
      </w:r>
      <w:r w:rsidRPr="00680F67">
        <w:t xml:space="preserve"> demonstrated that, in these 59 subjects at least, </w:t>
      </w:r>
      <w:r>
        <w:t xml:space="preserve">the effect was </w:t>
      </w:r>
      <w:r w:rsidRPr="00680F67">
        <w:t xml:space="preserve">continuously distributed </w:t>
      </w:r>
      <w:r>
        <w:t>across level of actual energy intake (measured by the</w:t>
      </w:r>
      <w:r w:rsidR="006A1583">
        <w:t xml:space="preserve"> mean of the two </w:t>
      </w:r>
      <w:r>
        <w:t xml:space="preserve"> Laboratory Weighed Intake</w:t>
      </w:r>
      <w:r w:rsidR="006A1583">
        <w:t>s</w:t>
      </w:r>
      <w:r>
        <w:t xml:space="preserve">) </w:t>
      </w:r>
      <w:r w:rsidRPr="00680F67">
        <w:t xml:space="preserve">and occurred </w:t>
      </w:r>
      <w:r>
        <w:t>in most subjects to some degree (Figure 4 of this appendix)</w:t>
      </w:r>
      <w:r w:rsidR="00983A3B">
        <w:t>.</w:t>
      </w:r>
      <w:r w:rsidR="00EF1C3B">
        <w:t xml:space="preserve"> </w:t>
      </w:r>
    </w:p>
    <w:p w:rsidR="00EF1C3B" w:rsidRDefault="00EF1C3B" w:rsidP="00E5205D">
      <w:r>
        <w:t>Actual energy intake was calculated as the average of the Laboratory Weighed Intake – Overt and the Laboratory Weight Intake – Covert t</w:t>
      </w:r>
      <w:r w:rsidRPr="00EF1C3B">
        <w:t>o avoid introducing an apparent negative correlation that is a statistical artefact. Where random fluctuations occur in two variables X and Y, there tends to be is a negative correlation between X - Y and Y. One way to avoid this is to plot the difference between the two variables, X and Y, ag</w:t>
      </w:r>
      <w:r>
        <w:t>ainst the average of these.</w:t>
      </w:r>
    </w:p>
    <w:p w:rsidR="00E5205D" w:rsidRDefault="002F7FB7" w:rsidP="00E5205D">
      <w:r>
        <w:t xml:space="preserve">The </w:t>
      </w:r>
      <w:r w:rsidRPr="00680F67">
        <w:rPr>
          <w:i/>
        </w:rPr>
        <w:t>reporting effects</w:t>
      </w:r>
      <w:r w:rsidRPr="00680F67">
        <w:t xml:space="preserve"> </w:t>
      </w:r>
      <w:r>
        <w:t>for each of the dietary intake methods (Figures 5A-9A of this appendix), and t</w:t>
      </w:r>
      <w:r w:rsidR="00E5205D">
        <w:t xml:space="preserve">he combined </w:t>
      </w:r>
      <w:r w:rsidR="00E5205D" w:rsidRPr="00680F67">
        <w:rPr>
          <w:i/>
        </w:rPr>
        <w:t>observation</w:t>
      </w:r>
      <w:r w:rsidR="00E5205D" w:rsidRPr="00680F67">
        <w:t xml:space="preserve"> and </w:t>
      </w:r>
      <w:r w:rsidR="00E5205D" w:rsidRPr="00680F67">
        <w:rPr>
          <w:i/>
        </w:rPr>
        <w:t>reporting effects</w:t>
      </w:r>
      <w:r w:rsidR="00E5205D" w:rsidRPr="00680F67">
        <w:t xml:space="preserve"> </w:t>
      </w:r>
      <w:r>
        <w:t xml:space="preserve">(Figures 5B-9B of this appendix), </w:t>
      </w:r>
      <w:r w:rsidR="00E5205D">
        <w:t xml:space="preserve">for each of the dietary intake methods compared to the </w:t>
      </w:r>
      <w:r w:rsidR="006A1583">
        <w:t xml:space="preserve">mean of the two </w:t>
      </w:r>
      <w:r w:rsidR="00E5205D">
        <w:t>Laboratory Weighed Intake</w:t>
      </w:r>
      <w:r w:rsidR="006A1583">
        <w:t>s</w:t>
      </w:r>
      <w:r w:rsidR="00E5205D">
        <w:t xml:space="preserve"> also showed that the differences were </w:t>
      </w:r>
      <w:r w:rsidR="00E5205D" w:rsidRPr="00680F67">
        <w:t xml:space="preserve">continuously distributed and occurred </w:t>
      </w:r>
      <w:r w:rsidR="00E5205D">
        <w:t>in most subjects to some degree</w:t>
      </w:r>
      <w:r>
        <w:t>.</w:t>
      </w:r>
    </w:p>
    <w:p w:rsidR="002F7FB7" w:rsidRPr="0010320B" w:rsidRDefault="002F7FB7" w:rsidP="00E07827">
      <w:pPr>
        <w:suppressLineNumbers/>
        <w:spacing w:line="240" w:lineRule="auto"/>
      </w:pPr>
    </w:p>
    <w:p w:rsidR="0010320B" w:rsidRPr="0010320B" w:rsidRDefault="0010320B" w:rsidP="0010320B">
      <w:pPr>
        <w:autoSpaceDE w:val="0"/>
        <w:autoSpaceDN w:val="0"/>
        <w:adjustRightInd w:val="0"/>
        <w:spacing w:after="0" w:line="240" w:lineRule="auto"/>
      </w:pPr>
      <w:r w:rsidRPr="0010320B">
        <w:t>Forbes GB, B</w:t>
      </w:r>
      <w:r>
        <w:t xml:space="preserve">rown MR, </w:t>
      </w:r>
      <w:proofErr w:type="spellStart"/>
      <w:r>
        <w:t>Welle</w:t>
      </w:r>
      <w:proofErr w:type="spellEnd"/>
      <w:r>
        <w:t xml:space="preserve"> SL, Lipinski BA. </w:t>
      </w:r>
      <w:r w:rsidRPr="0010320B">
        <w:t>Deliberate overfeeding in women and men: energy cost and composition of the weight gain. Br</w:t>
      </w:r>
      <w:r>
        <w:t>itish</w:t>
      </w:r>
      <w:r w:rsidRPr="0010320B">
        <w:t xml:space="preserve"> J</w:t>
      </w:r>
      <w:r>
        <w:t xml:space="preserve">ournal of </w:t>
      </w:r>
      <w:r w:rsidRPr="0010320B">
        <w:t>Nutr</w:t>
      </w:r>
      <w:r>
        <w:t>ition</w:t>
      </w:r>
      <w:r w:rsidRPr="0010320B">
        <w:t xml:space="preserve"> 1986; 56: 1±9.</w:t>
      </w:r>
    </w:p>
    <w:p w:rsidR="002F7FB7" w:rsidRDefault="002F7FB7" w:rsidP="00E07827">
      <w:pPr>
        <w:suppressLineNumbers/>
        <w:spacing w:line="240" w:lineRule="auto"/>
      </w:pPr>
    </w:p>
    <w:p w:rsidR="0010320B" w:rsidRPr="0010320B" w:rsidRDefault="00A24D26" w:rsidP="0010320B">
      <w:hyperlink r:id="rId6" w:history="1">
        <w:r w:rsidR="0010320B">
          <w:t>Hall</w:t>
        </w:r>
      </w:hyperlink>
      <w:r w:rsidR="0010320B">
        <w:t xml:space="preserve"> KD. </w:t>
      </w:r>
      <w:hyperlink r:id="rId7" w:history="1">
        <w:r w:rsidR="00671EA1" w:rsidRPr="0010320B">
          <w:t>What is the required energy deficit per unit weight loss?</w:t>
        </w:r>
      </w:hyperlink>
      <w:r w:rsidR="0010320B">
        <w:t xml:space="preserve"> </w:t>
      </w:r>
      <w:proofErr w:type="gramStart"/>
      <w:r w:rsidR="00671EA1" w:rsidRPr="0010320B">
        <w:t xml:space="preserve">International </w:t>
      </w:r>
      <w:r w:rsidR="0010320B">
        <w:t>J</w:t>
      </w:r>
      <w:r w:rsidR="00671EA1" w:rsidRPr="0010320B">
        <w:t xml:space="preserve">ournal of </w:t>
      </w:r>
      <w:r w:rsidR="0010320B">
        <w:t>O</w:t>
      </w:r>
      <w:r w:rsidR="00671EA1" w:rsidRPr="0010320B">
        <w:t>besity</w:t>
      </w:r>
      <w:r w:rsidR="0010320B">
        <w:t>.</w:t>
      </w:r>
      <w:proofErr w:type="gramEnd"/>
      <w:r w:rsidR="0010320B">
        <w:t xml:space="preserve"> </w:t>
      </w:r>
      <w:hyperlink r:id="rId8" w:tgtFrame="pmc_ext" w:history="1">
        <w:r w:rsidR="0010320B" w:rsidRPr="0010320B">
          <w:t xml:space="preserve">2008 32(3): 573–576. </w:t>
        </w:r>
      </w:hyperlink>
    </w:p>
    <w:p w:rsidR="00671EA1" w:rsidRPr="0010320B" w:rsidRDefault="00671EA1" w:rsidP="0010320B">
      <w:pPr>
        <w:suppressLineNumbers/>
        <w:spacing w:line="240" w:lineRule="auto"/>
      </w:pPr>
    </w:p>
    <w:p w:rsidR="00D61B42" w:rsidRPr="0010320B" w:rsidRDefault="00D61B42" w:rsidP="00755B9A"/>
    <w:p w:rsidR="00B777E3" w:rsidRDefault="00B777E3" w:rsidP="00755B9A">
      <w:pPr>
        <w:rPr>
          <w:rFonts w:ascii="Calibri" w:hAnsi="Calibri"/>
          <w:szCs w:val="21"/>
        </w:rPr>
      </w:pPr>
    </w:p>
    <w:p w:rsidR="008E66B8" w:rsidRPr="00755B9A" w:rsidRDefault="008E66B8" w:rsidP="00001C06">
      <w:pPr>
        <w:pStyle w:val="Heading1"/>
        <w:jc w:val="both"/>
        <w:rPr>
          <w:rFonts w:ascii="Calibri" w:eastAsiaTheme="minorHAnsi" w:hAnsi="Calibri" w:cstheme="minorBidi"/>
          <w:sz w:val="22"/>
          <w:szCs w:val="21"/>
          <w:lang w:eastAsia="en-US"/>
        </w:rPr>
      </w:pPr>
    </w:p>
    <w:p w:rsidR="00001C06" w:rsidRDefault="00001C06"/>
    <w:p w:rsidR="00306FC3" w:rsidRDefault="00306FC3">
      <w:pPr>
        <w:sectPr w:rsidR="00306FC3" w:rsidSect="009F0A0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F1F96" w:rsidRDefault="00BB3DF0" w:rsidP="00001C06">
      <w:pPr>
        <w:pStyle w:val="Heading1"/>
        <w:jc w:val="both"/>
      </w:pPr>
      <w:r w:rsidRPr="00BB3DF0"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6517005" cy="472376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005" cy="472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F96" w:rsidRDefault="00A24D2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0.05pt;margin-top:6.4pt;width:583.75pt;height:40.3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:rsidR="00306FC3" w:rsidRDefault="00843C05" w:rsidP="00843C05">
                  <w:pPr>
                    <w:pStyle w:val="BodyText"/>
                  </w:pPr>
                  <w:proofErr w:type="gramStart"/>
                  <w:r w:rsidRPr="00843C05">
                    <w:rPr>
                      <w:rFonts w:ascii="Calibri" w:hAnsi="Calibri"/>
                      <w:szCs w:val="21"/>
                    </w:rPr>
                    <w:t>Figure 1.</w:t>
                  </w:r>
                  <w:proofErr w:type="gramEnd"/>
                  <w:r w:rsidRPr="00843C05">
                    <w:rPr>
                      <w:rFonts w:ascii="Calibri" w:hAnsi="Calibri"/>
                      <w:szCs w:val="21"/>
                    </w:rPr>
                    <w:t xml:space="preserve"> Average</w:t>
                  </w:r>
                  <w:r>
                    <w:rPr>
                      <w:rFonts w:ascii="Calibri" w:hAnsi="Calibri"/>
                      <w:szCs w:val="21"/>
                    </w:rPr>
                    <w:t xml:space="preserve"> daily </w:t>
                  </w:r>
                  <w:r w:rsidRPr="00843C05">
                    <w:rPr>
                      <w:rFonts w:ascii="Calibri" w:hAnsi="Calibri"/>
                      <w:szCs w:val="21"/>
                    </w:rPr>
                    <w:t xml:space="preserve">energy balance </w:t>
                  </w:r>
                  <w:r>
                    <w:rPr>
                      <w:rFonts w:ascii="Calibri" w:hAnsi="Calibri"/>
                      <w:szCs w:val="21"/>
                    </w:rPr>
                    <w:t xml:space="preserve">(energy intake – energy expenditure) </w:t>
                  </w:r>
                  <w:r w:rsidRPr="00843C05">
                    <w:rPr>
                      <w:rFonts w:ascii="Calibri" w:hAnsi="Calibri"/>
                      <w:szCs w:val="21"/>
                    </w:rPr>
                    <w:t xml:space="preserve">over the course of the study against </w:t>
                  </w:r>
                  <w:r>
                    <w:rPr>
                      <w:rFonts w:ascii="Calibri" w:hAnsi="Calibri"/>
                      <w:szCs w:val="21"/>
                    </w:rPr>
                    <w:t>the</w:t>
                  </w:r>
                  <w:r w:rsidR="00862CAE">
                    <w:rPr>
                      <w:rFonts w:ascii="Calibri" w:hAnsi="Calibri"/>
                      <w:szCs w:val="21"/>
                    </w:rPr>
                    <w:t xml:space="preserve"> average rate of weight change </w:t>
                  </w:r>
                  <w:r>
                    <w:rPr>
                      <w:rFonts w:ascii="Calibri" w:hAnsi="Calibri"/>
                      <w:szCs w:val="21"/>
                    </w:rPr>
                    <w:t>f</w:t>
                  </w:r>
                  <w:r w:rsidRPr="00843C05">
                    <w:rPr>
                      <w:rFonts w:ascii="Calibri" w:hAnsi="Calibri"/>
                      <w:szCs w:val="21"/>
                    </w:rPr>
                    <w:t>or all subjects</w:t>
                  </w:r>
                  <w:r>
                    <w:rPr>
                      <w:rFonts w:ascii="Calibri" w:hAnsi="Calibri"/>
                      <w:szCs w:val="21"/>
                    </w:rPr>
                    <w:t>.</w:t>
                  </w:r>
                </w:p>
              </w:txbxContent>
            </v:textbox>
          </v:shape>
        </w:pict>
      </w:r>
    </w:p>
    <w:p w:rsidR="00B74169" w:rsidRDefault="00B74169"/>
    <w:p w:rsidR="00B74169" w:rsidRDefault="00B74169"/>
    <w:p w:rsidR="00BF1F96" w:rsidRDefault="00BB3DF0">
      <w:r w:rsidRPr="00BB3DF0">
        <w:rPr>
          <w:noProof/>
          <w:lang w:eastAsia="en-GB"/>
        </w:rPr>
        <w:lastRenderedPageBreak/>
        <w:drawing>
          <wp:inline distT="0" distB="0" distL="0" distR="0">
            <wp:extent cx="7464829" cy="487367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4403" cy="48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CAE" w:rsidRDefault="00A24D26">
      <w:r>
        <w:rPr>
          <w:noProof/>
          <w:lang w:eastAsia="en-GB"/>
        </w:rPr>
        <w:pict>
          <v:group id="_x0000_s1057" style="position:absolute;margin-left:4.3pt;margin-top:-.4pt;width:589.15pt;height:44.1pt;z-index:251697152" coordorigin="2468,9885" coordsize="11783,882">
            <v:shape id="_x0000_s1030" type="#_x0000_t202" style="position:absolute;left:2468;top:9885;width:11783;height:88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  <v:textbox style="mso-next-textbox:#_x0000_s1030;mso-fit-shape-to-text:t">
                <w:txbxContent>
                  <w:p w:rsidR="009735FE" w:rsidRDefault="00843C05" w:rsidP="00843C05">
                    <w:pPr>
                      <w:pStyle w:val="BodyText"/>
                    </w:pPr>
                    <w:proofErr w:type="gramStart"/>
                    <w:r w:rsidRPr="00843C05">
                      <w:rPr>
                        <w:rFonts w:ascii="Calibri" w:hAnsi="Calibri"/>
                        <w:szCs w:val="21"/>
                      </w:rPr>
                      <w:t xml:space="preserve">Figure </w:t>
                    </w:r>
                    <w:r>
                      <w:rPr>
                        <w:rFonts w:ascii="Calibri" w:hAnsi="Calibri"/>
                        <w:szCs w:val="21"/>
                      </w:rPr>
                      <w:t>2</w:t>
                    </w:r>
                    <w:r w:rsidRPr="00843C05">
                      <w:rPr>
                        <w:rFonts w:ascii="Calibri" w:hAnsi="Calibri"/>
                        <w:szCs w:val="21"/>
                      </w:rPr>
                      <w:t>.</w:t>
                    </w:r>
                    <w:proofErr w:type="gramEnd"/>
                    <w:r w:rsidRPr="00843C05">
                      <w:rPr>
                        <w:rFonts w:ascii="Calibri" w:hAnsi="Calibri"/>
                        <w:szCs w:val="21"/>
                      </w:rPr>
                      <w:t xml:space="preserve"> Average</w:t>
                    </w:r>
                    <w:r>
                      <w:rPr>
                        <w:rFonts w:ascii="Calibri" w:hAnsi="Calibri"/>
                        <w:szCs w:val="21"/>
                      </w:rPr>
                      <w:t xml:space="preserve"> daily </w:t>
                    </w:r>
                    <w:r w:rsidRPr="00843C05">
                      <w:rPr>
                        <w:rFonts w:ascii="Calibri" w:hAnsi="Calibri"/>
                        <w:szCs w:val="21"/>
                      </w:rPr>
                      <w:t xml:space="preserve">energy balance </w:t>
                    </w:r>
                    <w:r>
                      <w:rPr>
                        <w:rFonts w:ascii="Calibri" w:hAnsi="Calibri"/>
                        <w:szCs w:val="21"/>
                      </w:rPr>
                      <w:t xml:space="preserve">(energy intake – energy expenditure) </w:t>
                    </w:r>
                    <w:r w:rsidRPr="00843C05">
                      <w:rPr>
                        <w:rFonts w:ascii="Calibri" w:hAnsi="Calibri"/>
                        <w:szCs w:val="21"/>
                      </w:rPr>
                      <w:t xml:space="preserve">over the course of the study against </w:t>
                    </w:r>
                    <w:r>
                      <w:rPr>
                        <w:rFonts w:ascii="Calibri" w:hAnsi="Calibri"/>
                        <w:szCs w:val="21"/>
                      </w:rPr>
                      <w:t>the</w:t>
                    </w:r>
                    <w:r w:rsidR="00862CAE">
                      <w:rPr>
                        <w:rFonts w:ascii="Calibri" w:hAnsi="Calibri"/>
                        <w:szCs w:val="21"/>
                      </w:rPr>
                      <w:t xml:space="preserve"> average rate of weight </w:t>
                    </w:r>
                    <w:proofErr w:type="gramStart"/>
                    <w:r w:rsidR="00862CAE">
                      <w:rPr>
                        <w:rFonts w:ascii="Calibri" w:hAnsi="Calibri"/>
                        <w:szCs w:val="21"/>
                      </w:rPr>
                      <w:t xml:space="preserve">change </w:t>
                    </w:r>
                    <w:r>
                      <w:rPr>
                        <w:rFonts w:ascii="Calibri" w:hAnsi="Calibri"/>
                        <w:szCs w:val="21"/>
                      </w:rPr>
                      <w:t xml:space="preserve"> f</w:t>
                    </w:r>
                    <w:r w:rsidRPr="00843C05">
                      <w:rPr>
                        <w:rFonts w:ascii="Calibri" w:hAnsi="Calibri"/>
                        <w:szCs w:val="21"/>
                      </w:rPr>
                      <w:t>or</w:t>
                    </w:r>
                    <w:proofErr w:type="gramEnd"/>
                    <w:r w:rsidRPr="00843C05">
                      <w:rPr>
                        <w:rFonts w:ascii="Calibri" w:hAnsi="Calibri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Cs w:val="21"/>
                      </w:rPr>
                      <w:t>males (</w:t>
                    </w:r>
                    <w:r w:rsidR="00862CAE">
                      <w:rPr>
                        <w:rFonts w:ascii="Calibri" w:hAnsi="Calibri"/>
                        <w:szCs w:val="21"/>
                      </w:rPr>
                      <w:t xml:space="preserve">  </w:t>
                    </w:r>
                    <w:r>
                      <w:rPr>
                        <w:rFonts w:ascii="Calibri" w:hAnsi="Calibri"/>
                        <w:szCs w:val="21"/>
                      </w:rPr>
                      <w:sym w:font="Wingdings" w:char="F06E"/>
                    </w:r>
                    <w:r>
                      <w:rPr>
                        <w:rFonts w:ascii="Calibri" w:hAnsi="Calibri"/>
                        <w:szCs w:val="21"/>
                      </w:rPr>
                      <w:t xml:space="preserve"> and            ) and females (</w:t>
                    </w:r>
                    <w:r>
                      <w:rPr>
                        <w:rFonts w:ascii="Calibri" w:hAnsi="Calibri"/>
                        <w:szCs w:val="21"/>
                      </w:rPr>
                      <w:sym w:font="Wingdings 3" w:char="F070"/>
                    </w:r>
                    <w:r w:rsidRPr="00843C05">
                      <w:rPr>
                        <w:rFonts w:ascii="Calibri" w:hAnsi="Calibri"/>
                        <w:szCs w:val="21"/>
                      </w:rPr>
                      <w:t>a</w:t>
                    </w:r>
                    <w:r>
                      <w:rPr>
                        <w:rFonts w:ascii="Calibri" w:hAnsi="Calibri"/>
                        <w:szCs w:val="21"/>
                      </w:rPr>
                      <w:t>nd</w:t>
                    </w:r>
                    <w:r w:rsidR="00D61B42">
                      <w:rPr>
                        <w:rFonts w:ascii="Calibri" w:hAnsi="Calibri"/>
                        <w:szCs w:val="21"/>
                      </w:rPr>
                      <w:t xml:space="preserve">              ).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6382;top:10394;width:459;height:0" o:connectortype="straight" o:regroupid="2" strokeweight="2pt"/>
            <v:shape id="_x0000_s1032" type="#_x0000_t32" style="position:absolute;left:8852;top:10405;width:567;height:0" o:connectortype="straight" o:regroupid="2" strokeweight="2pt">
              <v:stroke dashstyle="1 1"/>
            </v:shape>
          </v:group>
        </w:pict>
      </w:r>
    </w:p>
    <w:p w:rsidR="009735FE" w:rsidRDefault="009735FE"/>
    <w:p w:rsidR="009735FE" w:rsidRDefault="009735FE"/>
    <w:p w:rsidR="009735FE" w:rsidRDefault="00A24D26">
      <w:r>
        <w:rPr>
          <w:noProof/>
          <w:lang w:val="en-US"/>
        </w:rPr>
        <w:pict>
          <v:group id="_x0000_s1059" style="position:absolute;margin-left:-1pt;margin-top:385.6pt;width:589.15pt;height:44.1pt;z-index:251667968" coordorigin="1420,9661" coordsize="11783,882">
            <v:shape id="_x0000_s1035" type="#_x0000_t202" style="position:absolute;left:1420;top:9661;width:11783;height:88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  <v:textbox style="mso-fit-shape-to-text:t">
                <w:txbxContent>
                  <w:p w:rsidR="00D61B42" w:rsidRDefault="00D61B42" w:rsidP="00D61B42">
                    <w:pPr>
                      <w:pStyle w:val="BodyText"/>
                    </w:pPr>
                    <w:proofErr w:type="gramStart"/>
                    <w:r w:rsidRPr="00843C05">
                      <w:rPr>
                        <w:rFonts w:ascii="Calibri" w:hAnsi="Calibri"/>
                        <w:szCs w:val="21"/>
                      </w:rPr>
                      <w:t xml:space="preserve">Figure </w:t>
                    </w:r>
                    <w:r>
                      <w:rPr>
                        <w:rFonts w:ascii="Calibri" w:hAnsi="Calibri"/>
                        <w:szCs w:val="21"/>
                      </w:rPr>
                      <w:t>3</w:t>
                    </w:r>
                    <w:r w:rsidRPr="00843C05">
                      <w:rPr>
                        <w:rFonts w:ascii="Calibri" w:hAnsi="Calibri"/>
                        <w:szCs w:val="21"/>
                      </w:rPr>
                      <w:t>.</w:t>
                    </w:r>
                    <w:proofErr w:type="gramEnd"/>
                    <w:r w:rsidRPr="00843C05">
                      <w:rPr>
                        <w:rFonts w:ascii="Calibri" w:hAnsi="Calibri"/>
                        <w:szCs w:val="21"/>
                      </w:rPr>
                      <w:t xml:space="preserve"> Average</w:t>
                    </w:r>
                    <w:r>
                      <w:rPr>
                        <w:rFonts w:ascii="Calibri" w:hAnsi="Calibri"/>
                        <w:szCs w:val="21"/>
                      </w:rPr>
                      <w:t xml:space="preserve"> daily </w:t>
                    </w:r>
                    <w:r w:rsidRPr="00843C05">
                      <w:rPr>
                        <w:rFonts w:ascii="Calibri" w:hAnsi="Calibri"/>
                        <w:szCs w:val="21"/>
                      </w:rPr>
                      <w:t xml:space="preserve">energy balance </w:t>
                    </w:r>
                    <w:r>
                      <w:rPr>
                        <w:rFonts w:ascii="Calibri" w:hAnsi="Calibri"/>
                        <w:szCs w:val="21"/>
                      </w:rPr>
                      <w:t xml:space="preserve">(energy intake – energy expenditure) </w:t>
                    </w:r>
                    <w:r w:rsidRPr="00843C05">
                      <w:rPr>
                        <w:rFonts w:ascii="Calibri" w:hAnsi="Calibri"/>
                        <w:szCs w:val="21"/>
                      </w:rPr>
                      <w:t xml:space="preserve">over the course of the study against </w:t>
                    </w:r>
                    <w:r>
                      <w:rPr>
                        <w:rFonts w:ascii="Calibri" w:hAnsi="Calibri"/>
                        <w:szCs w:val="21"/>
                      </w:rPr>
                      <w:t xml:space="preserve">the </w:t>
                    </w:r>
                    <w:r w:rsidR="00862CAE">
                      <w:rPr>
                        <w:rFonts w:ascii="Calibri" w:hAnsi="Calibri"/>
                        <w:szCs w:val="21"/>
                      </w:rPr>
                      <w:t xml:space="preserve">average rate </w:t>
                    </w:r>
                    <w:r>
                      <w:rPr>
                        <w:rFonts w:ascii="Calibri" w:hAnsi="Calibri"/>
                        <w:szCs w:val="21"/>
                      </w:rPr>
                      <w:t xml:space="preserve">of weight change for lean (BMI </w:t>
                    </w:r>
                    <w:r>
                      <w:rPr>
                        <w:rFonts w:ascii="Calibri" w:hAnsi="Calibri" w:cs="Calibri"/>
                        <w:szCs w:val="21"/>
                      </w:rPr>
                      <w:t>≤</w:t>
                    </w:r>
                    <w:r>
                      <w:rPr>
                        <w:rFonts w:ascii="Calibri" w:hAnsi="Calibri"/>
                        <w:szCs w:val="21"/>
                      </w:rPr>
                      <w:t xml:space="preserve"> 25kg/m</w:t>
                    </w:r>
                    <w:r w:rsidRPr="00306FC3">
                      <w:rPr>
                        <w:rFonts w:ascii="Calibri" w:hAnsi="Calibri"/>
                        <w:szCs w:val="21"/>
                        <w:vertAlign w:val="superscript"/>
                      </w:rPr>
                      <w:t>2</w:t>
                    </w:r>
                    <w:r>
                      <w:rPr>
                        <w:rFonts w:ascii="Calibri" w:hAnsi="Calibri"/>
                        <w:szCs w:val="21"/>
                      </w:rPr>
                      <w:t xml:space="preserve"> </w:t>
                    </w:r>
                    <w:r w:rsidR="000E4884">
                      <w:rPr>
                        <w:rFonts w:ascii="Calibri" w:hAnsi="Calibri"/>
                        <w:szCs w:val="21"/>
                      </w:rPr>
                      <w:sym w:font="Wingdings 3" w:char="F070"/>
                    </w:r>
                    <w:r>
                      <w:rPr>
                        <w:rFonts w:ascii="Calibri" w:hAnsi="Calibri"/>
                        <w:szCs w:val="21"/>
                      </w:rPr>
                      <w:t xml:space="preserve"> and</w:t>
                    </w:r>
                    <w:r w:rsidR="000E4884">
                      <w:rPr>
                        <w:rFonts w:ascii="Calibri" w:hAnsi="Calibri"/>
                        <w:szCs w:val="21"/>
                      </w:rPr>
                      <w:t xml:space="preserve">  </w:t>
                    </w:r>
                    <w:r>
                      <w:rPr>
                        <w:rFonts w:ascii="Calibri" w:hAnsi="Calibri"/>
                        <w:szCs w:val="21"/>
                      </w:rPr>
                      <w:t xml:space="preserve">            ) and overweight (BMI &gt; 25kg/m</w:t>
                    </w:r>
                    <w:r w:rsidRPr="00306FC3">
                      <w:rPr>
                        <w:rFonts w:ascii="Calibri" w:hAnsi="Calibri"/>
                        <w:szCs w:val="21"/>
                        <w:vertAlign w:val="superscript"/>
                      </w:rPr>
                      <w:t>2</w:t>
                    </w:r>
                    <w:r>
                      <w:rPr>
                        <w:rFonts w:ascii="Calibri" w:hAnsi="Calibri"/>
                        <w:szCs w:val="21"/>
                      </w:rPr>
                      <w:t xml:space="preserve">  </w:t>
                    </w:r>
                    <w:r w:rsidR="000E4884">
                      <w:rPr>
                        <w:rFonts w:ascii="Calibri" w:hAnsi="Calibri"/>
                        <w:szCs w:val="21"/>
                      </w:rPr>
                      <w:sym w:font="Wingdings" w:char="F06E"/>
                    </w:r>
                    <w:r>
                      <w:rPr>
                        <w:rFonts w:ascii="Calibri" w:hAnsi="Calibri"/>
                        <w:szCs w:val="21"/>
                      </w:rPr>
                      <w:t xml:space="preserve"> </w:t>
                    </w:r>
                    <w:r w:rsidRPr="00843C05">
                      <w:rPr>
                        <w:rFonts w:ascii="Calibri" w:hAnsi="Calibri"/>
                        <w:szCs w:val="21"/>
                      </w:rPr>
                      <w:t>a</w:t>
                    </w:r>
                    <w:r>
                      <w:rPr>
                        <w:rFonts w:ascii="Calibri" w:hAnsi="Calibri"/>
                        <w:szCs w:val="21"/>
                      </w:rPr>
                      <w:t>nd              ) subjects.</w:t>
                    </w:r>
                  </w:p>
                </w:txbxContent>
              </v:textbox>
            </v:shape>
            <v:shape id="_x0000_s1036" type="#_x0000_t32" style="position:absolute;left:10750;top:10185;width:459;height:1" o:connectortype="straight" o:regroupid="1" strokeweight="2pt"/>
            <v:shape id="_x0000_s1037" type="#_x0000_t32" style="position:absolute;left:6478;top:10185;width:567;height:0" o:connectortype="straight" o:regroupid="1" strokeweight="2pt">
              <v:stroke dashstyle="1 1"/>
            </v:shape>
          </v:group>
        </w:pict>
      </w:r>
      <w:r w:rsidR="00BB3DF0" w:rsidRPr="00BB3DF0">
        <w:rPr>
          <w:noProof/>
          <w:lang w:eastAsia="en-GB"/>
        </w:rPr>
        <w:drawing>
          <wp:inline distT="0" distB="0" distL="0" distR="0">
            <wp:extent cx="7461132" cy="487125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711" cy="486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5FE" w:rsidRDefault="009735FE"/>
    <w:p w:rsidR="00CB768F" w:rsidRDefault="00A24D26">
      <w:r>
        <w:rPr>
          <w:noProof/>
        </w:rPr>
        <w:lastRenderedPageBreak/>
        <w:pict>
          <v:shape id="_x0000_s1039" type="#_x0000_t202" style="position:absolute;margin-left:-.1pt;margin-top:392.75pt;width:680.85pt;height:68.95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stroked="f">
            <v:textbox>
              <w:txbxContent>
                <w:p w:rsidR="0057371F" w:rsidRPr="002F7FB7" w:rsidRDefault="0057371F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F7FB7">
                    <w:rPr>
                      <w:sz w:val="24"/>
                      <w:szCs w:val="24"/>
                    </w:rPr>
                    <w:t>Figure 4.</w:t>
                  </w:r>
                  <w:proofErr w:type="gramEnd"/>
                  <w:r w:rsidRPr="002F7FB7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F7FB7">
                    <w:rPr>
                      <w:sz w:val="24"/>
                      <w:szCs w:val="24"/>
                    </w:rPr>
                    <w:t>Distribution of the observation effect (Laboratory Weighed Intake Overt – Laboratory Weighed Intake Covert)</w:t>
                  </w:r>
                  <w:r w:rsidR="002F7FB7">
                    <w:rPr>
                      <w:sz w:val="24"/>
                      <w:szCs w:val="24"/>
                    </w:rPr>
                    <w:t xml:space="preserve"> on mean daily energy intake </w:t>
                  </w:r>
                  <w:r w:rsidRPr="002F7FB7">
                    <w:rPr>
                      <w:sz w:val="24"/>
                      <w:szCs w:val="24"/>
                    </w:rPr>
                    <w:t>by observed mean daily energy intake (</w:t>
                  </w:r>
                  <w:r w:rsidR="006A1583">
                    <w:rPr>
                      <w:sz w:val="24"/>
                      <w:szCs w:val="24"/>
                    </w:rPr>
                    <w:t xml:space="preserve">mean of </w:t>
                  </w:r>
                  <w:r w:rsidR="006A1583" w:rsidRPr="002F7FB7">
                    <w:rPr>
                      <w:sz w:val="24"/>
                      <w:szCs w:val="24"/>
                    </w:rPr>
                    <w:t xml:space="preserve">Laboratory Weighed Intake Covert </w:t>
                  </w:r>
                  <w:r w:rsidR="006A1583">
                    <w:rPr>
                      <w:sz w:val="24"/>
                      <w:szCs w:val="24"/>
                    </w:rPr>
                    <w:t xml:space="preserve">and </w:t>
                  </w:r>
                  <w:r w:rsidRPr="002F7FB7">
                    <w:rPr>
                      <w:sz w:val="24"/>
                      <w:szCs w:val="24"/>
                    </w:rPr>
                    <w:t>Laboratory Weighed Intake Covert) for the 59 subjects.</w:t>
                  </w:r>
                  <w:proofErr w:type="gramEnd"/>
                </w:p>
              </w:txbxContent>
            </v:textbox>
          </v:shape>
        </w:pict>
      </w:r>
      <w:r w:rsidR="006A1583" w:rsidRPr="006A1583">
        <w:rPr>
          <w:noProof/>
          <w:lang w:eastAsia="en-GB"/>
        </w:rPr>
        <w:drawing>
          <wp:inline distT="0" distB="0" distL="0" distR="0">
            <wp:extent cx="8349343" cy="48933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5226" cy="489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68F" w:rsidRDefault="00CB768F"/>
    <w:p w:rsidR="00CB768F" w:rsidRDefault="00CB768F"/>
    <w:p w:rsidR="00692499" w:rsidRDefault="00A24D26">
      <w:r>
        <w:rPr>
          <w:noProof/>
          <w:lang w:eastAsia="en-GB"/>
        </w:rPr>
        <w:lastRenderedPageBreak/>
        <w:pict>
          <v:shape id="_x0000_s1040" type="#_x0000_t202" style="position:absolute;margin-left:1.4pt;margin-top:229.4pt;width:356.9pt;height:225.7pt;z-index:2516766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stroked="f">
            <v:textbox>
              <w:txbxContent>
                <w:p w:rsidR="0043327B" w:rsidRDefault="002F7FB7" w:rsidP="002F7FB7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F7FB7">
                    <w:rPr>
                      <w:sz w:val="24"/>
                      <w:szCs w:val="24"/>
                    </w:rPr>
                    <w:t xml:space="preserve">Figure </w:t>
                  </w:r>
                  <w:r w:rsidR="001E68A7">
                    <w:rPr>
                      <w:sz w:val="24"/>
                      <w:szCs w:val="24"/>
                    </w:rPr>
                    <w:t>5A</w:t>
                  </w:r>
                  <w:r w:rsidR="0043327B">
                    <w:rPr>
                      <w:sz w:val="24"/>
                      <w:szCs w:val="24"/>
                    </w:rPr>
                    <w:t>.</w:t>
                  </w:r>
                  <w:proofErr w:type="gramEnd"/>
                  <w:r w:rsidR="001E68A7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F7FB7">
                    <w:rPr>
                      <w:sz w:val="24"/>
                      <w:szCs w:val="24"/>
                    </w:rPr>
                    <w:t xml:space="preserve">Distribution of the </w:t>
                  </w:r>
                  <w:r w:rsidR="00264B3B">
                    <w:rPr>
                      <w:sz w:val="24"/>
                      <w:szCs w:val="24"/>
                    </w:rPr>
                    <w:t xml:space="preserve">reporting effect </w:t>
                  </w:r>
                  <w:r w:rsidR="0043327B">
                    <w:rPr>
                      <w:sz w:val="24"/>
                      <w:szCs w:val="24"/>
                    </w:rPr>
                    <w:t xml:space="preserve">on mean daily energy intake </w:t>
                  </w:r>
                  <w:r w:rsidR="00264B3B">
                    <w:rPr>
                      <w:sz w:val="24"/>
                      <w:szCs w:val="24"/>
                    </w:rPr>
                    <w:t xml:space="preserve">of </w:t>
                  </w:r>
                  <w:r w:rsidR="00C957A9">
                    <w:rPr>
                      <w:sz w:val="24"/>
                      <w:szCs w:val="24"/>
                    </w:rPr>
                    <w:t xml:space="preserve">the Weighed Dietary Record method </w:t>
                  </w:r>
                  <w:r w:rsidR="001E68A7">
                    <w:rPr>
                      <w:sz w:val="24"/>
                      <w:szCs w:val="24"/>
                    </w:rPr>
                    <w:t xml:space="preserve">against </w:t>
                  </w:r>
                  <w:r w:rsidR="00C957A9">
                    <w:rPr>
                      <w:sz w:val="24"/>
                      <w:szCs w:val="24"/>
                    </w:rPr>
                    <w:t>mean daily energy intake</w:t>
                  </w:r>
                  <w:r w:rsidR="0043327B">
                    <w:rPr>
                      <w:sz w:val="24"/>
                      <w:szCs w:val="24"/>
                    </w:rPr>
                    <w:t xml:space="preserve"> </w:t>
                  </w:r>
                  <w:r w:rsidR="001E68A7" w:rsidRPr="002F7FB7">
                    <w:rPr>
                      <w:sz w:val="24"/>
                      <w:szCs w:val="24"/>
                    </w:rPr>
                    <w:t>for the 59 subjects.</w:t>
                  </w:r>
                  <w:proofErr w:type="gramEnd"/>
                  <w:r w:rsidR="0043327B">
                    <w:rPr>
                      <w:sz w:val="24"/>
                      <w:szCs w:val="24"/>
                    </w:rPr>
                    <w:t xml:space="preserve"> </w:t>
                  </w:r>
                </w:p>
                <w:p w:rsidR="001E68A7" w:rsidRDefault="0043327B" w:rsidP="002F7F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Reporting effect (Y-axis) is (Weighed Dietary Record - </w:t>
                  </w:r>
                  <w:r w:rsidRPr="002F7FB7">
                    <w:rPr>
                      <w:sz w:val="24"/>
                      <w:szCs w:val="24"/>
                    </w:rPr>
                    <w:t xml:space="preserve">Laboratory Weighed Intake </w:t>
                  </w:r>
                  <w:r>
                    <w:rPr>
                      <w:sz w:val="24"/>
                      <w:szCs w:val="24"/>
                    </w:rPr>
                    <w:t>O</w:t>
                  </w:r>
                  <w:r w:rsidRPr="002F7FB7">
                    <w:rPr>
                      <w:sz w:val="24"/>
                      <w:szCs w:val="24"/>
                    </w:rPr>
                    <w:t>vert</w:t>
                  </w:r>
                  <w:r>
                    <w:rPr>
                      <w:sz w:val="24"/>
                      <w:szCs w:val="24"/>
                    </w:rPr>
                    <w:t xml:space="preserve">) and the X-axis is the mean of (Weighed Dietary Record and </w:t>
                  </w:r>
                  <w:r w:rsidRPr="002F7FB7">
                    <w:rPr>
                      <w:sz w:val="24"/>
                      <w:szCs w:val="24"/>
                    </w:rPr>
                    <w:t xml:space="preserve">Laboratory Weighed Intake </w:t>
                  </w:r>
                  <w:r>
                    <w:rPr>
                      <w:sz w:val="24"/>
                      <w:szCs w:val="24"/>
                    </w:rPr>
                    <w:t>O</w:t>
                  </w:r>
                  <w:r w:rsidRPr="002F7FB7">
                    <w:rPr>
                      <w:sz w:val="24"/>
                      <w:szCs w:val="24"/>
                    </w:rPr>
                    <w:t>vert</w:t>
                  </w:r>
                  <w:r>
                    <w:rPr>
                      <w:sz w:val="24"/>
                      <w:szCs w:val="24"/>
                    </w:rPr>
                    <w:t>).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7" type="#_x0000_t202" style="position:absolute;margin-left:378.5pt;margin-top:229.4pt;width:356.9pt;height:225.7pt;z-index:2516828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stroked="f">
            <v:textbox>
              <w:txbxContent>
                <w:p w:rsidR="0043327B" w:rsidRDefault="0043327B" w:rsidP="0043327B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F7FB7">
                    <w:rPr>
                      <w:sz w:val="24"/>
                      <w:szCs w:val="24"/>
                    </w:rPr>
                    <w:t xml:space="preserve">Figure </w:t>
                  </w:r>
                  <w:r>
                    <w:rPr>
                      <w:sz w:val="24"/>
                      <w:szCs w:val="24"/>
                    </w:rPr>
                    <w:t>5B.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F7FB7">
                    <w:rPr>
                      <w:sz w:val="24"/>
                      <w:szCs w:val="24"/>
                    </w:rPr>
                    <w:t>Distribution of the</w:t>
                  </w:r>
                  <w:r w:rsidRPr="0043327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combined observation and</w:t>
                  </w:r>
                  <w:r w:rsidRPr="002F7FB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reporting effects on mean daily energy intake of the Weighed Dietary Record method against mean daily energy intake </w:t>
                  </w:r>
                  <w:r w:rsidRPr="002F7FB7">
                    <w:rPr>
                      <w:sz w:val="24"/>
                      <w:szCs w:val="24"/>
                    </w:rPr>
                    <w:t>for the 59 subjects.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43327B" w:rsidRDefault="0043327B" w:rsidP="004332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The</w:t>
                  </w:r>
                  <w:r w:rsidRPr="0043327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combined observation and reporting effects (Y-axis) is (Weighed Dietary Record - </w:t>
                  </w:r>
                  <w:r w:rsidRPr="002F7FB7">
                    <w:rPr>
                      <w:sz w:val="24"/>
                      <w:szCs w:val="24"/>
                    </w:rPr>
                    <w:t xml:space="preserve">Laboratory Weighed Intake </w:t>
                  </w:r>
                  <w:r>
                    <w:rPr>
                      <w:sz w:val="24"/>
                      <w:szCs w:val="24"/>
                    </w:rPr>
                    <w:t xml:space="preserve">Covert) and the X-axis is the mean of (Weighed Dietary Record and </w:t>
                  </w:r>
                  <w:r w:rsidRPr="002F7FB7">
                    <w:rPr>
                      <w:sz w:val="24"/>
                      <w:szCs w:val="24"/>
                    </w:rPr>
                    <w:t xml:space="preserve">Laboratory Weighed Intake </w:t>
                  </w:r>
                  <w:r>
                    <w:rPr>
                      <w:sz w:val="24"/>
                      <w:szCs w:val="24"/>
                    </w:rPr>
                    <w:t>Co</w:t>
                  </w:r>
                  <w:r w:rsidRPr="002F7FB7">
                    <w:rPr>
                      <w:sz w:val="24"/>
                      <w:szCs w:val="24"/>
                    </w:rPr>
                    <w:t>vert</w:t>
                  </w:r>
                  <w:r>
                    <w:rPr>
                      <w:sz w:val="24"/>
                      <w:szCs w:val="24"/>
                    </w:rPr>
                    <w:t>).</w:t>
                  </w:r>
                </w:p>
              </w:txbxContent>
            </v:textbox>
          </v:shape>
        </w:pict>
      </w:r>
      <w:r w:rsidR="006A1583" w:rsidRPr="006A1583">
        <w:rPr>
          <w:noProof/>
          <w:lang w:eastAsia="en-GB"/>
        </w:rPr>
        <w:t xml:space="preserve"> </w:t>
      </w:r>
      <w:r w:rsidR="006A1583" w:rsidRPr="006A1583">
        <w:rPr>
          <w:noProof/>
          <w:lang w:eastAsia="en-GB"/>
        </w:rPr>
        <w:drawing>
          <wp:inline distT="0" distB="0" distL="0" distR="0">
            <wp:extent cx="9360000" cy="2660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0000" cy="2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499" w:rsidRDefault="00692499">
      <w:r>
        <w:br w:type="page"/>
      </w:r>
    </w:p>
    <w:p w:rsidR="00692499" w:rsidRDefault="006A1583">
      <w:r w:rsidRPr="006A1583">
        <w:rPr>
          <w:noProof/>
          <w:lang w:eastAsia="en-GB"/>
        </w:rPr>
        <w:lastRenderedPageBreak/>
        <w:t xml:space="preserve"> </w:t>
      </w:r>
      <w:r w:rsidRPr="006A1583">
        <w:rPr>
          <w:noProof/>
          <w:lang w:eastAsia="en-GB"/>
        </w:rPr>
        <w:drawing>
          <wp:inline distT="0" distB="0" distL="0" distR="0">
            <wp:extent cx="9360000" cy="2660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0000" cy="2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499" w:rsidRDefault="00A24D26">
      <w:r>
        <w:rPr>
          <w:noProof/>
          <w:lang w:eastAsia="en-GB"/>
        </w:rPr>
        <w:pict>
          <v:shape id="_x0000_s1049" type="#_x0000_t202" style="position:absolute;margin-left:390.5pt;margin-top:4.5pt;width:356.9pt;height:149.75pt;z-index:2516848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stroked="f">
            <v:textbox>
              <w:txbxContent>
                <w:p w:rsidR="00192FDA" w:rsidRDefault="00192FDA" w:rsidP="00192FDA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F7FB7">
                    <w:rPr>
                      <w:sz w:val="24"/>
                      <w:szCs w:val="24"/>
                    </w:rPr>
                    <w:t xml:space="preserve">Figure </w:t>
                  </w:r>
                  <w:r w:rsidR="00AF72B4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B.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F7FB7">
                    <w:rPr>
                      <w:sz w:val="24"/>
                      <w:szCs w:val="24"/>
                    </w:rPr>
                    <w:t>Distribution of the</w:t>
                  </w:r>
                  <w:r w:rsidRPr="0043327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combined observation and</w:t>
                  </w:r>
                  <w:r w:rsidRPr="002F7FB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reporting effects on mean daily energy intake of the Diet</w:t>
                  </w:r>
                  <w:r w:rsidR="002A14F4">
                    <w:rPr>
                      <w:sz w:val="24"/>
                      <w:szCs w:val="24"/>
                    </w:rPr>
                    <w:t xml:space="preserve"> History</w:t>
                  </w:r>
                  <w:r>
                    <w:rPr>
                      <w:sz w:val="24"/>
                      <w:szCs w:val="24"/>
                    </w:rPr>
                    <w:t xml:space="preserve"> method against mean daily energy intake </w:t>
                  </w:r>
                  <w:r w:rsidRPr="002F7FB7">
                    <w:rPr>
                      <w:sz w:val="24"/>
                      <w:szCs w:val="24"/>
                    </w:rPr>
                    <w:t>for the 59 subjects.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192FDA" w:rsidRDefault="00192FDA" w:rsidP="00192FD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The</w:t>
                  </w:r>
                  <w:r w:rsidRPr="0043327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combined observation and reporting effects (Y-axis) is (</w:t>
                  </w:r>
                  <w:r w:rsidR="002A14F4">
                    <w:rPr>
                      <w:sz w:val="24"/>
                      <w:szCs w:val="24"/>
                    </w:rPr>
                    <w:t>Diet History</w:t>
                  </w:r>
                  <w:r>
                    <w:rPr>
                      <w:sz w:val="24"/>
                      <w:szCs w:val="24"/>
                    </w:rPr>
                    <w:t xml:space="preserve"> - </w:t>
                  </w:r>
                  <w:r w:rsidRPr="002F7FB7">
                    <w:rPr>
                      <w:sz w:val="24"/>
                      <w:szCs w:val="24"/>
                    </w:rPr>
                    <w:t xml:space="preserve">Laboratory Weighed Intake </w:t>
                  </w:r>
                  <w:r>
                    <w:rPr>
                      <w:sz w:val="24"/>
                      <w:szCs w:val="24"/>
                    </w:rPr>
                    <w:t>Covert) and the X-axis is the mean of (</w:t>
                  </w:r>
                  <w:r w:rsidR="002A14F4">
                    <w:rPr>
                      <w:sz w:val="24"/>
                      <w:szCs w:val="24"/>
                    </w:rPr>
                    <w:t xml:space="preserve">Diet History </w:t>
                  </w:r>
                  <w:r>
                    <w:rPr>
                      <w:sz w:val="24"/>
                      <w:szCs w:val="24"/>
                    </w:rPr>
                    <w:t xml:space="preserve">and </w:t>
                  </w:r>
                  <w:r w:rsidRPr="002F7FB7">
                    <w:rPr>
                      <w:sz w:val="24"/>
                      <w:szCs w:val="24"/>
                    </w:rPr>
                    <w:t xml:space="preserve">Laboratory Weighed Intake </w:t>
                  </w:r>
                  <w:r>
                    <w:rPr>
                      <w:sz w:val="24"/>
                      <w:szCs w:val="24"/>
                    </w:rPr>
                    <w:t>Co</w:t>
                  </w:r>
                  <w:r w:rsidRPr="002F7FB7">
                    <w:rPr>
                      <w:sz w:val="24"/>
                      <w:szCs w:val="24"/>
                    </w:rPr>
                    <w:t>vert</w:t>
                  </w:r>
                  <w:r>
                    <w:rPr>
                      <w:sz w:val="24"/>
                      <w:szCs w:val="24"/>
                    </w:rPr>
                    <w:t>).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8" type="#_x0000_t202" style="position:absolute;margin-left:13.4pt;margin-top:4.5pt;width:356.9pt;height:126.4pt;z-index:2516838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stroked="f">
            <v:textbox>
              <w:txbxContent>
                <w:p w:rsidR="00192FDA" w:rsidRDefault="00192FDA" w:rsidP="00192FDA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F7FB7">
                    <w:rPr>
                      <w:sz w:val="24"/>
                      <w:szCs w:val="24"/>
                    </w:rPr>
                    <w:t xml:space="preserve">Figure </w:t>
                  </w:r>
                  <w:r w:rsidR="00AF72B4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A.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F7FB7">
                    <w:rPr>
                      <w:sz w:val="24"/>
                      <w:szCs w:val="24"/>
                    </w:rPr>
                    <w:t xml:space="preserve">Distribution of the </w:t>
                  </w:r>
                  <w:r>
                    <w:rPr>
                      <w:sz w:val="24"/>
                      <w:szCs w:val="24"/>
                    </w:rPr>
                    <w:t xml:space="preserve">reporting effect on mean daily energy intake of the Diet History method against mean daily energy intake </w:t>
                  </w:r>
                  <w:r w:rsidRPr="002F7FB7">
                    <w:rPr>
                      <w:sz w:val="24"/>
                      <w:szCs w:val="24"/>
                    </w:rPr>
                    <w:t>for the 59 subjects.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192FDA" w:rsidRDefault="00192FDA" w:rsidP="00192FD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Reporting effect (Y-axis) is (Diet History - </w:t>
                  </w:r>
                  <w:r w:rsidRPr="002F7FB7">
                    <w:rPr>
                      <w:sz w:val="24"/>
                      <w:szCs w:val="24"/>
                    </w:rPr>
                    <w:t xml:space="preserve">Laboratory Weighed Intake </w:t>
                  </w:r>
                  <w:r>
                    <w:rPr>
                      <w:sz w:val="24"/>
                      <w:szCs w:val="24"/>
                    </w:rPr>
                    <w:t>O</w:t>
                  </w:r>
                  <w:r w:rsidRPr="002F7FB7">
                    <w:rPr>
                      <w:sz w:val="24"/>
                      <w:szCs w:val="24"/>
                    </w:rPr>
                    <w:t>vert</w:t>
                  </w:r>
                  <w:r>
                    <w:rPr>
                      <w:sz w:val="24"/>
                      <w:szCs w:val="24"/>
                    </w:rPr>
                    <w:t xml:space="preserve">) and the X-axis is the mean of (Diet History and </w:t>
                  </w:r>
                  <w:r w:rsidRPr="002F7FB7">
                    <w:rPr>
                      <w:sz w:val="24"/>
                      <w:szCs w:val="24"/>
                    </w:rPr>
                    <w:t xml:space="preserve">Laboratory Weighed Intake </w:t>
                  </w:r>
                  <w:r>
                    <w:rPr>
                      <w:sz w:val="24"/>
                      <w:szCs w:val="24"/>
                    </w:rPr>
                    <w:t>O</w:t>
                  </w:r>
                  <w:r w:rsidRPr="002F7FB7">
                    <w:rPr>
                      <w:sz w:val="24"/>
                      <w:szCs w:val="24"/>
                    </w:rPr>
                    <w:t>vert</w:t>
                  </w:r>
                  <w:r>
                    <w:rPr>
                      <w:sz w:val="24"/>
                      <w:szCs w:val="24"/>
                    </w:rPr>
                    <w:t>).</w:t>
                  </w:r>
                </w:p>
              </w:txbxContent>
            </v:textbox>
          </v:shape>
        </w:pict>
      </w:r>
      <w:r w:rsidR="00692499">
        <w:br w:type="page"/>
      </w:r>
    </w:p>
    <w:p w:rsidR="00692499" w:rsidRDefault="00A24D26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pict>
          <v:shape id="_x0000_s1050" type="#_x0000_t202" style="position:absolute;margin-left:-.25pt;margin-top:215.4pt;width:356.9pt;height:126.4pt;z-index:2516858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stroked="f">
            <v:textbox>
              <w:txbxContent>
                <w:p w:rsidR="002A14F4" w:rsidRDefault="002A14F4" w:rsidP="002A14F4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F7FB7">
                    <w:rPr>
                      <w:sz w:val="24"/>
                      <w:szCs w:val="24"/>
                    </w:rPr>
                    <w:t xml:space="preserve">Figure </w:t>
                  </w:r>
                  <w:r w:rsidR="00AF72B4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A.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F7FB7">
                    <w:rPr>
                      <w:sz w:val="24"/>
                      <w:szCs w:val="24"/>
                    </w:rPr>
                    <w:t xml:space="preserve">Distribution of the </w:t>
                  </w:r>
                  <w:r>
                    <w:rPr>
                      <w:sz w:val="24"/>
                      <w:szCs w:val="24"/>
                    </w:rPr>
                    <w:t xml:space="preserve">reporting effect on mean daily energy intake of the 24-hour recall method against mean daily energy intake </w:t>
                  </w:r>
                  <w:r w:rsidRPr="002F7FB7">
                    <w:rPr>
                      <w:sz w:val="24"/>
                      <w:szCs w:val="24"/>
                    </w:rPr>
                    <w:t>for the 59 subjects.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2A14F4" w:rsidRDefault="002A14F4" w:rsidP="002A14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Reporting effect (Y-axis) is (24-hour recall - </w:t>
                  </w:r>
                  <w:r w:rsidRPr="002F7FB7">
                    <w:rPr>
                      <w:sz w:val="24"/>
                      <w:szCs w:val="24"/>
                    </w:rPr>
                    <w:t xml:space="preserve">Laboratory Weighed Intake </w:t>
                  </w:r>
                  <w:r>
                    <w:rPr>
                      <w:sz w:val="24"/>
                      <w:szCs w:val="24"/>
                    </w:rPr>
                    <w:t>O</w:t>
                  </w:r>
                  <w:r w:rsidRPr="002F7FB7">
                    <w:rPr>
                      <w:sz w:val="24"/>
                      <w:szCs w:val="24"/>
                    </w:rPr>
                    <w:t>vert</w:t>
                  </w:r>
                  <w:r>
                    <w:rPr>
                      <w:sz w:val="24"/>
                      <w:szCs w:val="24"/>
                    </w:rPr>
                    <w:t xml:space="preserve">) and the X-axis is the mean of (24-hour recall and </w:t>
                  </w:r>
                  <w:r w:rsidRPr="002F7FB7">
                    <w:rPr>
                      <w:sz w:val="24"/>
                      <w:szCs w:val="24"/>
                    </w:rPr>
                    <w:t xml:space="preserve">Laboratory Weighed Intake </w:t>
                  </w:r>
                  <w:r>
                    <w:rPr>
                      <w:sz w:val="24"/>
                      <w:szCs w:val="24"/>
                    </w:rPr>
                    <w:t>O</w:t>
                  </w:r>
                  <w:r w:rsidRPr="002F7FB7">
                    <w:rPr>
                      <w:sz w:val="24"/>
                      <w:szCs w:val="24"/>
                    </w:rPr>
                    <w:t>vert</w:t>
                  </w:r>
                  <w:r>
                    <w:rPr>
                      <w:sz w:val="24"/>
                      <w:szCs w:val="24"/>
                    </w:rPr>
                    <w:t>).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1" type="#_x0000_t202" style="position:absolute;margin-left:376.85pt;margin-top:215.4pt;width:356.9pt;height:149.75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stroked="f">
            <v:textbox>
              <w:txbxContent>
                <w:p w:rsidR="002A14F4" w:rsidRDefault="002A14F4" w:rsidP="002A14F4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F7FB7">
                    <w:rPr>
                      <w:sz w:val="24"/>
                      <w:szCs w:val="24"/>
                    </w:rPr>
                    <w:t xml:space="preserve">Figure </w:t>
                  </w:r>
                  <w:r w:rsidR="00AF72B4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B.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F7FB7">
                    <w:rPr>
                      <w:sz w:val="24"/>
                      <w:szCs w:val="24"/>
                    </w:rPr>
                    <w:t>Distribution of the</w:t>
                  </w:r>
                  <w:r w:rsidRPr="0043327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combined observation and</w:t>
                  </w:r>
                  <w:r w:rsidRPr="002F7FB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reporting effects on mean daily energy intake of the 24-hour recall method against mean daily energy intake </w:t>
                  </w:r>
                  <w:r w:rsidRPr="002F7FB7">
                    <w:rPr>
                      <w:sz w:val="24"/>
                      <w:szCs w:val="24"/>
                    </w:rPr>
                    <w:t>for the 59 subjects.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2A14F4" w:rsidRDefault="002A14F4" w:rsidP="002A14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The</w:t>
                  </w:r>
                  <w:r w:rsidRPr="0043327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combined observation and reporting effects (Y-axis) is (24-hour recall - </w:t>
                  </w:r>
                  <w:r w:rsidRPr="002F7FB7">
                    <w:rPr>
                      <w:sz w:val="24"/>
                      <w:szCs w:val="24"/>
                    </w:rPr>
                    <w:t xml:space="preserve">Laboratory Weighed Intake </w:t>
                  </w:r>
                  <w:r>
                    <w:rPr>
                      <w:sz w:val="24"/>
                      <w:szCs w:val="24"/>
                    </w:rPr>
                    <w:t xml:space="preserve">Covert) and the X-axis is the mean of (24-hour recall and </w:t>
                  </w:r>
                  <w:r w:rsidRPr="002F7FB7">
                    <w:rPr>
                      <w:sz w:val="24"/>
                      <w:szCs w:val="24"/>
                    </w:rPr>
                    <w:t xml:space="preserve">Laboratory Weighed Intake </w:t>
                  </w:r>
                  <w:r>
                    <w:rPr>
                      <w:sz w:val="24"/>
                      <w:szCs w:val="24"/>
                    </w:rPr>
                    <w:t>Co</w:t>
                  </w:r>
                  <w:r w:rsidRPr="002F7FB7">
                    <w:rPr>
                      <w:sz w:val="24"/>
                      <w:szCs w:val="24"/>
                    </w:rPr>
                    <w:t>vert</w:t>
                  </w:r>
                  <w:r>
                    <w:rPr>
                      <w:sz w:val="24"/>
                      <w:szCs w:val="24"/>
                    </w:rPr>
                    <w:t>).</w:t>
                  </w:r>
                </w:p>
              </w:txbxContent>
            </v:textbox>
          </v:shape>
        </w:pict>
      </w:r>
      <w:r w:rsidR="006A1583" w:rsidRPr="006A1583">
        <w:rPr>
          <w:noProof/>
          <w:lang w:eastAsia="en-GB"/>
        </w:rPr>
        <w:drawing>
          <wp:inline distT="0" distB="0" distL="0" distR="0">
            <wp:extent cx="9360000" cy="2660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0000" cy="2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83" w:rsidRDefault="006A1583">
      <w:pPr>
        <w:rPr>
          <w:noProof/>
          <w:lang w:eastAsia="en-GB"/>
        </w:rPr>
      </w:pPr>
    </w:p>
    <w:p w:rsidR="006A1583" w:rsidRDefault="006A1583">
      <w:pPr>
        <w:rPr>
          <w:noProof/>
          <w:lang w:eastAsia="en-GB"/>
        </w:rPr>
      </w:pPr>
    </w:p>
    <w:p w:rsidR="006A1583" w:rsidRDefault="006A1583"/>
    <w:p w:rsidR="00692499" w:rsidRDefault="00692499">
      <w:r>
        <w:br w:type="page"/>
      </w:r>
    </w:p>
    <w:p w:rsidR="00692499" w:rsidRDefault="00A24D26">
      <w:r>
        <w:rPr>
          <w:noProof/>
          <w:lang w:eastAsia="en-GB"/>
        </w:rPr>
        <w:lastRenderedPageBreak/>
        <w:pict>
          <v:shape id="_x0000_s1052" type="#_x0000_t202" style="position:absolute;margin-left:-.6pt;margin-top:227.4pt;width:356.9pt;height:126.4pt;z-index:2516879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stroked="f">
            <v:textbox>
              <w:txbxContent>
                <w:p w:rsidR="00AF72B4" w:rsidRDefault="00AF72B4" w:rsidP="00AF72B4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F7FB7">
                    <w:rPr>
                      <w:sz w:val="24"/>
                      <w:szCs w:val="24"/>
                    </w:rPr>
                    <w:t xml:space="preserve">Figure </w:t>
                  </w:r>
                  <w:r>
                    <w:rPr>
                      <w:sz w:val="24"/>
                      <w:szCs w:val="24"/>
                    </w:rPr>
                    <w:t>8A.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F7FB7">
                    <w:rPr>
                      <w:sz w:val="24"/>
                      <w:szCs w:val="24"/>
                    </w:rPr>
                    <w:t xml:space="preserve">Distribution of the </w:t>
                  </w:r>
                  <w:r>
                    <w:rPr>
                      <w:sz w:val="24"/>
                      <w:szCs w:val="24"/>
                    </w:rPr>
                    <w:t xml:space="preserve">reporting effect on mean daily energy intake of the Food Frequency Questionnaire (1) method against mean daily energy intake </w:t>
                  </w:r>
                  <w:r w:rsidRPr="002F7FB7">
                    <w:rPr>
                      <w:sz w:val="24"/>
                      <w:szCs w:val="24"/>
                    </w:rPr>
                    <w:t>for the 59 subjects.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AF72B4" w:rsidRDefault="00AF72B4" w:rsidP="00AF72B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Reporting effect (Y-axis) is (Food Frequency Questionnaire (1) - </w:t>
                  </w:r>
                  <w:r w:rsidRPr="002F7FB7">
                    <w:rPr>
                      <w:sz w:val="24"/>
                      <w:szCs w:val="24"/>
                    </w:rPr>
                    <w:t xml:space="preserve">Laboratory Weighed Intake </w:t>
                  </w:r>
                  <w:r>
                    <w:rPr>
                      <w:sz w:val="24"/>
                      <w:szCs w:val="24"/>
                    </w:rPr>
                    <w:t>O</w:t>
                  </w:r>
                  <w:r w:rsidRPr="002F7FB7">
                    <w:rPr>
                      <w:sz w:val="24"/>
                      <w:szCs w:val="24"/>
                    </w:rPr>
                    <w:t>vert</w:t>
                  </w:r>
                  <w:r>
                    <w:rPr>
                      <w:sz w:val="24"/>
                      <w:szCs w:val="24"/>
                    </w:rPr>
                    <w:t xml:space="preserve">) and the X-axis is the mean of (Food Frequency Questionnaire (1) and </w:t>
                  </w:r>
                  <w:r w:rsidRPr="002F7FB7">
                    <w:rPr>
                      <w:sz w:val="24"/>
                      <w:szCs w:val="24"/>
                    </w:rPr>
                    <w:t xml:space="preserve">Laboratory Weighed Intake </w:t>
                  </w:r>
                  <w:r>
                    <w:rPr>
                      <w:sz w:val="24"/>
                      <w:szCs w:val="24"/>
                    </w:rPr>
                    <w:t>O</w:t>
                  </w:r>
                  <w:r w:rsidRPr="002F7FB7">
                    <w:rPr>
                      <w:sz w:val="24"/>
                      <w:szCs w:val="24"/>
                    </w:rPr>
                    <w:t>vert</w:t>
                  </w:r>
                  <w:r>
                    <w:rPr>
                      <w:sz w:val="24"/>
                      <w:szCs w:val="24"/>
                    </w:rPr>
                    <w:t>).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3" type="#_x0000_t202" style="position:absolute;margin-left:376.5pt;margin-top:227.4pt;width:356.9pt;height:149.75pt;z-index:2516889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stroked="f">
            <v:textbox>
              <w:txbxContent>
                <w:p w:rsidR="00AF72B4" w:rsidRDefault="00AF72B4" w:rsidP="00AF72B4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F7FB7">
                    <w:rPr>
                      <w:sz w:val="24"/>
                      <w:szCs w:val="24"/>
                    </w:rPr>
                    <w:t xml:space="preserve">Figure </w:t>
                  </w:r>
                  <w:r>
                    <w:rPr>
                      <w:sz w:val="24"/>
                      <w:szCs w:val="24"/>
                    </w:rPr>
                    <w:t>8B.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F7FB7">
                    <w:rPr>
                      <w:sz w:val="24"/>
                      <w:szCs w:val="24"/>
                    </w:rPr>
                    <w:t>Distribution of the</w:t>
                  </w:r>
                  <w:r w:rsidRPr="0043327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combined observation and</w:t>
                  </w:r>
                  <w:r w:rsidRPr="002F7FB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reporting effects on mean daily energy intake of the Food Frequency Questionnaire (1) method against mean daily energy intake </w:t>
                  </w:r>
                  <w:r w:rsidRPr="002F7FB7">
                    <w:rPr>
                      <w:sz w:val="24"/>
                      <w:szCs w:val="24"/>
                    </w:rPr>
                    <w:t>for the 59 subjects.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AF72B4" w:rsidRDefault="00AF72B4" w:rsidP="00AF72B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The</w:t>
                  </w:r>
                  <w:r w:rsidRPr="0043327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combined observation and reporting effects (Y-axis) is (Food Frequency Questionnaire (1) - </w:t>
                  </w:r>
                  <w:r w:rsidRPr="002F7FB7">
                    <w:rPr>
                      <w:sz w:val="24"/>
                      <w:szCs w:val="24"/>
                    </w:rPr>
                    <w:t xml:space="preserve">Laboratory Weighed Intake </w:t>
                  </w:r>
                  <w:r>
                    <w:rPr>
                      <w:sz w:val="24"/>
                      <w:szCs w:val="24"/>
                    </w:rPr>
                    <w:t xml:space="preserve">Covert) and the X-axis is the mean of (Food Frequency Questionnaire (1) and </w:t>
                  </w:r>
                  <w:r w:rsidRPr="002F7FB7">
                    <w:rPr>
                      <w:sz w:val="24"/>
                      <w:szCs w:val="24"/>
                    </w:rPr>
                    <w:t xml:space="preserve">Laboratory Weighed Intake </w:t>
                  </w:r>
                  <w:r>
                    <w:rPr>
                      <w:sz w:val="24"/>
                      <w:szCs w:val="24"/>
                    </w:rPr>
                    <w:t>Co</w:t>
                  </w:r>
                  <w:r w:rsidRPr="002F7FB7">
                    <w:rPr>
                      <w:sz w:val="24"/>
                      <w:szCs w:val="24"/>
                    </w:rPr>
                    <w:t>vert</w:t>
                  </w:r>
                  <w:r>
                    <w:rPr>
                      <w:sz w:val="24"/>
                      <w:szCs w:val="24"/>
                    </w:rPr>
                    <w:t>).</w:t>
                  </w:r>
                </w:p>
              </w:txbxContent>
            </v:textbox>
          </v:shape>
        </w:pict>
      </w:r>
      <w:r w:rsidR="006A1583" w:rsidRPr="006A1583">
        <w:rPr>
          <w:noProof/>
          <w:lang w:eastAsia="en-GB"/>
        </w:rPr>
        <w:t xml:space="preserve"> </w:t>
      </w:r>
      <w:r w:rsidR="006A1583" w:rsidRPr="006A1583">
        <w:rPr>
          <w:noProof/>
          <w:lang w:eastAsia="en-GB"/>
        </w:rPr>
        <w:drawing>
          <wp:inline distT="0" distB="0" distL="0" distR="0">
            <wp:extent cx="9360000" cy="2581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0000" cy="25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499" w:rsidRDefault="00692499">
      <w:r>
        <w:br w:type="page"/>
      </w:r>
    </w:p>
    <w:p w:rsidR="00CB768F" w:rsidRDefault="006A1583">
      <w:r w:rsidRPr="006A1583">
        <w:rPr>
          <w:noProof/>
          <w:lang w:eastAsia="en-GB"/>
        </w:rPr>
        <w:lastRenderedPageBreak/>
        <w:t xml:space="preserve"> </w:t>
      </w:r>
      <w:r w:rsidRPr="006A1583">
        <w:rPr>
          <w:noProof/>
          <w:lang w:eastAsia="en-GB"/>
        </w:rPr>
        <w:drawing>
          <wp:inline distT="0" distB="0" distL="0" distR="0">
            <wp:extent cx="9360000" cy="2638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0000" cy="2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68F" w:rsidRDefault="00A24D26">
      <w:r>
        <w:rPr>
          <w:noProof/>
          <w:lang w:eastAsia="en-GB"/>
        </w:rPr>
        <w:pict>
          <v:shape id="_x0000_s1054" type="#_x0000_t202" style="position:absolute;margin-left:-1.9pt;margin-top:4.2pt;width:356.9pt;height:126.4pt;z-index:2516899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stroked="f">
            <v:textbox>
              <w:txbxContent>
                <w:p w:rsidR="00AF72B4" w:rsidRDefault="00AF72B4" w:rsidP="00AF72B4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F7FB7">
                    <w:rPr>
                      <w:sz w:val="24"/>
                      <w:szCs w:val="24"/>
                    </w:rPr>
                    <w:t xml:space="preserve">Figure </w:t>
                  </w:r>
                  <w:r w:rsidR="00A81A40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A.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F7FB7">
                    <w:rPr>
                      <w:sz w:val="24"/>
                      <w:szCs w:val="24"/>
                    </w:rPr>
                    <w:t xml:space="preserve">Distribution of the </w:t>
                  </w:r>
                  <w:r>
                    <w:rPr>
                      <w:sz w:val="24"/>
                      <w:szCs w:val="24"/>
                    </w:rPr>
                    <w:t xml:space="preserve">reporting effect on mean daily energy intake of the </w:t>
                  </w:r>
                  <w:r w:rsidR="00A81A40">
                    <w:rPr>
                      <w:sz w:val="24"/>
                      <w:szCs w:val="24"/>
                    </w:rPr>
                    <w:t>Food Frequency Questionnaire (2</w:t>
                  </w:r>
                  <w:r>
                    <w:rPr>
                      <w:sz w:val="24"/>
                      <w:szCs w:val="24"/>
                    </w:rPr>
                    <w:t xml:space="preserve">) method against mean daily energy intake </w:t>
                  </w:r>
                  <w:r w:rsidRPr="002F7FB7">
                    <w:rPr>
                      <w:sz w:val="24"/>
                      <w:szCs w:val="24"/>
                    </w:rPr>
                    <w:t>for the 59 subjects.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AF72B4" w:rsidRDefault="00AF72B4" w:rsidP="00AF72B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Reporting effect (Y-axis) is (</w:t>
                  </w:r>
                  <w:r w:rsidR="00A81A40">
                    <w:rPr>
                      <w:sz w:val="24"/>
                      <w:szCs w:val="24"/>
                    </w:rPr>
                    <w:t>Food Frequency Questionnaire (2</w:t>
                  </w:r>
                  <w:r>
                    <w:rPr>
                      <w:sz w:val="24"/>
                      <w:szCs w:val="24"/>
                    </w:rPr>
                    <w:t xml:space="preserve">) - </w:t>
                  </w:r>
                  <w:r w:rsidRPr="002F7FB7">
                    <w:rPr>
                      <w:sz w:val="24"/>
                      <w:szCs w:val="24"/>
                    </w:rPr>
                    <w:t xml:space="preserve">Laboratory Weighed Intake </w:t>
                  </w:r>
                  <w:r>
                    <w:rPr>
                      <w:sz w:val="24"/>
                      <w:szCs w:val="24"/>
                    </w:rPr>
                    <w:t>O</w:t>
                  </w:r>
                  <w:r w:rsidRPr="002F7FB7">
                    <w:rPr>
                      <w:sz w:val="24"/>
                      <w:szCs w:val="24"/>
                    </w:rPr>
                    <w:t>vert</w:t>
                  </w:r>
                  <w:r>
                    <w:rPr>
                      <w:sz w:val="24"/>
                      <w:szCs w:val="24"/>
                    </w:rPr>
                    <w:t>) and the X-axis is the mean of (</w:t>
                  </w:r>
                  <w:r w:rsidR="00A81A40">
                    <w:rPr>
                      <w:sz w:val="24"/>
                      <w:szCs w:val="24"/>
                    </w:rPr>
                    <w:t>Food Frequency Questionnaire (2</w:t>
                  </w:r>
                  <w:r>
                    <w:rPr>
                      <w:sz w:val="24"/>
                      <w:szCs w:val="24"/>
                    </w:rPr>
                    <w:t xml:space="preserve">) and </w:t>
                  </w:r>
                  <w:r w:rsidRPr="002F7FB7">
                    <w:rPr>
                      <w:sz w:val="24"/>
                      <w:szCs w:val="24"/>
                    </w:rPr>
                    <w:t xml:space="preserve">Laboratory Weighed Intake </w:t>
                  </w:r>
                  <w:r>
                    <w:rPr>
                      <w:sz w:val="24"/>
                      <w:szCs w:val="24"/>
                    </w:rPr>
                    <w:t>O</w:t>
                  </w:r>
                  <w:r w:rsidRPr="002F7FB7">
                    <w:rPr>
                      <w:sz w:val="24"/>
                      <w:szCs w:val="24"/>
                    </w:rPr>
                    <w:t>vert</w:t>
                  </w:r>
                  <w:r>
                    <w:rPr>
                      <w:sz w:val="24"/>
                      <w:szCs w:val="24"/>
                    </w:rPr>
                    <w:t>).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5" type="#_x0000_t202" style="position:absolute;margin-left:375.2pt;margin-top:4.2pt;width:356.9pt;height:149.75pt;z-index:2516910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stroked="f">
            <v:textbox>
              <w:txbxContent>
                <w:p w:rsidR="00AF72B4" w:rsidRDefault="00AF72B4" w:rsidP="00AF72B4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F7FB7">
                    <w:rPr>
                      <w:sz w:val="24"/>
                      <w:szCs w:val="24"/>
                    </w:rPr>
                    <w:t xml:space="preserve">Figure </w:t>
                  </w:r>
                  <w:r w:rsidR="00A81A40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B.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F7FB7">
                    <w:rPr>
                      <w:sz w:val="24"/>
                      <w:szCs w:val="24"/>
                    </w:rPr>
                    <w:t>Distribution of the</w:t>
                  </w:r>
                  <w:r w:rsidRPr="0043327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combined observation and</w:t>
                  </w:r>
                  <w:r w:rsidRPr="002F7FB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reporting effects on mean daily energy intake of the </w:t>
                  </w:r>
                  <w:r w:rsidR="00A81A40">
                    <w:rPr>
                      <w:sz w:val="24"/>
                      <w:szCs w:val="24"/>
                    </w:rPr>
                    <w:t>Food Frequency Questionnaire (2</w:t>
                  </w:r>
                  <w:r>
                    <w:rPr>
                      <w:sz w:val="24"/>
                      <w:szCs w:val="24"/>
                    </w:rPr>
                    <w:t xml:space="preserve">) method against mean daily energy intake </w:t>
                  </w:r>
                  <w:r w:rsidRPr="002F7FB7">
                    <w:rPr>
                      <w:sz w:val="24"/>
                      <w:szCs w:val="24"/>
                    </w:rPr>
                    <w:t>for the 59 subjects.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AF72B4" w:rsidRDefault="00AF72B4" w:rsidP="00AF72B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The</w:t>
                  </w:r>
                  <w:r w:rsidRPr="0043327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combined observation and reporting effects (Y-axis) is (</w:t>
                  </w:r>
                  <w:r w:rsidR="00A81A40">
                    <w:rPr>
                      <w:sz w:val="24"/>
                      <w:szCs w:val="24"/>
                    </w:rPr>
                    <w:t>Food Frequency Questionnaire (2</w:t>
                  </w:r>
                  <w:r>
                    <w:rPr>
                      <w:sz w:val="24"/>
                      <w:szCs w:val="24"/>
                    </w:rPr>
                    <w:t xml:space="preserve">) - </w:t>
                  </w:r>
                  <w:r w:rsidRPr="002F7FB7">
                    <w:rPr>
                      <w:sz w:val="24"/>
                      <w:szCs w:val="24"/>
                    </w:rPr>
                    <w:t xml:space="preserve">Laboratory Weighed Intake </w:t>
                  </w:r>
                  <w:r>
                    <w:rPr>
                      <w:sz w:val="24"/>
                      <w:szCs w:val="24"/>
                    </w:rPr>
                    <w:t>Covert) and the X-axis is the mean of (</w:t>
                  </w:r>
                  <w:r w:rsidR="00A81A40">
                    <w:rPr>
                      <w:sz w:val="24"/>
                      <w:szCs w:val="24"/>
                    </w:rPr>
                    <w:t>Food Frequency Questionnaire (2</w:t>
                  </w:r>
                  <w:r>
                    <w:rPr>
                      <w:sz w:val="24"/>
                      <w:szCs w:val="24"/>
                    </w:rPr>
                    <w:t xml:space="preserve">) and </w:t>
                  </w:r>
                  <w:r w:rsidRPr="002F7FB7">
                    <w:rPr>
                      <w:sz w:val="24"/>
                      <w:szCs w:val="24"/>
                    </w:rPr>
                    <w:t xml:space="preserve">Laboratory Weighed Intake </w:t>
                  </w:r>
                  <w:r>
                    <w:rPr>
                      <w:sz w:val="24"/>
                      <w:szCs w:val="24"/>
                    </w:rPr>
                    <w:t>Co</w:t>
                  </w:r>
                  <w:r w:rsidRPr="002F7FB7">
                    <w:rPr>
                      <w:sz w:val="24"/>
                      <w:szCs w:val="24"/>
                    </w:rPr>
                    <w:t>vert</w:t>
                  </w:r>
                  <w:r>
                    <w:rPr>
                      <w:sz w:val="24"/>
                      <w:szCs w:val="24"/>
                    </w:rPr>
                    <w:t>).</w:t>
                  </w:r>
                </w:p>
              </w:txbxContent>
            </v:textbox>
          </v:shape>
        </w:pict>
      </w:r>
    </w:p>
    <w:sectPr w:rsidR="00CB768F" w:rsidSect="00BF1F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0103"/>
    <w:rsid w:val="00001A2F"/>
    <w:rsid w:val="00001C06"/>
    <w:rsid w:val="00025FFE"/>
    <w:rsid w:val="00045472"/>
    <w:rsid w:val="00061284"/>
    <w:rsid w:val="000A10D1"/>
    <w:rsid w:val="000D134A"/>
    <w:rsid w:val="000E4884"/>
    <w:rsid w:val="00100103"/>
    <w:rsid w:val="0010320B"/>
    <w:rsid w:val="00125B5F"/>
    <w:rsid w:val="0014348F"/>
    <w:rsid w:val="00192FDA"/>
    <w:rsid w:val="001E68A7"/>
    <w:rsid w:val="00212383"/>
    <w:rsid w:val="002467D1"/>
    <w:rsid w:val="002617CD"/>
    <w:rsid w:val="00262B1B"/>
    <w:rsid w:val="00264B3B"/>
    <w:rsid w:val="00274E6A"/>
    <w:rsid w:val="00275C77"/>
    <w:rsid w:val="00286CCF"/>
    <w:rsid w:val="00286ED1"/>
    <w:rsid w:val="002A14F4"/>
    <w:rsid w:val="002D26AC"/>
    <w:rsid w:val="002D5611"/>
    <w:rsid w:val="002E7393"/>
    <w:rsid w:val="002F7FB7"/>
    <w:rsid w:val="00306FC3"/>
    <w:rsid w:val="0033534C"/>
    <w:rsid w:val="00356D9C"/>
    <w:rsid w:val="0037456A"/>
    <w:rsid w:val="003929AB"/>
    <w:rsid w:val="003B2CCC"/>
    <w:rsid w:val="003C6D55"/>
    <w:rsid w:val="003F6B1B"/>
    <w:rsid w:val="0040039C"/>
    <w:rsid w:val="004042E8"/>
    <w:rsid w:val="0043327B"/>
    <w:rsid w:val="00434F8B"/>
    <w:rsid w:val="0044351D"/>
    <w:rsid w:val="004A1E78"/>
    <w:rsid w:val="004D505E"/>
    <w:rsid w:val="005249E1"/>
    <w:rsid w:val="0057371F"/>
    <w:rsid w:val="00583D9C"/>
    <w:rsid w:val="0059394E"/>
    <w:rsid w:val="005F62E2"/>
    <w:rsid w:val="00665095"/>
    <w:rsid w:val="00671EA1"/>
    <w:rsid w:val="00692499"/>
    <w:rsid w:val="006A1583"/>
    <w:rsid w:val="006D14C6"/>
    <w:rsid w:val="006F122B"/>
    <w:rsid w:val="00717E25"/>
    <w:rsid w:val="00726EB5"/>
    <w:rsid w:val="00755B9A"/>
    <w:rsid w:val="00774F72"/>
    <w:rsid w:val="007C32E7"/>
    <w:rsid w:val="007E3370"/>
    <w:rsid w:val="007E338A"/>
    <w:rsid w:val="00804929"/>
    <w:rsid w:val="00843C05"/>
    <w:rsid w:val="00862CAE"/>
    <w:rsid w:val="00873BB9"/>
    <w:rsid w:val="008801A2"/>
    <w:rsid w:val="008B2D2B"/>
    <w:rsid w:val="008C1EE9"/>
    <w:rsid w:val="008D4157"/>
    <w:rsid w:val="008E66B8"/>
    <w:rsid w:val="00924DAC"/>
    <w:rsid w:val="00946C19"/>
    <w:rsid w:val="009735FE"/>
    <w:rsid w:val="00976137"/>
    <w:rsid w:val="00983A3B"/>
    <w:rsid w:val="009B760A"/>
    <w:rsid w:val="009C7F25"/>
    <w:rsid w:val="009D19CD"/>
    <w:rsid w:val="009E7E37"/>
    <w:rsid w:val="009F0A02"/>
    <w:rsid w:val="00A13F5A"/>
    <w:rsid w:val="00A24B8B"/>
    <w:rsid w:val="00A24D26"/>
    <w:rsid w:val="00A36537"/>
    <w:rsid w:val="00A81A40"/>
    <w:rsid w:val="00AA3925"/>
    <w:rsid w:val="00AB5624"/>
    <w:rsid w:val="00AC20DD"/>
    <w:rsid w:val="00AD16F7"/>
    <w:rsid w:val="00AE0E2B"/>
    <w:rsid w:val="00AF72B4"/>
    <w:rsid w:val="00B005C7"/>
    <w:rsid w:val="00B24594"/>
    <w:rsid w:val="00B34045"/>
    <w:rsid w:val="00B45FC9"/>
    <w:rsid w:val="00B74169"/>
    <w:rsid w:val="00B777E3"/>
    <w:rsid w:val="00BB3DF0"/>
    <w:rsid w:val="00BD62BA"/>
    <w:rsid w:val="00BF1F96"/>
    <w:rsid w:val="00BF4F7C"/>
    <w:rsid w:val="00C4393E"/>
    <w:rsid w:val="00C674FD"/>
    <w:rsid w:val="00C72F1B"/>
    <w:rsid w:val="00C7796C"/>
    <w:rsid w:val="00C869D2"/>
    <w:rsid w:val="00C957A9"/>
    <w:rsid w:val="00CB768F"/>
    <w:rsid w:val="00CF3621"/>
    <w:rsid w:val="00CF7075"/>
    <w:rsid w:val="00D17A86"/>
    <w:rsid w:val="00D37ABD"/>
    <w:rsid w:val="00D417E1"/>
    <w:rsid w:val="00D61B42"/>
    <w:rsid w:val="00D80BD6"/>
    <w:rsid w:val="00DB4AB8"/>
    <w:rsid w:val="00DE72FB"/>
    <w:rsid w:val="00E006E3"/>
    <w:rsid w:val="00E07827"/>
    <w:rsid w:val="00E07B73"/>
    <w:rsid w:val="00E5205D"/>
    <w:rsid w:val="00E63B32"/>
    <w:rsid w:val="00E9414A"/>
    <w:rsid w:val="00EA4A50"/>
    <w:rsid w:val="00EB76F4"/>
    <w:rsid w:val="00EC4713"/>
    <w:rsid w:val="00EF1C3B"/>
    <w:rsid w:val="00EF38D3"/>
    <w:rsid w:val="00FC3BCD"/>
    <w:rsid w:val="00FC4735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5" type="connector" idref="#_x0000_s1032"/>
        <o:r id="V:Rule6" type="connector" idref="#_x0000_s1037"/>
        <o:r id="V:Rule7" type="connector" idref="#_x0000_s1031"/>
        <o:r id="V:Rule8" type="connector" idref="#_x0000_s1036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02"/>
  </w:style>
  <w:style w:type="paragraph" w:styleId="Heading1">
    <w:name w:val="heading 1"/>
    <w:basedOn w:val="Normal"/>
    <w:next w:val="Normal"/>
    <w:link w:val="Heading1Char"/>
    <w:qFormat/>
    <w:rsid w:val="002467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E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10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0010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0103"/>
    <w:rPr>
      <w:rFonts w:ascii="Calibri" w:hAnsi="Calibri"/>
      <w:szCs w:val="21"/>
    </w:rPr>
  </w:style>
  <w:style w:type="paragraph" w:styleId="BodyText2">
    <w:name w:val="Body Text 2"/>
    <w:basedOn w:val="Normal"/>
    <w:link w:val="BodyText2Char"/>
    <w:semiHidden/>
    <w:rsid w:val="00717E25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17E2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6A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467D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843C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43C05"/>
  </w:style>
  <w:style w:type="paragraph" w:customStyle="1" w:styleId="SenderAddress">
    <w:name w:val="Sender Address"/>
    <w:link w:val="SenderAddressChar"/>
    <w:qFormat/>
    <w:rsid w:val="00D37ABD"/>
    <w:pPr>
      <w:spacing w:after="0" w:line="220" w:lineRule="exact"/>
      <w:contextualSpacing/>
      <w:jc w:val="right"/>
    </w:pPr>
    <w:rPr>
      <w:rFonts w:cs="Times New Roman"/>
      <w:color w:val="000000" w:themeColor="text1"/>
      <w:sz w:val="18"/>
      <w:szCs w:val="24"/>
    </w:rPr>
  </w:style>
  <w:style w:type="character" w:customStyle="1" w:styleId="SenderAddressChar">
    <w:name w:val="Sender Address Char"/>
    <w:basedOn w:val="DefaultParagraphFont"/>
    <w:link w:val="SenderAddress"/>
    <w:rsid w:val="00D37ABD"/>
    <w:rPr>
      <w:rFonts w:cs="Times New Roman"/>
      <w:color w:val="000000" w:themeColor="text1"/>
      <w:sz w:val="18"/>
      <w:szCs w:val="24"/>
    </w:rPr>
  </w:style>
  <w:style w:type="paragraph" w:customStyle="1" w:styleId="SenderAddressCountry">
    <w:name w:val="Sender Address Country"/>
    <w:basedOn w:val="SenderAddress"/>
    <w:link w:val="SenderAddressCountryChar"/>
    <w:uiPriority w:val="8"/>
    <w:rsid w:val="00D37ABD"/>
    <w:pPr>
      <w:spacing w:after="57"/>
      <w:contextualSpacing w:val="0"/>
    </w:pPr>
  </w:style>
  <w:style w:type="character" w:customStyle="1" w:styleId="SenderAddressCountryChar">
    <w:name w:val="Sender Address Country Char"/>
    <w:basedOn w:val="SenderAddressChar"/>
    <w:link w:val="SenderAddressCountry"/>
    <w:uiPriority w:val="8"/>
    <w:rsid w:val="00D37ABD"/>
    <w:rPr>
      <w:rFonts w:cs="Times New Roman"/>
      <w:color w:val="000000" w:themeColor="text1"/>
      <w:sz w:val="18"/>
      <w:szCs w:val="24"/>
    </w:rPr>
  </w:style>
  <w:style w:type="paragraph" w:customStyle="1" w:styleId="RecipientAddress">
    <w:name w:val="Recipient Address"/>
    <w:link w:val="RecipientAddressChar"/>
    <w:uiPriority w:val="1"/>
    <w:rsid w:val="00D37ABD"/>
    <w:pPr>
      <w:spacing w:after="0" w:line="280" w:lineRule="exact"/>
    </w:pPr>
    <w:rPr>
      <w:rFonts w:cs="Times New Roman"/>
      <w:color w:val="000000" w:themeColor="text1"/>
      <w:sz w:val="24"/>
      <w:szCs w:val="24"/>
    </w:rPr>
  </w:style>
  <w:style w:type="character" w:customStyle="1" w:styleId="RecipientAddressChar">
    <w:name w:val="Recipient Address Char"/>
    <w:basedOn w:val="DefaultParagraphFont"/>
    <w:link w:val="RecipientAddress"/>
    <w:uiPriority w:val="1"/>
    <w:rsid w:val="00D37ABD"/>
    <w:rPr>
      <w:rFonts w:cs="Times New Roman"/>
      <w:color w:val="000000" w:themeColor="text1"/>
      <w:sz w:val="24"/>
      <w:szCs w:val="24"/>
    </w:rPr>
  </w:style>
  <w:style w:type="paragraph" w:customStyle="1" w:styleId="RecipientAddress6">
    <w:name w:val="Recipient Address 6"/>
    <w:basedOn w:val="RecipientAddress"/>
    <w:link w:val="RecipientAddress6Char"/>
    <w:uiPriority w:val="1"/>
    <w:rsid w:val="00D37ABD"/>
    <w:pPr>
      <w:spacing w:after="600"/>
    </w:pPr>
  </w:style>
  <w:style w:type="character" w:customStyle="1" w:styleId="RecipientAddress6Char">
    <w:name w:val="Recipient Address 6 Char"/>
    <w:basedOn w:val="RecipientAddressChar"/>
    <w:link w:val="RecipientAddress6"/>
    <w:uiPriority w:val="1"/>
    <w:rsid w:val="00D37ABD"/>
    <w:rPr>
      <w:rFonts w:cs="Times New Roman"/>
      <w:color w:val="000000" w:themeColor="text1"/>
      <w:sz w:val="24"/>
      <w:szCs w:val="24"/>
    </w:rPr>
  </w:style>
  <w:style w:type="paragraph" w:customStyle="1" w:styleId="SenderName">
    <w:name w:val="Sender Name"/>
    <w:basedOn w:val="Normal"/>
    <w:link w:val="SenderNameChar"/>
    <w:uiPriority w:val="4"/>
    <w:rsid w:val="003929AB"/>
    <w:pPr>
      <w:spacing w:after="0" w:line="280" w:lineRule="exact"/>
    </w:pPr>
    <w:rPr>
      <w:rFonts w:cs="Times New Roman"/>
      <w:b/>
      <w:color w:val="000000" w:themeColor="text1"/>
      <w:sz w:val="24"/>
      <w:szCs w:val="24"/>
    </w:rPr>
  </w:style>
  <w:style w:type="character" w:customStyle="1" w:styleId="SenderNameChar">
    <w:name w:val="Sender Name Char"/>
    <w:basedOn w:val="DefaultParagraphFont"/>
    <w:link w:val="SenderName"/>
    <w:uiPriority w:val="4"/>
    <w:rsid w:val="003929AB"/>
    <w:rPr>
      <w:rFonts w:cs="Times New Roman"/>
      <w:b/>
      <w:color w:val="000000" w:themeColor="text1"/>
      <w:sz w:val="24"/>
      <w:szCs w:val="24"/>
    </w:rPr>
  </w:style>
  <w:style w:type="paragraph" w:customStyle="1" w:styleId="ComplimentaryClose">
    <w:name w:val="Complimentary Close"/>
    <w:basedOn w:val="RecipientAddress"/>
    <w:link w:val="ComplimentaryCloseChar"/>
    <w:uiPriority w:val="4"/>
    <w:rsid w:val="003929AB"/>
    <w:pPr>
      <w:spacing w:after="1600"/>
    </w:pPr>
  </w:style>
  <w:style w:type="character" w:customStyle="1" w:styleId="ComplimentaryCloseChar">
    <w:name w:val="Complimentary Close Char"/>
    <w:basedOn w:val="RecipientAddressChar"/>
    <w:link w:val="ComplimentaryClose"/>
    <w:uiPriority w:val="4"/>
    <w:rsid w:val="003929AB"/>
    <w:rPr>
      <w:rFonts w:cs="Times New Roman"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EA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0D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ation-abbreviation">
    <w:name w:val="citation-abbreviation"/>
    <w:basedOn w:val="DefaultParagraphFont"/>
    <w:rsid w:val="0010320B"/>
  </w:style>
  <w:style w:type="character" w:customStyle="1" w:styleId="citation-publication-date">
    <w:name w:val="citation-publication-date"/>
    <w:basedOn w:val="DefaultParagraphFont"/>
    <w:rsid w:val="0010320B"/>
  </w:style>
  <w:style w:type="character" w:customStyle="1" w:styleId="citation-volume">
    <w:name w:val="citation-volume"/>
    <w:basedOn w:val="DefaultParagraphFont"/>
    <w:rsid w:val="0010320B"/>
  </w:style>
  <w:style w:type="character" w:customStyle="1" w:styleId="citation-issue">
    <w:name w:val="citation-issue"/>
    <w:basedOn w:val="DefaultParagraphFont"/>
    <w:rsid w:val="0010320B"/>
  </w:style>
  <w:style w:type="character" w:customStyle="1" w:styleId="citation-flpages">
    <w:name w:val="citation-flpages"/>
    <w:basedOn w:val="DefaultParagraphFont"/>
    <w:rsid w:val="00103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10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0010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0103"/>
    <w:rPr>
      <w:rFonts w:ascii="Calibri" w:hAnsi="Calibri"/>
      <w:szCs w:val="21"/>
    </w:rPr>
  </w:style>
  <w:style w:type="paragraph" w:styleId="BodyText2">
    <w:name w:val="Body Text 2"/>
    <w:basedOn w:val="Normal"/>
    <w:link w:val="BodyText2Char"/>
    <w:semiHidden/>
    <w:rsid w:val="00717E25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17E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1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6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7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80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33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9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0502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548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923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6308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87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entrez/eutils/elink.fcgi?dbfrom=pubmed&amp;retmode=ref&amp;cmd=prlinks&amp;id=17848938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ture.com/ijo/journal/v32/n3/abs/0803720a.html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hyperlink" Target="http://scholar.google.co.uk/citations?user=IjF7k8UAAAAJ&amp;hl=en&amp;oi=sra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5C927-C6DA-4F12-B832-AAB4BD1F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11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Whybrow</dc:creator>
  <cp:lastModifiedBy>Whybrow</cp:lastModifiedBy>
  <cp:revision>79</cp:revision>
  <cp:lastPrinted>2013-09-20T10:37:00Z</cp:lastPrinted>
  <dcterms:created xsi:type="dcterms:W3CDTF">2013-07-24T05:44:00Z</dcterms:created>
  <dcterms:modified xsi:type="dcterms:W3CDTF">2013-12-04T06:32:00Z</dcterms:modified>
</cp:coreProperties>
</file>