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90" w:rsidRPr="006C2FAF" w:rsidRDefault="004D4590" w:rsidP="00C979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</w:pPr>
      <w:bookmarkStart w:id="0" w:name="_GoBack"/>
      <w:r w:rsidRPr="006C2FAF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Online Supporting Material</w:t>
      </w:r>
    </w:p>
    <w:p w:rsidR="004D4590" w:rsidRPr="006C2FAF" w:rsidRDefault="004D4590" w:rsidP="00C979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</w:pPr>
    </w:p>
    <w:p w:rsidR="004D4590" w:rsidRPr="006C2FAF" w:rsidRDefault="004D4590" w:rsidP="00C979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:rsidR="004D4590" w:rsidRPr="006C2FAF" w:rsidRDefault="00B30381" w:rsidP="00C979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proofErr w:type="gramStart"/>
      <w:r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Supplemental Table</w:t>
      </w:r>
      <w:r w:rsidR="0009144F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2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.</w:t>
      </w:r>
      <w:proofErr w:type="gramEnd"/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  <w:r w:rsidR="000B16A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Complete</w:t>
      </w:r>
      <w:r w:rsidR="00C404B6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-</w:t>
      </w:r>
      <w:r w:rsidR="000B16A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case t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rend analyses </w:t>
      </w:r>
      <w:r w:rsidR="000B16A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investi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gating</w:t>
      </w:r>
      <w:r w:rsidR="004A6C67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whether the difference</w:t>
      </w:r>
      <w:r w:rsidR="000B16A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s</w:t>
      </w:r>
      <w:r w:rsidR="004A6C67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between New Nordic diet (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NND</w:t>
      </w:r>
      <w:r w:rsidR="004A6C67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)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and control </w:t>
      </w:r>
      <w:r w:rsidR="00E373E9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in the</w:t>
      </w:r>
      <w:r w:rsidR="0034627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  <w:r w:rsidR="009B02A6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metabolic syndrome </w:t>
      </w:r>
      <w:r w:rsidR="00346271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score and the </w:t>
      </w:r>
      <w:r w:rsidR="00E373E9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cardio-metabolic markers 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depended on </w:t>
      </w:r>
      <w:r w:rsidR="000B6CB3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children’s </w:t>
      </w:r>
      <w:r w:rsidR="004D4590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BMI at baseline</w:t>
      </w:r>
      <w:r w:rsidR="00C04A18" w:rsidRPr="006C2F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</w:p>
    <w:tbl>
      <w:tblPr>
        <w:tblW w:w="0" w:type="auto"/>
        <w:tblBorders>
          <w:top w:val="double" w:sz="4" w:space="0" w:color="auto"/>
          <w:bottom w:val="single" w:sz="2" w:space="0" w:color="000000"/>
        </w:tblBorders>
        <w:shd w:val="clear" w:color="auto" w:fill="FFFFFF" w:themeFill="background1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134"/>
        <w:gridCol w:w="1418"/>
        <w:gridCol w:w="850"/>
      </w:tblGrid>
      <w:tr w:rsidR="006C2FAF" w:rsidRPr="006C2FAF" w:rsidTr="00356BFE">
        <w:trPr>
          <w:tblHeader/>
        </w:trPr>
        <w:tc>
          <w:tcPr>
            <w:tcW w:w="3544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Estimated difference in </w:t>
            </w:r>
            <w:r w:rsidR="000B16A1"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outcome </w:t>
            </w: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 xml:space="preserve">between NND and control </w:t>
            </w:r>
          </w:p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>per BMI-increase (kg/m</w:t>
            </w: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2</w:t>
            </w: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>)</w:t>
            </w: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vertAlign w:val="superscript"/>
                <w:lang w:val="en-US" w:eastAsia="zh-CN" w:bidi="hi-IN"/>
              </w:rPr>
              <w:t>*</w:t>
            </w:r>
          </w:p>
        </w:tc>
      </w:tr>
      <w:tr w:rsidR="006C2FAF" w:rsidRPr="006C2FAF" w:rsidTr="00356BFE">
        <w:trPr>
          <w:tblHeader/>
        </w:trPr>
        <w:tc>
          <w:tcPr>
            <w:tcW w:w="3544" w:type="dxa"/>
            <w:tcBorders>
              <w:top w:val="nil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000000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>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  <w:t>Mean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95% CI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6E7900" w:rsidRPr="006C2FAF" w:rsidRDefault="006E79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zh-CN" w:bidi="hi-IN"/>
              </w:rPr>
              <w:t xml:space="preserve">P </w:t>
            </w:r>
          </w:p>
        </w:tc>
      </w:tr>
      <w:tr w:rsidR="006C2FAF" w:rsidRPr="006C2FAF" w:rsidTr="00356BFE">
        <w:tc>
          <w:tcPr>
            <w:tcW w:w="3544" w:type="dxa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MetS</w:t>
            </w:r>
            <w:proofErr w:type="spellEnd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 score</w:t>
            </w:r>
            <w:r w:rsidRPr="006C2FAF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†</w:t>
            </w:r>
          </w:p>
        </w:tc>
        <w:tc>
          <w:tcPr>
            <w:tcW w:w="992" w:type="dxa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631</w:t>
            </w:r>
          </w:p>
        </w:tc>
        <w:tc>
          <w:tcPr>
            <w:tcW w:w="1134" w:type="dxa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0.01</w:t>
            </w:r>
          </w:p>
        </w:tc>
        <w:tc>
          <w:tcPr>
            <w:tcW w:w="1418" w:type="dxa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-0.12; 0.14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0.90</w:t>
            </w:r>
          </w:p>
        </w:tc>
      </w:tr>
      <w:tr w:rsidR="006C2FAF" w:rsidRPr="006C2FAF" w:rsidTr="00356BFE">
        <w:tc>
          <w:tcPr>
            <w:tcW w:w="3544" w:type="dxa"/>
            <w:tcBorders>
              <w:top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Diastolic blood pressure (mmHg)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6E7900" w:rsidRPr="006C2FAF" w:rsidDel="007971E5" w:rsidRDefault="000B1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725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-0.2; 0.3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0.46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Mean arterial pressure (mmHg)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725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-0.0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-0.2; 0.2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0.95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Heart rate (beats/min)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725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-0.1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-0.5; 0.3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0.40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Plasma total cholesterol (</w:t>
            </w:r>
            <w:proofErr w:type="spellStart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mmol</w:t>
            </w:r>
            <w:proofErr w:type="spellEnd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/L)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675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0.00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-0.01; 0.02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0.62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Plasma HDL cholesterol (</w:t>
            </w:r>
            <w:proofErr w:type="spellStart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mmol</w:t>
            </w:r>
            <w:proofErr w:type="spellEnd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/L)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675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0.00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-0.01; 0.01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0.41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Plasma TAG (</w:t>
            </w:r>
            <w:proofErr w:type="spellStart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mmol</w:t>
            </w:r>
            <w:proofErr w:type="spellEnd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/L)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675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0.00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-0.01; 0.01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0.50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HOMA-IR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638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-0.01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-0.04; 0.03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0.58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Waist circumference (cm)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732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0.0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-0.1; 0.1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0.63</w:t>
            </w:r>
          </w:p>
        </w:tc>
      </w:tr>
      <w:tr w:rsidR="006C2FAF" w:rsidRPr="006C2FAF" w:rsidTr="00356BFE">
        <w:tc>
          <w:tcPr>
            <w:tcW w:w="3544" w:type="dxa"/>
            <w:shd w:val="clear" w:color="auto" w:fill="FFFFFF" w:themeFill="background1"/>
            <w:tcMar>
              <w:top w:w="0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Android:total</w:t>
            </w:r>
            <w:proofErr w:type="spellEnd"/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 fat mass ×10</w:t>
            </w:r>
            <w:r w:rsidRPr="006C2FAF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val="en-US" w:eastAsia="zh-CN" w:bidi="hi-I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716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 xml:space="preserve">13 </w:t>
            </w:r>
          </w:p>
        </w:tc>
        <w:tc>
          <w:tcPr>
            <w:tcW w:w="1418" w:type="dxa"/>
            <w:shd w:val="clear" w:color="auto" w:fill="FFFFFF" w:themeFill="background1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-10; 35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</w:tcMar>
            <w:vAlign w:val="center"/>
          </w:tcPr>
          <w:p w:rsidR="006E7900" w:rsidRPr="006C2FAF" w:rsidRDefault="006E7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6C2FAF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0.12</w:t>
            </w:r>
          </w:p>
        </w:tc>
      </w:tr>
    </w:tbl>
    <w:p w:rsidR="00114DC4" w:rsidRPr="006C2FAF" w:rsidRDefault="00114DC4" w:rsidP="00C97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A18" w:rsidRPr="006C2FAF" w:rsidRDefault="00114DC4" w:rsidP="00C97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2FAF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6C2FAF">
        <w:rPr>
          <w:rFonts w:ascii="Times New Roman" w:hAnsi="Times New Roman" w:cs="Times New Roman"/>
          <w:sz w:val="24"/>
          <w:szCs w:val="24"/>
        </w:rPr>
        <w:t xml:space="preserve">, metabolic syndrome; </w:t>
      </w:r>
      <w:r w:rsidR="003867CE" w:rsidRPr="006C2FA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HOMA-IR, homeostasis model of assessment insulin resistance.</w:t>
      </w:r>
      <w:proofErr w:type="gramEnd"/>
      <w:r w:rsidR="003867CE" w:rsidRPr="006C2FA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="00C04A18" w:rsidRPr="006C2FA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373E9" w:rsidRPr="006C2FAF">
        <w:rPr>
          <w:rFonts w:ascii="Times New Roman" w:hAnsi="Times New Roman" w:cs="Times New Roman"/>
          <w:sz w:val="24"/>
          <w:szCs w:val="24"/>
        </w:rPr>
        <w:t xml:space="preserve">Evaluated as a </w:t>
      </w:r>
      <w:proofErr w:type="spellStart"/>
      <w:r w:rsidR="00E373E9" w:rsidRPr="006C2FAF">
        <w:rPr>
          <w:rFonts w:ascii="Times New Roman" w:hAnsi="Times New Roman" w:cs="Times New Roman"/>
          <w:sz w:val="24"/>
          <w:szCs w:val="24"/>
        </w:rPr>
        <w:t>BMI×treatment</w:t>
      </w:r>
      <w:proofErr w:type="spellEnd"/>
      <w:r w:rsidR="00E373E9" w:rsidRPr="006C2FAF">
        <w:rPr>
          <w:rFonts w:ascii="Times New Roman" w:hAnsi="Times New Roman" w:cs="Times New Roman"/>
          <w:sz w:val="24"/>
          <w:szCs w:val="24"/>
        </w:rPr>
        <w:t xml:space="preserve"> interaction a</w:t>
      </w:r>
      <w:r w:rsidR="00C04A18" w:rsidRPr="006C2FAF">
        <w:rPr>
          <w:rFonts w:ascii="Times New Roman" w:hAnsi="Times New Roman" w:cs="Times New Roman"/>
          <w:sz w:val="24"/>
          <w:szCs w:val="24"/>
        </w:rPr>
        <w:t>djusted for visit, order of NND and control</w:t>
      </w:r>
      <w:r w:rsidR="006E7900" w:rsidRPr="006C2FAF">
        <w:rPr>
          <w:rFonts w:ascii="Times New Roman" w:hAnsi="Times New Roman" w:cs="Times New Roman"/>
          <w:sz w:val="24"/>
          <w:szCs w:val="24"/>
        </w:rPr>
        <w:t xml:space="preserve"> periods</w:t>
      </w:r>
      <w:r w:rsidR="00C04A18" w:rsidRPr="006C2FAF">
        <w:rPr>
          <w:rFonts w:ascii="Times New Roman" w:hAnsi="Times New Roman" w:cs="Times New Roman"/>
          <w:sz w:val="24"/>
          <w:szCs w:val="24"/>
        </w:rPr>
        <w:t xml:space="preserve">, sex, baseline value, baseline age, height </w:t>
      </w:r>
      <w:r w:rsidRPr="006C2FAF">
        <w:rPr>
          <w:rFonts w:ascii="Times New Roman" w:hAnsi="Times New Roman" w:cs="Times New Roman"/>
          <w:sz w:val="24"/>
          <w:szCs w:val="24"/>
        </w:rPr>
        <w:t xml:space="preserve">if </w:t>
      </w:r>
      <w:r w:rsidR="00C04A18" w:rsidRPr="006C2FAF">
        <w:rPr>
          <w:rFonts w:ascii="Times New Roman" w:hAnsi="Times New Roman" w:cs="Times New Roman"/>
          <w:sz w:val="24"/>
          <w:szCs w:val="24"/>
        </w:rPr>
        <w:t>appropriate</w:t>
      </w:r>
      <w:r w:rsidR="00346271" w:rsidRPr="006C2FAF">
        <w:rPr>
          <w:rFonts w:ascii="Times New Roman" w:hAnsi="Times New Roman" w:cs="Times New Roman"/>
          <w:sz w:val="24"/>
          <w:szCs w:val="24"/>
        </w:rPr>
        <w:t>,</w:t>
      </w:r>
      <w:r w:rsidR="00C04A18" w:rsidRPr="006C2FAF">
        <w:rPr>
          <w:rFonts w:ascii="Times New Roman" w:hAnsi="Times New Roman" w:cs="Times New Roman"/>
          <w:sz w:val="24"/>
          <w:szCs w:val="24"/>
        </w:rPr>
        <w:t xml:space="preserve"> and also school, class, year group within school, sibling and </w:t>
      </w:r>
      <w:r w:rsidR="00CA41C7" w:rsidRPr="006C2FAF">
        <w:rPr>
          <w:rFonts w:ascii="Times New Roman" w:hAnsi="Times New Roman" w:cs="Times New Roman"/>
          <w:sz w:val="24"/>
          <w:szCs w:val="24"/>
        </w:rPr>
        <w:t xml:space="preserve">child </w:t>
      </w:r>
      <w:r w:rsidR="00C04A18" w:rsidRPr="006C2FAF">
        <w:rPr>
          <w:rFonts w:ascii="Times New Roman" w:hAnsi="Times New Roman" w:cs="Times New Roman"/>
          <w:sz w:val="24"/>
          <w:szCs w:val="24"/>
        </w:rPr>
        <w:t xml:space="preserve">as random effects. Blood pressure and heart rate were also adjusted for blood pressure device. </w:t>
      </w:r>
    </w:p>
    <w:p w:rsidR="00A751E3" w:rsidRPr="006C2FAF" w:rsidRDefault="00C04A18" w:rsidP="00045B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2FAF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 w:bidi="hi-IN"/>
        </w:rPr>
        <w:t>†</w:t>
      </w:r>
      <w:r w:rsidR="00045B1E" w:rsidRPr="006C2FA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045B1E" w:rsidRPr="006C2FAF"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 w:rsidR="00045B1E" w:rsidRPr="006C2FAF">
        <w:rPr>
          <w:rFonts w:ascii="Times New Roman" w:hAnsi="Times New Roman" w:cs="Times New Roman"/>
          <w:sz w:val="24"/>
          <w:szCs w:val="24"/>
          <w:lang w:val="en-US"/>
        </w:rPr>
        <w:t xml:space="preserve"> score was b</w:t>
      </w:r>
      <w:proofErr w:type="spellStart"/>
      <w:r w:rsidR="00045B1E" w:rsidRPr="006C2FAF">
        <w:rPr>
          <w:rFonts w:ascii="Times New Roman" w:hAnsi="Times New Roman" w:cs="Times New Roman"/>
          <w:sz w:val="24"/>
          <w:szCs w:val="24"/>
        </w:rPr>
        <w:t>ased</w:t>
      </w:r>
      <w:proofErr w:type="spellEnd"/>
      <w:r w:rsidR="00045B1E" w:rsidRPr="006C2FAF">
        <w:rPr>
          <w:rFonts w:ascii="Times New Roman" w:hAnsi="Times New Roman" w:cs="Times New Roman"/>
          <w:sz w:val="24"/>
          <w:szCs w:val="24"/>
        </w:rPr>
        <w:t xml:space="preserve"> on mean arterial pressure, plasma HDL cholesterol, plasma TAG, HOMA-IR and waist circumference.</w:t>
      </w:r>
      <w:bookmarkEnd w:id="0"/>
    </w:p>
    <w:sectPr w:rsidR="00A751E3" w:rsidRPr="006C2F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90"/>
    <w:rsid w:val="00045B1E"/>
    <w:rsid w:val="0009144F"/>
    <w:rsid w:val="000B16A1"/>
    <w:rsid w:val="000B6CB3"/>
    <w:rsid w:val="00114DC4"/>
    <w:rsid w:val="00186A21"/>
    <w:rsid w:val="0019036B"/>
    <w:rsid w:val="0022155F"/>
    <w:rsid w:val="00243688"/>
    <w:rsid w:val="002A0262"/>
    <w:rsid w:val="002D273F"/>
    <w:rsid w:val="00331215"/>
    <w:rsid w:val="00337F97"/>
    <w:rsid w:val="00346271"/>
    <w:rsid w:val="00356BFE"/>
    <w:rsid w:val="003867CE"/>
    <w:rsid w:val="004A6C67"/>
    <w:rsid w:val="004D4590"/>
    <w:rsid w:val="004F36CD"/>
    <w:rsid w:val="00534FAF"/>
    <w:rsid w:val="005F5F4D"/>
    <w:rsid w:val="006C2FAF"/>
    <w:rsid w:val="006E2AC0"/>
    <w:rsid w:val="006E7900"/>
    <w:rsid w:val="007971E5"/>
    <w:rsid w:val="007D4582"/>
    <w:rsid w:val="00800A57"/>
    <w:rsid w:val="00914705"/>
    <w:rsid w:val="00915B06"/>
    <w:rsid w:val="00922AB7"/>
    <w:rsid w:val="009231EA"/>
    <w:rsid w:val="00961E0F"/>
    <w:rsid w:val="009B02A6"/>
    <w:rsid w:val="00A738E1"/>
    <w:rsid w:val="00AB3615"/>
    <w:rsid w:val="00B30381"/>
    <w:rsid w:val="00B943EC"/>
    <w:rsid w:val="00BB3213"/>
    <w:rsid w:val="00C04A18"/>
    <w:rsid w:val="00C404B6"/>
    <w:rsid w:val="00C864BE"/>
    <w:rsid w:val="00C979AF"/>
    <w:rsid w:val="00CA41C7"/>
    <w:rsid w:val="00D61AE3"/>
    <w:rsid w:val="00D65375"/>
    <w:rsid w:val="00D96B2B"/>
    <w:rsid w:val="00DC3639"/>
    <w:rsid w:val="00E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6C67"/>
    <w:rPr>
      <w:rFonts w:ascii="Tahoma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nhideWhenUsed/>
    <w:rsid w:val="00D65375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653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6537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3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375"/>
    <w:rPr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C979A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6C67"/>
    <w:rPr>
      <w:rFonts w:ascii="Tahoma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nhideWhenUsed/>
    <w:rsid w:val="00D65375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653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6537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3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375"/>
    <w:rPr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C979A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Faculty, University of Copenhagen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Stine-Mathilde</dc:creator>
  <cp:lastModifiedBy>Camilla Trab Damsgaard</cp:lastModifiedBy>
  <cp:revision>5</cp:revision>
  <cp:lastPrinted>2014-01-28T10:13:00Z</cp:lastPrinted>
  <dcterms:created xsi:type="dcterms:W3CDTF">2014-06-20T18:01:00Z</dcterms:created>
  <dcterms:modified xsi:type="dcterms:W3CDTF">2014-08-13T09:00:00Z</dcterms:modified>
</cp:coreProperties>
</file>