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6D" w:rsidRPr="00731B33" w:rsidRDefault="00C1476D" w:rsidP="00C1476D">
      <w:pPr>
        <w:rPr>
          <w:lang w:val="en-US"/>
        </w:rPr>
      </w:pPr>
      <w:r w:rsidRPr="00F10D97">
        <w:rPr>
          <w:b/>
        </w:rPr>
        <w:t xml:space="preserve">Supplementary Table </w:t>
      </w:r>
      <w:r>
        <w:rPr>
          <w:b/>
        </w:rPr>
        <w:t>1</w:t>
      </w:r>
      <w:r w:rsidRPr="00F10D97">
        <w:rPr>
          <w:b/>
        </w:rPr>
        <w:t>.</w:t>
      </w:r>
      <w:r>
        <w:rPr>
          <w:b/>
        </w:rPr>
        <w:t xml:space="preserve"> Background characteristics </w:t>
      </w:r>
      <w:r w:rsidR="008A20A2">
        <w:rPr>
          <w:b/>
        </w:rPr>
        <w:t xml:space="preserve">at baseline, comparing children </w:t>
      </w:r>
      <w:r>
        <w:rPr>
          <w:b/>
        </w:rPr>
        <w:t>included</w:t>
      </w:r>
      <w:r w:rsidR="008A20A2">
        <w:rPr>
          <w:b/>
        </w:rPr>
        <w:t xml:space="preserve"> and </w:t>
      </w:r>
      <w:r>
        <w:rPr>
          <w:b/>
        </w:rPr>
        <w:t>followed-up (analysed)</w:t>
      </w:r>
      <w:r w:rsidR="008A20A2">
        <w:rPr>
          <w:b/>
        </w:rPr>
        <w:t xml:space="preserve"> with children included, but lost to follow-up</w:t>
      </w:r>
      <w:r>
        <w:fldChar w:fldCharType="begin"/>
      </w:r>
      <w:r>
        <w:instrText xml:space="preserve"> LINK </w:instrText>
      </w:r>
      <w:r w:rsidR="00D55E2E">
        <w:instrText xml:space="preserve">Excel.Sheet.12 "C:\\Users\\kjj\\Desktop\\NSE and Sex-specific  effects\\POMS immu\\data\\POMS immu results cyt_KJJ.xlsx" table1_ny!R61C10:R85C13 </w:instrText>
      </w:r>
      <w:r>
        <w:instrText xml:space="preserve">\a \f 4 \h  \* MERGEFORMAT </w:instrText>
      </w:r>
      <w:r>
        <w:fldChar w:fldCharType="separate"/>
      </w:r>
    </w:p>
    <w:tbl>
      <w:tblPr>
        <w:tblW w:w="8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1414"/>
        <w:gridCol w:w="1414"/>
        <w:gridCol w:w="675"/>
      </w:tblGrid>
      <w:tr w:rsidR="00C1476D" w:rsidRPr="00731B33" w:rsidTr="00804F60">
        <w:trPr>
          <w:trHeight w:val="29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Analysed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Lost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 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Background parameter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Observations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p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All, 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 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Male,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45% (66)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61% (68)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0.01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Age, days (10-90%-tile)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291 (276-368)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293 (275-420)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0.57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Dry season,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49% (71)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53% (59)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0.52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Age of mother, years (10-90%-tile)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25 (19-36)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25 (18-35)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0.91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Schooling of mother, years (10-90%-tile)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6 (0-11)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6 (0-11)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0.92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MUAC of mother, mm (</w:t>
            </w: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sd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281 (38)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280 (32)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0.78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Electricity in house,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31% (44)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30% (31)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0.82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Toilet inside,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14% (20)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12% (12)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0.55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Polio vaccine at birth,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72% (105)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82% (92)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0.06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Previous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 xml:space="preserve"> VAS,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64% (94)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55% (62)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0.14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MUAC, mm (</w:t>
            </w: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sd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148 (11)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157 (81)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0.21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Weight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, kg (</w:t>
            </w: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sd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8.7 (1.2)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8.8 (1.3)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0.56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Height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, cm (</w:t>
            </w: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sd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72 (3)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73 (3)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0.15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Axillary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 xml:space="preserve"> temperature &gt;37°C, n (%)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0% (0)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1% (1)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0.34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Medicine use on day of enrolment,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5% (7)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5% (6)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0.84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Maternally reported symptoms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 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Cold (runny nose),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31% (40)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27% (27)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0.52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Coughing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38% (55)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30% (34)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0.22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Diarrhoea,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9% (13)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16% (17)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0.10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Fever,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8% (12)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12% (13)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0.36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Vomiting</w:t>
            </w:r>
            <w:proofErr w:type="spellEnd"/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, %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1% (2)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2% (2)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0.79</w:t>
            </w:r>
          </w:p>
        </w:tc>
      </w:tr>
      <w:tr w:rsidR="00C1476D" w:rsidRPr="00731B33" w:rsidTr="00804F60">
        <w:trPr>
          <w:trHeight w:val="29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eastAsia="da-DK"/>
              </w:rPr>
              <w:t>Any of the symptoms above, % (n)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50% (73)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49% (55)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76D" w:rsidRPr="00731B33" w:rsidRDefault="00C1476D" w:rsidP="00804F60">
            <w:pPr>
              <w:jc w:val="center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731B33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0.89</w:t>
            </w:r>
          </w:p>
        </w:tc>
      </w:tr>
    </w:tbl>
    <w:p w:rsidR="00C1476D" w:rsidRPr="008F6F19" w:rsidRDefault="00C1476D" w:rsidP="00C1476D">
      <w:pPr>
        <w:rPr>
          <w:bCs/>
        </w:rPr>
      </w:pPr>
      <w:r>
        <w:rPr>
          <w:b/>
        </w:rPr>
        <w:fldChar w:fldCharType="end"/>
      </w:r>
      <w:r w:rsidRPr="008F6F19">
        <w:t xml:space="preserve">The analysed group comprises </w:t>
      </w:r>
      <w:r w:rsidRPr="008F6F19">
        <w:rPr>
          <w:bCs/>
        </w:rPr>
        <w:t xml:space="preserve">infants with a valid measurement of plasma biomarker, </w:t>
      </w:r>
      <w:r w:rsidRPr="008F6F19">
        <w:rPr>
          <w:bCs/>
          <w:i/>
        </w:rPr>
        <w:t>in vitro</w:t>
      </w:r>
      <w:r w:rsidRPr="008F6F19">
        <w:rPr>
          <w:bCs/>
        </w:rPr>
        <w:t xml:space="preserve"> cytokines and/or differential counts at baseline and follow-up. The lost group comprises infants from whom a blood sample was obtained at enrolment, but for various reasons, no valid blood sample was obtained and analysed at follow-up.</w:t>
      </w:r>
      <w:r>
        <w:rPr>
          <w:bCs/>
        </w:rPr>
        <w:t xml:space="preserve"> The background information, statistical tests and presentation are similar to Table 1.</w:t>
      </w:r>
    </w:p>
    <w:p w:rsidR="00C1476D" w:rsidRPr="008F6F19" w:rsidRDefault="00C1476D" w:rsidP="00C1476D">
      <w:pPr>
        <w:rPr>
          <w:bCs/>
        </w:rPr>
      </w:pPr>
      <w:r w:rsidRPr="008F6F19">
        <w:rPr>
          <w:bCs/>
        </w:rPr>
        <w:t>Statistical test using Chi</w:t>
      </w:r>
      <w:r w:rsidRPr="008F6F19">
        <w:rPr>
          <w:bCs/>
          <w:vertAlign w:val="superscript"/>
        </w:rPr>
        <w:t>2</w:t>
      </w:r>
      <w:r w:rsidRPr="008F6F19">
        <w:rPr>
          <w:bCs/>
        </w:rPr>
        <w:t xml:space="preserve">-test for categorical values; </w:t>
      </w:r>
      <w:proofErr w:type="spellStart"/>
      <w:r w:rsidRPr="008F6F19">
        <w:rPr>
          <w:bCs/>
        </w:rPr>
        <w:t>Kruskal</w:t>
      </w:r>
      <w:proofErr w:type="spellEnd"/>
      <w:r w:rsidRPr="008F6F19">
        <w:rPr>
          <w:bCs/>
        </w:rPr>
        <w:t>-Wallis test for non-normally distributed numerical values; Student’s t-test for normally distributed numerical values.</w:t>
      </w:r>
    </w:p>
    <w:p w:rsidR="00C1476D" w:rsidRDefault="00C1476D" w:rsidP="00C1476D">
      <w:pPr>
        <w:rPr>
          <w:bCs/>
        </w:rPr>
      </w:pPr>
      <w:r w:rsidRPr="008F6F19">
        <w:rPr>
          <w:bCs/>
        </w:rPr>
        <w:t xml:space="preserve">n: number of individuals; </w:t>
      </w:r>
      <w:proofErr w:type="spellStart"/>
      <w:r w:rsidRPr="008F6F19">
        <w:rPr>
          <w:bCs/>
        </w:rPr>
        <w:t>sd</w:t>
      </w:r>
      <w:proofErr w:type="spellEnd"/>
      <w:r w:rsidRPr="008F6F19">
        <w:rPr>
          <w:bCs/>
        </w:rPr>
        <w:t>: standard deviation; MUAC: mid-upper-arm-circumference; % is calculated in respect to the total number of individuals with the relevant information available.</w:t>
      </w:r>
    </w:p>
    <w:p w:rsidR="00C1476D" w:rsidRDefault="00C1476D" w:rsidP="00C1476D"/>
    <w:p w:rsidR="00A54D84" w:rsidRPr="008F6F19" w:rsidRDefault="00A54D84" w:rsidP="00C1476D"/>
    <w:p w:rsidR="00EB2770" w:rsidRPr="00F10D97" w:rsidRDefault="00C1476D" w:rsidP="00EB2770">
      <w:pPr>
        <w:rPr>
          <w:b/>
        </w:rPr>
      </w:pPr>
      <w:r>
        <w:rPr>
          <w:b/>
        </w:rPr>
        <w:t>Supplementary Table 2</w:t>
      </w:r>
      <w:r w:rsidR="00EB2770" w:rsidRPr="00F10D97">
        <w:rPr>
          <w:b/>
        </w:rPr>
        <w:t>: The effect of vitamin A supplementation on white blood cell counts, stratified by previous vitamin A supplementation and sex</w:t>
      </w:r>
    </w:p>
    <w:tbl>
      <w:tblPr>
        <w:tblW w:w="8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316"/>
        <w:gridCol w:w="1330"/>
        <w:gridCol w:w="553"/>
        <w:gridCol w:w="1329"/>
        <w:gridCol w:w="1317"/>
        <w:gridCol w:w="504"/>
        <w:gridCol w:w="460"/>
      </w:tblGrid>
      <w:tr w:rsidR="00EB2770" w:rsidRPr="00C34DCC" w:rsidTr="00453229">
        <w:trPr>
          <w:trHeight w:val="25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  <w:t> 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No </w:t>
            </w: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Previous</w:t>
            </w:r>
            <w:proofErr w:type="spellEnd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VAS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Previous</w:t>
            </w:r>
            <w:proofErr w:type="spellEnd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VAS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Male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Female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Male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Female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n=23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EB2770" w:rsidRPr="00C34DCC" w:rsidTr="00453229">
        <w:trPr>
          <w:trHeight w:val="29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2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Total </w:t>
            </w: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leukocytes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0.79 (0.58-1.07)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1.42 (1.08-1.87)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0.005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0F58FD" w:rsidRDefault="00EB2770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0F58F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0.84 (0.72-0.99)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1.04 (0.80-1.35)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0.10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Lymphocytes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0.83 (0.66-1.05)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1.36 (0.98-1.88)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0F58FD" w:rsidRDefault="00EB2770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0F58F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0.78 (0.63-0.98)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0.94 (0.76-1.16)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0.21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Monocytes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0.71 (0.49-1.01)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1.40 (1.02-1.93)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0.002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0.90 (0.72-1.12)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1.18 (0.87-1.60)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0.18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Neutrophils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0.63 (0.37-1.07)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1.02 (0.60-1.74)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1.09 (0.72-1.64)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1.16 (0.73-1.84)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0.39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Eosinophils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1.28 (0.73-2.26)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1.01 (0.42-2.40)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0.72 (0.46-1.12)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0.94 (0.54-1.62)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0.47</w:t>
            </w:r>
          </w:p>
        </w:tc>
      </w:tr>
      <w:tr w:rsidR="00EB2770" w:rsidRPr="00C34DCC" w:rsidTr="00453229"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Basophils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0.73 (0.42-1.26)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1.71 (1.21-2.41)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0F58FD" w:rsidRDefault="00EB2770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0F58F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0.76 (0.46-1.27)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1.27 (0.82-1.96)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70" w:rsidRPr="00C34DCC" w:rsidRDefault="00EB2770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C34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0.44</w:t>
            </w:r>
          </w:p>
        </w:tc>
      </w:tr>
    </w:tbl>
    <w:p w:rsidR="00EB2770" w:rsidRDefault="00EB2770" w:rsidP="00EB2770">
      <w:r>
        <w:t>Geometric mean ratios (GMR) with 95% confidence intervals (CI) comparing infants receiving VAS with infants receiving placebo. A GMR &gt; 1 can</w:t>
      </w:r>
      <w:r w:rsidRPr="0002158B">
        <w:t xml:space="preserve"> be interpreted as a</w:t>
      </w:r>
      <w:r>
        <w:t>n increasing</w:t>
      </w:r>
      <w:r w:rsidRPr="0002158B">
        <w:t xml:space="preserve"> effect of VAS on the cell count.</w:t>
      </w:r>
    </w:p>
    <w:p w:rsidR="00EB2770" w:rsidRPr="0002158B" w:rsidRDefault="00EB2770" w:rsidP="00EB2770">
      <w:r w:rsidRPr="00EC204B">
        <w:t>Significant estimates after adjustment for multiple comparisons are highlighted in bold.</w:t>
      </w:r>
    </w:p>
    <w:p w:rsidR="00EB2770" w:rsidRDefault="00EB2770" w:rsidP="00EB2770">
      <w:pPr>
        <w:rPr>
          <w:rFonts w:ascii="Calibri" w:eastAsia="Times New Roman" w:hAnsi="Calibri" w:cs="Times New Roman"/>
          <w:bCs/>
          <w:color w:val="000000"/>
        </w:rPr>
      </w:pPr>
      <w:r w:rsidRPr="00B40C29">
        <w:rPr>
          <w:rFonts w:ascii="Calibri" w:eastAsia="Times New Roman" w:hAnsi="Calibri" w:cs="Times New Roman"/>
          <w:bCs/>
          <w:color w:val="000000"/>
          <w:vertAlign w:val="superscript"/>
        </w:rPr>
        <w:t>1</w:t>
      </w:r>
      <w:r w:rsidRPr="0002158B">
        <w:rPr>
          <w:rFonts w:ascii="Calibri" w:eastAsia="Times New Roman" w:hAnsi="Calibri" w:cs="Times New Roman"/>
          <w:bCs/>
          <w:color w:val="000000"/>
        </w:rPr>
        <w:t xml:space="preserve"> Analysis of interaction between VAS and sex. </w:t>
      </w:r>
    </w:p>
    <w:p w:rsidR="00EB2770" w:rsidRPr="0002158B" w:rsidRDefault="00EB2770" w:rsidP="00EB2770">
      <w:pPr>
        <w:rPr>
          <w:rFonts w:ascii="Calibri" w:eastAsia="Times New Roman" w:hAnsi="Calibri" w:cs="Times New Roman"/>
          <w:bCs/>
          <w:color w:val="000000"/>
        </w:rPr>
      </w:pPr>
      <w:r w:rsidRPr="00B40C29">
        <w:rPr>
          <w:rFonts w:ascii="Calibri" w:eastAsia="Times New Roman" w:hAnsi="Calibri" w:cs="Times New Roman"/>
          <w:bCs/>
          <w:color w:val="000000"/>
          <w:vertAlign w:val="superscript"/>
        </w:rPr>
        <w:t>2</w:t>
      </w:r>
      <w:r w:rsidRPr="0002158B">
        <w:rPr>
          <w:rFonts w:ascii="Calibri" w:eastAsia="Times New Roman" w:hAnsi="Calibri" w:cs="Times New Roman"/>
          <w:bCs/>
          <w:color w:val="000000"/>
        </w:rPr>
        <w:t xml:space="preserve"> Analysis of the three-way interaction between VAS, sex and previous VAS. </w:t>
      </w:r>
    </w:p>
    <w:p w:rsidR="00EB2770" w:rsidRDefault="00EB2770" w:rsidP="00EB2770"/>
    <w:p w:rsidR="00EB2770" w:rsidRDefault="00EB2770" w:rsidP="00EB2770">
      <w:r>
        <w:br w:type="page"/>
      </w:r>
    </w:p>
    <w:p w:rsidR="005E342B" w:rsidRPr="00F10D97" w:rsidRDefault="00C1476D" w:rsidP="005E342B">
      <w:pPr>
        <w:rPr>
          <w:b/>
        </w:rPr>
      </w:pPr>
      <w:r>
        <w:rPr>
          <w:b/>
        </w:rPr>
        <w:lastRenderedPageBreak/>
        <w:t>Supplementary Table 3</w:t>
      </w:r>
      <w:r w:rsidR="00EB2770" w:rsidRPr="00F10D97">
        <w:rPr>
          <w:b/>
        </w:rPr>
        <w:t xml:space="preserve">. The effect of vitamin A supplementation on </w:t>
      </w:r>
      <w:r w:rsidR="00EB2770" w:rsidRPr="00F10D97">
        <w:rPr>
          <w:b/>
          <w:i/>
        </w:rPr>
        <w:t>in vitro</w:t>
      </w:r>
      <w:r w:rsidR="00EB2770" w:rsidRPr="00F10D97">
        <w:rPr>
          <w:b/>
        </w:rPr>
        <w:t xml:space="preserve"> cytokine responses</w:t>
      </w:r>
    </w:p>
    <w:tbl>
      <w:tblPr>
        <w:tblW w:w="73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229"/>
        <w:gridCol w:w="703"/>
        <w:gridCol w:w="1470"/>
        <w:gridCol w:w="1470"/>
        <w:gridCol w:w="1693"/>
      </w:tblGrid>
      <w:tr w:rsidR="005E342B" w:rsidRPr="005E342B" w:rsidTr="005E342B">
        <w:trPr>
          <w:trHeight w:val="24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>VAS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>no</w:t>
            </w:r>
            <w:proofErr w:type="spellEnd"/>
            <w:r w:rsidRPr="005E34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 xml:space="preserve"> VAS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> </w:t>
            </w:r>
            <w:r w:rsidR="00FE3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 xml:space="preserve">VAS vs </w:t>
            </w:r>
            <w:proofErr w:type="spellStart"/>
            <w:r w:rsidR="00FE3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>no</w:t>
            </w:r>
            <w:proofErr w:type="spellEnd"/>
            <w:r w:rsidR="00FE30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da-DK" w:eastAsia="da-DK"/>
              </w:rPr>
              <w:t xml:space="preserve"> VAS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n=57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n=63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n=120</w:t>
            </w:r>
          </w:p>
        </w:tc>
      </w:tr>
      <w:tr w:rsidR="005E342B" w:rsidRPr="005E342B" w:rsidTr="005E342B">
        <w:trPr>
          <w:trHeight w:val="28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Det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GM (95% CI)</w:t>
            </w:r>
            <w:r w:rsidR="00D22BD9" w:rsidRPr="00D22B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da-DK" w:eastAsia="da-DK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GM (95% CI)</w:t>
            </w:r>
            <w:r w:rsidR="00D22BD9" w:rsidRPr="00D22B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da-DK" w:eastAsia="da-DK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GMR (95% CI)</w:t>
            </w:r>
            <w:r w:rsidR="00D22BD9" w:rsidRPr="00D22BD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da-DK" w:eastAsia="da-DK"/>
              </w:rPr>
              <w:t>2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TNF-α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medium1*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35 (24-50)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1.23 (0.74-2.06)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LPS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98%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439 (311-618)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614 (444-851)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0.71 (0.44-1.14)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Pam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146 (92-231)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137 (88-214)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1.12 (0.58-2.13)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medium3*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0.90 (0.44-1.85)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26 (16-44)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0.75 (0.35-1.62)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Poly</w:t>
            </w:r>
            <w:proofErr w:type="spellEnd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 xml:space="preserve"> I:C*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21 (12-35)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25 (16-39)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0.81 (0.41-1.60)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BCG*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28%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28 (19-42)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1.04 (0.59-1.86)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PPD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18 (11-31)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91624E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9162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1.04 (0.49-2.21)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OPV*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31 (21-47)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16 (9-29)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91624E" w:rsidRDefault="005E342B" w:rsidP="005E342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da-DK" w:eastAsia="da-DK"/>
              </w:rPr>
            </w:pPr>
            <w:r w:rsidRPr="0091624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da-DK" w:eastAsia="da-DK"/>
              </w:rPr>
              <w:t>2.46 (1.24-4.89)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TT*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32%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34 (24-49)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91624E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9162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0.89 (0.53-1.51)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DT*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18 (10-34)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19 (11-33)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91624E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9162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1.03 (0.43-2.43)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IL-10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64%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10 (7-16)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 (4-9)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91624E" w:rsidRDefault="005E342B" w:rsidP="005E342B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da-DK" w:eastAsia="da-DK"/>
              </w:rPr>
            </w:pPr>
            <w:r w:rsidRPr="0091624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da-DK" w:eastAsia="da-DK"/>
              </w:rPr>
              <w:t>2.09 (1.19-3.67)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LPS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100%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228 (177-293)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270 (212-343)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0.89 (0.65-1.21)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Pam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98%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130 (96-178)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148 (110-200)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1.13 (0.81-1.59)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medium3*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 (30-56)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43 (32-58)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0.97 (0.63-1.48)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 (29-58)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50 (36-69)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0.86 (0.52-1.43)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Poly</w:t>
            </w:r>
            <w:proofErr w:type="spellEnd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 xml:space="preserve"> I:C*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43 (32-59)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 (30-55)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1.10 (0.72-1.68)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BCG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62%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 (4-13)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12 (7-20)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0.62 (0.30-1.30)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PPD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37 (26-54)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38 (27-54)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1.10 (0.64-1.88)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OPV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54%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 (4-13)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 (3-10)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1.75 (0.79-3.89)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 (5-13)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10 (6-15)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0.98 (0.50-1.94)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DT*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41 (29-58)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40 (28-55)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1.08 (0.66-1.77)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IL-2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medium3*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23 (14-37)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17 (9-29)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1.39 (0.66-2.92)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17 (10-28)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18 (11-28)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1.01 (0.49-2.11)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Poly</w:t>
            </w:r>
            <w:proofErr w:type="spellEnd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 xml:space="preserve"> I:C*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16%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23 (14-37)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10 (5-22)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2.02 (0.84-4.85)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BCG*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45%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39 (28-54)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52 (40-66)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0.69 (0.46-1.03)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PPD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11 (7-17)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 (5-12)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1.28 (0.78-2.11)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OPV*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25%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21 (13-35)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1.38 (0.72-2.62)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25 (16-39)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0.60 (0.34-1.07)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DT*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42%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48 (35-65)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40 (28-55)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1.01 (0.67-1.53)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IL-5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medium3*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27%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25 (16-39)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0.82 (0.46-1.46)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 (20-57)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31 (18-51)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1.10 (0.51-2.36)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Poly</w:t>
            </w:r>
            <w:proofErr w:type="spellEnd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 xml:space="preserve"> I:C*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28 (18-44)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39 (28-54)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0.77 (0.46-1.30)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BCG*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38%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35 (24-51)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40 (29-55)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0.88 (0.55-1.41)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PPD*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32 (22-47)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48 (37-63)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bookmarkStart w:id="0" w:name="_GoBack"/>
            <w:bookmarkEnd w:id="0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0.66 (0.42-1.04)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OPV*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 (23-49)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33 (23-48)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0.98 (0.57-1.67)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 (3-9)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6 (4-10)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0.79 (0.40-1.57)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DT*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55 (42-72)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43 (32-59)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1.22 (0.82-1.81)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IFN-γ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medium3*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24%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20 (12-33)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0.67 (0.35-1.29)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PHA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93%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81 (51-131)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70 (44-112)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1.07 (0.54-2.13)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proofErr w:type="spellStart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Poly</w:t>
            </w:r>
            <w:proofErr w:type="spellEnd"/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 xml:space="preserve"> I:C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77%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25 (14-46)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29 (16-51)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0.91 (0.39-2.08)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BCG*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48 (36-64)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53 (42-68)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0.89 (0.62-1.28)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PPD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76%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28 (17-45)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22 (14-36)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1.36 (0.72-2.57)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OPV*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30 (20-44)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1.02 (0.59-1.78)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TT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59%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9 (4-19)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10 (5-21)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1.10 (0.42-2.90)</w:t>
            </w:r>
          </w:p>
        </w:tc>
      </w:tr>
      <w:tr w:rsidR="005E342B" w:rsidRPr="005E342B" w:rsidTr="005E342B">
        <w:trPr>
          <w:trHeight w:val="2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DT*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27 (17-44)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32 (22-48)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42B" w:rsidRPr="005E342B" w:rsidRDefault="005E342B" w:rsidP="005E34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</w:pPr>
            <w:r w:rsidRPr="005E34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a-DK" w:eastAsia="da-DK"/>
              </w:rPr>
              <w:t>0.78 (0.44-1.38)</w:t>
            </w:r>
          </w:p>
        </w:tc>
      </w:tr>
    </w:tbl>
    <w:p w:rsidR="00EB2770" w:rsidRDefault="00EB2770" w:rsidP="005E342B">
      <w:r w:rsidRPr="00FE6AA1">
        <w:rPr>
          <w:vertAlign w:val="superscript"/>
        </w:rPr>
        <w:t>1</w:t>
      </w:r>
      <w:r>
        <w:t xml:space="preserve"> </w:t>
      </w:r>
      <w:r w:rsidRPr="0002158B">
        <w:t xml:space="preserve">Geometric mean (GM, </w:t>
      </w:r>
      <w:proofErr w:type="spellStart"/>
      <w:r w:rsidRPr="0002158B">
        <w:t>pg</w:t>
      </w:r>
      <w:proofErr w:type="spellEnd"/>
      <w:r w:rsidRPr="0002158B">
        <w:t>/mL) for vitamin A recipients or placebo recipients, respectively</w:t>
      </w:r>
      <w:r>
        <w:t>.</w:t>
      </w:r>
      <w:r w:rsidRPr="0002158B">
        <w:t xml:space="preserve"> </w:t>
      </w:r>
    </w:p>
    <w:p w:rsidR="00EB2770" w:rsidRPr="0002158B" w:rsidRDefault="00EB2770" w:rsidP="00EB2770">
      <w:proofErr w:type="spellStart"/>
      <w:r w:rsidRPr="0002158B">
        <w:t>Det</w:t>
      </w:r>
      <w:proofErr w:type="spellEnd"/>
      <w:r w:rsidRPr="0002158B">
        <w:t>: Proportion (%) of measurements above lower limit of detection for the entire population</w:t>
      </w:r>
      <w:r>
        <w:t xml:space="preserve"> at follow-up</w:t>
      </w:r>
      <w:r w:rsidRPr="0002158B">
        <w:t xml:space="preserve">. </w:t>
      </w:r>
    </w:p>
    <w:p w:rsidR="00EB2770" w:rsidRDefault="00EB2770" w:rsidP="00EB2770">
      <w:r w:rsidRPr="00FE6AA1">
        <w:rPr>
          <w:vertAlign w:val="superscript"/>
        </w:rPr>
        <w:t>2</w:t>
      </w:r>
      <w:r>
        <w:t xml:space="preserve"> </w:t>
      </w:r>
      <w:r w:rsidRPr="0002158B">
        <w:t>Geometric mean ratio</w:t>
      </w:r>
      <w:r>
        <w:t>s</w:t>
      </w:r>
      <w:r w:rsidRPr="0002158B">
        <w:t xml:space="preserve"> (GMR) of cytokine responses to innate agonists and vaccine antigens comparing VAS with placebo. </w:t>
      </w:r>
      <w:r>
        <w:t>A GMR (or PR) &gt; 1 can</w:t>
      </w:r>
      <w:r w:rsidRPr="0002158B">
        <w:t xml:space="preserve"> be interpreted as a</w:t>
      </w:r>
      <w:r>
        <w:t xml:space="preserve">n increasing </w:t>
      </w:r>
      <w:r w:rsidRPr="0002158B">
        <w:t>effect of VAS on the cytokine response.</w:t>
      </w:r>
    </w:p>
    <w:p w:rsidR="00EB2770" w:rsidRPr="0002158B" w:rsidRDefault="00EB2770" w:rsidP="00EB2770">
      <w:r>
        <w:t>* O</w:t>
      </w:r>
      <w:r w:rsidRPr="0002158B">
        <w:t xml:space="preserve">utcomes </w:t>
      </w:r>
      <w:r>
        <w:t>with ≥</w:t>
      </w:r>
      <w:r w:rsidRPr="0002158B">
        <w:t xml:space="preserve">50% </w:t>
      </w:r>
      <w:r>
        <w:t xml:space="preserve">ND </w:t>
      </w:r>
      <w:r w:rsidRPr="0002158B">
        <w:t>measurements</w:t>
      </w:r>
      <w:r>
        <w:t xml:space="preserve"> were analysed with Poisson regression for </w:t>
      </w:r>
      <w:r w:rsidRPr="0002158B">
        <w:t>the frequency of measurements above lower limit of detection</w:t>
      </w:r>
      <w:r>
        <w:t>, giving proportion ratios (PR)</w:t>
      </w:r>
      <w:r w:rsidRPr="0002158B">
        <w:t xml:space="preserve">. </w:t>
      </w:r>
      <w:r w:rsidRPr="00EC204B">
        <w:t>Significant estimates after adjustment for multiple comparisons are highlighted in bold.</w:t>
      </w:r>
    </w:p>
    <w:p w:rsidR="00EB2770" w:rsidRDefault="00EB2770" w:rsidP="00EB2770">
      <w:pPr>
        <w:sectPr w:rsidR="00EB2770" w:rsidSect="007D7BCB">
          <w:pgSz w:w="11906" w:h="16838"/>
          <w:pgMar w:top="425" w:right="709" w:bottom="567" w:left="567" w:header="709" w:footer="709" w:gutter="0"/>
          <w:cols w:space="708"/>
          <w:docGrid w:linePitch="360"/>
        </w:sectPr>
      </w:pPr>
    </w:p>
    <w:p w:rsidR="00EB2770" w:rsidRPr="00F10D97" w:rsidRDefault="00EB2770" w:rsidP="00EB2770">
      <w:pPr>
        <w:rPr>
          <w:b/>
        </w:rPr>
      </w:pPr>
      <w:r w:rsidRPr="00F10D97">
        <w:rPr>
          <w:b/>
        </w:rPr>
        <w:lastRenderedPageBreak/>
        <w:t xml:space="preserve">Supplementary </w:t>
      </w:r>
      <w:r w:rsidR="00C1476D">
        <w:rPr>
          <w:b/>
        </w:rPr>
        <w:t>Table 4</w:t>
      </w:r>
      <w:r w:rsidRPr="00F10D97">
        <w:rPr>
          <w:b/>
        </w:rPr>
        <w:t xml:space="preserve">. The effect of vitamin A supplementation on </w:t>
      </w:r>
      <w:r w:rsidRPr="00F10D97">
        <w:rPr>
          <w:b/>
          <w:i/>
        </w:rPr>
        <w:t>in vitro</w:t>
      </w:r>
      <w:r w:rsidRPr="00F10D97">
        <w:rPr>
          <w:b/>
        </w:rPr>
        <w:t xml:space="preserve"> cytokine responses, stratified by previous vitamin A supplementation and sex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994"/>
        <w:gridCol w:w="1463"/>
        <w:gridCol w:w="1464"/>
        <w:gridCol w:w="551"/>
        <w:gridCol w:w="1457"/>
        <w:gridCol w:w="1470"/>
        <w:gridCol w:w="551"/>
        <w:gridCol w:w="736"/>
      </w:tblGrid>
      <w:tr w:rsidR="007D7BCB" w:rsidRPr="00F92823" w:rsidTr="007D7BCB">
        <w:trPr>
          <w:trHeight w:val="24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da-DK"/>
              </w:rPr>
              <w:t> 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 xml:space="preserve">No </w:t>
            </w:r>
            <w:proofErr w:type="spellStart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Previous</w:t>
            </w:r>
            <w:proofErr w:type="spellEnd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 xml:space="preserve"> VAS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Previous</w:t>
            </w:r>
            <w:proofErr w:type="spellEnd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 xml:space="preserve"> VAS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Male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Female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Male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Female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n=45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7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GMR (95% CI)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</w:t>
            </w: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TNF-α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medium1*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 (0.12-1.98)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0.69 (0.28-1.68)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1.53 (0.42-5.63)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2.32 (1.00-5.41)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LPS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0.52 (0.17-1.61)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0.69 (0.22-2.19)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0.97 (0.40-2.33)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0.67 (0.31-1.43)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Pam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0.24 (0.06-1.05)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1.30 (0.25-6.64)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1.50 (0.45-4.99)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2.17 (0.80-5.90)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0.33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medium3*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(inf-2.21)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0.28 (0.03-2.30)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0.86 (0.21-3.57)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1.68 (0.58-4.84)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0.54 (0.07-4.03)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0.13 (0.02-0.82)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0.80 (0.20-3.25)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1.99 (0.64-6.19)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0.16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Poly</w:t>
            </w:r>
            <w:proofErr w:type="spellEnd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I:C*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0.40 (0.05-2.98)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(inf-1.39)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1.11 (0.26-4.74)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1.21 (0.51-2.86)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BCG*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0.30 (0.04-2.31)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 (0.04-3.03)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1.79 (0.51-6.28)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1.41 (0.64-3.12)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0.80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0.38 (0.06-2.34)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0.36 (0.06-2.32)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1.91 (0.44-8.36)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1.57 (0.47-5.23)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OPV*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(inf-5.82)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2.02 (0.54-7.64)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3.34 (0.89-12.48)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3.60 (1.12-11.61)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0.68 (0.07-6.53)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0.24 (0.03-1.78)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1.45 (0.58-3.65)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0.92 (0.44-1.89)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DT*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(inf-9.71)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(inf-1.08)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2.95 (0.33-26.66)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1.50 (0.52-4.27)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IL-10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0.65 (0.18-2.40)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0.74 (0.22-2.55)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3.60 (1.40-9.29)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3.70 (1.38-9.91)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LPS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1.36 (0.64-2.90)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0.72 (0.34-1.54)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0.98 (0.55-1.75)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0.74 (0.44-1.22)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0.61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Pam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0.73 (0.33-1.61)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0.87 (0.37-2.07)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1.63 (0.87-3.06)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1.28 (0.75-2.19)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medium3*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0.47 (0.13-1.72)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1.39 (0.44-4.40)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1.02 (0.47-2.22)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1.05 (0.52-2.11)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0.31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0.81 (0.24-2.79)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0.23 (0.07-0.77)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0.85 (0.34-2.14)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1.70 (0.77-3.76)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Poly</w:t>
            </w:r>
            <w:proofErr w:type="spellEnd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I:C*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1.45 (0.46-4.60)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0.65 (0.25-1.71)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1.46 (0.59-3.61)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1.11 (0.60-2.07)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BCG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0.49 (0.08-3.22)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0.25 (0.05-1.38)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0.95 (0.27-3.40)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1.06 (0.35-3.25)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0.60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0.84 (0.24-3.02)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1.13 (0.29-4.42)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1.31 (0.47-3.64)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1.11 (0.46-2.67)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0.70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OPV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0.61 (0.11-3.41)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1.57 (0.27-9.19)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2.52 (0.67-9.42)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2.77 (0.82-9.38)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0.24 (0.05-1.23)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 (0.11-2.16)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1.26 (0.32-4.91)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1.64 (0.57-4.77)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0.76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DT*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0.70 (0.17-2.93)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0.71 (0.23-2.21)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0.77 (0.27-2.24)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1.86 (0.91-3.78)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IL-2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medium3*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3.92 (0.48-31.66)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1.37 (0.29-6.56)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1.55 (0.31-7.90)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0.87 (0.27-2.86)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0.78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3.02 (0.55-16.61)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 (0.07-1.97)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0.59 (0.17-2.12)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1.29 (0.41-4.09)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Poly</w:t>
            </w:r>
            <w:proofErr w:type="spellEnd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I:C*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(0.20-inf)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(1.13-inf)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0.78 (0.16-3.81)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1.61 (0.48-5.46)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BCG*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0.62 (0.22-1.75)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1.35 (0.51-3.58)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0.54 (0.25-1.19)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0.62 (0.32-1.19)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1.70 (0.51-5.62)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2.05 (0.62-6.76)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0.80 (0.30-2.14)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1.16 (0.50-2.66)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0.86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OPV*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0.88 (0.30-2.59)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1.14 (0.22-5.78)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0.64 (0.07-6.15)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2.20 (0.78-6.24)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0.54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0.82 (0.19-3.50)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1.41 (0.36-5.47)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0.50 (0.17-1.49)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0.40 (0.16-1.02)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0.54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DT*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1.78 (0.40-7.82)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1.12 (0.47-2.68)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0.51 (0.22-1.19)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1.25 (0.68-2.31)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0.18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IL-5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medium3*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0.38 (0.05-2.80)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0.73 (0.22-2.39)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0.50 (0.11-2.29)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1.28 (0.57-2.87)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0.84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3.50 (0.50-24.30)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 (0.03-1.50)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0.83 (0.20-3.50)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1.83 (0.52-6.41)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0.04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Poly</w:t>
            </w:r>
            <w:proofErr w:type="spellEnd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I:C*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(inf-1.16)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1.52 (0.18-12.70)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0.61 (0.27-1.36)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1.04 (0.52-2.08)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BCG*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2.44 (0.57-10.37)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1.11 (0.38-3.22)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0.64 (0.18-2.23)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0.68 (0.35-1.31)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0.59 (0.14-2.48)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0.42 (0.10-1.77)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1.20 (0.51-2.86)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0.53 (0.27-1.03)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0.68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OPV*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0.50 (0.05-4.58)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1.81 (0.42-7.81)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0.89 (0.39-2.02)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0.95 (0.41-2.22)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0.41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0.81 (0.13-4.96)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2.16 (0.42-11.08)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 (0.17-2.00)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0.66 (0.22-2.02)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DT*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1.05 (0.33-3.33)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1.21 (0.59-2.48)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0.67 (0.26-1.71)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1.79 (1.01-3.18)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IFN-γ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medium3*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(inf-1.03)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(inf-0.59)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1.02 (0.30-3.41)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1.15 (0.47-2.79)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4.74 (0.95-23.65)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0.09 (0.02-0.43)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0.44 (0.14-1.42)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3.97 (1.44-10.90)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0.00002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Poly</w:t>
            </w:r>
            <w:proofErr w:type="spellEnd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 xml:space="preserve"> I:C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6.44 (0.96-43.41)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0.22 (0.03-1.45)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 (0.11-2.16)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1.27 (0.34-4.78)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0.01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BCG*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0.87 (0.43-1.74)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0.16 (0.02-1.05)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1.17 (0.61-2.22)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1.19 (0.64-2.22)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0.13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1.85 (0.40-8.57)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0.43 (0.09-2.16)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0.95 (0.26-3.43)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2.72 (0.94-7.86)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OPV*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1.00 (0.19-5.18)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0.41 (0.11-1.52)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0.79 (0.21-2.91)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1.62 (0.75-3.50)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0.22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0.43 (0.05-3.81)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F10C5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F10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0.24 (0.02-2.49)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1.90 (0.35-10.43)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2.47 (0.57-10.60)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0.66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DT*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0.71 (0.08-6.52)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0.30 (0.05-1.97)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0.77 (0.29-2.02)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1.06 (0.46-2.42)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</w:t>
            </w:r>
          </w:p>
        </w:tc>
      </w:tr>
      <w:tr w:rsidR="007D7BCB" w:rsidRPr="00F92823" w:rsidTr="007D7BCB">
        <w:trPr>
          <w:trHeight w:val="276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C560A5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TNF-α:IL-10</w:t>
            </w:r>
            <w:r w:rsidR="007D7BCB"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LPS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 (0.15-1.58)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0.95 (0.28-3.20)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1.03 (0.41-2.57)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0.87 (0.39-1.94)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0.43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PAM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0.45 (0.13-1.49)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1.43 (0.37-5.54)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0.86 (0.34-2.20)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2.00 (0.92-4.34)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0.71 (0.12-4.13)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0.20 (0.04-1.02)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0.96 (0.24-3.78)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1.41 (0.52-3.78)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PPD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0.38 (0.09-1.53)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 (0.05-1.16)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1.95 (0.63-6.03)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2.13 (0.76-5.97)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0.65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group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0.51 (0.27-0.98)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0.58 (0.29-1.14)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1.11 (0.67-1.85)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1.47 (0.97-2.23)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0.78</w:t>
            </w:r>
          </w:p>
        </w:tc>
      </w:tr>
      <w:tr w:rsidR="007D7BCB" w:rsidRPr="00F92823" w:rsidTr="007D7BCB">
        <w:trPr>
          <w:trHeight w:val="276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C560A5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IFN-γ:IL-5</w:t>
            </w:r>
            <w:r w:rsidR="007D7BCB"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da-DK" w:eastAsia="da-DK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PHA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0.94 (0.13-6.79)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0.51 (0.08-3.45)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0.60 (0.14-2.53)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2.21 (0.65-7.53)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0.26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TT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 (0.03-4.78)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054AED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054AE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0.03 (0.00-0.85)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5.48 (0.79-38.22)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4.15 (0.84-20.48)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0.37</w:t>
            </w:r>
          </w:p>
        </w:tc>
      </w:tr>
      <w:tr w:rsidR="007D7BCB" w:rsidRPr="00F92823" w:rsidTr="007D7BCB">
        <w:trPr>
          <w:trHeight w:val="2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BCB" w:rsidRPr="00F92823" w:rsidRDefault="007D7BCB" w:rsidP="0045322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proofErr w:type="spellStart"/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group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0.74 (0.19-2.93)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A2563" w:rsidRDefault="007D7BCB" w:rsidP="004532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</w:pPr>
            <w:r w:rsidRPr="00FA25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a-DK" w:eastAsia="da-DK"/>
              </w:rPr>
              <w:t>0.21 (0.06-0.76)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1.07 (0.38-2.97)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225C80" w:rsidRDefault="007D7BCB" w:rsidP="0045322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</w:pPr>
            <w:r w:rsidRPr="00225C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da-DK" w:eastAsia="da-DK"/>
              </w:rPr>
              <w:t>2.49 (1.03-6.00)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BCB" w:rsidRPr="00F92823" w:rsidRDefault="007D7BCB" w:rsidP="0045322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</w:pPr>
            <w:r w:rsidRPr="00F928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a-DK" w:eastAsia="da-DK"/>
              </w:rPr>
              <w:t>0.08</w:t>
            </w:r>
          </w:p>
        </w:tc>
      </w:tr>
    </w:tbl>
    <w:p w:rsidR="00EB2770" w:rsidRPr="0002158B" w:rsidRDefault="00EB2770" w:rsidP="00EB2770">
      <w:r>
        <w:t>G</w:t>
      </w:r>
      <w:r w:rsidRPr="0002158B">
        <w:t>eometric mean ratio</w:t>
      </w:r>
      <w:r>
        <w:t>s</w:t>
      </w:r>
      <w:r w:rsidRPr="0002158B">
        <w:t xml:space="preserve"> (GMR) of cytokine responses to innate agonists and vaccine antigens comparing VAS with placebo</w:t>
      </w:r>
      <w:r>
        <w:t>,</w:t>
      </w:r>
      <w:r w:rsidRPr="0002158B">
        <w:t xml:space="preserve"> stratified by previous VAS</w:t>
      </w:r>
      <w:r>
        <w:t xml:space="preserve"> and sex</w:t>
      </w:r>
      <w:r w:rsidRPr="0002158B">
        <w:t xml:space="preserve">. </w:t>
      </w:r>
      <w:r>
        <w:t>A GMR (or PR) &gt; 1 can</w:t>
      </w:r>
      <w:r w:rsidRPr="0002158B">
        <w:t xml:space="preserve"> be interpreted as a</w:t>
      </w:r>
      <w:r>
        <w:t xml:space="preserve">n increasing </w:t>
      </w:r>
      <w:r w:rsidRPr="0002158B">
        <w:t xml:space="preserve">effect of VAS on the cytokine response. </w:t>
      </w:r>
      <w:r w:rsidRPr="00EC204B">
        <w:t>Significant estimates after adjustment for multiple comparisons are highlighted in bold.</w:t>
      </w:r>
      <w:r>
        <w:t xml:space="preserve"> </w:t>
      </w:r>
    </w:p>
    <w:p w:rsidR="00EB2770" w:rsidRPr="0002158B" w:rsidRDefault="00EB2770" w:rsidP="00EB2770">
      <w:r w:rsidRPr="0002158B">
        <w:lastRenderedPageBreak/>
        <w:t xml:space="preserve">For some outcomes among infants not having received previous VAS, there were n=0 detectable measurements in either the VAS or the placebo group, and the effect of VAS could therefore not be analysed with Poisson regression; instead confidence intervals were obtained using log-likelihood estimation. </w:t>
      </w:r>
      <w:proofErr w:type="spellStart"/>
      <w:r w:rsidRPr="0002158B">
        <w:t>Inf</w:t>
      </w:r>
      <w:proofErr w:type="spellEnd"/>
      <w:r w:rsidRPr="0002158B">
        <w:t xml:space="preserve">: infinitesimal. </w:t>
      </w:r>
    </w:p>
    <w:p w:rsidR="00EB2770" w:rsidRDefault="00EB2770" w:rsidP="00EB2770">
      <w:pPr>
        <w:rPr>
          <w:rFonts w:ascii="Calibri" w:eastAsia="Times New Roman" w:hAnsi="Calibri" w:cs="Times New Roman"/>
          <w:bCs/>
          <w:color w:val="000000"/>
        </w:rPr>
      </w:pPr>
      <w:r w:rsidRPr="00B40C29">
        <w:rPr>
          <w:rFonts w:ascii="Calibri" w:eastAsia="Times New Roman" w:hAnsi="Calibri" w:cs="Times New Roman"/>
          <w:bCs/>
          <w:color w:val="000000"/>
          <w:vertAlign w:val="superscript"/>
        </w:rPr>
        <w:t>1</w:t>
      </w:r>
      <w:r w:rsidRPr="0002158B">
        <w:rPr>
          <w:rFonts w:ascii="Calibri" w:eastAsia="Times New Roman" w:hAnsi="Calibri" w:cs="Times New Roman"/>
          <w:bCs/>
          <w:color w:val="000000"/>
        </w:rPr>
        <w:t xml:space="preserve"> Analysis of interaction between VAS and sex. </w:t>
      </w:r>
    </w:p>
    <w:p w:rsidR="00EB2770" w:rsidRDefault="00EB2770" w:rsidP="00EB2770">
      <w:pPr>
        <w:rPr>
          <w:rFonts w:ascii="Calibri" w:eastAsia="Times New Roman" w:hAnsi="Calibri" w:cs="Times New Roman"/>
          <w:bCs/>
          <w:color w:val="000000"/>
        </w:rPr>
      </w:pPr>
      <w:r w:rsidRPr="00B40C29">
        <w:rPr>
          <w:rFonts w:ascii="Calibri" w:eastAsia="Times New Roman" w:hAnsi="Calibri" w:cs="Times New Roman"/>
          <w:bCs/>
          <w:color w:val="000000"/>
          <w:vertAlign w:val="superscript"/>
        </w:rPr>
        <w:t>2</w:t>
      </w:r>
      <w:r w:rsidRPr="0002158B">
        <w:rPr>
          <w:rFonts w:ascii="Calibri" w:eastAsia="Times New Roman" w:hAnsi="Calibri" w:cs="Times New Roman"/>
          <w:bCs/>
          <w:color w:val="000000"/>
        </w:rPr>
        <w:t xml:space="preserve"> Analysis of the three-way interaction between VAS, sex and previous VAS. </w:t>
      </w:r>
    </w:p>
    <w:p w:rsidR="00EB2770" w:rsidRDefault="00EB2770" w:rsidP="00EB2770">
      <w:r w:rsidRPr="00386232">
        <w:rPr>
          <w:rFonts w:ascii="Calibri" w:eastAsia="Times New Roman" w:hAnsi="Calibri" w:cs="Times New Roman"/>
          <w:bCs/>
          <w:color w:val="000000"/>
          <w:vertAlign w:val="superscript"/>
        </w:rPr>
        <w:t>3</w:t>
      </w:r>
      <w:r>
        <w:rPr>
          <w:rFonts w:ascii="Calibri" w:eastAsia="Times New Roman" w:hAnsi="Calibri" w:cs="Times New Roman"/>
          <w:bCs/>
          <w:color w:val="000000"/>
        </w:rPr>
        <w:t xml:space="preserve"> Geometric mean ratio-ratios analysed for distributions with &lt;50% ND measurements. ‘Group’ </w:t>
      </w:r>
      <w:r>
        <w:t>designates ratios of cytokine responses analysed collective</w:t>
      </w:r>
      <w:r w:rsidR="00B7048E">
        <w:t>ly</w:t>
      </w:r>
      <w:r>
        <w:t xml:space="preserve"> for all stimulations with &lt;50% ND observations.</w:t>
      </w:r>
    </w:p>
    <w:p w:rsidR="00453229" w:rsidRDefault="00EB2770" w:rsidP="00FD2C4F">
      <w:r w:rsidRPr="0002158B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*</w:t>
      </w:r>
      <w:r w:rsidRPr="0002158B">
        <w:t xml:space="preserve"> Outcomes with &gt;50% </w:t>
      </w:r>
      <w:r>
        <w:t xml:space="preserve">ND </w:t>
      </w:r>
      <w:r w:rsidRPr="0002158B">
        <w:t>measurements were a</w:t>
      </w:r>
      <w:r w:rsidR="00A323FB">
        <w:t>nalysed with P</w:t>
      </w:r>
      <w:r w:rsidR="00FD2C4F">
        <w:t>oisson regression</w:t>
      </w:r>
    </w:p>
    <w:p w:rsidR="00D544A5" w:rsidRDefault="00D544A5" w:rsidP="00FD2C4F"/>
    <w:p w:rsidR="00D544A5" w:rsidRDefault="00D544A5" w:rsidP="00FD2C4F"/>
    <w:p w:rsidR="00D544A5" w:rsidRDefault="00D544A5" w:rsidP="00FD2C4F">
      <w:pPr>
        <w:rPr>
          <w:b/>
        </w:rPr>
      </w:pPr>
    </w:p>
    <w:p w:rsidR="00D544A5" w:rsidRDefault="00D544A5" w:rsidP="00FD2C4F"/>
    <w:sectPr w:rsidR="00D544A5" w:rsidSect="00453229">
      <w:pgSz w:w="11906" w:h="16838"/>
      <w:pgMar w:top="425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37A9"/>
    <w:multiLevelType w:val="hybridMultilevel"/>
    <w:tmpl w:val="DD7EE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0"/>
    <w:rsid w:val="00070263"/>
    <w:rsid w:val="001156D4"/>
    <w:rsid w:val="00142017"/>
    <w:rsid w:val="001700FF"/>
    <w:rsid w:val="00205F23"/>
    <w:rsid w:val="0028212B"/>
    <w:rsid w:val="002D7FDB"/>
    <w:rsid w:val="003E1B6C"/>
    <w:rsid w:val="003E3DB4"/>
    <w:rsid w:val="00401DD8"/>
    <w:rsid w:val="00410F7B"/>
    <w:rsid w:val="00413055"/>
    <w:rsid w:val="00453229"/>
    <w:rsid w:val="00476027"/>
    <w:rsid w:val="005E342B"/>
    <w:rsid w:val="006C38E3"/>
    <w:rsid w:val="006E49DE"/>
    <w:rsid w:val="0070397F"/>
    <w:rsid w:val="00731B33"/>
    <w:rsid w:val="00747D96"/>
    <w:rsid w:val="007D7BCB"/>
    <w:rsid w:val="007F5AA0"/>
    <w:rsid w:val="00804F60"/>
    <w:rsid w:val="008407DC"/>
    <w:rsid w:val="00861300"/>
    <w:rsid w:val="008A20A2"/>
    <w:rsid w:val="008C4C48"/>
    <w:rsid w:val="008F6F19"/>
    <w:rsid w:val="0091624E"/>
    <w:rsid w:val="00985B20"/>
    <w:rsid w:val="00A30A5E"/>
    <w:rsid w:val="00A323FB"/>
    <w:rsid w:val="00A54D84"/>
    <w:rsid w:val="00B7048E"/>
    <w:rsid w:val="00BD3017"/>
    <w:rsid w:val="00C1476D"/>
    <w:rsid w:val="00C35C46"/>
    <w:rsid w:val="00C560A5"/>
    <w:rsid w:val="00D22BD9"/>
    <w:rsid w:val="00D544A5"/>
    <w:rsid w:val="00D55E2E"/>
    <w:rsid w:val="00DC2E2E"/>
    <w:rsid w:val="00E56914"/>
    <w:rsid w:val="00E62B13"/>
    <w:rsid w:val="00E72309"/>
    <w:rsid w:val="00EB2770"/>
    <w:rsid w:val="00F10D97"/>
    <w:rsid w:val="00FD2C4F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895E-DC31-4737-95BA-6086165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70"/>
    <w:pPr>
      <w:spacing w:line="240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B27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B27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277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2770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B277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27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277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277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27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277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38D6-2CA0-4BF2-82FB-B7220D9D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1843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Jensen</dc:creator>
  <cp:keywords/>
  <dc:description/>
  <cp:lastModifiedBy>Kristoffer Jensen</cp:lastModifiedBy>
  <cp:revision>40</cp:revision>
  <dcterms:created xsi:type="dcterms:W3CDTF">2015-09-03T08:38:00Z</dcterms:created>
  <dcterms:modified xsi:type="dcterms:W3CDTF">2015-10-26T09:53:00Z</dcterms:modified>
</cp:coreProperties>
</file>